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2901B2" w14:textId="076632AA" w:rsidR="008C605D" w:rsidRPr="005C1422" w:rsidRDefault="00705E59" w:rsidP="00705E59">
      <w:pPr>
        <w:jc w:val="center"/>
        <w:rPr>
          <w:rFonts w:eastAsia="Times New Roman"/>
          <w:color w:val="000000"/>
        </w:rPr>
      </w:pPr>
      <w:r w:rsidRPr="005C1422">
        <w:rPr>
          <w:rFonts w:eastAsia="Times New Roman"/>
          <w:color w:val="000000"/>
        </w:rPr>
        <w:t>The significance of the Black Death of 1348-1351 on Medieval Religion and Culture</w:t>
      </w:r>
    </w:p>
    <w:p w14:paraId="76B26937" w14:textId="56099CE4" w:rsidR="00705E59" w:rsidRPr="005C1422" w:rsidRDefault="00705E59" w:rsidP="00705E59">
      <w:pPr>
        <w:jc w:val="center"/>
        <w:rPr>
          <w:rFonts w:eastAsia="Times New Roman"/>
          <w:color w:val="000000"/>
        </w:rPr>
      </w:pPr>
      <w:r w:rsidRPr="005C1422">
        <w:rPr>
          <w:rFonts w:eastAsia="Times New Roman"/>
          <w:color w:val="000000"/>
        </w:rPr>
        <w:t xml:space="preserve">Bryce </w:t>
      </w:r>
      <w:proofErr w:type="spellStart"/>
      <w:r w:rsidRPr="005C1422">
        <w:rPr>
          <w:rFonts w:eastAsia="Times New Roman"/>
          <w:color w:val="000000"/>
        </w:rPr>
        <w:t>Azody</w:t>
      </w:r>
      <w:proofErr w:type="spellEnd"/>
      <w:r w:rsidRPr="005C1422">
        <w:rPr>
          <w:rFonts w:eastAsia="Times New Roman"/>
          <w:color w:val="000000"/>
        </w:rPr>
        <w:t>-Robinson</w:t>
      </w:r>
    </w:p>
    <w:p w14:paraId="357B4B6E" w14:textId="77777777" w:rsidR="00705E59" w:rsidRPr="005C1422" w:rsidRDefault="00705E59" w:rsidP="00705E59">
      <w:pPr>
        <w:jc w:val="center"/>
        <w:rPr>
          <w:rFonts w:eastAsia="Times New Roman"/>
          <w:color w:val="000000"/>
        </w:rPr>
      </w:pPr>
    </w:p>
    <w:p w14:paraId="33C72DFE" w14:textId="77777777" w:rsidR="004212C4" w:rsidRPr="005C1422" w:rsidRDefault="00B43113"/>
    <w:p w14:paraId="15197AB1" w14:textId="77777777" w:rsidR="00AC0EFA" w:rsidRPr="005C1422" w:rsidRDefault="00B43113" w:rsidP="000A7AF1">
      <w:pPr>
        <w:spacing w:line="480" w:lineRule="auto"/>
        <w:rPr>
          <w:lang w:val="en-CA"/>
        </w:rPr>
      </w:pPr>
    </w:p>
    <w:p w14:paraId="118B567A" w14:textId="65B4356F" w:rsidR="006C4FCD" w:rsidRPr="005C1422" w:rsidRDefault="00634DB3" w:rsidP="000A7AF1">
      <w:pPr>
        <w:spacing w:line="480" w:lineRule="auto"/>
        <w:rPr>
          <w:lang w:val="en-CA"/>
        </w:rPr>
      </w:pPr>
      <w:r w:rsidRPr="005C1422">
        <w:rPr>
          <w:lang w:val="en-CA"/>
        </w:rPr>
        <w:t xml:space="preserve">The Plague of 1348-1351 </w:t>
      </w:r>
      <w:r w:rsidRPr="005C1422">
        <w:rPr>
          <w:rStyle w:val="FootnoteReference"/>
          <w:lang w:val="en-CA"/>
        </w:rPr>
        <w:footnoteReference w:id="1"/>
      </w:r>
      <w:r w:rsidRPr="005C1422">
        <w:rPr>
          <w:lang w:val="en-CA"/>
        </w:rPr>
        <w:t xml:space="preserve">, known today as The Black Death and to contemporaries of the times </w:t>
      </w:r>
      <w:r w:rsidR="001F38F1" w:rsidRPr="005C1422">
        <w:rPr>
          <w:lang w:val="en-CA"/>
        </w:rPr>
        <w:t>simply as T</w:t>
      </w:r>
      <w:r w:rsidRPr="005C1422">
        <w:rPr>
          <w:lang w:val="en-CA"/>
        </w:rPr>
        <w:t>he Pestilence, was a pandemic that killed unnumbered thousands, drastically changed communities and helped shape the very culture of Europe for</w:t>
      </w:r>
      <w:r w:rsidR="001F38F1" w:rsidRPr="005C1422">
        <w:rPr>
          <w:lang w:val="en-CA"/>
        </w:rPr>
        <w:t xml:space="preserve"> decades afterward</w:t>
      </w:r>
      <w:r w:rsidRPr="005C1422">
        <w:rPr>
          <w:lang w:val="en-CA"/>
        </w:rPr>
        <w:t>. It is estimated that the B</w:t>
      </w:r>
      <w:r w:rsidR="00A17D02" w:rsidRPr="005C1422">
        <w:rPr>
          <w:lang w:val="en-CA"/>
        </w:rPr>
        <w:t>lack Death killed an estimated 25% to 50% of the population with casualties</w:t>
      </w:r>
      <w:r w:rsidRPr="005C1422">
        <w:rPr>
          <w:lang w:val="en-CA"/>
        </w:rPr>
        <w:t xml:space="preserve"> varying depending on the region of Europe and density of the population.</w:t>
      </w:r>
      <w:r w:rsidRPr="005C1422">
        <w:rPr>
          <w:rStyle w:val="FootnoteReference"/>
          <w:lang w:val="en-CA"/>
        </w:rPr>
        <w:footnoteReference w:id="2"/>
      </w:r>
      <w:r w:rsidRPr="005C1422">
        <w:t xml:space="preserve"> As with much scholarship on the Black Death, there is much in contention among historians as to</w:t>
      </w:r>
      <w:r w:rsidRPr="005C1422">
        <w:rPr>
          <w:lang w:val="en-CA"/>
        </w:rPr>
        <w:t xml:space="preserve"> the true culprit of the pandemic, however is generally assumed to be </w:t>
      </w:r>
      <w:r w:rsidRPr="005C1422">
        <w:rPr>
          <w:i/>
          <w:lang w:val="en-CA"/>
        </w:rPr>
        <w:t xml:space="preserve">Yersinia </w:t>
      </w:r>
      <w:proofErr w:type="spellStart"/>
      <w:r w:rsidRPr="005C1422">
        <w:rPr>
          <w:i/>
          <w:lang w:val="en-CA"/>
        </w:rPr>
        <w:t>Pestis</w:t>
      </w:r>
      <w:proofErr w:type="spellEnd"/>
      <w:r w:rsidRPr="005C1422">
        <w:rPr>
          <w:lang w:val="en-CA"/>
        </w:rPr>
        <w:t>, also known as Bubonic Plague.</w:t>
      </w:r>
      <w:r w:rsidRPr="005C1422">
        <w:rPr>
          <w:rStyle w:val="FootnoteReference"/>
          <w:lang w:val="en-CA"/>
        </w:rPr>
        <w:footnoteReference w:id="3"/>
      </w:r>
      <w:r w:rsidRPr="005C1422">
        <w:rPr>
          <w:lang w:val="en-CA"/>
        </w:rPr>
        <w:t xml:space="preserve">  In a few short years, the Black Death ravaged Europe and forever changed both the culture and the religious views of many in Europe. </w:t>
      </w:r>
      <w:r w:rsidR="006B1186" w:rsidRPr="005C1422">
        <w:rPr>
          <w:lang w:val="en-CA"/>
        </w:rPr>
        <w:t>Thus,</w:t>
      </w:r>
      <w:r w:rsidRPr="005C1422">
        <w:rPr>
          <w:lang w:val="en-CA"/>
        </w:rPr>
        <w:t xml:space="preserve"> the greatest institution affected was The Catholic Church, but many other facets of life were also changed. Many historians, however, stress that the Black Death was not the sole reason for many of the cultural changes during the second half of the 14</w:t>
      </w:r>
      <w:r w:rsidRPr="005C1422">
        <w:rPr>
          <w:vertAlign w:val="superscript"/>
          <w:lang w:val="en-CA"/>
        </w:rPr>
        <w:t>th</w:t>
      </w:r>
      <w:r w:rsidRPr="005C1422">
        <w:rPr>
          <w:lang w:val="en-CA"/>
        </w:rPr>
        <w:t xml:space="preserve"> century, but it may have indeed accelerated trends already apparent. </w:t>
      </w:r>
    </w:p>
    <w:p w14:paraId="65693EBB" w14:textId="2F71FBB1" w:rsidR="00D64D96" w:rsidRPr="005C1422" w:rsidRDefault="00634DB3" w:rsidP="000A7AF1">
      <w:pPr>
        <w:spacing w:line="480" w:lineRule="auto"/>
        <w:rPr>
          <w:lang w:val="en-CA"/>
        </w:rPr>
      </w:pPr>
      <w:r w:rsidRPr="005C1422">
        <w:rPr>
          <w:lang w:val="en-CA"/>
        </w:rPr>
        <w:t>Prior to the Black Death, the Catholic Church provided a source of stability and authority for the populace of the time. The clergy was the line that connected humanity to</w:t>
      </w:r>
      <w:r w:rsidR="009F703E" w:rsidRPr="005C1422">
        <w:rPr>
          <w:lang w:val="en-CA"/>
        </w:rPr>
        <w:t xml:space="preserve"> God and thus prescribed God's will on e</w:t>
      </w:r>
      <w:r w:rsidRPr="005C1422">
        <w:rPr>
          <w:lang w:val="en-CA"/>
        </w:rPr>
        <w:t xml:space="preserve">arth. Religion was the primary means for people to understand the world around them and many people looked to the Catholic Church for guidance, stability and to </w:t>
      </w:r>
      <w:r w:rsidRPr="005C1422">
        <w:rPr>
          <w:lang w:val="en-CA"/>
        </w:rPr>
        <w:lastRenderedPageBreak/>
        <w:t>help them understand the events of the time. For the medieval mind, it was to the institution of the Church that people looked to for guidance and explanation for the things that they themselves could not explain. Philip Ziegler writes that “It is a truism to say that, in the Middle Ages, a man’s mental health and the public and private morality to which he deferred was inextricably involved with his relationship with the Church. His faith was unquestioning and his psychological dependence upon its institutions complete. ”</w:t>
      </w:r>
      <w:r w:rsidRPr="005C1422">
        <w:rPr>
          <w:rStyle w:val="FootnoteReference"/>
          <w:lang w:val="en-CA"/>
        </w:rPr>
        <w:footnoteReference w:id="4"/>
      </w:r>
      <w:r w:rsidRPr="005C1422">
        <w:rPr>
          <w:lang w:val="en-CA"/>
        </w:rPr>
        <w:t xml:space="preserve"> </w:t>
      </w:r>
    </w:p>
    <w:p w14:paraId="50C67027" w14:textId="314F3913" w:rsidR="00F50B72" w:rsidRPr="005C1422" w:rsidRDefault="00634DB3" w:rsidP="006C4FCD">
      <w:pPr>
        <w:spacing w:line="480" w:lineRule="auto"/>
        <w:rPr>
          <w:lang w:val="en-CA"/>
        </w:rPr>
      </w:pPr>
      <w:r w:rsidRPr="005C1422">
        <w:rPr>
          <w:lang w:val="en-CA"/>
        </w:rPr>
        <w:t xml:space="preserve"> </w:t>
      </w:r>
      <w:r w:rsidRPr="005C1422">
        <w:rPr>
          <w:lang w:val="en-CA"/>
        </w:rPr>
        <w:tab/>
        <w:t>Perhaps the greatest change made by</w:t>
      </w:r>
      <w:r w:rsidR="009F703E" w:rsidRPr="005C1422">
        <w:rPr>
          <w:lang w:val="en-CA"/>
        </w:rPr>
        <w:t xml:space="preserve"> the Black Death was the loss of face for</w:t>
      </w:r>
      <w:r w:rsidRPr="005C1422">
        <w:rPr>
          <w:lang w:val="en-CA"/>
        </w:rPr>
        <w:t xml:space="preserve"> the Catholic Church. It has been argued that the Catholic Church w</w:t>
      </w:r>
      <w:r w:rsidR="00705E59" w:rsidRPr="005C1422">
        <w:rPr>
          <w:lang w:val="en-CA"/>
        </w:rPr>
        <w:t xml:space="preserve">as experiencing a decline prior </w:t>
      </w:r>
      <w:r w:rsidRPr="005C1422">
        <w:rPr>
          <w:lang w:val="en-CA"/>
        </w:rPr>
        <w:t xml:space="preserve">the arrival of the Black Death and that the onslaught of the Black Death and the recurrences of the pestilence merely exacerbated and hastened its decline. Robert S. Gottfried writes that </w:t>
      </w:r>
    </w:p>
    <w:p w14:paraId="178045A1" w14:textId="11B0DC37" w:rsidR="00F50B72" w:rsidRPr="005C1422" w:rsidRDefault="00634DB3" w:rsidP="00F50B72">
      <w:pPr>
        <w:spacing w:line="480" w:lineRule="auto"/>
        <w:ind w:left="567" w:right="855"/>
        <w:rPr>
          <w:lang w:val="en-CA"/>
        </w:rPr>
      </w:pPr>
      <w:r w:rsidRPr="005C1422">
        <w:rPr>
          <w:lang w:val="en-CA"/>
        </w:rPr>
        <w:t>"The Christian Church had many problems before the advent of the second plague pandemic. It was a huge, unwieldy, and vastly complicated institution, and, even at its nadir, there was much about it that was good. But the Black Death made an issue of the proper function of the clergy. It made people ever more conscious of the omnipotence of God and the inevitability of Judgement Day.</w:t>
      </w:r>
      <w:r w:rsidRPr="005C1422">
        <w:rPr>
          <w:rStyle w:val="FootnoteReference"/>
          <w:lang w:val="en-CA"/>
        </w:rPr>
        <w:footnoteReference w:id="5"/>
      </w:r>
      <w:r w:rsidRPr="005C1422">
        <w:rPr>
          <w:lang w:val="en-CA"/>
        </w:rPr>
        <w:t xml:space="preserve">  </w:t>
      </w:r>
    </w:p>
    <w:p w14:paraId="35479D41" w14:textId="2EFBEC9C" w:rsidR="0041286C" w:rsidRPr="005C1422" w:rsidRDefault="00634DB3" w:rsidP="006C4FCD">
      <w:pPr>
        <w:spacing w:line="480" w:lineRule="auto"/>
        <w:rPr>
          <w:lang w:val="en-CA"/>
        </w:rPr>
      </w:pPr>
      <w:r w:rsidRPr="005C1422">
        <w:rPr>
          <w:lang w:val="en-CA"/>
        </w:rPr>
        <w:t xml:space="preserve">Many scholars agree that during the four years of the Black Death, when the laity needed guidance the most, the Catholic Church largely failed in their role. The clergy was just as susceptible to the plague as the laity, and clergymen died in rates equal or greater to the rest of </w:t>
      </w:r>
      <w:r w:rsidRPr="005C1422">
        <w:rPr>
          <w:lang w:val="en-CA"/>
        </w:rPr>
        <w:lastRenderedPageBreak/>
        <w:t>the population, indeed, Colin Platt writes that "of all those who perished in the first outbreak of the Black Death the class worst affected was the parish clergy.”</w:t>
      </w:r>
      <w:r w:rsidRPr="005C1422">
        <w:rPr>
          <w:rStyle w:val="FootnoteReference"/>
          <w:lang w:val="en-CA"/>
        </w:rPr>
        <w:footnoteReference w:id="6"/>
      </w:r>
    </w:p>
    <w:p w14:paraId="4E825FD6" w14:textId="4F526BA5" w:rsidR="00C506BC" w:rsidRPr="005C1422" w:rsidRDefault="00634DB3" w:rsidP="0041286C">
      <w:pPr>
        <w:spacing w:line="480" w:lineRule="auto"/>
        <w:rPr>
          <w:lang w:val="en-CA"/>
        </w:rPr>
      </w:pPr>
      <w:r w:rsidRPr="005C1422">
        <w:rPr>
          <w:lang w:val="en-CA"/>
        </w:rPr>
        <w:t>In countries such as Germany, the clergy was hit especially hard by the Black Death, between 1350-1352, 35% of the clergy had died, in one instance so many had died that fifty-seven benefices were overseen by only twelve men.</w:t>
      </w:r>
      <w:r w:rsidRPr="005C1422">
        <w:rPr>
          <w:rStyle w:val="FootnoteReference"/>
          <w:lang w:val="en-CA"/>
        </w:rPr>
        <w:footnoteReference w:id="7"/>
      </w:r>
      <w:r w:rsidRPr="005C1422">
        <w:rPr>
          <w:lang w:val="en-CA"/>
        </w:rPr>
        <w:t xml:space="preserve"> In England in 1349, in ten dioceses 45% of the priests had died due to the Black Death and in Winchester and Exeter, the number of dead clergy increased to 50%.</w:t>
      </w:r>
      <w:r w:rsidRPr="005C1422">
        <w:rPr>
          <w:rStyle w:val="FootnoteReference"/>
          <w:lang w:val="en-CA"/>
        </w:rPr>
        <w:footnoteReference w:id="8"/>
      </w:r>
      <w:r w:rsidRPr="005C1422">
        <w:rPr>
          <w:lang w:val="en-CA"/>
        </w:rPr>
        <w:t xml:space="preserve">  While some Scholars such as Michael Vargas downplay the loss of so many clergy by writing that many clerical institutions were quickly able to, by drawing from “a deep pool of recruits to restore… populations nearly to their pre-plague levels”</w:t>
      </w:r>
      <w:r w:rsidRPr="005C1422">
        <w:rPr>
          <w:rStyle w:val="FootnoteReference"/>
          <w:lang w:val="en-CA"/>
        </w:rPr>
        <w:footnoteReference w:id="9"/>
      </w:r>
      <w:r w:rsidR="006B1186" w:rsidRPr="005C1422">
        <w:rPr>
          <w:lang w:val="en-CA"/>
        </w:rPr>
        <w:t xml:space="preserve"> T</w:t>
      </w:r>
      <w:r w:rsidRPr="005C1422">
        <w:rPr>
          <w:lang w:val="en-CA"/>
        </w:rPr>
        <w:t>he experience, knowledge, and authority of those in the Church who died, however, could not be so easily replaced. Philip Ziegler writes that “The abrupt disappearance of nearly half the clergy, including a disproportionally great number of the brave and diligent, inevitably put a heavy strain on the machinery of the Church and reduced its capacity to deal effectively with movements of protest or revolt.”</w:t>
      </w:r>
      <w:r w:rsidRPr="005C1422">
        <w:rPr>
          <w:rStyle w:val="FootnoteReference"/>
          <w:lang w:val="en-CA"/>
        </w:rPr>
        <w:footnoteReference w:id="10"/>
      </w:r>
      <w:r w:rsidRPr="005C1422">
        <w:rPr>
          <w:lang w:val="en-CA"/>
        </w:rPr>
        <w:t xml:space="preserve"> Thus at the very time that Western Europe needed the guidance of the Church most clergy were unable to rise to the occasion with many of the offices filled with new recruits who were largely undereducated and inexperienced.</w:t>
      </w:r>
      <w:r w:rsidRPr="005C1422">
        <w:rPr>
          <w:rStyle w:val="FootnoteReference"/>
          <w:lang w:val="en-CA"/>
        </w:rPr>
        <w:footnoteReference w:id="11"/>
      </w:r>
    </w:p>
    <w:p w14:paraId="49935F66" w14:textId="31B74E6D" w:rsidR="002A4423" w:rsidRPr="005C1422" w:rsidRDefault="00634DB3" w:rsidP="0041286C">
      <w:pPr>
        <w:spacing w:line="480" w:lineRule="auto"/>
        <w:rPr>
          <w:lang w:val="en-CA"/>
        </w:rPr>
      </w:pPr>
      <w:r w:rsidRPr="005C1422">
        <w:rPr>
          <w:lang w:val="en-CA"/>
        </w:rPr>
        <w:lastRenderedPageBreak/>
        <w:tab/>
        <w:t>The impact that this loss had in the Church was not just a concern of the time but, many posit, that it had greater historical effects. Firstly, the death of so many in the Church led to an abundance of wealth and the opening of many positions. “Among these novice priests and the survivors of the plague there was noticeable a new acquisitiveness: a determination to share in the wealth which fell free for the taking after the Black Death.”</w:t>
      </w:r>
      <w:r w:rsidRPr="005C1422">
        <w:rPr>
          <w:rStyle w:val="FootnoteReference"/>
          <w:lang w:val="en-CA"/>
        </w:rPr>
        <w:footnoteReference w:id="12"/>
      </w:r>
      <w:r w:rsidRPr="005C1422">
        <w:rPr>
          <w:lang w:val="en-CA"/>
        </w:rPr>
        <w:t xml:space="preserve"> Ziegler goes on to write that many parish priests and chaplains took advantage of the lack of clergy by refusing to work without “haggling for extra pay and abandoning their parishioners if better pickings were to be had elsewhere.”</w:t>
      </w:r>
      <w:r w:rsidRPr="005C1422">
        <w:rPr>
          <w:rStyle w:val="FootnoteReference"/>
          <w:lang w:val="en-CA"/>
        </w:rPr>
        <w:footnoteReference w:id="13"/>
      </w:r>
      <w:r w:rsidRPr="005C1422">
        <w:rPr>
          <w:lang w:val="en-CA"/>
        </w:rPr>
        <w:t xml:space="preserve"> This was hardly becoming for the clergy and many scholars of the time, such as Chaucer and Langland showed their indignation and bitterly criticized these behaviors.</w:t>
      </w:r>
      <w:r w:rsidRPr="005C1422">
        <w:rPr>
          <w:rStyle w:val="FootnoteReference"/>
          <w:lang w:val="en-CA"/>
        </w:rPr>
        <w:footnoteReference w:id="14"/>
      </w:r>
      <w:r w:rsidRPr="005C1422">
        <w:rPr>
          <w:lang w:val="en-CA"/>
        </w:rPr>
        <w:t xml:space="preserve"> </w:t>
      </w:r>
    </w:p>
    <w:p w14:paraId="3F159562" w14:textId="0B76DD0F" w:rsidR="000516C9" w:rsidRPr="005C1422" w:rsidRDefault="00634DB3" w:rsidP="006A7C3D">
      <w:pPr>
        <w:spacing w:line="480" w:lineRule="auto"/>
        <w:ind w:firstLine="720"/>
        <w:rPr>
          <w:lang w:val="en-CA"/>
        </w:rPr>
      </w:pPr>
      <w:r w:rsidRPr="005C1422">
        <w:rPr>
          <w:lang w:val="en-CA"/>
        </w:rPr>
        <w:t>The Black Death’s effect may have also led to the Churches later troubles with simony and even the selling of indulgences.  Indeed Robert S. Gottfried writes that “It is tempting to tie the decline of the institutional church to the Protestant Reformation of the sixteenth century, as many historians if the nineteenth and twentieth centuries have done.”</w:t>
      </w:r>
      <w:r w:rsidRPr="005C1422">
        <w:rPr>
          <w:rStyle w:val="FootnoteReference"/>
          <w:lang w:val="en-CA"/>
        </w:rPr>
        <w:footnoteReference w:id="15"/>
      </w:r>
      <w:r w:rsidRPr="005C1422">
        <w:rPr>
          <w:lang w:val="en-CA"/>
        </w:rPr>
        <w:t xml:space="preserve">  Gottfried goes on to write that, “From 1350s, apparently on papal orders, new stress was put on indulgences, or grants of time off from purgatory bestowed by the Church… Indulgences were not given freely, but usually in anticipation of a gift of money; always mindful of turning a profit, church leaders began to sell them in increasing numbers.”</w:t>
      </w:r>
      <w:r w:rsidRPr="005C1422">
        <w:rPr>
          <w:rStyle w:val="FootnoteReference"/>
          <w:lang w:val="en-CA"/>
        </w:rPr>
        <w:footnoteReference w:id="16"/>
      </w:r>
      <w:r w:rsidRPr="005C1422">
        <w:rPr>
          <w:lang w:val="en-CA"/>
        </w:rPr>
        <w:t xml:space="preserve"> This increase in the selling of indulgences, which began to increase after 1350, thus may have become the catalyst for the Protestant Reformation. Gottfried writes that “While indulgences were not the only thing that spurred Martin Luther, </w:t>
      </w:r>
      <w:r w:rsidRPr="005C1422">
        <w:rPr>
          <w:lang w:val="en-CA"/>
        </w:rPr>
        <w:lastRenderedPageBreak/>
        <w:t>their use and sale inspired him to nail up his 95 theses.”</w:t>
      </w:r>
      <w:r w:rsidRPr="005C1422">
        <w:rPr>
          <w:rStyle w:val="FootnoteReference"/>
          <w:lang w:val="en-CA"/>
        </w:rPr>
        <w:footnoteReference w:id="17"/>
      </w:r>
      <w:r w:rsidRPr="005C1422">
        <w:rPr>
          <w:lang w:val="en-CA"/>
        </w:rPr>
        <w:t xml:space="preserve"> However Gottfried is quite hesitant to pin the Protestant Reformation wholly on the Black Death, he writes that “Such a direct connection, spanning close to 200 years is a bit presumptuous.” However, Gottfried goes on to state that the rise of indulgences after the first onslaught of the Black Death is "perhaps the best link between the Black Death, the decline of the Holy Mother Church, and the Protestant Reformation of the sixteenth century was the growing role of indulgences in the fourteenth and fifteenth centuries." </w:t>
      </w:r>
      <w:r w:rsidRPr="005C1422">
        <w:rPr>
          <w:rStyle w:val="FootnoteReference"/>
          <w:lang w:val="en-CA"/>
        </w:rPr>
        <w:footnoteReference w:id="18"/>
      </w:r>
      <w:r w:rsidRPr="005C1422">
        <w:rPr>
          <w:lang w:val="en-CA"/>
        </w:rPr>
        <w:t xml:space="preserve"> </w:t>
      </w:r>
    </w:p>
    <w:p w14:paraId="06B68BE0" w14:textId="6F8C0BB9" w:rsidR="00E50054" w:rsidRPr="005C1422" w:rsidRDefault="00634DB3" w:rsidP="00F45E2F">
      <w:pPr>
        <w:spacing w:line="480" w:lineRule="auto"/>
        <w:ind w:firstLine="720"/>
        <w:rPr>
          <w:lang w:val="en-CA"/>
        </w:rPr>
      </w:pPr>
      <w:r w:rsidRPr="005C1422">
        <w:rPr>
          <w:lang w:val="en-CA"/>
        </w:rPr>
        <w:t>Thus</w:t>
      </w:r>
      <w:r w:rsidR="00BF14B2" w:rsidRPr="005C1422">
        <w:rPr>
          <w:lang w:val="en-CA"/>
        </w:rPr>
        <w:t>,</w:t>
      </w:r>
      <w:r w:rsidRPr="005C1422">
        <w:rPr>
          <w:lang w:val="en-CA"/>
        </w:rPr>
        <w:t xml:space="preserve"> from the onset of the Black Death we see a greater moral decay in the Church as the Black Death created </w:t>
      </w:r>
      <w:proofErr w:type="gramStart"/>
      <w:r w:rsidRPr="005C1422">
        <w:rPr>
          <w:lang w:val="en-CA"/>
        </w:rPr>
        <w:t>a climate wherein undereducated and unexperienced churchmen</w:t>
      </w:r>
      <w:proofErr w:type="gramEnd"/>
      <w:r w:rsidRPr="005C1422">
        <w:rPr>
          <w:lang w:val="en-CA"/>
        </w:rPr>
        <w:t xml:space="preserve"> were levied to replace a devas</w:t>
      </w:r>
      <w:r w:rsidR="00BF14B2" w:rsidRPr="005C1422">
        <w:rPr>
          <w:lang w:val="en-CA"/>
        </w:rPr>
        <w:t>tated Church. After 1350 these c</w:t>
      </w:r>
      <w:r w:rsidRPr="005C1422">
        <w:rPr>
          <w:lang w:val="en-CA"/>
        </w:rPr>
        <w:t>hurchmen found themselves with great wealth and power and many reaped these rewards and put in place measures to increase their wealth. This did nothing to secure the faith of the laity who in many cases had to themselves deliver the rights to the dead.</w:t>
      </w:r>
      <w:r w:rsidRPr="005C1422">
        <w:rPr>
          <w:rStyle w:val="FootnoteReference"/>
          <w:lang w:val="en-CA"/>
        </w:rPr>
        <w:footnoteReference w:id="19"/>
      </w:r>
      <w:r w:rsidRPr="005C1422">
        <w:rPr>
          <w:lang w:val="en-CA"/>
        </w:rPr>
        <w:t xml:space="preserve"> Philip Ziegler writes that “evidence that exists shows that [the clergy] lost in popularity as a result of the plague. They were deemed not to have risen to the level of their responsibilities, to have run away in fear or in search of gain, to have put their own skins first and the souls of their parishioners a bad second.”</w:t>
      </w:r>
      <w:r w:rsidRPr="005C1422">
        <w:rPr>
          <w:rStyle w:val="FootnoteReference"/>
          <w:lang w:val="en-CA"/>
        </w:rPr>
        <w:footnoteReference w:id="20"/>
      </w:r>
      <w:r w:rsidRPr="005C1422">
        <w:rPr>
          <w:lang w:val="en-CA"/>
        </w:rPr>
        <w:t xml:space="preserve">  Thus the seeds of resentment were planted and the first inklings of the religious turmoil of the Protestant Reformation began to stir.  </w:t>
      </w:r>
    </w:p>
    <w:p w14:paraId="65359F2A" w14:textId="230D8A24" w:rsidR="006C34EA" w:rsidRPr="005C1422" w:rsidRDefault="00634DB3" w:rsidP="009D35E3">
      <w:pPr>
        <w:spacing w:line="480" w:lineRule="auto"/>
        <w:ind w:firstLine="720"/>
        <w:rPr>
          <w:lang w:val="en-CA"/>
        </w:rPr>
      </w:pPr>
      <w:r w:rsidRPr="005C1422">
        <w:rPr>
          <w:lang w:val="en-CA"/>
        </w:rPr>
        <w:t>The</w:t>
      </w:r>
      <w:r w:rsidR="006153D3" w:rsidRPr="005C1422">
        <w:rPr>
          <w:lang w:val="en-CA"/>
        </w:rPr>
        <w:t xml:space="preserve"> larger</w:t>
      </w:r>
      <w:r w:rsidRPr="005C1422">
        <w:rPr>
          <w:lang w:val="en-CA"/>
        </w:rPr>
        <w:t xml:space="preserve"> cultural impacts of the Black Death in Europe are of great contention amongst scholars. Whereas evidence of the loss of faith in the Church may be found and accepted by the scholarly community at large, in terms of the Black Death's cultural impact there is much </w:t>
      </w:r>
      <w:r w:rsidRPr="005C1422">
        <w:rPr>
          <w:lang w:val="en-CA"/>
        </w:rPr>
        <w:lastRenderedPageBreak/>
        <w:t>contention.</w:t>
      </w:r>
      <w:r w:rsidRPr="005C1422">
        <w:rPr>
          <w:rStyle w:val="FootnoteReference"/>
          <w:lang w:val="en-CA"/>
        </w:rPr>
        <w:footnoteReference w:id="21"/>
      </w:r>
      <w:r w:rsidRPr="005C1422">
        <w:rPr>
          <w:lang w:val="en-CA"/>
        </w:rPr>
        <w:t xml:space="preserve">  Indeed the Black Death has been named responsible for inspiring later cultural events such as the Renaissance, the Protestant Reformation, the fall of Feudalism in Western Europe and the rise of Capitalism.</w:t>
      </w:r>
      <w:r w:rsidRPr="005C1422">
        <w:rPr>
          <w:rStyle w:val="FootnoteReference"/>
          <w:lang w:val="en-CA"/>
        </w:rPr>
        <w:footnoteReference w:id="22"/>
      </w:r>
      <w:r w:rsidRPr="005C1422">
        <w:rPr>
          <w:lang w:val="en-CA"/>
        </w:rPr>
        <w:t xml:space="preserve"> Faye Marie Getz writes that these ideas come from a deep legacy and stems from “early nineteenth-century German scientists [who] in particular not only saw in medieval accounts of the Black Death a laboratory for their own speculation on nature and epidemic disease, but also saw evidence for man’s progress towards a new age, the Renaissance, which was born after a horrible cataclysm just as the world was renewed after the great f</w:t>
      </w:r>
      <w:r w:rsidR="009D35E3" w:rsidRPr="005C1422">
        <w:rPr>
          <w:lang w:val="en-CA"/>
        </w:rPr>
        <w:t>lood.”</w:t>
      </w:r>
      <w:r w:rsidR="009D35E3" w:rsidRPr="005C1422">
        <w:rPr>
          <w:rStyle w:val="FootnoteReference"/>
          <w:lang w:val="en-CA"/>
        </w:rPr>
        <w:footnoteReference w:id="23"/>
      </w:r>
      <w:r w:rsidR="009D35E3" w:rsidRPr="005C1422">
        <w:rPr>
          <w:lang w:val="en-CA"/>
        </w:rPr>
        <w:t xml:space="preserve"> </w:t>
      </w:r>
      <w:r w:rsidRPr="005C1422">
        <w:rPr>
          <w:lang w:val="en-CA"/>
        </w:rPr>
        <w:t>Getz dubs this older school of thought on the Black Death, the “romantic or… gothic” camp.</w:t>
      </w:r>
      <w:r w:rsidRPr="005C1422">
        <w:rPr>
          <w:rStyle w:val="FootnoteReference"/>
          <w:lang w:val="en-CA"/>
        </w:rPr>
        <w:footnoteReference w:id="24"/>
      </w:r>
      <w:r w:rsidRPr="005C1422">
        <w:rPr>
          <w:lang w:val="en-CA"/>
        </w:rPr>
        <w:t xml:space="preserve">  This line of scholarly historiographical thought on the cultural impact of the Black Death comes into contrast with a newer brand of historiographical a</w:t>
      </w:r>
      <w:r w:rsidR="006153D3" w:rsidRPr="005C1422">
        <w:rPr>
          <w:lang w:val="en-CA"/>
        </w:rPr>
        <w:t>uthors that arose in the 1960s.</w:t>
      </w:r>
      <w:r w:rsidRPr="005C1422">
        <w:rPr>
          <w:lang w:val="en-CA"/>
        </w:rPr>
        <w:t xml:space="preserve"> These scholars instead, “rather than being impressed by the apocalyptic accounts of medieval plague chroniclers, these historians, using for the most part municipal records, see in the Black Death evidence for the enduring nature of medieval social and intellectual institutions.”</w:t>
      </w:r>
      <w:r w:rsidRPr="005C1422">
        <w:rPr>
          <w:rStyle w:val="FootnoteReference"/>
          <w:lang w:val="en-CA"/>
        </w:rPr>
        <w:footnoteReference w:id="25"/>
      </w:r>
      <w:r w:rsidRPr="005C1422">
        <w:rPr>
          <w:lang w:val="en-CA"/>
        </w:rPr>
        <w:t xml:space="preserve"> Indeed Robert E. Lerner writes that while instances of mass hysteria "there were… people in 1348 or 1349 who went about their business or pleasure in the eye of the storm. They may have given no thought to the end of the world or the events that might precede it and would have waved at the camera had there been one to wave at."</w:t>
      </w:r>
      <w:r w:rsidRPr="005C1422">
        <w:rPr>
          <w:rStyle w:val="FootnoteReference"/>
          <w:lang w:val="en-CA"/>
        </w:rPr>
        <w:footnoteReference w:id="26"/>
      </w:r>
      <w:r w:rsidR="00BF14B2" w:rsidRPr="005C1422">
        <w:rPr>
          <w:lang w:val="en-CA"/>
        </w:rPr>
        <w:t xml:space="preserve"> There arose a</w:t>
      </w:r>
      <w:r w:rsidRPr="005C1422">
        <w:rPr>
          <w:lang w:val="en-CA"/>
        </w:rPr>
        <w:t xml:space="preserve"> new school of thought</w:t>
      </w:r>
      <w:r w:rsidR="00BF14B2" w:rsidRPr="005C1422">
        <w:rPr>
          <w:lang w:val="en-CA"/>
        </w:rPr>
        <w:t>,</w:t>
      </w:r>
      <w:r w:rsidRPr="005C1422">
        <w:rPr>
          <w:lang w:val="en-CA"/>
        </w:rPr>
        <w:t xml:space="preserve"> whom Faye Marie Getz dubs the </w:t>
      </w:r>
      <w:proofErr w:type="spellStart"/>
      <w:r w:rsidRPr="005C1422">
        <w:rPr>
          <w:i/>
          <w:lang w:val="en-CA"/>
        </w:rPr>
        <w:t>annalistes</w:t>
      </w:r>
      <w:proofErr w:type="spellEnd"/>
      <w:r w:rsidR="00BF14B2" w:rsidRPr="005C1422">
        <w:rPr>
          <w:i/>
          <w:lang w:val="en-CA"/>
        </w:rPr>
        <w:t xml:space="preserve">, </w:t>
      </w:r>
      <w:r w:rsidRPr="005C1422">
        <w:rPr>
          <w:lang w:val="en-CA"/>
        </w:rPr>
        <w:t xml:space="preserve">and it is this group which “find in the </w:t>
      </w:r>
      <w:r w:rsidRPr="005C1422">
        <w:rPr>
          <w:lang w:val="en-CA"/>
        </w:rPr>
        <w:lastRenderedPageBreak/>
        <w:t>plague continuity, the ordinary, gradual change, and the collective experience of large groups of everyday people simply getting on with their lives.”</w:t>
      </w:r>
      <w:r w:rsidRPr="005C1422">
        <w:rPr>
          <w:rStyle w:val="FootnoteReference"/>
          <w:lang w:val="en-CA"/>
        </w:rPr>
        <w:footnoteReference w:id="27"/>
      </w:r>
    </w:p>
    <w:p w14:paraId="62F0D32D" w14:textId="77777777" w:rsidR="002A0EF9" w:rsidRPr="005C1422" w:rsidRDefault="00634DB3" w:rsidP="005C3992">
      <w:pPr>
        <w:spacing w:line="480" w:lineRule="auto"/>
        <w:ind w:firstLine="720"/>
        <w:rPr>
          <w:lang w:val="en-CA"/>
        </w:rPr>
      </w:pPr>
      <w:r w:rsidRPr="005C1422">
        <w:rPr>
          <w:lang w:val="en-CA"/>
        </w:rPr>
        <w:t xml:space="preserve"> It has been noted by scholars that prior to the nineteenth century that there was relatively little discussion of the cultural impact of the Black Death. “Discussions of the meaning and impact of the medieval plague are rare in learned sources after 1500 and before the nineteenth century. Enlightenment thinkers attached little importance to the fourteenth-centur</w:t>
      </w:r>
      <w:r w:rsidR="00791186" w:rsidRPr="005C1422">
        <w:rPr>
          <w:lang w:val="en-CA"/>
        </w:rPr>
        <w:t>y plague.</w:t>
      </w:r>
      <w:r w:rsidRPr="005C1422">
        <w:rPr>
          <w:lang w:val="en-CA"/>
        </w:rPr>
        <w:t>” Getz goes on to write that “A turning point for Black Death scholarship came, however, with the great cholera epidemic of the early 1830s, and was accompanied by the rise of epidemiology in Germany.</w:t>
      </w:r>
      <w:r w:rsidR="00BD7FE9" w:rsidRPr="005C1422">
        <w:rPr>
          <w:lang w:val="en-CA"/>
        </w:rPr>
        <w:t>”</w:t>
      </w:r>
      <w:r w:rsidR="00BD7FE9" w:rsidRPr="005C1422">
        <w:rPr>
          <w:rStyle w:val="FootnoteReference"/>
          <w:lang w:val="en-CA"/>
        </w:rPr>
        <w:footnoteReference w:id="28"/>
      </w:r>
      <w:r w:rsidRPr="005C1422">
        <w:rPr>
          <w:lang w:val="en-CA"/>
        </w:rPr>
        <w:t xml:space="preserve"> Getz names John Hecker and his book </w:t>
      </w:r>
      <w:r w:rsidRPr="005C1422">
        <w:rPr>
          <w:i/>
          <w:lang w:val="en-CA"/>
        </w:rPr>
        <w:t xml:space="preserve">Der </w:t>
      </w:r>
      <w:proofErr w:type="spellStart"/>
      <w:r w:rsidRPr="005C1422">
        <w:rPr>
          <w:i/>
          <w:lang w:val="en-CA"/>
        </w:rPr>
        <w:t>Schwarze</w:t>
      </w:r>
      <w:proofErr w:type="spellEnd"/>
      <w:r w:rsidRPr="005C1422">
        <w:rPr>
          <w:i/>
          <w:lang w:val="en-CA"/>
        </w:rPr>
        <w:t xml:space="preserve"> Tod </w:t>
      </w:r>
      <w:proofErr w:type="spellStart"/>
      <w:r w:rsidRPr="005C1422">
        <w:rPr>
          <w:i/>
          <w:lang w:val="en-CA"/>
        </w:rPr>
        <w:t>im</w:t>
      </w:r>
      <w:proofErr w:type="spellEnd"/>
      <w:r w:rsidRPr="005C1422">
        <w:rPr>
          <w:i/>
          <w:lang w:val="en-CA"/>
        </w:rPr>
        <w:t xml:space="preserve"> </w:t>
      </w:r>
      <w:proofErr w:type="spellStart"/>
      <w:r w:rsidRPr="005C1422">
        <w:rPr>
          <w:i/>
          <w:lang w:val="en-CA"/>
        </w:rPr>
        <w:t>viersehnten</w:t>
      </w:r>
      <w:proofErr w:type="spellEnd"/>
      <w:r w:rsidRPr="005C1422">
        <w:rPr>
          <w:i/>
          <w:lang w:val="en-CA"/>
        </w:rPr>
        <w:t xml:space="preserve"> </w:t>
      </w:r>
      <w:proofErr w:type="spellStart"/>
      <w:r w:rsidRPr="005C1422">
        <w:rPr>
          <w:i/>
          <w:lang w:val="en-CA"/>
        </w:rPr>
        <w:t>Jahrhundert</w:t>
      </w:r>
      <w:proofErr w:type="spellEnd"/>
      <w:r w:rsidR="00791186" w:rsidRPr="005C1422">
        <w:rPr>
          <w:lang w:val="en-CA"/>
        </w:rPr>
        <w:t xml:space="preserve"> (the Black D</w:t>
      </w:r>
      <w:r w:rsidRPr="005C1422">
        <w:rPr>
          <w:lang w:val="en-CA"/>
        </w:rPr>
        <w:t>eath in the fourteenth century), published in 1832 with sparking our obsession with the Black Death.</w:t>
      </w:r>
      <w:r w:rsidRPr="005C1422">
        <w:rPr>
          <w:rStyle w:val="FootnoteReference"/>
          <w:lang w:val="en-CA"/>
        </w:rPr>
        <w:footnoteReference w:id="29"/>
      </w:r>
      <w:r w:rsidR="0065538B" w:rsidRPr="005C1422">
        <w:rPr>
          <w:lang w:val="en-CA"/>
        </w:rPr>
        <w:t xml:space="preserve"> Getz writes that “</w:t>
      </w:r>
      <w:r w:rsidRPr="005C1422">
        <w:rPr>
          <w:lang w:val="en-CA"/>
        </w:rPr>
        <w:t>Hecker’s heroic narrative was worthy of a painting by Turner or a symphony by Beethoven… Hecker’s contribution to the history of epidemiology went beyond the Romantic notion that the synthesis of science and history should ultimately take place; he also gave to the medieval plague the legacy it retains even today by defining the Black Death’s social impact.”</w:t>
      </w:r>
      <w:r w:rsidR="00BD7FE9" w:rsidRPr="005C1422">
        <w:rPr>
          <w:rStyle w:val="FootnoteReference"/>
          <w:lang w:val="en-CA"/>
        </w:rPr>
        <w:footnoteReference w:id="30"/>
      </w:r>
      <w:r w:rsidRPr="005C1422">
        <w:rPr>
          <w:lang w:val="en-CA"/>
        </w:rPr>
        <w:t xml:space="preserve"> It is Hecker who first comments on the persecution of the Jews as victims of plague hysteria, and comments on the processions of the flagellants, he also gives the popular notion that “the Black Death was the ultimate conqueror.”</w:t>
      </w:r>
      <w:r w:rsidR="00BD7FE9" w:rsidRPr="005C1422">
        <w:rPr>
          <w:rStyle w:val="FootnoteReference"/>
          <w:lang w:val="en-CA"/>
        </w:rPr>
        <w:footnoteReference w:id="31"/>
      </w:r>
      <w:r w:rsidRPr="005C1422">
        <w:rPr>
          <w:lang w:val="en-CA"/>
        </w:rPr>
        <w:t xml:space="preserve"> However, his three greatest contributions were the ideas that, </w:t>
      </w:r>
    </w:p>
    <w:p w14:paraId="6BA511B9" w14:textId="77777777" w:rsidR="002A0EF9" w:rsidRPr="005C1422" w:rsidRDefault="00634DB3" w:rsidP="002A0EF9">
      <w:pPr>
        <w:spacing w:line="480" w:lineRule="auto"/>
        <w:ind w:left="567" w:right="713"/>
        <w:rPr>
          <w:lang w:val="en-CA"/>
        </w:rPr>
      </w:pPr>
      <w:r w:rsidRPr="005C1422">
        <w:rPr>
          <w:lang w:val="en-CA"/>
        </w:rPr>
        <w:lastRenderedPageBreak/>
        <w:t xml:space="preserve">"the fourteenth-century plague marked the beginning of a new age, a break with a decadent past and the ushering in of a more vigorous time. The second is the concept of the Black Death as a natural phenomenon somehow beyond human comprehension: terrible seductive and marvelous… </w:t>
      </w:r>
      <w:r w:rsidR="00C77CE3" w:rsidRPr="005C1422">
        <w:rPr>
          <w:lang w:val="en-CA"/>
        </w:rPr>
        <w:t>The third is the idea that the Black D</w:t>
      </w:r>
      <w:r w:rsidRPr="005C1422">
        <w:rPr>
          <w:lang w:val="en-CA"/>
        </w:rPr>
        <w:t>eath was, like Charles Dickens’s French Revolution, both the best and worst of times. The Black Death represented a war of opposites, whose result was the Renaissance."</w:t>
      </w:r>
      <w:r w:rsidRPr="005C1422">
        <w:rPr>
          <w:rStyle w:val="FootnoteReference"/>
          <w:lang w:val="en-CA"/>
        </w:rPr>
        <w:footnoteReference w:id="32"/>
      </w:r>
      <w:r w:rsidR="00BD7FE9" w:rsidRPr="005C1422">
        <w:rPr>
          <w:lang w:val="en-CA"/>
        </w:rPr>
        <w:t xml:space="preserve"> </w:t>
      </w:r>
    </w:p>
    <w:p w14:paraId="5D616F49" w14:textId="36A5CAC3" w:rsidR="005E070C" w:rsidRPr="005C1422" w:rsidRDefault="00634DB3" w:rsidP="002A0EF9">
      <w:pPr>
        <w:spacing w:line="480" w:lineRule="auto"/>
        <w:ind w:firstLine="720"/>
        <w:rPr>
          <w:lang w:val="en-CA"/>
        </w:rPr>
      </w:pPr>
      <w:r w:rsidRPr="005C1422">
        <w:rPr>
          <w:lang w:val="en-CA"/>
        </w:rPr>
        <w:t xml:space="preserve">Hecker's writings were met with much acclaim and inspired later writers such as </w:t>
      </w:r>
      <w:proofErr w:type="spellStart"/>
      <w:r w:rsidRPr="005C1422">
        <w:rPr>
          <w:lang w:val="en-CA"/>
        </w:rPr>
        <w:t>Egon</w:t>
      </w:r>
      <w:proofErr w:type="spellEnd"/>
      <w:r w:rsidRPr="005C1422">
        <w:rPr>
          <w:lang w:val="en-CA"/>
        </w:rPr>
        <w:t xml:space="preserve"> </w:t>
      </w:r>
      <w:proofErr w:type="spellStart"/>
      <w:r w:rsidRPr="005C1422">
        <w:rPr>
          <w:lang w:val="en-CA"/>
        </w:rPr>
        <w:t>Friedell</w:t>
      </w:r>
      <w:proofErr w:type="spellEnd"/>
      <w:r w:rsidRPr="005C1422">
        <w:rPr>
          <w:lang w:val="en-CA"/>
        </w:rPr>
        <w:t xml:space="preserve"> who in 1927 posited that “The Black Death was… the crisis of the European soul, and 1348 ‘was the year in which modern man was conceived.”</w:t>
      </w:r>
      <w:r w:rsidRPr="005C1422">
        <w:rPr>
          <w:rStyle w:val="FootnoteReference"/>
          <w:lang w:val="en-CA"/>
        </w:rPr>
        <w:footnoteReference w:id="33"/>
      </w:r>
      <w:r w:rsidRPr="005C1422">
        <w:rPr>
          <w:lang w:val="en-CA"/>
        </w:rPr>
        <w:t xml:space="preserve"> Getz thus dubs the writings o</w:t>
      </w:r>
      <w:r w:rsidR="00C77CE3" w:rsidRPr="005C1422">
        <w:rPr>
          <w:lang w:val="en-CA"/>
        </w:rPr>
        <w:t>f</w:t>
      </w:r>
      <w:r w:rsidRPr="005C1422">
        <w:rPr>
          <w:lang w:val="en-CA"/>
        </w:rPr>
        <w:t xml:space="preserve"> these authors “gothic epidemiology” for “essential elements of what is usually called the gothic sensibility are present in Hecker’s [and others] writings.”</w:t>
      </w:r>
      <w:r w:rsidR="00BD7FE9" w:rsidRPr="005C1422">
        <w:rPr>
          <w:rStyle w:val="FootnoteReference"/>
          <w:lang w:val="en-CA"/>
        </w:rPr>
        <w:footnoteReference w:id="34"/>
      </w:r>
    </w:p>
    <w:p w14:paraId="2B12D6C2" w14:textId="2087B00A" w:rsidR="00A63A18" w:rsidRPr="005C1422" w:rsidRDefault="00634DB3" w:rsidP="00F45E2F">
      <w:pPr>
        <w:spacing w:line="480" w:lineRule="auto"/>
        <w:ind w:firstLine="720"/>
        <w:rPr>
          <w:lang w:val="en-CA"/>
        </w:rPr>
      </w:pPr>
      <w:r w:rsidRPr="005C1422">
        <w:rPr>
          <w:lang w:val="en-CA"/>
        </w:rPr>
        <w:t xml:space="preserve">However, after World War Two scholarship on the Black Death and its impact on culture and society begins to change. More scholars began to focus on less on the immediate impact of the Black Death and instead began to look at the </w:t>
      </w:r>
      <w:r w:rsidRPr="005C1422">
        <w:rPr>
          <w:i/>
          <w:lang w:val="en-CA"/>
        </w:rPr>
        <w:t xml:space="preserve">longue </w:t>
      </w:r>
      <w:proofErr w:type="spellStart"/>
      <w:r w:rsidRPr="005C1422">
        <w:rPr>
          <w:i/>
          <w:lang w:val="en-CA"/>
        </w:rPr>
        <w:t>durée</w:t>
      </w:r>
      <w:proofErr w:type="spellEnd"/>
      <w:r w:rsidRPr="005C1422">
        <w:rPr>
          <w:lang w:val="en-CA"/>
        </w:rPr>
        <w:t xml:space="preserve"> – that is, the resiliency – of medieval institutions, which enabled them to endure repeated crises and indeed to recover from them”</w:t>
      </w:r>
      <w:r w:rsidRPr="005C1422">
        <w:rPr>
          <w:rStyle w:val="FootnoteReference"/>
          <w:lang w:val="en-CA"/>
        </w:rPr>
        <w:footnoteReference w:id="35"/>
      </w:r>
      <w:r w:rsidRPr="005C1422">
        <w:rPr>
          <w:lang w:val="en-CA"/>
        </w:rPr>
        <w:t xml:space="preserve"> Many of these new </w:t>
      </w:r>
      <w:proofErr w:type="gramStart"/>
      <w:r w:rsidRPr="005C1422">
        <w:rPr>
          <w:lang w:val="en-CA"/>
        </w:rPr>
        <w:t>scholars</w:t>
      </w:r>
      <w:proofErr w:type="gramEnd"/>
      <w:r w:rsidRPr="005C1422">
        <w:rPr>
          <w:lang w:val="en-CA"/>
        </w:rPr>
        <w:t xml:space="preserve"> state that the Black Death “aggravated a pre-existing situation; it did not cause profound change. Religious life, rather than assuming bizarre aspects as Hecker had suggested, continued on as before. The epidemic… attacked individuals and not </w:t>
      </w:r>
      <w:r w:rsidR="00C77CE3" w:rsidRPr="005C1422">
        <w:rPr>
          <w:lang w:val="en-CA"/>
        </w:rPr>
        <w:lastRenderedPageBreak/>
        <w:t>their institutions.”</w:t>
      </w:r>
      <w:r w:rsidR="006153D3" w:rsidRPr="005C1422">
        <w:rPr>
          <w:rStyle w:val="FootnoteReference"/>
          <w:lang w:val="en-CA"/>
        </w:rPr>
        <w:footnoteReference w:id="36"/>
      </w:r>
      <w:r w:rsidR="00C77CE3" w:rsidRPr="005C1422">
        <w:rPr>
          <w:lang w:val="en-CA"/>
        </w:rPr>
        <w:t xml:space="preserve"> The Black D</w:t>
      </w:r>
      <w:r w:rsidRPr="005C1422">
        <w:rPr>
          <w:lang w:val="en-CA"/>
        </w:rPr>
        <w:t xml:space="preserve">eath did not bring to an end the power of the Church, nor did it due away with the feudal nobility or break people’s faith in Christianity, it may have put great stress upon these institutions but they managed to survive long after the initial onslaught of the Black </w:t>
      </w:r>
      <w:r w:rsidR="006153D3" w:rsidRPr="005C1422">
        <w:rPr>
          <w:lang w:val="en-CA"/>
        </w:rPr>
        <w:t>Death. It has been noted that many give the</w:t>
      </w:r>
      <w:r w:rsidRPr="005C1422">
        <w:rPr>
          <w:lang w:val="en-CA"/>
        </w:rPr>
        <w:t xml:space="preserve"> event too much emphasis in terms of its lasting impact, especially one which lasted only a few short years. Elisabeth Carpenter states that the Black Death was simply "one catastrophe amid others, one that lasted only about six months in any given place. What are six months to the story of a century?</w:t>
      </w:r>
      <w:r w:rsidR="00A63A18" w:rsidRPr="005C1422">
        <w:rPr>
          <w:lang w:val="en-CA"/>
        </w:rPr>
        <w:t>”</w:t>
      </w:r>
      <w:r w:rsidR="002A0EF9" w:rsidRPr="005C1422">
        <w:rPr>
          <w:rStyle w:val="FootnoteReference"/>
          <w:lang w:val="en-CA"/>
        </w:rPr>
        <w:footnoteReference w:id="37"/>
      </w:r>
      <w:r w:rsidR="00A63A18" w:rsidRPr="005C1422">
        <w:rPr>
          <w:lang w:val="en-CA"/>
        </w:rPr>
        <w:t xml:space="preserve"> </w:t>
      </w:r>
    </w:p>
    <w:p w14:paraId="529F7573" w14:textId="199C2255" w:rsidR="001934BC" w:rsidRPr="005C1422" w:rsidRDefault="00A63A18" w:rsidP="00F45E2F">
      <w:pPr>
        <w:spacing w:line="480" w:lineRule="auto"/>
        <w:ind w:firstLine="720"/>
        <w:rPr>
          <w:lang w:val="en-CA"/>
        </w:rPr>
      </w:pPr>
      <w:r w:rsidRPr="005C1422">
        <w:rPr>
          <w:lang w:val="en-CA"/>
        </w:rPr>
        <w:t>Perhaps one of the greatest examples of cultural chang</w:t>
      </w:r>
      <w:r w:rsidR="006153D3" w:rsidRPr="005C1422">
        <w:rPr>
          <w:lang w:val="en-CA"/>
        </w:rPr>
        <w:t>e due to the Black Death was</w:t>
      </w:r>
      <w:r w:rsidRPr="005C1422">
        <w:rPr>
          <w:lang w:val="en-CA"/>
        </w:rPr>
        <w:t xml:space="preserve"> that with so many dead those who came afterwards shared a greater freedom and wealth when compared to those who came before them</w:t>
      </w:r>
      <w:r w:rsidR="0013102A" w:rsidRPr="005C1422">
        <w:rPr>
          <w:lang w:val="en-CA"/>
        </w:rPr>
        <w:t xml:space="preserve"> a</w:t>
      </w:r>
      <w:r w:rsidR="006153D3" w:rsidRPr="005C1422">
        <w:rPr>
          <w:lang w:val="en-CA"/>
        </w:rPr>
        <w:t>nd that the</w:t>
      </w:r>
      <w:r w:rsidR="0013102A" w:rsidRPr="005C1422">
        <w:rPr>
          <w:lang w:val="en-CA"/>
        </w:rPr>
        <w:t xml:space="preserve"> kickback from the nobility to reign in this </w:t>
      </w:r>
      <w:r w:rsidR="00C77CE3" w:rsidRPr="005C1422">
        <w:rPr>
          <w:lang w:val="en-CA"/>
        </w:rPr>
        <w:t>wealth</w:t>
      </w:r>
      <w:r w:rsidR="0013102A" w:rsidRPr="005C1422">
        <w:rPr>
          <w:lang w:val="en-CA"/>
        </w:rPr>
        <w:t xml:space="preserve"> lead to the Peasants revolt of 1381</w:t>
      </w:r>
      <w:r w:rsidR="006153D3" w:rsidRPr="005C1422">
        <w:rPr>
          <w:lang w:val="en-CA"/>
        </w:rPr>
        <w:t>.</w:t>
      </w:r>
      <w:r w:rsidR="00A07021" w:rsidRPr="005C1422">
        <w:rPr>
          <w:lang w:val="en-CA"/>
        </w:rPr>
        <w:t xml:space="preserve"> Helen Robbins states that “The immediate effects of the Black Death were a tremendous loss of man-power and a drop in price level because of the suddenly g</w:t>
      </w:r>
      <w:r w:rsidR="006153D3" w:rsidRPr="005C1422">
        <w:rPr>
          <w:lang w:val="en-CA"/>
        </w:rPr>
        <w:t>lutted markets…</w:t>
      </w:r>
      <w:r w:rsidR="00A07021" w:rsidRPr="005C1422">
        <w:rPr>
          <w:lang w:val="en-CA"/>
        </w:rPr>
        <w:t>luxuries of all kinds fell within the purchasing power of the poor, and there followed a wild orgy of expenditure and debauchery.”</w:t>
      </w:r>
      <w:r w:rsidR="005E6EBE" w:rsidRPr="005C1422">
        <w:rPr>
          <w:rStyle w:val="FootnoteReference"/>
          <w:lang w:val="en-CA"/>
        </w:rPr>
        <w:footnoteReference w:id="38"/>
      </w:r>
      <w:r w:rsidR="0067158B" w:rsidRPr="005C1422">
        <w:rPr>
          <w:lang w:val="en-CA"/>
        </w:rPr>
        <w:t xml:space="preserve"> Ziegler writes that, “The immediate effects of the Plague… was to double the wages of labour; in some districts to raise the rate even beyond this.”</w:t>
      </w:r>
      <w:r w:rsidR="0067158B" w:rsidRPr="005C1422">
        <w:rPr>
          <w:rStyle w:val="FootnoteReference"/>
          <w:lang w:val="en-CA"/>
        </w:rPr>
        <w:footnoteReference w:id="39"/>
      </w:r>
      <w:r w:rsidR="00A07021" w:rsidRPr="005C1422">
        <w:rPr>
          <w:lang w:val="en-CA"/>
        </w:rPr>
        <w:t xml:space="preserve"> However this trend was to be short lived in many places there was institutional kickback on the part of the nobility to try and bring the economy back to pre-plague levels. “those who survived found themselves personally richer than before; but other factors had </w:t>
      </w:r>
      <w:r w:rsidR="00A07021" w:rsidRPr="005C1422">
        <w:rPr>
          <w:lang w:val="en-CA"/>
        </w:rPr>
        <w:lastRenderedPageBreak/>
        <w:t xml:space="preserve">been at work which nullified largely the value of this suddenly </w:t>
      </w:r>
      <w:r w:rsidR="005E6EBE" w:rsidRPr="005C1422">
        <w:rPr>
          <w:lang w:val="en-CA"/>
        </w:rPr>
        <w:t>acquired wealth.”</w:t>
      </w:r>
      <w:r w:rsidR="005E6EBE" w:rsidRPr="005C1422">
        <w:rPr>
          <w:rStyle w:val="FootnoteReference"/>
          <w:lang w:val="en-CA"/>
        </w:rPr>
        <w:footnoteReference w:id="40"/>
      </w:r>
      <w:r w:rsidR="008B106D" w:rsidRPr="005C1422">
        <w:rPr>
          <w:lang w:val="en-CA"/>
        </w:rPr>
        <w:t xml:space="preserve"> </w:t>
      </w:r>
      <w:r w:rsidR="006B4FFF" w:rsidRPr="005C1422">
        <w:rPr>
          <w:lang w:val="en-CA"/>
        </w:rPr>
        <w:t>Indeed it was common for disgruntled peasants to desert their plots in favour of higher pay further afield.</w:t>
      </w:r>
      <w:r w:rsidR="006B4FFF" w:rsidRPr="005C1422">
        <w:rPr>
          <w:rStyle w:val="FootnoteReference"/>
          <w:lang w:val="en-CA"/>
        </w:rPr>
        <w:footnoteReference w:id="41"/>
      </w:r>
      <w:r w:rsidR="006B4FFF" w:rsidRPr="005C1422">
        <w:rPr>
          <w:lang w:val="en-CA"/>
        </w:rPr>
        <w:t xml:space="preserve"> </w:t>
      </w:r>
      <w:r w:rsidR="008B106D" w:rsidRPr="005C1422">
        <w:rPr>
          <w:lang w:val="en-CA"/>
        </w:rPr>
        <w:t xml:space="preserve">Ziegler </w:t>
      </w:r>
      <w:r w:rsidR="006B4FFF" w:rsidRPr="005C1422">
        <w:rPr>
          <w:lang w:val="en-CA"/>
        </w:rPr>
        <w:t>writes</w:t>
      </w:r>
      <w:r w:rsidR="008B106D" w:rsidRPr="005C1422">
        <w:rPr>
          <w:lang w:val="en-CA"/>
        </w:rPr>
        <w:t xml:space="preserve"> that “</w:t>
      </w:r>
      <w:r w:rsidR="006B4FFF" w:rsidRPr="005C1422">
        <w:rPr>
          <w:lang w:val="en-CA"/>
        </w:rPr>
        <w:t>t</w:t>
      </w:r>
      <w:r w:rsidR="00F2246D" w:rsidRPr="005C1422">
        <w:rPr>
          <w:lang w:val="en-CA"/>
        </w:rPr>
        <w:t>he proof that labour was on the move is provided by the energetic efforts which t</w:t>
      </w:r>
      <w:r w:rsidR="006B4FFF" w:rsidRPr="005C1422">
        <w:rPr>
          <w:lang w:val="en-CA"/>
        </w:rPr>
        <w:t>he Government made to check it.”</w:t>
      </w:r>
      <w:r w:rsidR="001E69C3" w:rsidRPr="005C1422">
        <w:rPr>
          <w:rStyle w:val="FootnoteReference"/>
          <w:lang w:val="en-CA"/>
        </w:rPr>
        <w:footnoteReference w:id="42"/>
      </w:r>
      <w:r w:rsidR="006B4FFF" w:rsidRPr="005C1422">
        <w:rPr>
          <w:lang w:val="en-CA"/>
        </w:rPr>
        <w:t xml:space="preserve"> The Ordinance of Labourers of 1349 and the Statute of Laborers in 1351 shows a direct attempt to stop laborers from leaving their posts. </w:t>
      </w:r>
      <w:r w:rsidR="00180E4E" w:rsidRPr="005C1422">
        <w:rPr>
          <w:lang w:val="en-CA"/>
        </w:rPr>
        <w:t xml:space="preserve">“the moment, therefore, was one of great fluidity. In such </w:t>
      </w:r>
      <w:r w:rsidR="0013102A" w:rsidRPr="005C1422">
        <w:rPr>
          <w:lang w:val="en-CA"/>
        </w:rPr>
        <w:t>circumstances,</w:t>
      </w:r>
      <w:r w:rsidR="00180E4E" w:rsidRPr="005C1422">
        <w:rPr>
          <w:lang w:val="en-CA"/>
        </w:rPr>
        <w:t xml:space="preserve"> even a mild contretemps can produce disproportionately sharp reactions.”</w:t>
      </w:r>
      <w:r w:rsidR="001E69C3" w:rsidRPr="005C1422">
        <w:rPr>
          <w:rStyle w:val="FootnoteReference"/>
          <w:lang w:val="en-CA"/>
        </w:rPr>
        <w:footnoteReference w:id="43"/>
      </w:r>
      <w:r w:rsidR="00433623" w:rsidRPr="005C1422">
        <w:rPr>
          <w:lang w:val="en-CA"/>
        </w:rPr>
        <w:t xml:space="preserve"> It has thus been postulated that </w:t>
      </w:r>
      <w:r w:rsidR="0030288B" w:rsidRPr="005C1422">
        <w:rPr>
          <w:lang w:val="en-CA"/>
        </w:rPr>
        <w:t xml:space="preserve">the Black Death had created the environment for the Peasants Revolt </w:t>
      </w:r>
      <w:r w:rsidR="0013102A" w:rsidRPr="005C1422">
        <w:rPr>
          <w:lang w:val="en-CA"/>
        </w:rPr>
        <w:t xml:space="preserve">of 1381. </w:t>
      </w:r>
      <w:r w:rsidR="001E69C3" w:rsidRPr="005C1422">
        <w:rPr>
          <w:lang w:val="en-CA"/>
        </w:rPr>
        <w:t>Ziegler writes that for the long term economic effects of the Black Death that, “almost all the examples cited earlier to illustrate the dramatic effects of the plague can also be used to show how quickly the effects passed… but… they did not pass altogether.”</w:t>
      </w:r>
      <w:r w:rsidR="001E69C3" w:rsidRPr="005C1422">
        <w:rPr>
          <w:rStyle w:val="FootnoteReference"/>
          <w:lang w:val="en-CA"/>
        </w:rPr>
        <w:footnoteReference w:id="44"/>
      </w:r>
      <w:r w:rsidR="001E69C3" w:rsidRPr="005C1422">
        <w:rPr>
          <w:lang w:val="en-CA"/>
        </w:rPr>
        <w:t xml:space="preserve"> Wages in England showed the greatest and most </w:t>
      </w:r>
      <w:r w:rsidR="00224800" w:rsidRPr="005C1422">
        <w:rPr>
          <w:lang w:val="en-CA"/>
        </w:rPr>
        <w:t>long-lasting</w:t>
      </w:r>
      <w:r w:rsidR="001E69C3" w:rsidRPr="005C1422">
        <w:rPr>
          <w:lang w:val="en-CA"/>
        </w:rPr>
        <w:t xml:space="preserve"> advances, whereas the fall in value in agricultural products did not continue. </w:t>
      </w:r>
      <w:r w:rsidR="00224800" w:rsidRPr="005C1422">
        <w:rPr>
          <w:lang w:val="en-CA"/>
        </w:rPr>
        <w:t>However,</w:t>
      </w:r>
      <w:r w:rsidR="009E718C" w:rsidRPr="005C1422">
        <w:rPr>
          <w:lang w:val="en-CA"/>
        </w:rPr>
        <w:t xml:space="preserve"> </w:t>
      </w:r>
      <w:r w:rsidR="00224800" w:rsidRPr="005C1422">
        <w:rPr>
          <w:lang w:val="en-CA"/>
        </w:rPr>
        <w:t>Ziegler rejects the idea the</w:t>
      </w:r>
      <w:r w:rsidR="009E718C" w:rsidRPr="005C1422">
        <w:rPr>
          <w:lang w:val="en-CA"/>
        </w:rPr>
        <w:t xml:space="preserve"> Black Death caused the Peasant </w:t>
      </w:r>
      <w:r w:rsidR="00224800" w:rsidRPr="005C1422">
        <w:rPr>
          <w:lang w:val="en-CA"/>
        </w:rPr>
        <w:t>revolt stating</w:t>
      </w:r>
      <w:r w:rsidR="009E718C" w:rsidRPr="005C1422">
        <w:rPr>
          <w:lang w:val="en-CA"/>
        </w:rPr>
        <w:t xml:space="preserve"> “The classic thesis that it was the reversal of a far-advanced trend towards commutation which provoked resistance </w:t>
      </w:r>
      <w:r w:rsidR="00224800" w:rsidRPr="005C1422">
        <w:rPr>
          <w:lang w:val="en-CA"/>
        </w:rPr>
        <w:t>among</w:t>
      </w:r>
      <w:r w:rsidR="009E718C" w:rsidRPr="005C1422">
        <w:rPr>
          <w:lang w:val="en-CA"/>
        </w:rPr>
        <w:t xml:space="preserve"> the peasants must in part at least be rejected.</w:t>
      </w:r>
      <w:r w:rsidR="006153D3" w:rsidRPr="005C1422">
        <w:rPr>
          <w:lang w:val="en-CA"/>
        </w:rPr>
        <w:t>”</w:t>
      </w:r>
      <w:r w:rsidR="006153D3" w:rsidRPr="005C1422">
        <w:rPr>
          <w:rStyle w:val="FootnoteReference"/>
          <w:lang w:val="en-CA"/>
        </w:rPr>
        <w:footnoteReference w:id="45"/>
      </w:r>
      <w:r w:rsidR="009E718C" w:rsidRPr="005C1422">
        <w:rPr>
          <w:lang w:val="en-CA"/>
        </w:rPr>
        <w:t xml:space="preserve"> Instead he posits that it was “a compound of irritating feudal burdens and the clumsy tax policy of the royal advisers</w:t>
      </w:r>
      <w:r w:rsidR="00224800" w:rsidRPr="005C1422">
        <w:rPr>
          <w:lang w:val="en-CA"/>
        </w:rPr>
        <w:t>…. many</w:t>
      </w:r>
      <w:r w:rsidR="009E718C" w:rsidRPr="005C1422">
        <w:rPr>
          <w:lang w:val="en-CA"/>
        </w:rPr>
        <w:t xml:space="preserve"> of them… were active irritants long before 1348.”</w:t>
      </w:r>
      <w:r w:rsidR="009E718C" w:rsidRPr="005C1422">
        <w:rPr>
          <w:rStyle w:val="FootnoteReference"/>
          <w:lang w:val="en-CA"/>
        </w:rPr>
        <w:footnoteReference w:id="46"/>
      </w:r>
      <w:r w:rsidR="009E718C" w:rsidRPr="005C1422">
        <w:rPr>
          <w:lang w:val="en-CA"/>
        </w:rPr>
        <w:t xml:space="preserve">  Thus while the plague lead to short term increases in </w:t>
      </w:r>
      <w:r w:rsidR="009E718C" w:rsidRPr="005C1422">
        <w:rPr>
          <w:lang w:val="en-CA"/>
        </w:rPr>
        <w:lastRenderedPageBreak/>
        <w:t xml:space="preserve">wealth, the Black Death did not cause the Peasants revolt but it instead exacerbated already existent trends. </w:t>
      </w:r>
    </w:p>
    <w:p w14:paraId="15B7947F" w14:textId="5430D97B" w:rsidR="008E046F" w:rsidRPr="005C1422" w:rsidRDefault="00224800" w:rsidP="00F45E2F">
      <w:pPr>
        <w:spacing w:line="480" w:lineRule="auto"/>
        <w:ind w:firstLine="720"/>
        <w:rPr>
          <w:lang w:val="en-CA"/>
        </w:rPr>
      </w:pPr>
      <w:r w:rsidRPr="005C1422">
        <w:rPr>
          <w:lang w:val="en-CA"/>
        </w:rPr>
        <w:t>In conclusion, t</w:t>
      </w:r>
      <w:r w:rsidR="009E718C" w:rsidRPr="005C1422">
        <w:rPr>
          <w:lang w:val="en-CA"/>
        </w:rPr>
        <w:t xml:space="preserve">he Black Death and its </w:t>
      </w:r>
      <w:r w:rsidR="00C33B9D" w:rsidRPr="005C1422">
        <w:rPr>
          <w:lang w:val="en-CA"/>
        </w:rPr>
        <w:t>short-term</w:t>
      </w:r>
      <w:r w:rsidR="009E718C" w:rsidRPr="005C1422">
        <w:rPr>
          <w:lang w:val="en-CA"/>
        </w:rPr>
        <w:t xml:space="preserve"> aftermath was greatly catastrophic</w:t>
      </w:r>
      <w:r w:rsidR="006F1756" w:rsidRPr="005C1422">
        <w:rPr>
          <w:lang w:val="en-CA"/>
        </w:rPr>
        <w:t>, it killed thousands, ruined</w:t>
      </w:r>
      <w:r w:rsidRPr="005C1422">
        <w:rPr>
          <w:lang w:val="en-CA"/>
        </w:rPr>
        <w:t xml:space="preserve"> lives, left many hopeless</w:t>
      </w:r>
      <w:r w:rsidR="009E718C" w:rsidRPr="005C1422">
        <w:rPr>
          <w:lang w:val="en-CA"/>
        </w:rPr>
        <w:t xml:space="preserve"> </w:t>
      </w:r>
      <w:r w:rsidRPr="005C1422">
        <w:rPr>
          <w:lang w:val="en-CA"/>
        </w:rPr>
        <w:t>and cr</w:t>
      </w:r>
      <w:r w:rsidR="006F1756" w:rsidRPr="005C1422">
        <w:rPr>
          <w:lang w:val="en-CA"/>
        </w:rPr>
        <w:t>eated many</w:t>
      </w:r>
      <w:r w:rsidRPr="005C1422">
        <w:rPr>
          <w:lang w:val="en-CA"/>
        </w:rPr>
        <w:t xml:space="preserve"> economic and social crises. However most of these crises were short lived and did not last long after the initial onslaught of the Black Death. However, some effects lasted longer than others, the Black Death did exasperate many previous trends and </w:t>
      </w:r>
      <w:r w:rsidR="005915CE" w:rsidRPr="005C1422">
        <w:rPr>
          <w:lang w:val="en-CA"/>
        </w:rPr>
        <w:t>it may have planted</w:t>
      </w:r>
      <w:r w:rsidRPr="005C1422">
        <w:rPr>
          <w:lang w:val="en-CA"/>
        </w:rPr>
        <w:t xml:space="preserve"> seeds of later trends, but it was no</w:t>
      </w:r>
      <w:r w:rsidR="00C77CE3" w:rsidRPr="005C1422">
        <w:rPr>
          <w:lang w:val="en-CA"/>
        </w:rPr>
        <w:t>t</w:t>
      </w:r>
      <w:r w:rsidRPr="005C1422">
        <w:rPr>
          <w:lang w:val="en-CA"/>
        </w:rPr>
        <w:t xml:space="preserve"> the direct cause of any great historical event. Scholars still argue whether or not the Black Death was the catalyst of later events such as the Renaissance, the Protestant Revolution and the Peasants Revolt of 1381 but the idea that the Black Death utterly changed Europe and led the way to the modern era is one that is slowly falling by the wayside.  Getz writes that “we no longer share Voltaire’s fixation on the meaning of the Lisbon Earthquake, nor does the huge mortality of the influenza epidemic of 1918 stir writers into sombe</w:t>
      </w:r>
      <w:r w:rsidR="00E6604E" w:rsidRPr="005C1422">
        <w:rPr>
          <w:lang w:val="en-CA"/>
        </w:rPr>
        <w:t>r contemplation of last things.”</w:t>
      </w:r>
      <w:r w:rsidR="00E6604E" w:rsidRPr="005C1422">
        <w:rPr>
          <w:rStyle w:val="FootnoteReference"/>
          <w:lang w:val="en-CA"/>
        </w:rPr>
        <w:footnoteReference w:id="47"/>
      </w:r>
      <w:r w:rsidR="00E6604E" w:rsidRPr="005C1422">
        <w:rPr>
          <w:lang w:val="en-CA"/>
        </w:rPr>
        <w:t xml:space="preserve"> However we continue to obsess over the Black Death and </w:t>
      </w:r>
      <w:r w:rsidR="00901CC2" w:rsidRPr="005C1422">
        <w:rPr>
          <w:lang w:val="en-CA"/>
        </w:rPr>
        <w:t>its apocalyptic themes, however this trend may be changing. Getz leaves us with the phrase “The Black Death retains it’s ‘silver lining’ but even that is changing; from proof of the awesome power of nature to level mankind and transform history, to proof of humanities ability to endure even the worst crisis, to rebuild and to start again.”</w:t>
      </w:r>
      <w:r w:rsidR="00901CC2" w:rsidRPr="005C1422">
        <w:rPr>
          <w:rStyle w:val="FootnoteReference"/>
          <w:lang w:val="en-CA"/>
        </w:rPr>
        <w:footnoteReference w:id="48"/>
      </w:r>
      <w:r w:rsidR="00901CC2" w:rsidRPr="005C1422">
        <w:rPr>
          <w:lang w:val="en-CA"/>
        </w:rPr>
        <w:t xml:space="preserve"> Thus the Black Death’s effects and </w:t>
      </w:r>
      <w:r w:rsidR="00901CC2" w:rsidRPr="005C1422">
        <w:rPr>
          <w:rFonts w:eastAsia="Times New Roman"/>
          <w:color w:val="000000"/>
        </w:rPr>
        <w:t>significance on medieval religion and culture should</w:t>
      </w:r>
      <w:r w:rsidR="00FD4FF7" w:rsidRPr="005C1422">
        <w:rPr>
          <w:rFonts w:eastAsia="Times New Roman"/>
          <w:color w:val="000000"/>
        </w:rPr>
        <w:t xml:space="preserve"> not be seen as a</w:t>
      </w:r>
      <w:r w:rsidR="00901CC2" w:rsidRPr="005C1422">
        <w:rPr>
          <w:rFonts w:eastAsia="Times New Roman"/>
          <w:color w:val="000000"/>
        </w:rPr>
        <w:t xml:space="preserve"> horrific destroyer and progenitor which changed history forever, but as a catastrophe that exacerbated trends already apparent.   </w:t>
      </w:r>
    </w:p>
    <w:p w14:paraId="376A2A0F" w14:textId="2C040821" w:rsidR="00000B0C" w:rsidRPr="005C1422" w:rsidRDefault="00E0767D" w:rsidP="00620D18">
      <w:pPr>
        <w:spacing w:line="480" w:lineRule="auto"/>
        <w:ind w:firstLine="720"/>
        <w:jc w:val="center"/>
        <w:rPr>
          <w:lang w:val="en-CA"/>
        </w:rPr>
      </w:pPr>
      <w:r w:rsidRPr="005C1422">
        <w:rPr>
          <w:lang w:val="en-CA"/>
        </w:rPr>
        <w:lastRenderedPageBreak/>
        <w:t>Bibliography</w:t>
      </w:r>
    </w:p>
    <w:p w14:paraId="3D44AB13" w14:textId="77777777" w:rsidR="0077271A" w:rsidRPr="005C1422" w:rsidRDefault="0077271A" w:rsidP="0077271A">
      <w:pPr>
        <w:spacing w:line="480" w:lineRule="auto"/>
        <w:rPr>
          <w:lang w:val="en-CA"/>
        </w:rPr>
      </w:pPr>
    </w:p>
    <w:p w14:paraId="79FE7B08" w14:textId="601C6C30" w:rsidR="00E0767D" w:rsidRPr="005C1422" w:rsidRDefault="0077271A" w:rsidP="00E0767D">
      <w:pPr>
        <w:pStyle w:val="FootnoteText"/>
        <w:rPr>
          <w:rFonts w:ascii="Times New Roman" w:hAnsi="Times New Roman" w:cs="Times New Roman"/>
          <w:lang w:val="en-CA"/>
        </w:rPr>
      </w:pPr>
      <w:proofErr w:type="spellStart"/>
      <w:r w:rsidRPr="005C1422">
        <w:rPr>
          <w:rFonts w:ascii="Times New Roman" w:hAnsi="Times New Roman" w:cs="Times New Roman"/>
          <w:lang w:val="en-CA"/>
        </w:rPr>
        <w:t>Frankforter</w:t>
      </w:r>
      <w:proofErr w:type="spellEnd"/>
      <w:r w:rsidRPr="005C1422">
        <w:rPr>
          <w:rFonts w:ascii="Times New Roman" w:hAnsi="Times New Roman" w:cs="Times New Roman"/>
          <w:lang w:val="en-CA"/>
        </w:rPr>
        <w:t xml:space="preserve">, </w:t>
      </w:r>
      <w:r w:rsidR="00E0767D" w:rsidRPr="005C1422">
        <w:rPr>
          <w:rFonts w:ascii="Times New Roman" w:hAnsi="Times New Roman" w:cs="Times New Roman"/>
          <w:lang w:val="en-CA"/>
        </w:rPr>
        <w:t>A. Daniel</w:t>
      </w:r>
      <w:r w:rsidRPr="005C1422">
        <w:rPr>
          <w:rFonts w:ascii="Times New Roman" w:hAnsi="Times New Roman" w:cs="Times New Roman"/>
          <w:lang w:val="en-CA"/>
        </w:rPr>
        <w:t>.,</w:t>
      </w:r>
      <w:r w:rsidR="00E0767D" w:rsidRPr="005C1422">
        <w:rPr>
          <w:rFonts w:ascii="Times New Roman" w:hAnsi="Times New Roman" w:cs="Times New Roman"/>
          <w:lang w:val="en-CA"/>
        </w:rPr>
        <w:t xml:space="preserve"> </w:t>
      </w:r>
      <w:r w:rsidR="00E0767D" w:rsidRPr="005C1422">
        <w:rPr>
          <w:rFonts w:ascii="Times New Roman" w:hAnsi="Times New Roman" w:cs="Times New Roman"/>
          <w:i/>
          <w:lang w:val="en-CA"/>
        </w:rPr>
        <w:t xml:space="preserve">The Medieval Millennium: An Introduction </w:t>
      </w:r>
      <w:r w:rsidR="00E0767D" w:rsidRPr="005C1422">
        <w:rPr>
          <w:rFonts w:ascii="Times New Roman" w:hAnsi="Times New Roman" w:cs="Times New Roman"/>
          <w:lang w:val="en-CA"/>
        </w:rPr>
        <w:t>(New Jersey: Up</w:t>
      </w:r>
      <w:r w:rsidRPr="005C1422">
        <w:rPr>
          <w:rFonts w:ascii="Times New Roman" w:hAnsi="Times New Roman" w:cs="Times New Roman"/>
          <w:lang w:val="en-CA"/>
        </w:rPr>
        <w:t xml:space="preserve">per Saddle </w:t>
      </w:r>
      <w:r w:rsidRPr="005C1422">
        <w:rPr>
          <w:rFonts w:ascii="Times New Roman" w:hAnsi="Times New Roman" w:cs="Times New Roman"/>
          <w:lang w:val="en-CA"/>
        </w:rPr>
        <w:tab/>
        <w:t>River, 2003).</w:t>
      </w:r>
    </w:p>
    <w:p w14:paraId="12FA9EAB" w14:textId="77777777" w:rsidR="00E0767D" w:rsidRPr="005C1422" w:rsidRDefault="00E0767D" w:rsidP="00E0767D">
      <w:pPr>
        <w:spacing w:line="480" w:lineRule="auto"/>
        <w:rPr>
          <w:lang w:val="en-CA"/>
        </w:rPr>
      </w:pPr>
    </w:p>
    <w:p w14:paraId="0CE4B6E6" w14:textId="2E67D328" w:rsidR="0077271A" w:rsidRPr="005C1422" w:rsidRDefault="0077271A" w:rsidP="0077271A">
      <w:pPr>
        <w:ind w:left="-142"/>
        <w:rPr>
          <w:lang w:val="en-CA"/>
        </w:rPr>
      </w:pPr>
      <w:r w:rsidRPr="005C1422">
        <w:t xml:space="preserve">Getz, Faye Marie., Black Death and the Silver </w:t>
      </w:r>
      <w:r w:rsidRPr="005C1422">
        <w:rPr>
          <w:lang w:val="en-CA"/>
        </w:rPr>
        <w:t xml:space="preserve">Lining: Meaning, Continuity, and Revolutionary </w:t>
      </w:r>
      <w:r w:rsidRPr="005C1422">
        <w:rPr>
          <w:lang w:val="en-CA"/>
        </w:rPr>
        <w:tab/>
      </w:r>
      <w:r w:rsidRPr="005C1422">
        <w:rPr>
          <w:lang w:val="en-CA"/>
        </w:rPr>
        <w:tab/>
      </w:r>
      <w:r w:rsidRPr="005C1422">
        <w:rPr>
          <w:lang w:val="en-CA"/>
        </w:rPr>
        <w:tab/>
        <w:t xml:space="preserve">Change in Histories of Medieval Plague, </w:t>
      </w:r>
      <w:r w:rsidRPr="005C1422">
        <w:rPr>
          <w:i/>
          <w:lang w:val="en-CA"/>
        </w:rPr>
        <w:t>Journal of the History of Biology</w:t>
      </w:r>
      <w:r w:rsidRPr="005C1422">
        <w:rPr>
          <w:lang w:val="en-CA"/>
        </w:rPr>
        <w:t>, 24, 2, (1991)</w:t>
      </w:r>
      <w:r w:rsidRPr="005C1422">
        <w:rPr>
          <w:lang w:val="en-CA"/>
        </w:rPr>
        <w:tab/>
      </w:r>
      <w:r w:rsidRPr="005C1422">
        <w:rPr>
          <w:lang w:val="en-CA"/>
        </w:rPr>
        <w:tab/>
      </w:r>
      <w:r w:rsidRPr="005C1422">
        <w:rPr>
          <w:lang w:val="en-CA"/>
        </w:rPr>
        <w:tab/>
        <w:t xml:space="preserve"> pp. 265-289.</w:t>
      </w:r>
    </w:p>
    <w:p w14:paraId="1E6FC863" w14:textId="77777777" w:rsidR="0077271A" w:rsidRPr="005C1422" w:rsidRDefault="0077271A" w:rsidP="0077271A">
      <w:pPr>
        <w:rPr>
          <w:lang w:val="en-CA"/>
        </w:rPr>
      </w:pPr>
    </w:p>
    <w:p w14:paraId="5C717090" w14:textId="3D6F524B" w:rsidR="00E0767D" w:rsidRPr="005C1422" w:rsidRDefault="0077271A" w:rsidP="00E0767D">
      <w:pPr>
        <w:pStyle w:val="p1"/>
        <w:rPr>
          <w:rFonts w:ascii="Times New Roman" w:hAnsi="Times New Roman"/>
          <w:sz w:val="24"/>
          <w:szCs w:val="24"/>
        </w:rPr>
      </w:pPr>
      <w:r w:rsidRPr="005C1422">
        <w:rPr>
          <w:rFonts w:ascii="Times New Roman" w:hAnsi="Times New Roman"/>
          <w:sz w:val="24"/>
          <w:szCs w:val="24"/>
        </w:rPr>
        <w:t xml:space="preserve">Gottfried, </w:t>
      </w:r>
      <w:r w:rsidR="00E0767D" w:rsidRPr="005C1422">
        <w:rPr>
          <w:rFonts w:ascii="Times New Roman" w:hAnsi="Times New Roman"/>
          <w:sz w:val="24"/>
          <w:szCs w:val="24"/>
        </w:rPr>
        <w:t xml:space="preserve">Robert S., </w:t>
      </w:r>
      <w:r w:rsidR="00E0767D" w:rsidRPr="005C1422">
        <w:rPr>
          <w:rFonts w:ascii="Times New Roman" w:hAnsi="Times New Roman"/>
          <w:i/>
          <w:sz w:val="24"/>
          <w:szCs w:val="24"/>
        </w:rPr>
        <w:t>The Black Death: Natural and Human Disaster in Medieval Eur</w:t>
      </w:r>
      <w:r w:rsidR="00E0767D" w:rsidRPr="005C1422">
        <w:rPr>
          <w:rFonts w:ascii="Times New Roman" w:hAnsi="Times New Roman"/>
          <w:sz w:val="24"/>
          <w:szCs w:val="24"/>
        </w:rPr>
        <w:t>ope.</w:t>
      </w:r>
      <w:r w:rsidRPr="005C1422">
        <w:rPr>
          <w:rFonts w:ascii="Times New Roman" w:hAnsi="Times New Roman"/>
          <w:sz w:val="24"/>
          <w:szCs w:val="24"/>
        </w:rPr>
        <w:tab/>
      </w:r>
      <w:r w:rsidRPr="005C1422">
        <w:rPr>
          <w:rFonts w:ascii="Times New Roman" w:hAnsi="Times New Roman"/>
          <w:sz w:val="24"/>
          <w:szCs w:val="24"/>
        </w:rPr>
        <w:tab/>
      </w:r>
    </w:p>
    <w:p w14:paraId="06F81A8F" w14:textId="78804A93" w:rsidR="00E0767D" w:rsidRPr="005C1422" w:rsidRDefault="00E0767D" w:rsidP="0077271A">
      <w:pPr>
        <w:pStyle w:val="FootnoteText"/>
        <w:ind w:firstLine="720"/>
        <w:rPr>
          <w:rFonts w:ascii="Times New Roman" w:hAnsi="Times New Roman" w:cs="Times New Roman"/>
          <w:lang w:val="en-CA"/>
        </w:rPr>
      </w:pPr>
      <w:r w:rsidRPr="005C1422">
        <w:rPr>
          <w:rFonts w:ascii="Times New Roman" w:hAnsi="Times New Roman" w:cs="Times New Roman"/>
        </w:rPr>
        <w:t>(N</w:t>
      </w:r>
      <w:r w:rsidR="0077271A" w:rsidRPr="005C1422">
        <w:rPr>
          <w:rFonts w:ascii="Times New Roman" w:hAnsi="Times New Roman" w:cs="Times New Roman"/>
        </w:rPr>
        <w:t>ew York: Free Press, 1983).</w:t>
      </w:r>
    </w:p>
    <w:p w14:paraId="55324B7D" w14:textId="77777777" w:rsidR="0077271A" w:rsidRPr="005C1422" w:rsidRDefault="0077271A" w:rsidP="00E0767D">
      <w:pPr>
        <w:spacing w:line="480" w:lineRule="auto"/>
        <w:rPr>
          <w:lang w:val="en-CA"/>
        </w:rPr>
      </w:pPr>
    </w:p>
    <w:p w14:paraId="606A40B4" w14:textId="72B4CD73" w:rsidR="00E0767D" w:rsidRPr="005C1422" w:rsidRDefault="0077271A" w:rsidP="0077271A">
      <w:pPr>
        <w:rPr>
          <w:lang w:val="en-CA"/>
        </w:rPr>
      </w:pPr>
      <w:r w:rsidRPr="005C1422">
        <w:rPr>
          <w:lang w:val="en-CA"/>
        </w:rPr>
        <w:t xml:space="preserve">Platt, </w:t>
      </w:r>
      <w:r w:rsidR="00E0767D" w:rsidRPr="005C1422">
        <w:rPr>
          <w:lang w:val="en-CA"/>
        </w:rPr>
        <w:t>Colin</w:t>
      </w:r>
      <w:r w:rsidRPr="005C1422">
        <w:rPr>
          <w:lang w:val="en-CA"/>
        </w:rPr>
        <w:t>.,</w:t>
      </w:r>
      <w:r w:rsidR="00E0767D" w:rsidRPr="005C1422">
        <w:rPr>
          <w:lang w:val="en-CA"/>
        </w:rPr>
        <w:t xml:space="preserve"> </w:t>
      </w:r>
      <w:r w:rsidR="00E0767D" w:rsidRPr="005C1422">
        <w:rPr>
          <w:i/>
          <w:lang w:val="en-CA"/>
        </w:rPr>
        <w:t>King Death: The Black Death and its Aftermath in Late Medieval England</w:t>
      </w:r>
      <w:r w:rsidRPr="005C1422">
        <w:rPr>
          <w:i/>
          <w:lang w:val="en-CA"/>
        </w:rPr>
        <w:tab/>
      </w:r>
      <w:r w:rsidRPr="005C1422">
        <w:rPr>
          <w:i/>
          <w:lang w:val="en-CA"/>
        </w:rPr>
        <w:tab/>
      </w:r>
      <w:r w:rsidRPr="005C1422">
        <w:rPr>
          <w:i/>
          <w:lang w:val="en-CA"/>
        </w:rPr>
        <w:tab/>
      </w:r>
      <w:r w:rsidRPr="005C1422">
        <w:rPr>
          <w:lang w:val="en-CA"/>
        </w:rPr>
        <w:t xml:space="preserve"> (London, UCL Press, 1996).</w:t>
      </w:r>
      <w:r w:rsidR="00E0767D" w:rsidRPr="005C1422">
        <w:rPr>
          <w:lang w:val="en-CA"/>
        </w:rPr>
        <w:t xml:space="preserve">   </w:t>
      </w:r>
    </w:p>
    <w:p w14:paraId="1C75450E" w14:textId="77777777" w:rsidR="0077271A" w:rsidRPr="005C1422" w:rsidRDefault="0077271A" w:rsidP="00E0767D">
      <w:pPr>
        <w:spacing w:line="480" w:lineRule="auto"/>
      </w:pPr>
    </w:p>
    <w:p w14:paraId="3814738F" w14:textId="1D3ABC8D" w:rsidR="005E070C" w:rsidRPr="005C1422" w:rsidRDefault="0077271A" w:rsidP="0077271A">
      <w:pPr>
        <w:rPr>
          <w:lang w:val="en-CA"/>
        </w:rPr>
      </w:pPr>
      <w:r w:rsidRPr="005C1422">
        <w:t xml:space="preserve">Robbins, Helen., A Comparison of the Effects of the Black Death on the Economic Organization </w:t>
      </w:r>
      <w:r w:rsidRPr="005C1422">
        <w:tab/>
        <w:t xml:space="preserve">of France and England, </w:t>
      </w:r>
      <w:r w:rsidRPr="005C1422">
        <w:rPr>
          <w:i/>
        </w:rPr>
        <w:t>Journal of Political Economy</w:t>
      </w:r>
      <w:r w:rsidRPr="005C1422">
        <w:t>, 35, 4, (1928) pp. 447-479.</w:t>
      </w:r>
    </w:p>
    <w:p w14:paraId="354ABF48" w14:textId="77777777" w:rsidR="0077271A" w:rsidRPr="005C1422" w:rsidRDefault="0077271A" w:rsidP="00E0767D">
      <w:pPr>
        <w:spacing w:line="480" w:lineRule="auto"/>
        <w:rPr>
          <w:lang w:val="en-CA"/>
        </w:rPr>
      </w:pPr>
    </w:p>
    <w:p w14:paraId="6A83CC3C" w14:textId="539F7FAE" w:rsidR="0077271A" w:rsidRPr="005C1422" w:rsidRDefault="0077271A" w:rsidP="0077271A">
      <w:pPr>
        <w:pStyle w:val="FootnoteText"/>
        <w:rPr>
          <w:rFonts w:ascii="Times New Roman" w:hAnsi="Times New Roman" w:cs="Times New Roman"/>
          <w:lang w:val="en-CA"/>
        </w:rPr>
      </w:pPr>
      <w:proofErr w:type="spellStart"/>
      <w:r w:rsidRPr="005C1422">
        <w:rPr>
          <w:rFonts w:ascii="Times New Roman" w:hAnsi="Times New Roman" w:cs="Times New Roman"/>
          <w:lang w:val="en-CA"/>
        </w:rPr>
        <w:t>Theilmann</w:t>
      </w:r>
      <w:proofErr w:type="spellEnd"/>
      <w:r w:rsidRPr="005C1422">
        <w:rPr>
          <w:rFonts w:ascii="Times New Roman" w:hAnsi="Times New Roman" w:cs="Times New Roman"/>
          <w:lang w:val="en-CA"/>
        </w:rPr>
        <w:t>, John and Cate, Frances., ‘A Plague of Plagues: The Problem of Plague Diagnosis in</w:t>
      </w:r>
      <w:r w:rsidRPr="005C1422">
        <w:rPr>
          <w:rFonts w:ascii="Times New Roman" w:hAnsi="Times New Roman" w:cs="Times New Roman"/>
          <w:lang w:val="en-CA"/>
        </w:rPr>
        <w:tab/>
      </w:r>
      <w:r w:rsidRPr="005C1422">
        <w:rPr>
          <w:rFonts w:ascii="Times New Roman" w:hAnsi="Times New Roman" w:cs="Times New Roman"/>
          <w:lang w:val="en-CA"/>
        </w:rPr>
        <w:tab/>
        <w:t xml:space="preserve"> Medieval England’, </w:t>
      </w:r>
      <w:r w:rsidRPr="005C1422">
        <w:rPr>
          <w:rFonts w:ascii="Times New Roman" w:hAnsi="Times New Roman" w:cs="Times New Roman"/>
          <w:i/>
          <w:lang w:val="en-CA"/>
        </w:rPr>
        <w:t>The Journal of Interdisciplinary History</w:t>
      </w:r>
      <w:r w:rsidRPr="005C1422">
        <w:rPr>
          <w:rFonts w:ascii="Times New Roman" w:hAnsi="Times New Roman" w:cs="Times New Roman"/>
          <w:lang w:val="en-CA"/>
        </w:rPr>
        <w:t xml:space="preserve">, </w:t>
      </w:r>
      <w:proofErr w:type="spellStart"/>
      <w:r w:rsidRPr="005C1422">
        <w:rPr>
          <w:rFonts w:ascii="Times New Roman" w:hAnsi="Times New Roman" w:cs="Times New Roman"/>
          <w:lang w:val="en-CA"/>
        </w:rPr>
        <w:t>vol</w:t>
      </w:r>
      <w:proofErr w:type="spellEnd"/>
      <w:r w:rsidRPr="005C1422">
        <w:rPr>
          <w:rFonts w:ascii="Times New Roman" w:hAnsi="Times New Roman" w:cs="Times New Roman"/>
          <w:lang w:val="en-CA"/>
        </w:rPr>
        <w:t xml:space="preserve"> 37, 3 (2007), 371-393.</w:t>
      </w:r>
    </w:p>
    <w:p w14:paraId="736AFD49" w14:textId="77777777" w:rsidR="0077271A" w:rsidRPr="005C1422" w:rsidRDefault="0077271A" w:rsidP="00E0767D">
      <w:pPr>
        <w:spacing w:line="480" w:lineRule="auto"/>
        <w:rPr>
          <w:lang w:val="en-CA"/>
        </w:rPr>
      </w:pPr>
    </w:p>
    <w:p w14:paraId="19A14A8F" w14:textId="716025CA" w:rsidR="00E0767D" w:rsidRPr="005C1422" w:rsidRDefault="0077271A" w:rsidP="0077271A">
      <w:r w:rsidRPr="005C1422">
        <w:t xml:space="preserve">Vargas, </w:t>
      </w:r>
      <w:r w:rsidR="00E0767D" w:rsidRPr="005C1422">
        <w:t>Michael</w:t>
      </w:r>
      <w:r w:rsidRPr="005C1422">
        <w:t>.,</w:t>
      </w:r>
      <w:r w:rsidR="00E0767D" w:rsidRPr="005C1422">
        <w:t xml:space="preserve"> How a “Brood of Vipers” survived the Black Death: Recovery and </w:t>
      </w:r>
      <w:r w:rsidRPr="005C1422">
        <w:tab/>
      </w:r>
      <w:r w:rsidR="00E0767D" w:rsidRPr="005C1422">
        <w:t xml:space="preserve">Dysfunction in the Fourteenth-Century Dominican Order, </w:t>
      </w:r>
      <w:r w:rsidR="00E0767D" w:rsidRPr="005C1422">
        <w:rPr>
          <w:i/>
        </w:rPr>
        <w:t>Speculum</w:t>
      </w:r>
      <w:r w:rsidR="00E0767D" w:rsidRPr="005C1422">
        <w:t xml:space="preserve">, 86 (2011), </w:t>
      </w:r>
      <w:r w:rsidRPr="005C1422">
        <w:t>688-714</w:t>
      </w:r>
      <w:r w:rsidR="00E0767D" w:rsidRPr="005C1422">
        <w:t>.</w:t>
      </w:r>
    </w:p>
    <w:p w14:paraId="4B228B65" w14:textId="77777777" w:rsidR="0077271A" w:rsidRPr="005C1422" w:rsidRDefault="0077271A" w:rsidP="0077271A">
      <w:pPr>
        <w:spacing w:line="480" w:lineRule="auto"/>
        <w:ind w:firstLine="720"/>
        <w:rPr>
          <w:lang w:val="en-CA"/>
        </w:rPr>
      </w:pPr>
    </w:p>
    <w:p w14:paraId="074A7265" w14:textId="1096BBE9" w:rsidR="0077271A" w:rsidRPr="005C1422" w:rsidRDefault="0077271A" w:rsidP="0077271A">
      <w:r w:rsidRPr="005C1422">
        <w:t xml:space="preserve">Williams, Daniel </w:t>
      </w:r>
      <w:r w:rsidRPr="005C1422">
        <w:rPr>
          <w:i/>
        </w:rPr>
        <w:t>The Black Death: The Impact of the Fourteenth Century Plague</w:t>
      </w:r>
      <w:r w:rsidRPr="005C1422">
        <w:t>. (New York,</w:t>
      </w:r>
      <w:r w:rsidRPr="005C1422">
        <w:tab/>
      </w:r>
      <w:r w:rsidRPr="005C1422">
        <w:tab/>
        <w:t xml:space="preserve"> Library of Congress Catalogue, 1982).</w:t>
      </w:r>
    </w:p>
    <w:p w14:paraId="286730F4" w14:textId="77777777" w:rsidR="00E0767D" w:rsidRPr="005C1422" w:rsidRDefault="00E0767D" w:rsidP="00E0767D">
      <w:pPr>
        <w:spacing w:line="480" w:lineRule="auto"/>
        <w:rPr>
          <w:lang w:val="en-CA"/>
        </w:rPr>
      </w:pPr>
    </w:p>
    <w:p w14:paraId="5BB613C2" w14:textId="7DADE74C" w:rsidR="00E0767D" w:rsidRPr="005C1422" w:rsidRDefault="0077271A" w:rsidP="0077271A">
      <w:pPr>
        <w:rPr>
          <w:lang w:val="en-CA"/>
        </w:rPr>
      </w:pPr>
      <w:r w:rsidRPr="005C1422">
        <w:rPr>
          <w:lang w:val="en-CA"/>
        </w:rPr>
        <w:t xml:space="preserve">Ziegler, </w:t>
      </w:r>
      <w:r w:rsidR="00E0767D" w:rsidRPr="005C1422">
        <w:rPr>
          <w:lang w:val="en-CA"/>
        </w:rPr>
        <w:t>Philip</w:t>
      </w:r>
      <w:r w:rsidRPr="005C1422">
        <w:rPr>
          <w:lang w:val="en-CA"/>
        </w:rPr>
        <w:t>.,</w:t>
      </w:r>
      <w:r w:rsidR="00E0767D" w:rsidRPr="005C1422">
        <w:rPr>
          <w:lang w:val="en-CA"/>
        </w:rPr>
        <w:t xml:space="preserve"> </w:t>
      </w:r>
      <w:r w:rsidR="00E0767D" w:rsidRPr="005C1422">
        <w:rPr>
          <w:i/>
          <w:lang w:val="en-CA"/>
        </w:rPr>
        <w:t>The Black Death, (</w:t>
      </w:r>
      <w:r w:rsidR="00E0767D" w:rsidRPr="005C1422">
        <w:rPr>
          <w:lang w:val="en-CA"/>
        </w:rPr>
        <w:t>United Kingdom: Published by Arrangement with Harper</w:t>
      </w:r>
      <w:r w:rsidR="000D5105" w:rsidRPr="005C1422">
        <w:rPr>
          <w:lang w:val="en-CA"/>
        </w:rPr>
        <w:tab/>
      </w:r>
      <w:r w:rsidR="000D5105" w:rsidRPr="005C1422">
        <w:rPr>
          <w:lang w:val="en-CA"/>
        </w:rPr>
        <w:tab/>
      </w:r>
      <w:r w:rsidR="00E0767D" w:rsidRPr="005C1422">
        <w:rPr>
          <w:lang w:val="en-CA"/>
        </w:rPr>
        <w:t xml:space="preserve"> Collins </w:t>
      </w:r>
      <w:r w:rsidR="00E0767D" w:rsidRPr="005C1422">
        <w:rPr>
          <w:i/>
          <w:lang w:val="en-CA"/>
        </w:rPr>
        <w:t>Publishers</w:t>
      </w:r>
      <w:r w:rsidRPr="005C1422">
        <w:rPr>
          <w:lang w:val="en-CA"/>
        </w:rPr>
        <w:t xml:space="preserve"> Ltd, 1997)</w:t>
      </w:r>
      <w:r w:rsidR="00E0767D" w:rsidRPr="005C1422">
        <w:rPr>
          <w:lang w:val="en-CA"/>
        </w:rPr>
        <w:t>.</w:t>
      </w:r>
    </w:p>
    <w:p w14:paraId="59430934" w14:textId="32040661" w:rsidR="00602C73" w:rsidRPr="005C1422" w:rsidRDefault="00B43113" w:rsidP="000A7AF1">
      <w:pPr>
        <w:spacing w:line="480" w:lineRule="auto"/>
      </w:pPr>
      <w:bookmarkStart w:id="0" w:name="_GoBack"/>
      <w:bookmarkEnd w:id="0"/>
    </w:p>
    <w:sectPr w:rsidR="00602C73" w:rsidRPr="005C1422" w:rsidSect="006418F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BBB8B0" w14:textId="77777777" w:rsidR="00B43113" w:rsidRDefault="00B43113">
      <w:r>
        <w:separator/>
      </w:r>
    </w:p>
  </w:endnote>
  <w:endnote w:type="continuationSeparator" w:id="0">
    <w:p w14:paraId="6BBC1BAE" w14:textId="77777777" w:rsidR="00B43113" w:rsidRDefault="00B43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6C3633" w14:textId="77777777" w:rsidR="00B43113" w:rsidRDefault="00B43113" w:rsidP="004212C4">
      <w:r>
        <w:separator/>
      </w:r>
    </w:p>
  </w:footnote>
  <w:footnote w:type="continuationSeparator" w:id="0">
    <w:p w14:paraId="1545C631" w14:textId="77777777" w:rsidR="00B43113" w:rsidRDefault="00B43113" w:rsidP="004212C4">
      <w:r>
        <w:continuationSeparator/>
      </w:r>
    </w:p>
  </w:footnote>
  <w:footnote w:id="1">
    <w:p w14:paraId="301C6140" w14:textId="77777777" w:rsidR="00AC0EFA" w:rsidRPr="00A63A18" w:rsidRDefault="00634DB3" w:rsidP="00AC0EFA">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lang w:val="en-CA"/>
        </w:rPr>
        <w:t xml:space="preserve"> A. Daniel </w:t>
      </w:r>
      <w:proofErr w:type="spellStart"/>
      <w:r w:rsidRPr="00A63A18">
        <w:rPr>
          <w:rFonts w:ascii="Times New Roman" w:hAnsi="Times New Roman" w:cs="Times New Roman"/>
          <w:lang w:val="en-CA"/>
        </w:rPr>
        <w:t>Frankforter</w:t>
      </w:r>
      <w:proofErr w:type="spellEnd"/>
      <w:r w:rsidRPr="00A63A18">
        <w:rPr>
          <w:rFonts w:ascii="Times New Roman" w:hAnsi="Times New Roman" w:cs="Times New Roman"/>
          <w:lang w:val="en-CA"/>
        </w:rPr>
        <w:t xml:space="preserve">, </w:t>
      </w:r>
      <w:r w:rsidRPr="00A63A18">
        <w:rPr>
          <w:rFonts w:ascii="Times New Roman" w:hAnsi="Times New Roman" w:cs="Times New Roman"/>
          <w:i/>
          <w:lang w:val="en-CA"/>
        </w:rPr>
        <w:t xml:space="preserve">The Medieval Millennium: An Introduction </w:t>
      </w:r>
      <w:r w:rsidRPr="00A63A18">
        <w:rPr>
          <w:rFonts w:ascii="Times New Roman" w:hAnsi="Times New Roman" w:cs="Times New Roman"/>
          <w:lang w:val="en-CA"/>
        </w:rPr>
        <w:t>(New Jersey: Upper Saddle River, 2003), p. 303.</w:t>
      </w:r>
    </w:p>
  </w:footnote>
  <w:footnote w:id="2">
    <w:p w14:paraId="29166C73" w14:textId="77777777" w:rsidR="006B1186" w:rsidRPr="00A63A18" w:rsidRDefault="00634DB3" w:rsidP="006B1186">
      <w:pPr>
        <w:pStyle w:val="p1"/>
        <w:rPr>
          <w:rFonts w:ascii="Times New Roman" w:hAnsi="Times New Roman"/>
          <w:sz w:val="24"/>
          <w:szCs w:val="24"/>
        </w:rPr>
      </w:pPr>
      <w:r w:rsidRPr="00A63A18">
        <w:rPr>
          <w:rStyle w:val="FootnoteReference"/>
          <w:rFonts w:ascii="Times New Roman" w:hAnsi="Times New Roman"/>
        </w:rPr>
        <w:footnoteRef/>
      </w:r>
      <w:r w:rsidRPr="00A63A18">
        <w:rPr>
          <w:rFonts w:ascii="Times New Roman" w:hAnsi="Times New Roman"/>
        </w:rPr>
        <w:t xml:space="preserve"> </w:t>
      </w:r>
      <w:r w:rsidR="006B1186" w:rsidRPr="00A63A18">
        <w:rPr>
          <w:rFonts w:ascii="Times New Roman" w:hAnsi="Times New Roman"/>
          <w:sz w:val="24"/>
          <w:szCs w:val="24"/>
        </w:rPr>
        <w:t xml:space="preserve">Robert S., Gottfried, </w:t>
      </w:r>
      <w:r w:rsidR="006B1186" w:rsidRPr="00A63A18">
        <w:rPr>
          <w:rFonts w:ascii="Times New Roman" w:hAnsi="Times New Roman"/>
          <w:i/>
          <w:sz w:val="24"/>
          <w:szCs w:val="24"/>
        </w:rPr>
        <w:t>The Black Death: Natural and Human Disaster in Medieval Eur</w:t>
      </w:r>
      <w:r w:rsidR="006B1186" w:rsidRPr="00A63A18">
        <w:rPr>
          <w:rFonts w:ascii="Times New Roman" w:hAnsi="Times New Roman"/>
          <w:sz w:val="24"/>
          <w:szCs w:val="24"/>
        </w:rPr>
        <w:t>ope.</w:t>
      </w:r>
    </w:p>
    <w:p w14:paraId="4B49C4AF" w14:textId="1A8C45A5" w:rsidR="004212C4" w:rsidRPr="00A63A18" w:rsidRDefault="006B1186" w:rsidP="006B1186">
      <w:pPr>
        <w:pStyle w:val="FootnoteText"/>
        <w:rPr>
          <w:rFonts w:ascii="Times New Roman" w:hAnsi="Times New Roman" w:cs="Times New Roman"/>
          <w:lang w:val="en-CA"/>
        </w:rPr>
      </w:pPr>
      <w:r>
        <w:rPr>
          <w:rFonts w:ascii="Times New Roman" w:hAnsi="Times New Roman" w:cs="Times New Roman"/>
        </w:rPr>
        <w:t>(New York: Free Press, 1983) xiii.</w:t>
      </w:r>
    </w:p>
  </w:footnote>
  <w:footnote w:id="3">
    <w:p w14:paraId="680B57BF" w14:textId="77777777" w:rsidR="004212C4" w:rsidRPr="00664CAF" w:rsidRDefault="00634DB3" w:rsidP="004212C4">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John </w:t>
      </w:r>
      <w:proofErr w:type="spellStart"/>
      <w:r w:rsidRPr="00A63A18">
        <w:rPr>
          <w:rFonts w:ascii="Times New Roman" w:hAnsi="Times New Roman" w:cs="Times New Roman"/>
          <w:lang w:val="en-CA"/>
        </w:rPr>
        <w:t>Theilmann</w:t>
      </w:r>
      <w:proofErr w:type="spellEnd"/>
      <w:r w:rsidRPr="00A63A18">
        <w:rPr>
          <w:rFonts w:ascii="Times New Roman" w:hAnsi="Times New Roman" w:cs="Times New Roman"/>
          <w:lang w:val="en-CA"/>
        </w:rPr>
        <w:t xml:space="preserve"> and Frances Cate, ‘A Plague of Plagues: The Problem of Plague Diagnosis in Medieval England’, </w:t>
      </w:r>
      <w:r w:rsidRPr="00A63A18">
        <w:rPr>
          <w:rFonts w:ascii="Times New Roman" w:hAnsi="Times New Roman" w:cs="Times New Roman"/>
          <w:i/>
          <w:lang w:val="en-CA"/>
        </w:rPr>
        <w:t>The Journal of Interdisciplinary History</w:t>
      </w:r>
      <w:r w:rsidRPr="00A63A18">
        <w:rPr>
          <w:rFonts w:ascii="Times New Roman" w:hAnsi="Times New Roman" w:cs="Times New Roman"/>
          <w:lang w:val="en-CA"/>
        </w:rPr>
        <w:t xml:space="preserve">, </w:t>
      </w:r>
      <w:proofErr w:type="spellStart"/>
      <w:r w:rsidRPr="00A63A18">
        <w:rPr>
          <w:rFonts w:ascii="Times New Roman" w:hAnsi="Times New Roman" w:cs="Times New Roman"/>
          <w:lang w:val="en-CA"/>
        </w:rPr>
        <w:t>vol</w:t>
      </w:r>
      <w:proofErr w:type="spellEnd"/>
      <w:r w:rsidRPr="00A63A18">
        <w:rPr>
          <w:rFonts w:ascii="Times New Roman" w:hAnsi="Times New Roman" w:cs="Times New Roman"/>
          <w:lang w:val="en-CA"/>
        </w:rPr>
        <w:t xml:space="preserve"> 37, 3 (2007), 371-393 (p.372).</w:t>
      </w:r>
    </w:p>
  </w:footnote>
  <w:footnote w:id="4">
    <w:p w14:paraId="2ABED496" w14:textId="068B4383" w:rsidR="006C4FCD"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Philip Ziegler, </w:t>
      </w:r>
      <w:r w:rsidRPr="00A63A18">
        <w:rPr>
          <w:rFonts w:ascii="Times New Roman" w:hAnsi="Times New Roman" w:cs="Times New Roman"/>
          <w:i/>
          <w:lang w:val="en-CA"/>
        </w:rPr>
        <w:t>The Black Death, (</w:t>
      </w:r>
      <w:r w:rsidRPr="00A63A18">
        <w:rPr>
          <w:rFonts w:ascii="Times New Roman" w:hAnsi="Times New Roman" w:cs="Times New Roman"/>
          <w:lang w:val="en-CA"/>
        </w:rPr>
        <w:t xml:space="preserve">United Kingdom: Published by Arrangement with Harper Collins </w:t>
      </w:r>
      <w:r w:rsidRPr="00A63A18">
        <w:rPr>
          <w:rFonts w:ascii="Times New Roman" w:hAnsi="Times New Roman" w:cs="Times New Roman"/>
          <w:i/>
          <w:lang w:val="en-CA"/>
        </w:rPr>
        <w:t>Publishers</w:t>
      </w:r>
      <w:r w:rsidRPr="00A63A18">
        <w:rPr>
          <w:rFonts w:ascii="Times New Roman" w:hAnsi="Times New Roman" w:cs="Times New Roman"/>
          <w:lang w:val="en-CA"/>
        </w:rPr>
        <w:t xml:space="preserve"> Ltd, 1997), p. 259.</w:t>
      </w:r>
    </w:p>
  </w:footnote>
  <w:footnote w:id="5">
    <w:p w14:paraId="5A7CD83D" w14:textId="77777777" w:rsidR="00F50B72" w:rsidRPr="00A63A18" w:rsidRDefault="00634DB3" w:rsidP="00F50B72">
      <w:pPr>
        <w:pStyle w:val="p1"/>
        <w:rPr>
          <w:rFonts w:ascii="Times New Roman" w:hAnsi="Times New Roman"/>
          <w:sz w:val="24"/>
          <w:szCs w:val="24"/>
        </w:rPr>
      </w:pPr>
      <w:r w:rsidRPr="00A63A18">
        <w:rPr>
          <w:rStyle w:val="FootnoteReference"/>
          <w:rFonts w:ascii="Times New Roman" w:hAnsi="Times New Roman"/>
          <w:sz w:val="24"/>
          <w:szCs w:val="24"/>
        </w:rPr>
        <w:footnoteRef/>
      </w:r>
      <w:r w:rsidRPr="00A63A18">
        <w:rPr>
          <w:rFonts w:ascii="Times New Roman" w:hAnsi="Times New Roman"/>
          <w:sz w:val="24"/>
          <w:szCs w:val="24"/>
        </w:rPr>
        <w:t xml:space="preserve"> Robert S., Gottfried, </w:t>
      </w:r>
      <w:r w:rsidRPr="00A63A18">
        <w:rPr>
          <w:rFonts w:ascii="Times New Roman" w:hAnsi="Times New Roman"/>
          <w:i/>
          <w:sz w:val="24"/>
          <w:szCs w:val="24"/>
        </w:rPr>
        <w:t>The Black Death: Natural and Human Disaster in Medieval Eur</w:t>
      </w:r>
      <w:r w:rsidRPr="00A63A18">
        <w:rPr>
          <w:rFonts w:ascii="Times New Roman" w:hAnsi="Times New Roman"/>
          <w:sz w:val="24"/>
          <w:szCs w:val="24"/>
        </w:rPr>
        <w:t>ope.</w:t>
      </w:r>
    </w:p>
    <w:p w14:paraId="68297E15" w14:textId="028075EE" w:rsidR="001C3144" w:rsidRPr="00A63A18" w:rsidRDefault="00634DB3" w:rsidP="00F50B72">
      <w:pPr>
        <w:pStyle w:val="FootnoteText"/>
        <w:rPr>
          <w:rFonts w:ascii="Times New Roman" w:hAnsi="Times New Roman" w:cs="Times New Roman"/>
          <w:lang w:val="en-CA"/>
        </w:rPr>
      </w:pPr>
      <w:r w:rsidRPr="00A63A18">
        <w:rPr>
          <w:rFonts w:ascii="Times New Roman" w:hAnsi="Times New Roman" w:cs="Times New Roman"/>
        </w:rPr>
        <w:t>(New York: Free Press, 1983), 88.</w:t>
      </w:r>
    </w:p>
  </w:footnote>
  <w:footnote w:id="6">
    <w:p w14:paraId="31A2919E" w14:textId="05B7BCF9" w:rsidR="00CA6FC7"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Colin Platt, </w:t>
      </w:r>
      <w:r w:rsidRPr="009D35E3">
        <w:rPr>
          <w:rFonts w:ascii="Times New Roman" w:hAnsi="Times New Roman" w:cs="Times New Roman"/>
          <w:i/>
          <w:lang w:val="en-CA"/>
        </w:rPr>
        <w:t>King Death: The Black Death and its Aftermath in Late Medieval England</w:t>
      </w:r>
      <w:r w:rsidRPr="00A63A18">
        <w:rPr>
          <w:rFonts w:ascii="Times New Roman" w:hAnsi="Times New Roman" w:cs="Times New Roman"/>
          <w:lang w:val="en-CA"/>
        </w:rPr>
        <w:t xml:space="preserve"> (London, UCL Press, 1996) 97.   </w:t>
      </w:r>
    </w:p>
  </w:footnote>
  <w:footnote w:id="7">
    <w:p w14:paraId="7016750C" w14:textId="20C44BA1" w:rsidR="0041286C" w:rsidRPr="00A63A18" w:rsidRDefault="00634DB3" w:rsidP="0041286C">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Philip Ziegler, </w:t>
      </w:r>
      <w:r w:rsidRPr="00A63A18">
        <w:rPr>
          <w:rFonts w:ascii="Times New Roman" w:hAnsi="Times New Roman" w:cs="Times New Roman"/>
          <w:i/>
          <w:lang w:val="en-CA"/>
        </w:rPr>
        <w:t>The Black Death, (</w:t>
      </w:r>
      <w:r w:rsidRPr="00A63A18">
        <w:rPr>
          <w:rFonts w:ascii="Times New Roman" w:hAnsi="Times New Roman" w:cs="Times New Roman"/>
          <w:lang w:val="en-CA"/>
        </w:rPr>
        <w:t xml:space="preserve">United Kingdom: Published by Arrangement with Harper Collins </w:t>
      </w:r>
      <w:r w:rsidRPr="00A63A18">
        <w:rPr>
          <w:rFonts w:ascii="Times New Roman" w:hAnsi="Times New Roman" w:cs="Times New Roman"/>
          <w:i/>
          <w:lang w:val="en-CA"/>
        </w:rPr>
        <w:t>Publishers</w:t>
      </w:r>
      <w:r w:rsidRPr="00A63A18">
        <w:rPr>
          <w:rFonts w:ascii="Times New Roman" w:hAnsi="Times New Roman" w:cs="Times New Roman"/>
          <w:lang w:val="en-CA"/>
        </w:rPr>
        <w:t xml:space="preserve"> Ltd, 1969), p. 85.</w:t>
      </w:r>
    </w:p>
  </w:footnote>
  <w:footnote w:id="8">
    <w:p w14:paraId="5FD4D616" w14:textId="259629AB" w:rsidR="00C506BC" w:rsidRPr="00A63A18" w:rsidRDefault="00634DB3" w:rsidP="00D27D8D">
      <w:pPr>
        <w:pStyle w:val="p1"/>
        <w:rPr>
          <w:rFonts w:ascii="Times New Roman" w:hAnsi="Times New Roman"/>
          <w:sz w:val="24"/>
          <w:szCs w:val="24"/>
        </w:rPr>
      </w:pPr>
      <w:r w:rsidRPr="00A63A18">
        <w:rPr>
          <w:rStyle w:val="FootnoteReference"/>
          <w:rFonts w:ascii="Times New Roman" w:hAnsi="Times New Roman"/>
          <w:sz w:val="24"/>
          <w:szCs w:val="24"/>
        </w:rPr>
        <w:footnoteRef/>
      </w:r>
      <w:r w:rsidRPr="00A63A18">
        <w:rPr>
          <w:rFonts w:ascii="Times New Roman" w:hAnsi="Times New Roman"/>
          <w:sz w:val="24"/>
          <w:szCs w:val="24"/>
        </w:rPr>
        <w:t xml:space="preserve"> Ibid., 228</w:t>
      </w:r>
    </w:p>
  </w:footnote>
  <w:footnote w:id="9">
    <w:p w14:paraId="35BAC82D" w14:textId="786B322A" w:rsidR="001C3144"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006B1186">
        <w:rPr>
          <w:rFonts w:ascii="Times New Roman" w:hAnsi="Times New Roman" w:cs="Times New Roman"/>
        </w:rPr>
        <w:t xml:space="preserve"> Michael Vargas, </w:t>
      </w:r>
      <w:proofErr w:type="gramStart"/>
      <w:r w:rsidR="006B1186">
        <w:rPr>
          <w:rFonts w:ascii="Times New Roman" w:hAnsi="Times New Roman" w:cs="Times New Roman"/>
        </w:rPr>
        <w:t>How</w:t>
      </w:r>
      <w:proofErr w:type="gramEnd"/>
      <w:r w:rsidR="006B1186">
        <w:rPr>
          <w:rFonts w:ascii="Times New Roman" w:hAnsi="Times New Roman" w:cs="Times New Roman"/>
        </w:rPr>
        <w:t xml:space="preserve"> a “Brood of Vipers” survived the Black Death: Recovery and Dysfunction in the Fourteenth-Century Dominican Order, </w:t>
      </w:r>
      <w:r w:rsidR="006B1186" w:rsidRPr="009D35E3">
        <w:rPr>
          <w:rFonts w:ascii="Times New Roman" w:hAnsi="Times New Roman" w:cs="Times New Roman"/>
          <w:i/>
        </w:rPr>
        <w:t>Speculum</w:t>
      </w:r>
      <w:r w:rsidR="006B1186">
        <w:rPr>
          <w:rFonts w:ascii="Times New Roman" w:hAnsi="Times New Roman" w:cs="Times New Roman"/>
        </w:rPr>
        <w:t xml:space="preserve">, 86 (2011), </w:t>
      </w:r>
      <w:r w:rsidR="009D35E3">
        <w:rPr>
          <w:rFonts w:ascii="Times New Roman" w:hAnsi="Times New Roman" w:cs="Times New Roman"/>
        </w:rPr>
        <w:t>688-714, (p. 690).</w:t>
      </w:r>
    </w:p>
  </w:footnote>
  <w:footnote w:id="10">
    <w:p w14:paraId="5B2FBFA3" w14:textId="165D7831" w:rsidR="00D27D8D"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Philip Ziegler, </w:t>
      </w:r>
      <w:r w:rsidRPr="00A63A18">
        <w:rPr>
          <w:rFonts w:ascii="Times New Roman" w:hAnsi="Times New Roman" w:cs="Times New Roman"/>
          <w:i/>
          <w:lang w:val="en-CA"/>
        </w:rPr>
        <w:t>The Black Death, (</w:t>
      </w:r>
      <w:r w:rsidRPr="00A63A18">
        <w:rPr>
          <w:rFonts w:ascii="Times New Roman" w:hAnsi="Times New Roman" w:cs="Times New Roman"/>
          <w:lang w:val="en-CA"/>
        </w:rPr>
        <w:t xml:space="preserve">United Kingdom: Published by Arrangement with Harper Collins </w:t>
      </w:r>
      <w:r w:rsidRPr="00A63A18">
        <w:rPr>
          <w:rFonts w:ascii="Times New Roman" w:hAnsi="Times New Roman" w:cs="Times New Roman"/>
          <w:i/>
          <w:lang w:val="en-CA"/>
        </w:rPr>
        <w:t>Publishers</w:t>
      </w:r>
      <w:r w:rsidRPr="00A63A18">
        <w:rPr>
          <w:rFonts w:ascii="Times New Roman" w:hAnsi="Times New Roman" w:cs="Times New Roman"/>
          <w:lang w:val="en-CA"/>
        </w:rPr>
        <w:t xml:space="preserve"> Ltd, 1997), p. 262.</w:t>
      </w:r>
    </w:p>
  </w:footnote>
  <w:footnote w:id="11">
    <w:p w14:paraId="4EF67279" w14:textId="31E42B3F" w:rsidR="00593137"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Ibid.</w:t>
      </w:r>
    </w:p>
  </w:footnote>
  <w:footnote w:id="12">
    <w:p w14:paraId="25E59CDA" w14:textId="23D02554" w:rsidR="00791D1E"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Ibid.</w:t>
      </w:r>
    </w:p>
  </w:footnote>
  <w:footnote w:id="13">
    <w:p w14:paraId="799BC0EF" w14:textId="5800FEBB" w:rsidR="00191DFB"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Ibid. 264.</w:t>
      </w:r>
    </w:p>
  </w:footnote>
  <w:footnote w:id="14">
    <w:p w14:paraId="604889A2" w14:textId="53D8E224" w:rsidR="007D29D1"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Ibid.</w:t>
      </w:r>
    </w:p>
  </w:footnote>
  <w:footnote w:id="15">
    <w:p w14:paraId="0809A6CD" w14:textId="77777777" w:rsidR="000516C9" w:rsidRPr="00A63A18" w:rsidRDefault="00634DB3" w:rsidP="000516C9">
      <w:pPr>
        <w:pStyle w:val="p1"/>
        <w:rPr>
          <w:rFonts w:ascii="Times New Roman" w:hAnsi="Times New Roman"/>
          <w:sz w:val="24"/>
          <w:szCs w:val="24"/>
        </w:rPr>
      </w:pPr>
      <w:r w:rsidRPr="00A63A18">
        <w:rPr>
          <w:rStyle w:val="FootnoteReference"/>
          <w:rFonts w:ascii="Times New Roman" w:hAnsi="Times New Roman"/>
          <w:sz w:val="24"/>
          <w:szCs w:val="24"/>
        </w:rPr>
        <w:footnoteRef/>
      </w:r>
      <w:r w:rsidRPr="00A63A18">
        <w:rPr>
          <w:rFonts w:ascii="Times New Roman" w:hAnsi="Times New Roman"/>
          <w:sz w:val="24"/>
          <w:szCs w:val="24"/>
        </w:rPr>
        <w:t xml:space="preserve"> Robert S., Gottfried, </w:t>
      </w:r>
      <w:r w:rsidRPr="00A63A18">
        <w:rPr>
          <w:rFonts w:ascii="Times New Roman" w:hAnsi="Times New Roman"/>
          <w:i/>
          <w:sz w:val="24"/>
          <w:szCs w:val="24"/>
        </w:rPr>
        <w:t>The Black Death: Natural and Human Disaster in Medieval Eur</w:t>
      </w:r>
      <w:r w:rsidRPr="00A63A18">
        <w:rPr>
          <w:rFonts w:ascii="Times New Roman" w:hAnsi="Times New Roman"/>
          <w:sz w:val="24"/>
          <w:szCs w:val="24"/>
        </w:rPr>
        <w:t>ope.</w:t>
      </w:r>
    </w:p>
    <w:p w14:paraId="0BD9B03D" w14:textId="7550A87D" w:rsidR="000516C9" w:rsidRPr="00A63A18" w:rsidRDefault="00634DB3" w:rsidP="000516C9">
      <w:pPr>
        <w:pStyle w:val="FootnoteText"/>
        <w:rPr>
          <w:rFonts w:ascii="Times New Roman" w:hAnsi="Times New Roman" w:cs="Times New Roman"/>
          <w:lang w:val="en-CA"/>
        </w:rPr>
      </w:pPr>
      <w:r w:rsidRPr="00A63A18">
        <w:rPr>
          <w:rFonts w:ascii="Times New Roman" w:hAnsi="Times New Roman" w:cs="Times New Roman"/>
        </w:rPr>
        <w:t>(New York: Free Press, 1983), 88.</w:t>
      </w:r>
    </w:p>
  </w:footnote>
  <w:footnote w:id="16">
    <w:p w14:paraId="5A5DB9EB" w14:textId="7609F9F8" w:rsidR="008B6387" w:rsidRPr="00A63A18" w:rsidRDefault="00634DB3" w:rsidP="002A4423">
      <w:pPr>
        <w:pStyle w:val="p1"/>
        <w:rPr>
          <w:rFonts w:ascii="Times New Roman" w:hAnsi="Times New Roman"/>
          <w:sz w:val="24"/>
          <w:szCs w:val="24"/>
        </w:rPr>
      </w:pPr>
      <w:r w:rsidRPr="00A63A18">
        <w:rPr>
          <w:rStyle w:val="FootnoteReference"/>
          <w:rFonts w:ascii="Times New Roman" w:hAnsi="Times New Roman"/>
          <w:sz w:val="24"/>
          <w:szCs w:val="24"/>
        </w:rPr>
        <w:footnoteRef/>
      </w:r>
      <w:r w:rsidRPr="00A63A18">
        <w:rPr>
          <w:rFonts w:ascii="Times New Roman" w:hAnsi="Times New Roman"/>
          <w:sz w:val="24"/>
          <w:szCs w:val="24"/>
        </w:rPr>
        <w:t xml:space="preserve"> Ibid.</w:t>
      </w:r>
    </w:p>
  </w:footnote>
  <w:footnote w:id="17">
    <w:p w14:paraId="08F4C016" w14:textId="1C19BDC7" w:rsidR="002A4423"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Ibid.</w:t>
      </w:r>
    </w:p>
  </w:footnote>
  <w:footnote w:id="18">
    <w:p w14:paraId="7A52A562" w14:textId="46F62493" w:rsidR="00F45E2F"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Ibid.</w:t>
      </w:r>
    </w:p>
  </w:footnote>
  <w:footnote w:id="19">
    <w:p w14:paraId="4F160B2C" w14:textId="1D2A3794" w:rsidR="002F1011"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Ibid., 84. </w:t>
      </w:r>
    </w:p>
  </w:footnote>
  <w:footnote w:id="20">
    <w:p w14:paraId="0530107E" w14:textId="51955B1F" w:rsidR="001D22F3"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 xml:space="preserve">Philip Ziegler, </w:t>
      </w:r>
      <w:r w:rsidRPr="00A63A18">
        <w:rPr>
          <w:rFonts w:ascii="Times New Roman" w:hAnsi="Times New Roman" w:cs="Times New Roman"/>
          <w:i/>
          <w:lang w:val="en-CA"/>
        </w:rPr>
        <w:t>The Black Death, (</w:t>
      </w:r>
      <w:r w:rsidRPr="00A63A18">
        <w:rPr>
          <w:rFonts w:ascii="Times New Roman" w:hAnsi="Times New Roman" w:cs="Times New Roman"/>
          <w:lang w:val="en-CA"/>
        </w:rPr>
        <w:t xml:space="preserve">United Kingdom: Published by Arrangement with Harper Collins </w:t>
      </w:r>
      <w:r w:rsidRPr="00A63A18">
        <w:rPr>
          <w:rFonts w:ascii="Times New Roman" w:hAnsi="Times New Roman" w:cs="Times New Roman"/>
          <w:i/>
          <w:lang w:val="en-CA"/>
        </w:rPr>
        <w:t>Publishers</w:t>
      </w:r>
      <w:r w:rsidRPr="00A63A18">
        <w:rPr>
          <w:rFonts w:ascii="Times New Roman" w:hAnsi="Times New Roman" w:cs="Times New Roman"/>
          <w:lang w:val="en-CA"/>
        </w:rPr>
        <w:t xml:space="preserve"> Ltd, 1997), p. 211.</w:t>
      </w:r>
    </w:p>
  </w:footnote>
  <w:footnote w:id="21">
    <w:p w14:paraId="1022624C" w14:textId="05937B8A" w:rsidR="006C34EA" w:rsidRPr="0065538B"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009D35E3">
        <w:rPr>
          <w:rFonts w:ascii="Times New Roman" w:hAnsi="Times New Roman" w:cs="Times New Roman"/>
        </w:rPr>
        <w:t xml:space="preserve">Faye Marie Getz, Black Death and the Silver </w:t>
      </w:r>
      <w:r w:rsidR="009D35E3">
        <w:rPr>
          <w:rFonts w:ascii="Times New Roman" w:hAnsi="Times New Roman" w:cs="Times New Roman"/>
          <w:lang w:val="en-CA"/>
        </w:rPr>
        <w:t xml:space="preserve">Lining: Meaning, Continuity, and Revolutionary </w:t>
      </w:r>
      <w:r w:rsidR="009D35E3" w:rsidRPr="0065538B">
        <w:rPr>
          <w:rFonts w:ascii="Times New Roman" w:hAnsi="Times New Roman" w:cs="Times New Roman"/>
          <w:lang w:val="en-CA"/>
        </w:rPr>
        <w:t xml:space="preserve">Change in Histories of Medieval Plague, </w:t>
      </w:r>
      <w:r w:rsidR="009D35E3" w:rsidRPr="00111496">
        <w:rPr>
          <w:rFonts w:ascii="Times New Roman" w:hAnsi="Times New Roman" w:cs="Times New Roman"/>
          <w:i/>
          <w:lang w:val="en-CA"/>
        </w:rPr>
        <w:t>Journal of the History of Biology</w:t>
      </w:r>
      <w:r w:rsidR="009D35E3" w:rsidRPr="0065538B">
        <w:rPr>
          <w:rFonts w:ascii="Times New Roman" w:hAnsi="Times New Roman" w:cs="Times New Roman"/>
          <w:lang w:val="en-CA"/>
        </w:rPr>
        <w:t>, 24, 2, (1991) pp. 265-289, (p 266)</w:t>
      </w:r>
      <w:r w:rsidR="005C3992">
        <w:rPr>
          <w:rFonts w:ascii="Times New Roman" w:hAnsi="Times New Roman" w:cs="Times New Roman"/>
          <w:lang w:val="en-CA"/>
        </w:rPr>
        <w:t>.</w:t>
      </w:r>
      <w:r w:rsidR="009D35E3" w:rsidRPr="0065538B">
        <w:rPr>
          <w:rFonts w:ascii="Times New Roman" w:hAnsi="Times New Roman" w:cs="Times New Roman"/>
          <w:lang w:val="en-CA"/>
        </w:rPr>
        <w:t xml:space="preserve"> </w:t>
      </w:r>
    </w:p>
  </w:footnote>
  <w:footnote w:id="22">
    <w:p w14:paraId="63448D75" w14:textId="1A46473F" w:rsidR="006C34EA" w:rsidRPr="0065538B" w:rsidRDefault="00634DB3">
      <w:pPr>
        <w:pStyle w:val="FootnoteText"/>
        <w:rPr>
          <w:rFonts w:ascii="Times New Roman" w:hAnsi="Times New Roman" w:cs="Times New Roman"/>
          <w:lang w:val="en-CA"/>
        </w:rPr>
      </w:pPr>
      <w:r w:rsidRPr="0065538B">
        <w:rPr>
          <w:rStyle w:val="FootnoteReference"/>
          <w:rFonts w:ascii="Times New Roman" w:hAnsi="Times New Roman" w:cs="Times New Roman"/>
        </w:rPr>
        <w:footnoteRef/>
      </w:r>
      <w:r w:rsidRPr="0065538B">
        <w:rPr>
          <w:rFonts w:ascii="Times New Roman" w:hAnsi="Times New Roman" w:cs="Times New Roman"/>
        </w:rPr>
        <w:t xml:space="preserve"> </w:t>
      </w:r>
      <w:r w:rsidR="0065538B" w:rsidRPr="0065538B">
        <w:rPr>
          <w:rFonts w:ascii="Times New Roman" w:hAnsi="Times New Roman" w:cs="Times New Roman"/>
          <w:lang w:val="en-CA"/>
        </w:rPr>
        <w:t>Ibid.</w:t>
      </w:r>
    </w:p>
  </w:footnote>
  <w:footnote w:id="23">
    <w:p w14:paraId="07692141" w14:textId="3BF647D7" w:rsidR="009D35E3" w:rsidRPr="0065538B" w:rsidRDefault="009D35E3">
      <w:pPr>
        <w:pStyle w:val="FootnoteText"/>
        <w:rPr>
          <w:rFonts w:ascii="Times New Roman" w:hAnsi="Times New Roman" w:cs="Times New Roman"/>
          <w:lang w:val="en-CA"/>
        </w:rPr>
      </w:pPr>
      <w:r w:rsidRPr="0065538B">
        <w:rPr>
          <w:rStyle w:val="FootnoteReference"/>
          <w:rFonts w:ascii="Times New Roman" w:hAnsi="Times New Roman" w:cs="Times New Roman"/>
        </w:rPr>
        <w:footnoteRef/>
      </w:r>
      <w:r w:rsidRPr="0065538B">
        <w:rPr>
          <w:rFonts w:ascii="Times New Roman" w:hAnsi="Times New Roman" w:cs="Times New Roman"/>
        </w:rPr>
        <w:t xml:space="preserve"> </w:t>
      </w:r>
      <w:r w:rsidR="0065538B" w:rsidRPr="0065538B">
        <w:rPr>
          <w:rFonts w:ascii="Times New Roman" w:hAnsi="Times New Roman" w:cs="Times New Roman"/>
        </w:rPr>
        <w:t>Ibid</w:t>
      </w:r>
      <w:r w:rsidR="0065538B">
        <w:rPr>
          <w:rFonts w:ascii="Times New Roman" w:hAnsi="Times New Roman" w:cs="Times New Roman"/>
        </w:rPr>
        <w:t>.</w:t>
      </w:r>
    </w:p>
  </w:footnote>
  <w:footnote w:id="24">
    <w:p w14:paraId="1168C736" w14:textId="03EC5360" w:rsidR="007A0D57" w:rsidRPr="0065538B" w:rsidRDefault="00634DB3">
      <w:pPr>
        <w:pStyle w:val="FootnoteText"/>
        <w:rPr>
          <w:rFonts w:ascii="Times New Roman" w:hAnsi="Times New Roman" w:cs="Times New Roman"/>
          <w:lang w:val="en-CA"/>
        </w:rPr>
      </w:pPr>
      <w:r w:rsidRPr="0065538B">
        <w:rPr>
          <w:rStyle w:val="FootnoteReference"/>
          <w:rFonts w:ascii="Times New Roman" w:hAnsi="Times New Roman" w:cs="Times New Roman"/>
        </w:rPr>
        <w:footnoteRef/>
      </w:r>
      <w:r w:rsidRPr="0065538B">
        <w:rPr>
          <w:rFonts w:ascii="Times New Roman" w:hAnsi="Times New Roman" w:cs="Times New Roman"/>
        </w:rPr>
        <w:t xml:space="preserve"> </w:t>
      </w:r>
      <w:r w:rsidRPr="0065538B">
        <w:rPr>
          <w:rFonts w:ascii="Times New Roman" w:hAnsi="Times New Roman" w:cs="Times New Roman"/>
          <w:lang w:val="en-CA"/>
        </w:rPr>
        <w:t xml:space="preserve">Ibid. </w:t>
      </w:r>
    </w:p>
  </w:footnote>
  <w:footnote w:id="25">
    <w:p w14:paraId="5D57D4C4" w14:textId="3C233B2A" w:rsidR="006C34EA" w:rsidRPr="0065538B" w:rsidRDefault="00634DB3">
      <w:pPr>
        <w:pStyle w:val="FootnoteText"/>
        <w:rPr>
          <w:rFonts w:ascii="Times New Roman" w:hAnsi="Times New Roman" w:cs="Times New Roman"/>
          <w:lang w:val="en-CA"/>
        </w:rPr>
      </w:pPr>
      <w:r w:rsidRPr="0065538B">
        <w:rPr>
          <w:rStyle w:val="FootnoteReference"/>
          <w:rFonts w:ascii="Times New Roman" w:hAnsi="Times New Roman" w:cs="Times New Roman"/>
        </w:rPr>
        <w:footnoteRef/>
      </w:r>
      <w:r w:rsidRPr="0065538B">
        <w:rPr>
          <w:rFonts w:ascii="Times New Roman" w:hAnsi="Times New Roman" w:cs="Times New Roman"/>
        </w:rPr>
        <w:t xml:space="preserve"> </w:t>
      </w:r>
      <w:r w:rsidRPr="0065538B">
        <w:rPr>
          <w:rFonts w:ascii="Times New Roman" w:hAnsi="Times New Roman" w:cs="Times New Roman"/>
          <w:lang w:val="en-CA"/>
        </w:rPr>
        <w:t>Ibid.</w:t>
      </w:r>
    </w:p>
  </w:footnote>
  <w:footnote w:id="26">
    <w:p w14:paraId="67DFCFDB" w14:textId="0FF4125E" w:rsidR="006C34EA" w:rsidRPr="00A63A18" w:rsidRDefault="00634DB3">
      <w:pPr>
        <w:pStyle w:val="FootnoteText"/>
        <w:rPr>
          <w:rFonts w:ascii="Times New Roman" w:hAnsi="Times New Roman" w:cs="Times New Roman"/>
          <w:lang w:val="en-CA"/>
        </w:rPr>
      </w:pPr>
      <w:r w:rsidRPr="0065538B">
        <w:rPr>
          <w:rStyle w:val="FootnoteReference"/>
          <w:rFonts w:ascii="Times New Roman" w:hAnsi="Times New Roman" w:cs="Times New Roman"/>
        </w:rPr>
        <w:footnoteRef/>
      </w:r>
      <w:r w:rsidRPr="0065538B">
        <w:rPr>
          <w:rFonts w:ascii="Times New Roman" w:hAnsi="Times New Roman" w:cs="Times New Roman"/>
        </w:rPr>
        <w:t xml:space="preserve">  Daniel Williams, </w:t>
      </w:r>
      <w:r w:rsidRPr="0065538B">
        <w:rPr>
          <w:rFonts w:ascii="Times New Roman" w:hAnsi="Times New Roman" w:cs="Times New Roman"/>
          <w:i/>
        </w:rPr>
        <w:t>The Black Death: The Impact of the Fourteenth Century Plague</w:t>
      </w:r>
      <w:r w:rsidRPr="0065538B">
        <w:rPr>
          <w:rFonts w:ascii="Times New Roman" w:hAnsi="Times New Roman" w:cs="Times New Roman"/>
        </w:rPr>
        <w:t>. (New York, Library</w:t>
      </w:r>
      <w:r w:rsidRPr="00A63A18">
        <w:rPr>
          <w:rFonts w:ascii="Times New Roman" w:hAnsi="Times New Roman" w:cs="Times New Roman"/>
        </w:rPr>
        <w:t xml:space="preserve"> of Congress Catalogue, 1982) 78.</w:t>
      </w:r>
    </w:p>
  </w:footnote>
  <w:footnote w:id="27">
    <w:p w14:paraId="39B2577B" w14:textId="3D6FD036" w:rsidR="007A0D57" w:rsidRPr="002A0EF9"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0065538B" w:rsidRPr="00BD7FE9">
        <w:rPr>
          <w:rFonts w:ascii="Times New Roman" w:hAnsi="Times New Roman" w:cs="Times New Roman"/>
        </w:rPr>
        <w:t xml:space="preserve">Faye Marie Getz, Black Death and the Silver </w:t>
      </w:r>
      <w:r w:rsidR="0065538B" w:rsidRPr="00BD7FE9">
        <w:rPr>
          <w:rFonts w:ascii="Times New Roman" w:hAnsi="Times New Roman" w:cs="Times New Roman"/>
          <w:lang w:val="en-CA"/>
        </w:rPr>
        <w:t xml:space="preserve">Lining: Meaning, Continuity, and Revolutionary </w:t>
      </w:r>
      <w:r w:rsidR="0065538B" w:rsidRPr="002A0EF9">
        <w:rPr>
          <w:rFonts w:ascii="Times New Roman" w:hAnsi="Times New Roman" w:cs="Times New Roman"/>
          <w:lang w:val="en-CA"/>
        </w:rPr>
        <w:t xml:space="preserve">Change in Histories of Medieval Plague, </w:t>
      </w:r>
      <w:r w:rsidR="0065538B" w:rsidRPr="00111496">
        <w:rPr>
          <w:rFonts w:ascii="Times New Roman" w:hAnsi="Times New Roman" w:cs="Times New Roman"/>
          <w:i/>
          <w:lang w:val="en-CA"/>
        </w:rPr>
        <w:t>Journal of the History of Biology</w:t>
      </w:r>
      <w:r w:rsidR="0065538B" w:rsidRPr="002A0EF9">
        <w:rPr>
          <w:rFonts w:ascii="Times New Roman" w:hAnsi="Times New Roman" w:cs="Times New Roman"/>
          <w:lang w:val="en-CA"/>
        </w:rPr>
        <w:t xml:space="preserve">, 24, 2, (1991) pp. 265-289, (p </w:t>
      </w:r>
      <w:r w:rsidR="005C3992" w:rsidRPr="002A0EF9">
        <w:rPr>
          <w:rFonts w:ascii="Times New Roman" w:hAnsi="Times New Roman" w:cs="Times New Roman"/>
          <w:lang w:val="en-CA"/>
        </w:rPr>
        <w:t>267</w:t>
      </w:r>
      <w:r w:rsidR="0065538B" w:rsidRPr="002A0EF9">
        <w:rPr>
          <w:rFonts w:ascii="Times New Roman" w:hAnsi="Times New Roman" w:cs="Times New Roman"/>
          <w:lang w:val="en-CA"/>
        </w:rPr>
        <w:t>)</w:t>
      </w:r>
      <w:r w:rsidR="005C3992" w:rsidRPr="002A0EF9">
        <w:rPr>
          <w:rFonts w:ascii="Times New Roman" w:hAnsi="Times New Roman" w:cs="Times New Roman"/>
          <w:lang w:val="en-CA"/>
        </w:rPr>
        <w:t>.</w:t>
      </w:r>
      <w:r w:rsidR="0065538B" w:rsidRPr="002A0EF9">
        <w:rPr>
          <w:rFonts w:ascii="Times New Roman" w:hAnsi="Times New Roman" w:cs="Times New Roman"/>
          <w:lang w:val="en-CA"/>
        </w:rPr>
        <w:t xml:space="preserve"> </w:t>
      </w:r>
    </w:p>
  </w:footnote>
  <w:footnote w:id="28">
    <w:p w14:paraId="1AA9DB25" w14:textId="57FA28DC" w:rsidR="00BD7FE9" w:rsidRPr="002A0EF9" w:rsidRDefault="00BD7FE9">
      <w:pPr>
        <w:pStyle w:val="FootnoteText"/>
        <w:rPr>
          <w:rFonts w:ascii="Times New Roman" w:hAnsi="Times New Roman" w:cs="Times New Roman"/>
          <w:lang w:val="en-CA"/>
        </w:rPr>
      </w:pPr>
      <w:r w:rsidRPr="002A0EF9">
        <w:rPr>
          <w:rStyle w:val="FootnoteReference"/>
          <w:rFonts w:ascii="Times New Roman" w:hAnsi="Times New Roman" w:cs="Times New Roman"/>
        </w:rPr>
        <w:footnoteRef/>
      </w:r>
      <w:r w:rsidRPr="002A0EF9">
        <w:rPr>
          <w:rFonts w:ascii="Times New Roman" w:hAnsi="Times New Roman" w:cs="Times New Roman"/>
          <w:lang w:val="en-CA"/>
        </w:rPr>
        <w:t xml:space="preserve">Ibid., 275. </w:t>
      </w:r>
    </w:p>
  </w:footnote>
  <w:footnote w:id="29">
    <w:p w14:paraId="761A8579" w14:textId="0037E49A" w:rsidR="005E070C" w:rsidRPr="002A0EF9" w:rsidRDefault="00634DB3">
      <w:pPr>
        <w:pStyle w:val="FootnoteText"/>
        <w:rPr>
          <w:rFonts w:ascii="Times New Roman" w:hAnsi="Times New Roman" w:cs="Times New Roman"/>
          <w:lang w:val="en-CA"/>
        </w:rPr>
      </w:pPr>
      <w:r w:rsidRPr="002A0EF9">
        <w:rPr>
          <w:rStyle w:val="FootnoteReference"/>
          <w:rFonts w:ascii="Times New Roman" w:hAnsi="Times New Roman" w:cs="Times New Roman"/>
        </w:rPr>
        <w:footnoteRef/>
      </w:r>
      <w:r w:rsidR="00BD7FE9" w:rsidRPr="002A0EF9">
        <w:rPr>
          <w:rFonts w:ascii="Times New Roman" w:hAnsi="Times New Roman" w:cs="Times New Roman"/>
        </w:rPr>
        <w:t>Ibid</w:t>
      </w:r>
      <w:r w:rsidR="005C3992" w:rsidRPr="002A0EF9">
        <w:rPr>
          <w:rFonts w:ascii="Times New Roman" w:hAnsi="Times New Roman" w:cs="Times New Roman"/>
          <w:lang w:val="en-CA"/>
        </w:rPr>
        <w:t>.</w:t>
      </w:r>
      <w:r w:rsidR="002A0EF9" w:rsidRPr="002A0EF9">
        <w:rPr>
          <w:rFonts w:ascii="Times New Roman" w:hAnsi="Times New Roman" w:cs="Times New Roman"/>
          <w:lang w:val="en-CA"/>
        </w:rPr>
        <w:t xml:space="preserve"> </w:t>
      </w:r>
    </w:p>
  </w:footnote>
  <w:footnote w:id="30">
    <w:p w14:paraId="6510C521" w14:textId="7B499E1D" w:rsidR="00BD7FE9" w:rsidRPr="002A0EF9" w:rsidRDefault="00BD7FE9">
      <w:pPr>
        <w:pStyle w:val="FootnoteText"/>
        <w:rPr>
          <w:rFonts w:ascii="Times New Roman" w:hAnsi="Times New Roman" w:cs="Times New Roman"/>
          <w:lang w:val="en-CA"/>
        </w:rPr>
      </w:pPr>
      <w:r w:rsidRPr="002A0EF9">
        <w:rPr>
          <w:rStyle w:val="FootnoteReference"/>
          <w:rFonts w:ascii="Times New Roman" w:hAnsi="Times New Roman" w:cs="Times New Roman"/>
        </w:rPr>
        <w:footnoteRef/>
      </w:r>
      <w:r w:rsidRPr="002A0EF9">
        <w:rPr>
          <w:rFonts w:ascii="Times New Roman" w:hAnsi="Times New Roman" w:cs="Times New Roman"/>
        </w:rPr>
        <w:t xml:space="preserve"> </w:t>
      </w:r>
      <w:r w:rsidR="002A0EF9" w:rsidRPr="002A0EF9">
        <w:rPr>
          <w:rFonts w:ascii="Times New Roman" w:hAnsi="Times New Roman" w:cs="Times New Roman"/>
        </w:rPr>
        <w:t xml:space="preserve">Ibid., 277. </w:t>
      </w:r>
    </w:p>
  </w:footnote>
  <w:footnote w:id="31">
    <w:p w14:paraId="13C79373" w14:textId="11606BB1" w:rsidR="00BD7FE9" w:rsidRPr="00BD7FE9" w:rsidRDefault="00BD7FE9">
      <w:pPr>
        <w:pStyle w:val="FootnoteText"/>
        <w:rPr>
          <w:lang w:val="en-CA"/>
        </w:rPr>
      </w:pPr>
      <w:r w:rsidRPr="002A0EF9">
        <w:rPr>
          <w:rStyle w:val="FootnoteReference"/>
          <w:rFonts w:ascii="Times New Roman" w:hAnsi="Times New Roman" w:cs="Times New Roman"/>
        </w:rPr>
        <w:footnoteRef/>
      </w:r>
      <w:r w:rsidRPr="002A0EF9">
        <w:rPr>
          <w:rFonts w:ascii="Times New Roman" w:hAnsi="Times New Roman" w:cs="Times New Roman"/>
        </w:rPr>
        <w:t xml:space="preserve"> </w:t>
      </w:r>
      <w:r w:rsidR="002A0EF9" w:rsidRPr="002A0EF9">
        <w:rPr>
          <w:rFonts w:ascii="Times New Roman" w:hAnsi="Times New Roman" w:cs="Times New Roman"/>
        </w:rPr>
        <w:t>Ibid., 281</w:t>
      </w:r>
    </w:p>
  </w:footnote>
  <w:footnote w:id="32">
    <w:p w14:paraId="36821477" w14:textId="684A52C5" w:rsidR="001370FB" w:rsidRPr="00A63A18"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005C3992">
        <w:rPr>
          <w:rFonts w:ascii="Times New Roman" w:hAnsi="Times New Roman" w:cs="Times New Roman"/>
        </w:rPr>
        <w:t xml:space="preserve">Faye Marie Getz, Black Death and the Silver </w:t>
      </w:r>
      <w:r w:rsidR="005C3992">
        <w:rPr>
          <w:rFonts w:ascii="Times New Roman" w:hAnsi="Times New Roman" w:cs="Times New Roman"/>
          <w:lang w:val="en-CA"/>
        </w:rPr>
        <w:t xml:space="preserve">Lining: Meaning, Continuity, and Revolutionary </w:t>
      </w:r>
      <w:r w:rsidR="005C3992" w:rsidRPr="0065538B">
        <w:rPr>
          <w:rFonts w:ascii="Times New Roman" w:hAnsi="Times New Roman" w:cs="Times New Roman"/>
          <w:lang w:val="en-CA"/>
        </w:rPr>
        <w:t xml:space="preserve">Change in Histories of Medieval Plague, </w:t>
      </w:r>
      <w:r w:rsidR="005C3992" w:rsidRPr="00111496">
        <w:rPr>
          <w:rFonts w:ascii="Times New Roman" w:hAnsi="Times New Roman" w:cs="Times New Roman"/>
          <w:i/>
          <w:lang w:val="en-CA"/>
        </w:rPr>
        <w:t>Journal of the History of Biol</w:t>
      </w:r>
      <w:r w:rsidR="005C3992" w:rsidRPr="00111496">
        <w:rPr>
          <w:rFonts w:ascii="Times New Roman" w:hAnsi="Times New Roman" w:cs="Times New Roman"/>
          <w:lang w:val="en-CA"/>
        </w:rPr>
        <w:t>ogy</w:t>
      </w:r>
      <w:r w:rsidR="005C3992" w:rsidRPr="0065538B">
        <w:rPr>
          <w:rFonts w:ascii="Times New Roman" w:hAnsi="Times New Roman" w:cs="Times New Roman"/>
          <w:lang w:val="en-CA"/>
        </w:rPr>
        <w:t xml:space="preserve">, 24, 2, (1991) pp. 265-289, </w:t>
      </w:r>
      <w:r w:rsidR="005C3992">
        <w:rPr>
          <w:rFonts w:ascii="Times New Roman" w:hAnsi="Times New Roman" w:cs="Times New Roman"/>
          <w:lang w:val="en-CA"/>
        </w:rPr>
        <w:t>(</w:t>
      </w:r>
      <w:r w:rsidRPr="00A63A18">
        <w:rPr>
          <w:rFonts w:ascii="Times New Roman" w:hAnsi="Times New Roman" w:cs="Times New Roman"/>
          <w:lang w:val="en-CA"/>
        </w:rPr>
        <w:t>279</w:t>
      </w:r>
      <w:r w:rsidR="005C3992">
        <w:rPr>
          <w:rFonts w:ascii="Times New Roman" w:hAnsi="Times New Roman" w:cs="Times New Roman"/>
          <w:lang w:val="en-CA"/>
        </w:rPr>
        <w:t>)</w:t>
      </w:r>
      <w:r w:rsidR="0001371A">
        <w:rPr>
          <w:rFonts w:ascii="Times New Roman" w:hAnsi="Times New Roman" w:cs="Times New Roman"/>
          <w:lang w:val="en-CA"/>
        </w:rPr>
        <w:t>.</w:t>
      </w:r>
    </w:p>
  </w:footnote>
  <w:footnote w:id="33">
    <w:p w14:paraId="49261141" w14:textId="55AC6551" w:rsidR="001370FB" w:rsidRPr="00BD7FE9" w:rsidRDefault="00634DB3">
      <w:pPr>
        <w:pStyle w:val="FootnoteText"/>
        <w:rPr>
          <w:rFonts w:ascii="Times New Roman" w:hAnsi="Times New Roman" w:cs="Times New Roman"/>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005C3992" w:rsidRPr="00BD7FE9">
        <w:rPr>
          <w:rFonts w:ascii="Times New Roman" w:hAnsi="Times New Roman" w:cs="Times New Roman"/>
          <w:lang w:val="en-CA"/>
        </w:rPr>
        <w:t>I</w:t>
      </w:r>
      <w:r w:rsidRPr="00BD7FE9">
        <w:rPr>
          <w:rFonts w:ascii="Times New Roman" w:hAnsi="Times New Roman" w:cs="Times New Roman"/>
          <w:lang w:val="en-CA"/>
        </w:rPr>
        <w:t>bid</w:t>
      </w:r>
      <w:r w:rsidR="005C3992" w:rsidRPr="00BD7FE9">
        <w:rPr>
          <w:rFonts w:ascii="Times New Roman" w:hAnsi="Times New Roman" w:cs="Times New Roman"/>
          <w:lang w:val="en-CA"/>
        </w:rPr>
        <w:t>.,</w:t>
      </w:r>
      <w:r w:rsidRPr="00BD7FE9">
        <w:rPr>
          <w:rFonts w:ascii="Times New Roman" w:hAnsi="Times New Roman" w:cs="Times New Roman"/>
          <w:lang w:val="en-CA"/>
        </w:rPr>
        <w:t xml:space="preserve"> 282</w:t>
      </w:r>
      <w:r w:rsidR="002A0EF9">
        <w:rPr>
          <w:rFonts w:ascii="Times New Roman" w:hAnsi="Times New Roman" w:cs="Times New Roman"/>
          <w:lang w:val="en-CA"/>
        </w:rPr>
        <w:t>.</w:t>
      </w:r>
    </w:p>
  </w:footnote>
  <w:footnote w:id="34">
    <w:p w14:paraId="63B74C25" w14:textId="75193E1D" w:rsidR="00BD7FE9" w:rsidRPr="00BD7FE9" w:rsidRDefault="00BD7FE9">
      <w:pPr>
        <w:pStyle w:val="FootnoteText"/>
        <w:rPr>
          <w:lang w:val="en-CA"/>
        </w:rPr>
      </w:pPr>
      <w:r w:rsidRPr="00BD7FE9">
        <w:rPr>
          <w:rStyle w:val="FootnoteReference"/>
          <w:rFonts w:ascii="Times New Roman" w:hAnsi="Times New Roman" w:cs="Times New Roman"/>
        </w:rPr>
        <w:footnoteRef/>
      </w:r>
      <w:r w:rsidRPr="00BD7FE9">
        <w:rPr>
          <w:rFonts w:ascii="Times New Roman" w:hAnsi="Times New Roman" w:cs="Times New Roman"/>
        </w:rPr>
        <w:t xml:space="preserve"> </w:t>
      </w:r>
      <w:r w:rsidRPr="00BD7FE9">
        <w:rPr>
          <w:rFonts w:ascii="Times New Roman" w:hAnsi="Times New Roman" w:cs="Times New Roman"/>
          <w:lang w:val="en-CA"/>
        </w:rPr>
        <w:t>Ibid.</w:t>
      </w:r>
      <w:r w:rsidR="002A0EF9">
        <w:rPr>
          <w:rFonts w:ascii="Times New Roman" w:hAnsi="Times New Roman" w:cs="Times New Roman"/>
          <w:lang w:val="en-CA"/>
        </w:rPr>
        <w:t>, 279.</w:t>
      </w:r>
    </w:p>
  </w:footnote>
  <w:footnote w:id="35">
    <w:p w14:paraId="5C648AFA" w14:textId="40609E79" w:rsidR="001934BC" w:rsidRPr="001934BC" w:rsidRDefault="00634DB3">
      <w:pPr>
        <w:pStyle w:val="FootnoteText"/>
        <w:rPr>
          <w:lang w:val="en-CA"/>
        </w:rPr>
      </w:pPr>
      <w:r w:rsidRPr="00A63A18">
        <w:rPr>
          <w:rStyle w:val="FootnoteReference"/>
          <w:rFonts w:ascii="Times New Roman" w:hAnsi="Times New Roman" w:cs="Times New Roman"/>
        </w:rPr>
        <w:footnoteRef/>
      </w:r>
      <w:r w:rsidRPr="00A63A18">
        <w:rPr>
          <w:rFonts w:ascii="Times New Roman" w:hAnsi="Times New Roman" w:cs="Times New Roman"/>
        </w:rPr>
        <w:t xml:space="preserve"> </w:t>
      </w:r>
      <w:r w:rsidRPr="00A63A18">
        <w:rPr>
          <w:rFonts w:ascii="Times New Roman" w:hAnsi="Times New Roman" w:cs="Times New Roman"/>
          <w:lang w:val="en-CA"/>
        </w:rPr>
        <w:t>Ibid.</w:t>
      </w:r>
      <w:r w:rsidR="002A0EF9">
        <w:rPr>
          <w:rFonts w:ascii="Times New Roman" w:hAnsi="Times New Roman" w:cs="Times New Roman"/>
          <w:lang w:val="en-CA"/>
        </w:rPr>
        <w:t>, 283.</w:t>
      </w:r>
    </w:p>
  </w:footnote>
  <w:footnote w:id="36">
    <w:p w14:paraId="1CE772D1" w14:textId="489B6732" w:rsidR="006153D3" w:rsidRPr="006153D3" w:rsidRDefault="006153D3">
      <w:pPr>
        <w:pStyle w:val="FootnoteText"/>
        <w:rPr>
          <w:lang w:val="en-CA"/>
        </w:rPr>
      </w:pPr>
      <w:r w:rsidRPr="006153D3">
        <w:rPr>
          <w:rStyle w:val="FootnoteReference"/>
          <w:rFonts w:ascii="Times New Roman" w:hAnsi="Times New Roman" w:cs="Times New Roman"/>
        </w:rPr>
        <w:footnoteRef/>
      </w:r>
      <w:r w:rsidRPr="006153D3">
        <w:rPr>
          <w:rFonts w:ascii="Times New Roman" w:hAnsi="Times New Roman" w:cs="Times New Roman"/>
        </w:rPr>
        <w:t xml:space="preserve"> Ibid., 287</w:t>
      </w:r>
      <w:r>
        <w:t>.</w:t>
      </w:r>
    </w:p>
  </w:footnote>
  <w:footnote w:id="37">
    <w:p w14:paraId="5532979E" w14:textId="0D44E6E4" w:rsidR="002A0EF9" w:rsidRPr="002A0EF9" w:rsidRDefault="002A0EF9">
      <w:pPr>
        <w:pStyle w:val="FootnoteText"/>
        <w:rPr>
          <w:rFonts w:ascii="Times New Roman" w:hAnsi="Times New Roman" w:cs="Times New Roman"/>
          <w:lang w:val="en-CA"/>
        </w:rPr>
      </w:pPr>
      <w:r w:rsidRPr="002A0EF9">
        <w:rPr>
          <w:rStyle w:val="FootnoteReference"/>
          <w:rFonts w:ascii="Times New Roman" w:hAnsi="Times New Roman" w:cs="Times New Roman"/>
        </w:rPr>
        <w:footnoteRef/>
      </w:r>
      <w:r w:rsidR="006153D3">
        <w:rPr>
          <w:rFonts w:ascii="Times New Roman" w:hAnsi="Times New Roman" w:cs="Times New Roman"/>
        </w:rPr>
        <w:t xml:space="preserve"> Ibid.</w:t>
      </w:r>
    </w:p>
  </w:footnote>
  <w:footnote w:id="38">
    <w:p w14:paraId="26B8CE35" w14:textId="3CC75BFA" w:rsidR="005E6EBE" w:rsidRPr="002A0EF9" w:rsidRDefault="005E6EBE">
      <w:pPr>
        <w:pStyle w:val="FootnoteText"/>
        <w:rPr>
          <w:rFonts w:ascii="Times New Roman" w:hAnsi="Times New Roman" w:cs="Times New Roman"/>
          <w:lang w:val="en-CA"/>
        </w:rPr>
      </w:pPr>
      <w:r w:rsidRPr="002A0EF9">
        <w:rPr>
          <w:rStyle w:val="FootnoteReference"/>
          <w:rFonts w:ascii="Times New Roman" w:hAnsi="Times New Roman" w:cs="Times New Roman"/>
        </w:rPr>
        <w:footnoteRef/>
      </w:r>
      <w:r w:rsidRPr="002A0EF9">
        <w:rPr>
          <w:rFonts w:ascii="Times New Roman" w:hAnsi="Times New Roman" w:cs="Times New Roman"/>
        </w:rPr>
        <w:t xml:space="preserve"> </w:t>
      </w:r>
      <w:r w:rsidR="0001371A" w:rsidRPr="002A0EF9">
        <w:rPr>
          <w:rFonts w:ascii="Times New Roman" w:hAnsi="Times New Roman" w:cs="Times New Roman"/>
        </w:rPr>
        <w:t xml:space="preserve">Helen Robbins, A Comparison of the Effects of the Black Death on the Economic Organization of France and England, </w:t>
      </w:r>
      <w:r w:rsidR="0001371A" w:rsidRPr="002A0EF9">
        <w:rPr>
          <w:rFonts w:ascii="Times New Roman" w:hAnsi="Times New Roman" w:cs="Times New Roman"/>
          <w:i/>
        </w:rPr>
        <w:t>Journal of Political Economy</w:t>
      </w:r>
      <w:r w:rsidR="0001371A" w:rsidRPr="002A0EF9">
        <w:rPr>
          <w:rFonts w:ascii="Times New Roman" w:hAnsi="Times New Roman" w:cs="Times New Roman"/>
        </w:rPr>
        <w:t>, 35, 4, (1928) pp. 447-479 (450).</w:t>
      </w:r>
    </w:p>
  </w:footnote>
  <w:footnote w:id="39">
    <w:p w14:paraId="43D8124E" w14:textId="06347A4F" w:rsidR="0067158B" w:rsidRPr="0001371A" w:rsidRDefault="0067158B">
      <w:pPr>
        <w:pStyle w:val="FootnoteText"/>
        <w:rPr>
          <w:rFonts w:ascii="Times New Roman" w:hAnsi="Times New Roman" w:cs="Times New Roman"/>
          <w:lang w:val="en-CA"/>
        </w:rPr>
      </w:pPr>
      <w:r w:rsidRPr="002A0EF9">
        <w:rPr>
          <w:rStyle w:val="FootnoteReference"/>
          <w:rFonts w:ascii="Times New Roman" w:hAnsi="Times New Roman" w:cs="Times New Roman"/>
        </w:rPr>
        <w:footnoteRef/>
      </w:r>
      <w:r w:rsidRPr="002A0EF9">
        <w:rPr>
          <w:rFonts w:ascii="Times New Roman" w:hAnsi="Times New Roman" w:cs="Times New Roman"/>
        </w:rPr>
        <w:t xml:space="preserve"> </w:t>
      </w:r>
      <w:r w:rsidR="0001371A" w:rsidRPr="002A0EF9">
        <w:rPr>
          <w:rFonts w:ascii="Times New Roman" w:hAnsi="Times New Roman" w:cs="Times New Roman"/>
          <w:lang w:val="en-CA"/>
        </w:rPr>
        <w:t xml:space="preserve">Philip Ziegler, </w:t>
      </w:r>
      <w:r w:rsidR="0001371A" w:rsidRPr="002A0EF9">
        <w:rPr>
          <w:rFonts w:ascii="Times New Roman" w:hAnsi="Times New Roman" w:cs="Times New Roman"/>
          <w:i/>
          <w:lang w:val="en-CA"/>
        </w:rPr>
        <w:t>The Black Death, (</w:t>
      </w:r>
      <w:r w:rsidR="0001371A" w:rsidRPr="002A0EF9">
        <w:rPr>
          <w:rFonts w:ascii="Times New Roman" w:hAnsi="Times New Roman" w:cs="Times New Roman"/>
          <w:lang w:val="en-CA"/>
        </w:rPr>
        <w:t xml:space="preserve">United Kingdom: Published by Arrangement with Harper Collins </w:t>
      </w:r>
      <w:r w:rsidR="0001371A" w:rsidRPr="002A0EF9">
        <w:rPr>
          <w:rFonts w:ascii="Times New Roman" w:hAnsi="Times New Roman" w:cs="Times New Roman"/>
          <w:i/>
          <w:lang w:val="en-CA"/>
        </w:rPr>
        <w:t>Publishers</w:t>
      </w:r>
      <w:r w:rsidR="0001371A" w:rsidRPr="002A0EF9">
        <w:rPr>
          <w:rFonts w:ascii="Times New Roman" w:hAnsi="Times New Roman" w:cs="Times New Roman"/>
          <w:lang w:val="en-CA"/>
        </w:rPr>
        <w:t xml:space="preserve"> Ltd, 1997), p. </w:t>
      </w:r>
      <w:r w:rsidRPr="002A0EF9">
        <w:rPr>
          <w:rFonts w:ascii="Times New Roman" w:hAnsi="Times New Roman" w:cs="Times New Roman"/>
          <w:lang w:val="en-CA"/>
        </w:rPr>
        <w:t>236</w:t>
      </w:r>
      <w:r w:rsidR="0001371A" w:rsidRPr="002A0EF9">
        <w:rPr>
          <w:rFonts w:ascii="Times New Roman" w:hAnsi="Times New Roman" w:cs="Times New Roman"/>
          <w:lang w:val="en-CA"/>
        </w:rPr>
        <w:t>.</w:t>
      </w:r>
    </w:p>
  </w:footnote>
  <w:footnote w:id="40">
    <w:p w14:paraId="54F1ABC0" w14:textId="13C1D95B" w:rsidR="005E6EBE" w:rsidRPr="0001371A" w:rsidRDefault="005E6EBE">
      <w:pPr>
        <w:pStyle w:val="FootnoteText"/>
        <w:rPr>
          <w:rFonts w:ascii="Times New Roman" w:hAnsi="Times New Roman" w:cs="Times New Roman"/>
          <w:lang w:val="en-CA"/>
        </w:rPr>
      </w:pPr>
      <w:r w:rsidRPr="0001371A">
        <w:rPr>
          <w:rStyle w:val="FootnoteReference"/>
          <w:rFonts w:ascii="Times New Roman" w:hAnsi="Times New Roman" w:cs="Times New Roman"/>
        </w:rPr>
        <w:footnoteRef/>
      </w:r>
      <w:r w:rsidRPr="0001371A">
        <w:rPr>
          <w:rFonts w:ascii="Times New Roman" w:hAnsi="Times New Roman" w:cs="Times New Roman"/>
        </w:rPr>
        <w:t xml:space="preserve"> </w:t>
      </w:r>
      <w:r w:rsidR="0001371A" w:rsidRPr="0001371A">
        <w:rPr>
          <w:rFonts w:ascii="Times New Roman" w:hAnsi="Times New Roman" w:cs="Times New Roman"/>
        </w:rPr>
        <w:t xml:space="preserve">Helen Robbins, A Comparison of the Effects of the Black Death on the Economic Organization of France and England, </w:t>
      </w:r>
      <w:r w:rsidR="0001371A" w:rsidRPr="0001371A">
        <w:rPr>
          <w:rFonts w:ascii="Times New Roman" w:hAnsi="Times New Roman" w:cs="Times New Roman"/>
          <w:i/>
        </w:rPr>
        <w:t>Journal of Political Economy</w:t>
      </w:r>
      <w:r w:rsidR="0001371A" w:rsidRPr="0001371A">
        <w:rPr>
          <w:rFonts w:ascii="Times New Roman" w:hAnsi="Times New Roman" w:cs="Times New Roman"/>
        </w:rPr>
        <w:t>, 35, 4, (1928) pp. 447-479 (450).</w:t>
      </w:r>
    </w:p>
  </w:footnote>
  <w:footnote w:id="41">
    <w:p w14:paraId="3065BA70" w14:textId="404BAA77" w:rsidR="006B4FFF" w:rsidRPr="006B4FFF" w:rsidRDefault="006B4FFF">
      <w:pPr>
        <w:pStyle w:val="FootnoteText"/>
        <w:rPr>
          <w:lang w:val="en-CA"/>
        </w:rPr>
      </w:pPr>
      <w:r w:rsidRPr="0001371A">
        <w:rPr>
          <w:rStyle w:val="FootnoteReference"/>
          <w:rFonts w:ascii="Times New Roman" w:hAnsi="Times New Roman" w:cs="Times New Roman"/>
        </w:rPr>
        <w:footnoteRef/>
      </w:r>
      <w:r w:rsidRPr="0001371A">
        <w:rPr>
          <w:rFonts w:ascii="Times New Roman" w:hAnsi="Times New Roman" w:cs="Times New Roman"/>
        </w:rPr>
        <w:t xml:space="preserve"> </w:t>
      </w:r>
      <w:r w:rsidR="0001371A" w:rsidRPr="0001371A">
        <w:rPr>
          <w:rFonts w:ascii="Times New Roman" w:hAnsi="Times New Roman" w:cs="Times New Roman"/>
          <w:lang w:val="en-CA"/>
        </w:rPr>
        <w:t xml:space="preserve">Philip Ziegler, </w:t>
      </w:r>
      <w:r w:rsidR="0001371A" w:rsidRPr="0001371A">
        <w:rPr>
          <w:rFonts w:ascii="Times New Roman" w:hAnsi="Times New Roman" w:cs="Times New Roman"/>
          <w:i/>
          <w:lang w:val="en-CA"/>
        </w:rPr>
        <w:t>The Black Death, (</w:t>
      </w:r>
      <w:r w:rsidR="0001371A" w:rsidRPr="0001371A">
        <w:rPr>
          <w:rFonts w:ascii="Times New Roman" w:hAnsi="Times New Roman" w:cs="Times New Roman"/>
          <w:lang w:val="en-CA"/>
        </w:rPr>
        <w:t xml:space="preserve">United Kingdom: Published by Arrangement with Harper Collins </w:t>
      </w:r>
      <w:r w:rsidR="0001371A" w:rsidRPr="0001371A">
        <w:rPr>
          <w:rFonts w:ascii="Times New Roman" w:hAnsi="Times New Roman" w:cs="Times New Roman"/>
          <w:i/>
          <w:lang w:val="en-CA"/>
        </w:rPr>
        <w:t>Publishers</w:t>
      </w:r>
      <w:r w:rsidR="0001371A" w:rsidRPr="0001371A">
        <w:rPr>
          <w:rFonts w:ascii="Times New Roman" w:hAnsi="Times New Roman" w:cs="Times New Roman"/>
          <w:lang w:val="en-CA"/>
        </w:rPr>
        <w:t xml:space="preserve"> Ltd, 1997), p. </w:t>
      </w:r>
      <w:r w:rsidRPr="0001371A">
        <w:rPr>
          <w:rFonts w:ascii="Times New Roman" w:hAnsi="Times New Roman" w:cs="Times New Roman"/>
          <w:lang w:val="en-CA"/>
        </w:rPr>
        <w:t>238.</w:t>
      </w:r>
      <w:r>
        <w:rPr>
          <w:lang w:val="en-CA"/>
        </w:rPr>
        <w:t xml:space="preserve"> </w:t>
      </w:r>
    </w:p>
  </w:footnote>
  <w:footnote w:id="42">
    <w:p w14:paraId="524D24D0" w14:textId="66405D06" w:rsidR="001E69C3" w:rsidRPr="00BD7FE9" w:rsidRDefault="001E69C3">
      <w:pPr>
        <w:pStyle w:val="FootnoteText"/>
        <w:rPr>
          <w:rFonts w:ascii="Times New Roman" w:hAnsi="Times New Roman" w:cs="Times New Roman"/>
          <w:lang w:val="en-CA"/>
        </w:rPr>
      </w:pPr>
      <w:r>
        <w:rPr>
          <w:rStyle w:val="FootnoteReference"/>
        </w:rPr>
        <w:footnoteRef/>
      </w:r>
      <w:r>
        <w:t xml:space="preserve"> </w:t>
      </w:r>
      <w:r w:rsidR="0001371A" w:rsidRPr="00BD7FE9">
        <w:rPr>
          <w:rFonts w:ascii="Times New Roman" w:hAnsi="Times New Roman" w:cs="Times New Roman"/>
          <w:lang w:val="en-CA"/>
        </w:rPr>
        <w:t>Ibid.</w:t>
      </w:r>
    </w:p>
  </w:footnote>
  <w:footnote w:id="43">
    <w:p w14:paraId="10321846" w14:textId="1D048EDD" w:rsidR="001E69C3" w:rsidRPr="00BD7FE9" w:rsidRDefault="001E69C3">
      <w:pPr>
        <w:pStyle w:val="FootnoteText"/>
        <w:rPr>
          <w:rFonts w:ascii="Times New Roman" w:hAnsi="Times New Roman" w:cs="Times New Roman"/>
          <w:lang w:val="en-CA"/>
        </w:rPr>
      </w:pPr>
      <w:r w:rsidRPr="00BD7FE9">
        <w:rPr>
          <w:rStyle w:val="FootnoteReference"/>
          <w:rFonts w:ascii="Times New Roman" w:hAnsi="Times New Roman" w:cs="Times New Roman"/>
        </w:rPr>
        <w:footnoteRef/>
      </w:r>
      <w:r w:rsidRPr="00BD7FE9">
        <w:rPr>
          <w:rFonts w:ascii="Times New Roman" w:hAnsi="Times New Roman" w:cs="Times New Roman"/>
        </w:rPr>
        <w:t xml:space="preserve"> </w:t>
      </w:r>
      <w:r w:rsidR="00BD7FE9" w:rsidRPr="00BD7FE9">
        <w:rPr>
          <w:rFonts w:ascii="Times New Roman" w:hAnsi="Times New Roman" w:cs="Times New Roman"/>
          <w:lang w:val="en-CA"/>
        </w:rPr>
        <w:t xml:space="preserve">Ibid., </w:t>
      </w:r>
      <w:r w:rsidR="00BD7FE9">
        <w:rPr>
          <w:rFonts w:ascii="Times New Roman" w:hAnsi="Times New Roman" w:cs="Times New Roman"/>
          <w:lang w:val="en-CA"/>
        </w:rPr>
        <w:t xml:space="preserve">p. </w:t>
      </w:r>
      <w:r w:rsidR="00BD7FE9" w:rsidRPr="00BD7FE9">
        <w:rPr>
          <w:rFonts w:ascii="Times New Roman" w:hAnsi="Times New Roman" w:cs="Times New Roman"/>
          <w:lang w:val="en-CA"/>
        </w:rPr>
        <w:t>239.</w:t>
      </w:r>
    </w:p>
  </w:footnote>
  <w:footnote w:id="44">
    <w:p w14:paraId="544055F2" w14:textId="71745302" w:rsidR="001E69C3" w:rsidRPr="006F1756" w:rsidRDefault="001E69C3">
      <w:pPr>
        <w:pStyle w:val="FootnoteText"/>
        <w:rPr>
          <w:rFonts w:ascii="Times New Roman" w:hAnsi="Times New Roman" w:cs="Times New Roman"/>
          <w:lang w:val="en-CA"/>
        </w:rPr>
      </w:pPr>
      <w:r w:rsidRPr="006F1756">
        <w:rPr>
          <w:rStyle w:val="FootnoteReference"/>
          <w:rFonts w:ascii="Times New Roman" w:hAnsi="Times New Roman" w:cs="Times New Roman"/>
        </w:rPr>
        <w:footnoteRef/>
      </w:r>
      <w:r w:rsidR="00BD7FE9" w:rsidRPr="006F1756">
        <w:rPr>
          <w:rFonts w:ascii="Times New Roman" w:hAnsi="Times New Roman" w:cs="Times New Roman"/>
        </w:rPr>
        <w:t xml:space="preserve"> Ibid., </w:t>
      </w:r>
      <w:r w:rsidR="00BD7FE9" w:rsidRPr="006F1756">
        <w:rPr>
          <w:rFonts w:ascii="Times New Roman" w:hAnsi="Times New Roman" w:cs="Times New Roman"/>
          <w:lang w:val="en-CA"/>
        </w:rPr>
        <w:t>p.</w:t>
      </w:r>
      <w:r w:rsidRPr="006F1756">
        <w:rPr>
          <w:rFonts w:ascii="Times New Roman" w:hAnsi="Times New Roman" w:cs="Times New Roman"/>
        </w:rPr>
        <w:t xml:space="preserve"> </w:t>
      </w:r>
      <w:r w:rsidRPr="006F1756">
        <w:rPr>
          <w:rFonts w:ascii="Times New Roman" w:hAnsi="Times New Roman" w:cs="Times New Roman"/>
          <w:lang w:val="en-CA"/>
        </w:rPr>
        <w:t>243</w:t>
      </w:r>
      <w:r w:rsidR="00BD7FE9" w:rsidRPr="006F1756">
        <w:rPr>
          <w:rFonts w:ascii="Times New Roman" w:hAnsi="Times New Roman" w:cs="Times New Roman"/>
          <w:lang w:val="en-CA"/>
        </w:rPr>
        <w:t>.</w:t>
      </w:r>
    </w:p>
  </w:footnote>
  <w:footnote w:id="45">
    <w:p w14:paraId="15DDCABB" w14:textId="1E80CEC9" w:rsidR="006153D3" w:rsidRPr="006153D3" w:rsidRDefault="006153D3">
      <w:pPr>
        <w:pStyle w:val="FootnoteText"/>
        <w:rPr>
          <w:lang w:val="en-CA"/>
        </w:rPr>
      </w:pPr>
      <w:r w:rsidRPr="006F1756">
        <w:rPr>
          <w:rStyle w:val="FootnoteReference"/>
          <w:rFonts w:ascii="Times New Roman" w:hAnsi="Times New Roman" w:cs="Times New Roman"/>
        </w:rPr>
        <w:footnoteRef/>
      </w:r>
      <w:r w:rsidRPr="006F1756">
        <w:rPr>
          <w:rFonts w:ascii="Times New Roman" w:hAnsi="Times New Roman" w:cs="Times New Roman"/>
        </w:rPr>
        <w:t xml:space="preserve"> </w:t>
      </w:r>
      <w:r w:rsidR="006F1756" w:rsidRPr="006F1756">
        <w:rPr>
          <w:rFonts w:ascii="Times New Roman" w:hAnsi="Times New Roman" w:cs="Times New Roman"/>
        </w:rPr>
        <w:t>Ibid., p, 249.</w:t>
      </w:r>
    </w:p>
  </w:footnote>
  <w:footnote w:id="46">
    <w:p w14:paraId="441F6543" w14:textId="4E89AAF8" w:rsidR="009E718C" w:rsidRPr="009E718C" w:rsidRDefault="009E718C">
      <w:pPr>
        <w:pStyle w:val="FootnoteText"/>
        <w:rPr>
          <w:lang w:val="en-CA"/>
        </w:rPr>
      </w:pPr>
      <w:r w:rsidRPr="00BD7FE9">
        <w:rPr>
          <w:rStyle w:val="FootnoteReference"/>
          <w:rFonts w:ascii="Times New Roman" w:hAnsi="Times New Roman" w:cs="Times New Roman"/>
        </w:rPr>
        <w:footnoteRef/>
      </w:r>
      <w:r w:rsidRPr="00BD7FE9">
        <w:rPr>
          <w:rFonts w:ascii="Times New Roman" w:hAnsi="Times New Roman" w:cs="Times New Roman"/>
        </w:rPr>
        <w:t xml:space="preserve"> </w:t>
      </w:r>
      <w:r w:rsidR="00BD7FE9" w:rsidRPr="00BD7FE9">
        <w:rPr>
          <w:rFonts w:ascii="Times New Roman" w:hAnsi="Times New Roman" w:cs="Times New Roman"/>
          <w:lang w:val="en-CA"/>
        </w:rPr>
        <w:t>Ibid.</w:t>
      </w:r>
    </w:p>
  </w:footnote>
  <w:footnote w:id="47">
    <w:p w14:paraId="29A01D71" w14:textId="4CA2A05D" w:rsidR="00E6604E" w:rsidRPr="00BD7FE9" w:rsidRDefault="00E6604E">
      <w:pPr>
        <w:pStyle w:val="FootnoteText"/>
        <w:rPr>
          <w:rFonts w:ascii="Times New Roman" w:hAnsi="Times New Roman" w:cs="Times New Roman"/>
          <w:lang w:val="en-CA"/>
        </w:rPr>
      </w:pPr>
      <w:r>
        <w:rPr>
          <w:rStyle w:val="FootnoteReference"/>
        </w:rPr>
        <w:footnoteRef/>
      </w:r>
      <w:r>
        <w:t xml:space="preserve"> </w:t>
      </w:r>
      <w:r w:rsidR="00BD7FE9" w:rsidRPr="00BD7FE9">
        <w:rPr>
          <w:rFonts w:ascii="Times New Roman" w:hAnsi="Times New Roman" w:cs="Times New Roman"/>
        </w:rPr>
        <w:t xml:space="preserve">Faye Marie Getz, Black Death and the Silver </w:t>
      </w:r>
      <w:r w:rsidR="00BD7FE9" w:rsidRPr="00BD7FE9">
        <w:rPr>
          <w:rFonts w:ascii="Times New Roman" w:hAnsi="Times New Roman" w:cs="Times New Roman"/>
          <w:lang w:val="en-CA"/>
        </w:rPr>
        <w:t xml:space="preserve">Lining: Meaning, Continuity, and Revolutionary Change in Histories of Medieval Plague, </w:t>
      </w:r>
      <w:r w:rsidR="00BD7FE9" w:rsidRPr="00111496">
        <w:rPr>
          <w:rFonts w:ascii="Times New Roman" w:hAnsi="Times New Roman" w:cs="Times New Roman"/>
          <w:i/>
          <w:lang w:val="en-CA"/>
        </w:rPr>
        <w:t>Journal of the History of Biology</w:t>
      </w:r>
      <w:r w:rsidR="00BD7FE9" w:rsidRPr="00BD7FE9">
        <w:rPr>
          <w:rFonts w:ascii="Times New Roman" w:hAnsi="Times New Roman" w:cs="Times New Roman"/>
          <w:lang w:val="en-CA"/>
        </w:rPr>
        <w:t>, 24, 2, (1991) pp. 265-289, (p 265).</w:t>
      </w:r>
    </w:p>
  </w:footnote>
  <w:footnote w:id="48">
    <w:p w14:paraId="24C4FD32" w14:textId="0A996463" w:rsidR="00901CC2" w:rsidRPr="00901CC2" w:rsidRDefault="00901CC2">
      <w:pPr>
        <w:pStyle w:val="FootnoteText"/>
        <w:rPr>
          <w:lang w:val="en-CA"/>
        </w:rPr>
      </w:pPr>
      <w:r w:rsidRPr="00BD7FE9">
        <w:rPr>
          <w:rStyle w:val="FootnoteReference"/>
          <w:rFonts w:ascii="Times New Roman" w:hAnsi="Times New Roman" w:cs="Times New Roman"/>
        </w:rPr>
        <w:footnoteRef/>
      </w:r>
      <w:r w:rsidRPr="00BD7FE9">
        <w:rPr>
          <w:rFonts w:ascii="Times New Roman" w:hAnsi="Times New Roman" w:cs="Times New Roman"/>
        </w:rPr>
        <w:t xml:space="preserve"> </w:t>
      </w:r>
      <w:r w:rsidR="00BD7FE9" w:rsidRPr="00BD7FE9">
        <w:rPr>
          <w:rFonts w:ascii="Times New Roman" w:hAnsi="Times New Roman" w:cs="Times New Roman"/>
        </w:rPr>
        <w:t>Ibid., 288</w:t>
      </w:r>
      <w:r w:rsidR="00BD7FE9">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B51"/>
    <w:rsid w:val="0001371A"/>
    <w:rsid w:val="000D5105"/>
    <w:rsid w:val="00111496"/>
    <w:rsid w:val="0013102A"/>
    <w:rsid w:val="00180E4E"/>
    <w:rsid w:val="001E69C3"/>
    <w:rsid w:val="001F38F1"/>
    <w:rsid w:val="0021757D"/>
    <w:rsid w:val="00224800"/>
    <w:rsid w:val="002A0EF9"/>
    <w:rsid w:val="0030288B"/>
    <w:rsid w:val="00433623"/>
    <w:rsid w:val="005915CE"/>
    <w:rsid w:val="005C1422"/>
    <w:rsid w:val="005C3992"/>
    <w:rsid w:val="005D5B51"/>
    <w:rsid w:val="005E6EBE"/>
    <w:rsid w:val="006153D3"/>
    <w:rsid w:val="00620D18"/>
    <w:rsid w:val="00634DB3"/>
    <w:rsid w:val="0065538B"/>
    <w:rsid w:val="0067158B"/>
    <w:rsid w:val="006A7C3D"/>
    <w:rsid w:val="006B1186"/>
    <w:rsid w:val="006B4FFF"/>
    <w:rsid w:val="006F1756"/>
    <w:rsid w:val="00705E59"/>
    <w:rsid w:val="00710A40"/>
    <w:rsid w:val="0077271A"/>
    <w:rsid w:val="00775F9E"/>
    <w:rsid w:val="007907A8"/>
    <w:rsid w:val="00791186"/>
    <w:rsid w:val="008B106D"/>
    <w:rsid w:val="008E046F"/>
    <w:rsid w:val="00901CC2"/>
    <w:rsid w:val="00990E0A"/>
    <w:rsid w:val="009D35E3"/>
    <w:rsid w:val="009E718C"/>
    <w:rsid w:val="009F703E"/>
    <w:rsid w:val="00A07021"/>
    <w:rsid w:val="00A17D02"/>
    <w:rsid w:val="00A63A18"/>
    <w:rsid w:val="00A81067"/>
    <w:rsid w:val="00B43113"/>
    <w:rsid w:val="00BD7FE9"/>
    <w:rsid w:val="00BF14B2"/>
    <w:rsid w:val="00C33B9D"/>
    <w:rsid w:val="00C77CE3"/>
    <w:rsid w:val="00DA3EB6"/>
    <w:rsid w:val="00E0767D"/>
    <w:rsid w:val="00E6604E"/>
    <w:rsid w:val="00F2246D"/>
    <w:rsid w:val="00F2511D"/>
    <w:rsid w:val="00FD4F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6CF9B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605D"/>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8C605D"/>
    <w:pPr>
      <w:spacing w:before="100" w:beforeAutospacing="1" w:after="100" w:afterAutospacing="1"/>
    </w:pPr>
    <w:rPr>
      <w:rFonts w:eastAsia="Times New Roman"/>
      <w:lang w:val="en-GB" w:eastAsia="en-GB"/>
    </w:rPr>
  </w:style>
  <w:style w:type="paragraph" w:styleId="FootnoteText">
    <w:name w:val="footnote text"/>
    <w:basedOn w:val="Normal"/>
    <w:link w:val="FootnoteTextChar"/>
    <w:uiPriority w:val="99"/>
    <w:unhideWhenUsed/>
    <w:rsid w:val="004212C4"/>
    <w:rPr>
      <w:rFonts w:asciiTheme="minorHAnsi" w:hAnsiTheme="minorHAnsi" w:cstheme="minorBidi"/>
    </w:rPr>
  </w:style>
  <w:style w:type="character" w:customStyle="1" w:styleId="FootnoteTextChar">
    <w:name w:val="Footnote Text Char"/>
    <w:basedOn w:val="DefaultParagraphFont"/>
    <w:link w:val="FootnoteText"/>
    <w:uiPriority w:val="99"/>
    <w:rsid w:val="004212C4"/>
  </w:style>
  <w:style w:type="character" w:styleId="FootnoteReference">
    <w:name w:val="footnote reference"/>
    <w:basedOn w:val="DefaultParagraphFont"/>
    <w:uiPriority w:val="99"/>
    <w:unhideWhenUsed/>
    <w:rsid w:val="004212C4"/>
    <w:rPr>
      <w:vertAlign w:val="superscript"/>
    </w:rPr>
  </w:style>
  <w:style w:type="paragraph" w:customStyle="1" w:styleId="p1">
    <w:name w:val="p1"/>
    <w:basedOn w:val="Normal"/>
    <w:rsid w:val="00C506BC"/>
    <w:rPr>
      <w:rFonts w:ascii="Helvetica" w:hAnsi="Helvetica"/>
      <w:sz w:val="18"/>
      <w:szCs w:val="18"/>
    </w:rPr>
  </w:style>
  <w:style w:type="character" w:customStyle="1" w:styleId="s1">
    <w:name w:val="s1"/>
    <w:basedOn w:val="DefaultParagraphFont"/>
    <w:rsid w:val="00D27D8D"/>
    <w:rPr>
      <w:rFonts w:ascii="Helvetica" w:hAnsi="Helvetica" w:hint="default"/>
      <w:sz w:val="12"/>
      <w:szCs w:val="12"/>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A8106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10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2ADF606-25C7-5540-9FCC-576A98ADF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3257</Words>
  <Characters>16192</Characters>
  <Application>Microsoft Macintosh Word</Application>
  <DocSecurity>0</DocSecurity>
  <Lines>224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Bryce Robinson</dc:creator>
  <cp:lastModifiedBy>Bryce Robinson</cp:lastModifiedBy>
  <cp:revision>4</cp:revision>
  <dcterms:created xsi:type="dcterms:W3CDTF">2018-01-19T19:59:00Z</dcterms:created>
  <dcterms:modified xsi:type="dcterms:W3CDTF">2018-01-19T20:03:00Z</dcterms:modified>
</cp:coreProperties>
</file>