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826325957"/>
        <w:docPartObj>
          <w:docPartGallery w:val="Cover Pages"/>
          <w:docPartUnique/>
        </w:docPartObj>
      </w:sdtPr>
      <w:sdtEndPr>
        <w:rPr>
          <w:rFonts w:eastAsiaTheme="minorHAnsi"/>
          <w:color w:val="auto"/>
          <w:kern w:val="2"/>
          <w:sz w:val="24"/>
          <w:szCs w:val="24"/>
          <w:lang w:val="en-GB"/>
          <w14:ligatures w14:val="standardContextual"/>
        </w:rPr>
      </w:sdtEndPr>
      <w:sdtContent>
        <w:p w14:paraId="3B5D1DDB" w14:textId="06702DF9" w:rsidR="00892A11" w:rsidRDefault="00892A11">
          <w:pPr>
            <w:pStyle w:val="NoSpacing"/>
            <w:spacing w:before="1540" w:after="240"/>
            <w:jc w:val="center"/>
            <w:rPr>
              <w:color w:val="156082" w:themeColor="accent1"/>
            </w:rPr>
          </w:pPr>
          <w:r>
            <w:rPr>
              <w:noProof/>
              <w:color w:val="156082" w:themeColor="accent1"/>
            </w:rPr>
            <w:drawing>
              <wp:inline distT="0" distB="0" distL="0" distR="0" wp14:anchorId="0135EF6C" wp14:editId="0D2EAA0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71D4F78AD4CC46AC8662881D107AA00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E4F2DBA" w14:textId="50917AAF" w:rsidR="00892A11" w:rsidRDefault="009A014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lEGAL RESEARCH </w:t>
              </w:r>
              <w:r w:rsidR="000C3251">
                <w:rPr>
                  <w:rFonts w:asciiTheme="majorHAnsi" w:eastAsiaTheme="majorEastAsia" w:hAnsiTheme="majorHAnsi" w:cstheme="majorBidi"/>
                  <w:caps/>
                  <w:color w:val="156082" w:themeColor="accent1"/>
                  <w:sz w:val="72"/>
                  <w:szCs w:val="72"/>
                </w:rPr>
                <w:t>REPORT</w:t>
              </w:r>
            </w:p>
          </w:sdtContent>
        </w:sdt>
        <w:sdt>
          <w:sdtPr>
            <w:rPr>
              <w:color w:val="156082" w:themeColor="accent1"/>
              <w:sz w:val="28"/>
              <w:szCs w:val="28"/>
            </w:rPr>
            <w:alias w:val="Subtitle"/>
            <w:tag w:val=""/>
            <w:id w:val="328029620"/>
            <w:placeholder>
              <w:docPart w:val="4B08D1B28F1E41ADB582A93B120A87BB"/>
            </w:placeholder>
            <w:dataBinding w:prefixMappings="xmlns:ns0='http://purl.org/dc/elements/1.1/' xmlns:ns1='http://schemas.openxmlformats.org/package/2006/metadata/core-properties' " w:xpath="/ns1:coreProperties[1]/ns0:subject[1]" w:storeItemID="{6C3C8BC8-F283-45AE-878A-BAB7291924A1}"/>
            <w:text/>
          </w:sdtPr>
          <w:sdtContent>
            <w:p w14:paraId="3E9A2A3D" w14:textId="64BA9AF7" w:rsidR="00892A11" w:rsidRDefault="000C3251">
              <w:pPr>
                <w:pStyle w:val="NoSpacing"/>
                <w:jc w:val="center"/>
                <w:rPr>
                  <w:color w:val="156082" w:themeColor="accent1"/>
                  <w:sz w:val="28"/>
                  <w:szCs w:val="28"/>
                </w:rPr>
              </w:pPr>
              <w:r>
                <w:rPr>
                  <w:color w:val="156082" w:themeColor="accent1"/>
                  <w:sz w:val="28"/>
                  <w:szCs w:val="28"/>
                </w:rPr>
                <w:t xml:space="preserve">The Tortious Liability of Barry </w:t>
              </w:r>
              <w:proofErr w:type="spellStart"/>
              <w:r>
                <w:rPr>
                  <w:color w:val="156082" w:themeColor="accent1"/>
                  <w:sz w:val="28"/>
                  <w:szCs w:val="28"/>
                </w:rPr>
                <w:t>Bottleman</w:t>
              </w:r>
              <w:proofErr w:type="spellEnd"/>
              <w:r>
                <w:rPr>
                  <w:color w:val="156082" w:themeColor="accent1"/>
                  <w:sz w:val="28"/>
                  <w:szCs w:val="28"/>
                </w:rPr>
                <w:t>: A Legal Analysis of the Time Stomp Festival Incident</w:t>
              </w:r>
            </w:p>
          </w:sdtContent>
        </w:sdt>
        <w:p w14:paraId="3B532EC4" w14:textId="77777777" w:rsidR="00892A11" w:rsidRDefault="00892A1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23D6CF7" wp14:editId="198A1B5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E3EDE1" w14:textId="1562486B" w:rsidR="00892A11" w:rsidRDefault="000C3251">
                                    <w:pPr>
                                      <w:pStyle w:val="NoSpacing"/>
                                      <w:spacing w:after="40"/>
                                      <w:jc w:val="center"/>
                                      <w:rPr>
                                        <w:caps/>
                                        <w:color w:val="156082" w:themeColor="accent1"/>
                                        <w:sz w:val="28"/>
                                        <w:szCs w:val="28"/>
                                      </w:rPr>
                                    </w:pPr>
                                    <w:r>
                                      <w:rPr>
                                        <w:caps/>
                                        <w:color w:val="156082" w:themeColor="accent1"/>
                                        <w:sz w:val="28"/>
                                        <w:szCs w:val="28"/>
                                      </w:rPr>
                                      <w:t>2319007</w:t>
                                    </w:r>
                                  </w:p>
                                </w:sdtContent>
                              </w:sdt>
                              <w:p w14:paraId="3229A99B" w14:textId="14A10ADD" w:rsidR="00892A11" w:rsidRDefault="00892A1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B5574">
                                      <w:rPr>
                                        <w:caps/>
                                        <w:color w:val="156082" w:themeColor="accent1"/>
                                      </w:rPr>
                                      <w:t>Jade Brown</w:t>
                                    </w:r>
                                  </w:sdtContent>
                                </w:sdt>
                              </w:p>
                              <w:p w14:paraId="035C631F" w14:textId="6B96AFFC" w:rsidR="00892A11" w:rsidRDefault="00892A11">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B5574">
                                      <w:rPr>
                                        <w:color w:val="156082" w:themeColor="accent1"/>
                                      </w:rPr>
                                      <w:t>BMLW5019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3D6CF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E3EDE1" w14:textId="1562486B" w:rsidR="00892A11" w:rsidRDefault="000C3251">
                              <w:pPr>
                                <w:pStyle w:val="NoSpacing"/>
                                <w:spacing w:after="40"/>
                                <w:jc w:val="center"/>
                                <w:rPr>
                                  <w:caps/>
                                  <w:color w:val="156082" w:themeColor="accent1"/>
                                  <w:sz w:val="28"/>
                                  <w:szCs w:val="28"/>
                                </w:rPr>
                              </w:pPr>
                              <w:r>
                                <w:rPr>
                                  <w:caps/>
                                  <w:color w:val="156082" w:themeColor="accent1"/>
                                  <w:sz w:val="28"/>
                                  <w:szCs w:val="28"/>
                                </w:rPr>
                                <w:t>2319007</w:t>
                              </w:r>
                            </w:p>
                          </w:sdtContent>
                        </w:sdt>
                        <w:p w14:paraId="3229A99B" w14:textId="14A10ADD" w:rsidR="00892A11" w:rsidRDefault="00892A1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B5574">
                                <w:rPr>
                                  <w:caps/>
                                  <w:color w:val="156082" w:themeColor="accent1"/>
                                </w:rPr>
                                <w:t>Jade Brown</w:t>
                              </w:r>
                            </w:sdtContent>
                          </w:sdt>
                        </w:p>
                        <w:p w14:paraId="035C631F" w14:textId="6B96AFFC" w:rsidR="00892A11" w:rsidRDefault="00892A11">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B5574">
                                <w:rPr>
                                  <w:color w:val="156082" w:themeColor="accent1"/>
                                </w:rPr>
                                <w:t>BMLW5019</w:t>
                              </w:r>
                            </w:sdtContent>
                          </w:sdt>
                        </w:p>
                      </w:txbxContent>
                    </v:textbox>
                    <w10:wrap anchorx="margin" anchory="page"/>
                  </v:shape>
                </w:pict>
              </mc:Fallback>
            </mc:AlternateContent>
          </w:r>
          <w:r>
            <w:rPr>
              <w:noProof/>
              <w:color w:val="156082" w:themeColor="accent1"/>
            </w:rPr>
            <w:drawing>
              <wp:inline distT="0" distB="0" distL="0" distR="0" wp14:anchorId="624754B5" wp14:editId="658992D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3AD1DE" w14:textId="77777777" w:rsidR="009D3320" w:rsidRDefault="00892A11">
          <w:r>
            <w:br w:type="page"/>
          </w:r>
        </w:p>
        <w:p w14:paraId="70A1B999" w14:textId="77777777" w:rsidR="009D3320" w:rsidRPr="00345A95" w:rsidRDefault="009D3320">
          <w:pPr>
            <w:rPr>
              <w:b/>
              <w:bCs/>
              <w:u w:val="single"/>
            </w:rPr>
          </w:pPr>
          <w:r w:rsidRPr="00345A95">
            <w:rPr>
              <w:b/>
              <w:bCs/>
              <w:u w:val="single"/>
            </w:rPr>
            <w:lastRenderedPageBreak/>
            <w:t xml:space="preserve">Table Of Contents </w:t>
          </w:r>
        </w:p>
        <w:p w14:paraId="6973CA8F" w14:textId="77777777" w:rsidR="006737E4" w:rsidRDefault="006737E4"/>
        <w:p w14:paraId="37032AD5" w14:textId="0390531B" w:rsidR="00727397" w:rsidRDefault="006737E4" w:rsidP="00345A95">
          <w:r>
            <w:t>Executive Summary</w:t>
          </w:r>
          <w:r w:rsidR="00495D26">
            <w:t>……………………………………………………………………Page 1</w:t>
          </w:r>
        </w:p>
        <w:p w14:paraId="2A91E4E7" w14:textId="77777777" w:rsidR="00495D26" w:rsidRDefault="00495D26" w:rsidP="00345A95"/>
        <w:p w14:paraId="60AF02EB" w14:textId="09F9FDC1" w:rsidR="006737E4" w:rsidRDefault="00495D26" w:rsidP="00345A95">
          <w:r>
            <w:t>Introduction……………………………………………………………………………</w:t>
          </w:r>
          <w:r w:rsidR="00345A95">
            <w:t xml:space="preserve"> </w:t>
          </w:r>
          <w:r w:rsidR="00EB5B56">
            <w:t xml:space="preserve"> Page</w:t>
          </w:r>
          <w:r>
            <w:t xml:space="preserve"> 1-2</w:t>
          </w:r>
        </w:p>
        <w:p w14:paraId="32B8A95E" w14:textId="77777777" w:rsidR="00345054" w:rsidRDefault="00345054" w:rsidP="00345A95"/>
        <w:p w14:paraId="30220793" w14:textId="2F4E0494" w:rsidR="00345054" w:rsidRDefault="00345054" w:rsidP="00345A95">
          <w:r>
            <w:t>Research Plan…………………………………………………………………………</w:t>
          </w:r>
          <w:r w:rsidR="00345A95">
            <w:t xml:space="preserve"> </w:t>
          </w:r>
          <w:r w:rsidR="00EB5B56">
            <w:t>Page</w:t>
          </w:r>
          <w:r>
            <w:t xml:space="preserve"> 2</w:t>
          </w:r>
        </w:p>
        <w:p w14:paraId="4676BAAC" w14:textId="77777777" w:rsidR="00345054" w:rsidRDefault="00345054" w:rsidP="00345A95"/>
        <w:p w14:paraId="7403F07A" w14:textId="52CEAF05" w:rsidR="00345054" w:rsidRDefault="00114D55" w:rsidP="00345A95">
          <w:r>
            <w:t>Main Legal Analysis…………………………………………………………………</w:t>
          </w:r>
          <w:r w:rsidR="00345A95">
            <w:t xml:space="preserve"> </w:t>
          </w:r>
          <w:r w:rsidR="00EB5B56">
            <w:t xml:space="preserve"> </w:t>
          </w:r>
          <w:r>
            <w:t xml:space="preserve">Page </w:t>
          </w:r>
          <w:r w:rsidR="00806733">
            <w:t>2-11</w:t>
          </w:r>
        </w:p>
        <w:p w14:paraId="1B4051DD" w14:textId="77777777" w:rsidR="00806733" w:rsidRDefault="00806733" w:rsidP="00345A95"/>
        <w:p w14:paraId="19C81D81" w14:textId="333496F7" w:rsidR="00806733" w:rsidRDefault="00806733" w:rsidP="00345A95">
          <w:r>
            <w:t>Conclusion…………………………………………………………………………</w:t>
          </w:r>
          <w:r w:rsidR="00EB5B56">
            <w:t>…. Page</w:t>
          </w:r>
          <w:r>
            <w:t xml:space="preserve"> </w:t>
          </w:r>
          <w:r w:rsidR="00EB5B56">
            <w:t>11-12</w:t>
          </w:r>
        </w:p>
        <w:p w14:paraId="515D21CA" w14:textId="77777777" w:rsidR="00EB5B56" w:rsidRDefault="00EB5B56" w:rsidP="00345A95"/>
        <w:p w14:paraId="269E3CCC" w14:textId="1F89433E" w:rsidR="00EB5B56" w:rsidRDefault="00345A95" w:rsidP="00345A95">
          <w:r>
            <w:t>References</w:t>
          </w:r>
          <w:r w:rsidR="00EB5B56">
            <w:t>……………………………………………………………………………...Page 12-15</w:t>
          </w:r>
        </w:p>
        <w:p w14:paraId="373F633A" w14:textId="77777777" w:rsidR="00495D26" w:rsidRDefault="00495D26"/>
        <w:p w14:paraId="0FAAB04C" w14:textId="40935E9E" w:rsidR="009D3320" w:rsidRDefault="009D3320">
          <w:r>
            <w:br w:type="page"/>
          </w:r>
        </w:p>
        <w:p w14:paraId="6FDA4C1F" w14:textId="1991F683" w:rsidR="00892A11" w:rsidRDefault="00892A11"/>
      </w:sdtContent>
    </w:sdt>
    <w:p w14:paraId="689A954E" w14:textId="6C4B4D86" w:rsidR="00240B98" w:rsidRPr="00457379" w:rsidRDefault="00457379">
      <w:pPr>
        <w:rPr>
          <w:b/>
          <w:bCs/>
          <w:u w:val="single"/>
        </w:rPr>
      </w:pPr>
      <w:r w:rsidRPr="00457379">
        <w:rPr>
          <w:b/>
          <w:bCs/>
          <w:u w:val="single"/>
        </w:rPr>
        <w:t>Executive Summary</w:t>
      </w:r>
    </w:p>
    <w:p w14:paraId="4C7E6C4B" w14:textId="0D5EB36C" w:rsidR="009036AD" w:rsidRDefault="003C2849">
      <w:r w:rsidRPr="003C2849">
        <w:t xml:space="preserve">This report examines the potential tortious liability of Barry </w:t>
      </w:r>
      <w:proofErr w:type="spellStart"/>
      <w:r w:rsidRPr="003C2849">
        <w:t>Bottleman</w:t>
      </w:r>
      <w:proofErr w:type="spellEnd"/>
      <w:r w:rsidRPr="003C2849">
        <w:t xml:space="preserve">, organiser of the Time Stomp festival in Leeds on </w:t>
      </w:r>
      <w:r w:rsidR="00075FC2">
        <w:t xml:space="preserve">the </w:t>
      </w:r>
      <w:r w:rsidRPr="003C2849">
        <w:t>14</w:t>
      </w:r>
      <w:r w:rsidR="00075FC2" w:rsidRPr="00075FC2">
        <w:rPr>
          <w:vertAlign w:val="superscript"/>
        </w:rPr>
        <w:t>th</w:t>
      </w:r>
      <w:r w:rsidR="00075FC2">
        <w:t xml:space="preserve"> of</w:t>
      </w:r>
      <w:r w:rsidRPr="003C2849">
        <w:t xml:space="preserve"> June 2023, following a firework malfunction that triggered a crowd stampede, causing serious physical and psychological harm. Applying </w:t>
      </w:r>
      <w:r w:rsidR="00A33916">
        <w:t xml:space="preserve">the relevant </w:t>
      </w:r>
      <w:r w:rsidRPr="003C2849">
        <w:t>law</w:t>
      </w:r>
      <w:r w:rsidR="00015B71">
        <w:t xml:space="preserve"> and legislation</w:t>
      </w:r>
      <w:r w:rsidRPr="003C2849">
        <w:t>, the analysis assesses Barry’s legal responsibility and explores doctrinal limitations, particularly in relation to psychiatric injury and event safety. The study, supported by primary and secondary sources, argues that the incident highlights significant gaps in the current legal framework, underscoring the need for reform in both the recognition of psychological harm and the regulation of public events.</w:t>
      </w:r>
      <w:r>
        <w:t xml:space="preserve"> </w:t>
      </w:r>
    </w:p>
    <w:p w14:paraId="30994A64" w14:textId="77777777" w:rsidR="00457379" w:rsidRDefault="00457379" w:rsidP="003C2849"/>
    <w:p w14:paraId="2027B8D7" w14:textId="30969983" w:rsidR="00457379" w:rsidRPr="00457379" w:rsidRDefault="00457379" w:rsidP="003C2849">
      <w:pPr>
        <w:rPr>
          <w:b/>
          <w:bCs/>
          <w:u w:val="single"/>
        </w:rPr>
      </w:pPr>
      <w:r w:rsidRPr="00457379">
        <w:rPr>
          <w:b/>
          <w:bCs/>
          <w:u w:val="single"/>
        </w:rPr>
        <w:t>Introduction</w:t>
      </w:r>
    </w:p>
    <w:p w14:paraId="5B0EFAD7" w14:textId="03C7B998" w:rsidR="003C2849" w:rsidRPr="003C2849" w:rsidRDefault="003C2849" w:rsidP="003C2849">
      <w:r w:rsidRPr="003C2849">
        <w:t xml:space="preserve">To maintain coherence and address the central legal issue, this study outlines a clear aim and supporting objectives. The primary aim is to critically assess Barry Bottleman’s potential liability </w:t>
      </w:r>
      <w:r w:rsidR="0094603B" w:rsidRPr="003C2849">
        <w:t>considering</w:t>
      </w:r>
      <w:r w:rsidRPr="003C2849">
        <w:t xml:space="preserve"> the physical and psychiatric injuries sustained at the Time Stomp </w:t>
      </w:r>
      <w:r w:rsidR="00E96084">
        <w:t>F</w:t>
      </w:r>
      <w:r w:rsidRPr="003C2849">
        <w:t>estival. This includes evaluating whether his actions met the required standard of care, the foreseeability of harm, and the adequacy of preventative measures. The research also seeks to identify deficiencies in the current legal framework and propose reforms to improve safety at large-scale public events.</w:t>
      </w:r>
    </w:p>
    <w:p w14:paraId="47A51A0B" w14:textId="77777777" w:rsidR="003C2849" w:rsidRPr="00EC2872" w:rsidRDefault="003C2849" w:rsidP="003C2849">
      <w:r w:rsidRPr="00EC2872">
        <w:t>To operationalise these aims, the research will pursue the following objectives:</w:t>
      </w:r>
    </w:p>
    <w:p w14:paraId="23E4F236" w14:textId="5EFF3A1D" w:rsidR="003C2849" w:rsidRPr="00EC2872" w:rsidRDefault="003C2849" w:rsidP="003C2849">
      <w:pPr>
        <w:numPr>
          <w:ilvl w:val="0"/>
          <w:numId w:val="10"/>
        </w:numPr>
      </w:pPr>
      <w:r w:rsidRPr="00EC2872">
        <w:t>Analyse the statutory and common law duties imposed on event organisers, with a focus on the Occupiers’ Liability Act</w:t>
      </w:r>
      <w:r w:rsidR="003056CE">
        <w:t xml:space="preserve"> </w:t>
      </w:r>
      <w:r w:rsidRPr="00EC2872">
        <w:t>and relevant health and safety regulations.</w:t>
      </w:r>
    </w:p>
    <w:p w14:paraId="212CCFC5" w14:textId="7986D21B" w:rsidR="003C2849" w:rsidRPr="00EC2872" w:rsidRDefault="003C2849" w:rsidP="003C2849">
      <w:pPr>
        <w:numPr>
          <w:ilvl w:val="0"/>
          <w:numId w:val="10"/>
        </w:numPr>
      </w:pPr>
      <w:r w:rsidRPr="00EC2872">
        <w:t>Evaluate the legal validity of potential claims brought by the individuals affected</w:t>
      </w:r>
      <w:r w:rsidR="003056CE">
        <w:t xml:space="preserve"> </w:t>
      </w:r>
      <w:r w:rsidRPr="00EC2872">
        <w:t>namely Sarah, Jack, Mary, and Janice</w:t>
      </w:r>
      <w:r w:rsidR="003056CE">
        <w:t xml:space="preserve"> </w:t>
      </w:r>
      <w:r w:rsidRPr="00EC2872">
        <w:t>through the application of established case law.</w:t>
      </w:r>
    </w:p>
    <w:p w14:paraId="4F2B7D5A" w14:textId="77777777" w:rsidR="003C2849" w:rsidRPr="00EC2872" w:rsidRDefault="003C2849" w:rsidP="003C2849">
      <w:pPr>
        <w:numPr>
          <w:ilvl w:val="0"/>
          <w:numId w:val="10"/>
        </w:numPr>
      </w:pPr>
      <w:r w:rsidRPr="00EC2872">
        <w:t>Examine the doctrinal and practical challenges in psychiatric injury claims, particularly those concerning secondary victims, and the thresholds imposed by the courts.</w:t>
      </w:r>
    </w:p>
    <w:p w14:paraId="5274B5CB" w14:textId="4BDDD8E6" w:rsidR="003C2849" w:rsidRPr="00EC2872" w:rsidRDefault="003C2849" w:rsidP="003C2849">
      <w:pPr>
        <w:numPr>
          <w:ilvl w:val="0"/>
          <w:numId w:val="10"/>
        </w:numPr>
      </w:pPr>
      <w:r w:rsidRPr="00EC2872">
        <w:t>Identify gaps or inconsistencies within the current legal approach, especially in the context of mass</w:t>
      </w:r>
      <w:r w:rsidR="003056CE">
        <w:t xml:space="preserve"> </w:t>
      </w:r>
      <w:r w:rsidRPr="00EC2872">
        <w:t>participation events, and assess their impact on claimant</w:t>
      </w:r>
      <w:r w:rsidR="003056CE">
        <w:t>’s</w:t>
      </w:r>
      <w:r w:rsidRPr="00EC2872">
        <w:t xml:space="preserve"> access to justice.</w:t>
      </w:r>
    </w:p>
    <w:p w14:paraId="626F0D41" w14:textId="77777777" w:rsidR="003C2849" w:rsidRPr="00EC2872" w:rsidRDefault="003C2849" w:rsidP="003C2849">
      <w:pPr>
        <w:numPr>
          <w:ilvl w:val="0"/>
          <w:numId w:val="10"/>
        </w:numPr>
      </w:pPr>
      <w:r w:rsidRPr="00EC2872">
        <w:t>Formulate reasoned proposals for legal reform where the existing framework proves inadequate to address the risks and consequences associated with public event injuries.</w:t>
      </w:r>
    </w:p>
    <w:p w14:paraId="595C4EA7" w14:textId="704984A5" w:rsidR="003C2849" w:rsidRDefault="003C2849" w:rsidP="003C2849">
      <w:r w:rsidRPr="00EC2872">
        <w:lastRenderedPageBreak/>
        <w:t xml:space="preserve">Together, these objectives will ensure that the research engages critically and comprehensively with the relevant legal doctrines and contemporary debates within </w:t>
      </w:r>
      <w:r w:rsidR="004C2CCC">
        <w:t>T</w:t>
      </w:r>
      <w:r w:rsidRPr="00EC2872">
        <w:t xml:space="preserve">ort </w:t>
      </w:r>
      <w:r w:rsidR="004C2CCC">
        <w:t>L</w:t>
      </w:r>
      <w:r w:rsidRPr="00EC2872">
        <w:t>aw.</w:t>
      </w:r>
    </w:p>
    <w:p w14:paraId="7A7636E1" w14:textId="563F2355" w:rsidR="004C2CCC" w:rsidRPr="00912B03" w:rsidRDefault="00912B03" w:rsidP="003C2849">
      <w:pPr>
        <w:rPr>
          <w:b/>
          <w:bCs/>
          <w:u w:val="single"/>
        </w:rPr>
      </w:pPr>
      <w:r w:rsidRPr="00912B03">
        <w:rPr>
          <w:b/>
          <w:bCs/>
          <w:u w:val="single"/>
        </w:rPr>
        <w:t>Research Methodology</w:t>
      </w:r>
    </w:p>
    <w:p w14:paraId="7D7CB2B2" w14:textId="36EEEB86" w:rsidR="003C2849" w:rsidRDefault="003C2849">
      <w:r w:rsidRPr="003C2849">
        <w:t xml:space="preserve">A range of legal research methodologies </w:t>
      </w:r>
      <w:r w:rsidR="00457379" w:rsidRPr="003C2849">
        <w:t>exists and</w:t>
      </w:r>
      <w:r w:rsidRPr="003C2849">
        <w:t xml:space="preserve"> selecting one aligned with the research problem is essential to ensure rigour and relevance. This study adopts a mixed</w:t>
      </w:r>
      <w:r w:rsidR="0094603B">
        <w:t xml:space="preserve"> </w:t>
      </w:r>
      <w:r w:rsidRPr="003C2849">
        <w:t>method approach, primarily based on doctrinal legal research</w:t>
      </w:r>
      <w:r w:rsidR="0022325E">
        <w:t xml:space="preserve"> </w:t>
      </w:r>
      <w:r w:rsidRPr="003C2849">
        <w:t>to address the stated aims and objectives.</w:t>
      </w:r>
      <w:r w:rsidR="00945701">
        <w:t xml:space="preserve"> </w:t>
      </w:r>
      <w:r w:rsidRPr="003C2849">
        <w:t xml:space="preserve">As the core method within the common law tradition, doctrinal research underpins legal </w:t>
      </w:r>
      <w:r w:rsidRPr="00C76119">
        <w:t>analysis (Hutchinson, 2012). It supports the development of legal reasoning and is fundamental to evaluating liability under</w:t>
      </w:r>
      <w:r w:rsidRPr="00AA70FF">
        <w:t xml:space="preserve"> key legislation such as the </w:t>
      </w:r>
      <w:r w:rsidRPr="00683D6D">
        <w:rPr>
          <w:i/>
          <w:iCs/>
        </w:rPr>
        <w:t>Occupiers’</w:t>
      </w:r>
      <w:r w:rsidRPr="00AA70FF">
        <w:rPr>
          <w:i/>
          <w:iCs/>
        </w:rPr>
        <w:t xml:space="preserve"> Liability Act 1957</w:t>
      </w:r>
      <w:r w:rsidRPr="00AA70FF">
        <w:t xml:space="preserve"> and the </w:t>
      </w:r>
      <w:r w:rsidRPr="00AA70FF">
        <w:rPr>
          <w:i/>
          <w:iCs/>
        </w:rPr>
        <w:t>Health and Safety at Work etc. Act 1974</w:t>
      </w:r>
      <w:r w:rsidRPr="00AA70FF">
        <w:t>. This approach enables the application of judicial precedent</w:t>
      </w:r>
      <w:r w:rsidR="0094603B" w:rsidRPr="00AA70FF">
        <w:t xml:space="preserve"> </w:t>
      </w:r>
      <w:r w:rsidRPr="00AA70FF">
        <w:t xml:space="preserve">including </w:t>
      </w:r>
      <w:r w:rsidRPr="00AA70FF">
        <w:rPr>
          <w:i/>
          <w:iCs/>
        </w:rPr>
        <w:t>Wheat v E Lacon &amp; Co Ltd</w:t>
      </w:r>
      <w:r w:rsidRPr="00AA70FF">
        <w:t xml:space="preserve"> [1966],</w:t>
      </w:r>
      <w:r w:rsidRPr="003C2849">
        <w:t xml:space="preserve"> </w:t>
      </w:r>
      <w:r w:rsidRPr="00AF75F4">
        <w:rPr>
          <w:i/>
          <w:iCs/>
        </w:rPr>
        <w:t>White v Chief Constable of South Yorkshire Police</w:t>
      </w:r>
      <w:r w:rsidRPr="00AF75F4">
        <w:t xml:space="preserve"> [1999],</w:t>
      </w:r>
      <w:r w:rsidRPr="003C2849">
        <w:t xml:space="preserve"> </w:t>
      </w:r>
      <w:r w:rsidRPr="005F09CE">
        <w:t xml:space="preserve">and </w:t>
      </w:r>
      <w:r w:rsidRPr="005F09CE">
        <w:rPr>
          <w:i/>
          <w:iCs/>
        </w:rPr>
        <w:t xml:space="preserve">Donoghue v </w:t>
      </w:r>
      <w:r w:rsidRPr="00E15BB7">
        <w:rPr>
          <w:i/>
          <w:iCs/>
        </w:rPr>
        <w:t>Stevenson</w:t>
      </w:r>
      <w:r w:rsidRPr="00E15BB7">
        <w:t xml:space="preserve"> [1932]</w:t>
      </w:r>
      <w:r w:rsidR="0094603B" w:rsidRPr="00E15BB7">
        <w:t xml:space="preserve"> </w:t>
      </w:r>
      <w:r w:rsidRPr="00E15BB7">
        <w:t>to assess Barry’s potential liability for physical and psychiatric harm (Watkins and Burton, 2017).</w:t>
      </w:r>
      <w:r w:rsidR="00945701" w:rsidRPr="00E15BB7">
        <w:t xml:space="preserve"> </w:t>
      </w:r>
      <w:r w:rsidRPr="00E15BB7">
        <w:t>The</w:t>
      </w:r>
      <w:r w:rsidRPr="00A22A5F">
        <w:t xml:space="preserve"> second research methodology is the socio-legal approach</w:t>
      </w:r>
      <w:r w:rsidR="002C3070">
        <w:t>, w</w:t>
      </w:r>
      <w:r w:rsidRPr="00A22A5F">
        <w:t>hile it is difficult to define precisely</w:t>
      </w:r>
      <w:r w:rsidR="002C3070">
        <w:t xml:space="preserve"> </w:t>
      </w:r>
      <w:r w:rsidRPr="00A22A5F">
        <w:t xml:space="preserve">it is generally understood as a framework for examining law and legal processes within their broader social context. This method is particularly valuable when assessing issues such as psychological harm, as it enables consideration of the legal criteria for claims in relation to </w:t>
      </w:r>
      <w:r w:rsidRPr="00E15BB7">
        <w:t>the experiences of relevant stakeholders, such as event organisers and attendees (Watkins, Burton, 2017).</w:t>
      </w:r>
      <w:r w:rsidR="00945701" w:rsidRPr="00E15BB7">
        <w:t xml:space="preserve"> </w:t>
      </w:r>
      <w:r w:rsidRPr="00E15BB7">
        <w:t>A critical legal theory approach will also be used to evaluate whether current legal frameworks adequately protect festival attendees and where reform may</w:t>
      </w:r>
      <w:r w:rsidRPr="003C2849">
        <w:t xml:space="preserve"> be necessary. </w:t>
      </w:r>
      <w:r w:rsidRPr="00CA15C6">
        <w:t>As Lammasniemi (2021) notes</w:t>
      </w:r>
      <w:r w:rsidRPr="003C2849">
        <w:t>, this methodology challenges the assumption of law as neutral, instead revealing how legal structures can perpetuate inequality. Applying this lens is vital to assess whether liability laws effectively address public event safety or require reform to better protect individuals.</w:t>
      </w:r>
    </w:p>
    <w:p w14:paraId="79C2B4BF" w14:textId="0F64616F" w:rsidR="003C2849" w:rsidRPr="00FB7F63" w:rsidRDefault="003C2849" w:rsidP="003C2849">
      <w:r w:rsidRPr="003C2849">
        <w:t xml:space="preserve">This research will utilise both </w:t>
      </w:r>
      <w:r w:rsidRPr="005F09CE">
        <w:t xml:space="preserve">primary and secondary sources. Primary materials include key statutes such as the </w:t>
      </w:r>
      <w:r w:rsidRPr="00CD7B43">
        <w:rPr>
          <w:i/>
          <w:iCs/>
        </w:rPr>
        <w:t xml:space="preserve">Health and Safety at </w:t>
      </w:r>
      <w:r w:rsidR="00E64682" w:rsidRPr="00CD7B43">
        <w:rPr>
          <w:i/>
          <w:iCs/>
        </w:rPr>
        <w:t>Work Act</w:t>
      </w:r>
      <w:r w:rsidRPr="00CD7B43">
        <w:rPr>
          <w:i/>
          <w:iCs/>
        </w:rPr>
        <w:t xml:space="preserve"> </w:t>
      </w:r>
      <w:r w:rsidR="00B87DC6" w:rsidRPr="00CD7B43">
        <w:rPr>
          <w:i/>
          <w:iCs/>
        </w:rPr>
        <w:t>etc</w:t>
      </w:r>
      <w:r w:rsidR="00E64682" w:rsidRPr="00CD7B43">
        <w:rPr>
          <w:i/>
          <w:iCs/>
        </w:rPr>
        <w:t xml:space="preserve"> </w:t>
      </w:r>
      <w:r w:rsidRPr="00CD7B43">
        <w:rPr>
          <w:i/>
          <w:iCs/>
        </w:rPr>
        <w:t>1974</w:t>
      </w:r>
      <w:r w:rsidRPr="005F09CE">
        <w:t xml:space="preserve">, the </w:t>
      </w:r>
      <w:r w:rsidRPr="00CD7B43">
        <w:rPr>
          <w:i/>
          <w:iCs/>
        </w:rPr>
        <w:t xml:space="preserve">Occupiers’ Liability </w:t>
      </w:r>
      <w:r w:rsidRPr="00F92818">
        <w:rPr>
          <w:i/>
          <w:iCs/>
        </w:rPr>
        <w:t>Act 1957</w:t>
      </w:r>
      <w:r w:rsidRPr="00F92818">
        <w:t xml:space="preserve">, and the </w:t>
      </w:r>
      <w:r w:rsidRPr="00F92818">
        <w:rPr>
          <w:i/>
          <w:iCs/>
        </w:rPr>
        <w:t>Consumer Protection Act 1987</w:t>
      </w:r>
      <w:r w:rsidRPr="00F92818">
        <w:t xml:space="preserve">, alongside case law including </w:t>
      </w:r>
      <w:r w:rsidRPr="00F92818">
        <w:rPr>
          <w:i/>
          <w:iCs/>
        </w:rPr>
        <w:t>Donoghue v Stevenson</w:t>
      </w:r>
      <w:r w:rsidRPr="00F92818">
        <w:t xml:space="preserve"> [1932], </w:t>
      </w:r>
      <w:r w:rsidRPr="00F92818">
        <w:rPr>
          <w:i/>
          <w:iCs/>
        </w:rPr>
        <w:t>Wheat v E Lacon &amp; Co Ltd</w:t>
      </w:r>
      <w:r w:rsidRPr="00F92818">
        <w:t xml:space="preserve"> [1966], and </w:t>
      </w:r>
      <w:r w:rsidR="00F92818" w:rsidRPr="00FB7F63">
        <w:t>‘</w:t>
      </w:r>
      <w:r w:rsidRPr="00FB7F63">
        <w:t>Tomlinson v Congleton B</w:t>
      </w:r>
      <w:r w:rsidR="00F92818" w:rsidRPr="00FB7F63">
        <w:t>orough Council’ (</w:t>
      </w:r>
      <w:r w:rsidRPr="00FB7F63">
        <w:t>2003</w:t>
      </w:r>
      <w:r w:rsidR="00F92818" w:rsidRPr="00FB7F63">
        <w:t>)</w:t>
      </w:r>
      <w:r w:rsidRPr="00FB7F63">
        <w:t>. Secondary sources, including academic literature and official guidance, will provide analysis and contextual support.</w:t>
      </w:r>
    </w:p>
    <w:p w14:paraId="28D1171D" w14:textId="77777777" w:rsidR="008F5730" w:rsidRDefault="008F5730" w:rsidP="003C2849"/>
    <w:p w14:paraId="7CFF390B" w14:textId="7C88D7F0" w:rsidR="008F5730" w:rsidRPr="008F5730" w:rsidRDefault="008F5730" w:rsidP="003C2849">
      <w:pPr>
        <w:rPr>
          <w:b/>
          <w:bCs/>
          <w:u w:val="single"/>
        </w:rPr>
      </w:pPr>
      <w:r w:rsidRPr="008F5730">
        <w:rPr>
          <w:b/>
          <w:bCs/>
          <w:u w:val="single"/>
        </w:rPr>
        <w:t>Timeline</w:t>
      </w:r>
    </w:p>
    <w:p w14:paraId="39D466F8" w14:textId="77777777" w:rsidR="003C2849" w:rsidRDefault="003C2849" w:rsidP="003C2849">
      <w:r w:rsidRPr="00A92FEC">
        <w:t xml:space="preserve">Developing a clear timeline is essential for maintaining organisation and ensuring all deadlines are met. Beginning on 1st December, I will start collecting key primary sources and begin applying them to the relevant legal scenario. By 15th December, I will expand my research to include additional applicable sources and compile a working </w:t>
      </w:r>
      <w:r w:rsidRPr="00A92FEC">
        <w:lastRenderedPageBreak/>
        <w:t>document to begin analysing their relevance. Once this is in place, I will proceed with both doctrinal and socio-legal research, aiming to complete this phase by 10th February. This will allow sufficient time to draft the main body of the research, revise the content, and finalise the report ahead of submission by 10th March. Following this, I will focus on evaluating potential legal reforms and drafting a concise conclusion, with the final submission due by 5th May.</w:t>
      </w:r>
    </w:p>
    <w:p w14:paraId="0C85A03F" w14:textId="2AC8EEF1" w:rsidR="008F5730" w:rsidRPr="00EC553E" w:rsidRDefault="008F5730" w:rsidP="003C2849">
      <w:pPr>
        <w:rPr>
          <w:b/>
          <w:bCs/>
          <w:u w:val="single"/>
        </w:rPr>
      </w:pPr>
      <w:r w:rsidRPr="00EC553E">
        <w:rPr>
          <w:b/>
          <w:bCs/>
          <w:u w:val="single"/>
        </w:rPr>
        <w:t xml:space="preserve">Main </w:t>
      </w:r>
      <w:r w:rsidR="00EC553E" w:rsidRPr="00EC553E">
        <w:rPr>
          <w:b/>
          <w:bCs/>
          <w:u w:val="single"/>
        </w:rPr>
        <w:t>Legal Analysis</w:t>
      </w:r>
    </w:p>
    <w:p w14:paraId="77F0EF3B" w14:textId="54283777" w:rsidR="003C2849" w:rsidRPr="00DB7532" w:rsidRDefault="003C2849" w:rsidP="003C2849">
      <w:r w:rsidRPr="00DB7532">
        <w:t xml:space="preserve">This report critically assesses the potential legal liability of Barry, the organiser of the ‘Time Stomp’ festival, where a significant number of </w:t>
      </w:r>
      <w:r w:rsidRPr="00FB7F63">
        <w:t xml:space="preserve">attendees sustained injuries following a catastrophic firework malfunction. The analysis draws upon multiple legal frameworks, including statutory instruments such as the </w:t>
      </w:r>
      <w:r w:rsidRPr="00FB7F63">
        <w:rPr>
          <w:i/>
          <w:iCs/>
        </w:rPr>
        <w:t>Occupiers’ Liability Act 1957</w:t>
      </w:r>
      <w:r w:rsidRPr="00FB7F63">
        <w:t xml:space="preserve"> and the </w:t>
      </w:r>
      <w:r w:rsidRPr="00FB7F63">
        <w:rPr>
          <w:i/>
          <w:iCs/>
        </w:rPr>
        <w:t>Health and Safety at Work etc. Act 1974</w:t>
      </w:r>
      <w:r w:rsidRPr="00FB7F63">
        <w:t>, alongside relevant common law principles relating to negligence.</w:t>
      </w:r>
    </w:p>
    <w:p w14:paraId="1DD6E385" w14:textId="741F764E" w:rsidR="003C2849" w:rsidRPr="003C2849" w:rsidRDefault="003C2849" w:rsidP="003C2849">
      <w:r w:rsidRPr="00DB7532">
        <w:t xml:space="preserve">A central issue arises from the ensuing crowd surge triggered by panic, raising questions about whether adequate crowd control measures were in place and whether the resulting harm was reasonably foreseeable. Focus is given to the injuries suffered by Sarah, with Barry’s potential breach of duty </w:t>
      </w:r>
      <w:r w:rsidRPr="0078645E">
        <w:t xml:space="preserve">assessed through the lens of established legal tests for negligence, such as those set out in </w:t>
      </w:r>
      <w:r w:rsidR="005A1188" w:rsidRPr="0078645E">
        <w:t>‘</w:t>
      </w:r>
      <w:r w:rsidRPr="0078645E">
        <w:t>Caparo Industries plc v Dickman [1990] 2 AC 605</w:t>
      </w:r>
      <w:r w:rsidR="005A1188" w:rsidRPr="0078645E">
        <w:t>’</w:t>
      </w:r>
      <w:r w:rsidRPr="0078645E">
        <w:t>.</w:t>
      </w:r>
      <w:r w:rsidR="001A3B20" w:rsidRPr="0078645E">
        <w:t xml:space="preserve"> </w:t>
      </w:r>
      <w:r w:rsidRPr="0078645E">
        <w:t>The report examines the complex legal issues surrounding psychiatric injury claims, particularly for secondary victims. It assesses the psychological</w:t>
      </w:r>
      <w:r w:rsidRPr="003C2849">
        <w:t xml:space="preserve"> impact on Jack (PTSD), Mary (generalised anxiety), and Janice (depression), highlighting challenges in meeting legal criteria such as proximity, foreseeability, and recognised psychiatric harm. It also considers causation, the eggshell skull rule, and the difficulties of proving </w:t>
      </w:r>
      <w:r w:rsidR="00AA1B86" w:rsidRPr="003C2849">
        <w:t>non</w:t>
      </w:r>
      <w:r w:rsidR="00AA1B86">
        <w:t>-</w:t>
      </w:r>
      <w:r w:rsidR="00AA1B86" w:rsidRPr="003C2849">
        <w:t>physical</w:t>
      </w:r>
      <w:r w:rsidRPr="003C2849">
        <w:t xml:space="preserve"> injury. Ultimately, the report argues that Barry failed to implement adequate safety measures, breached his legal duties, and should be held liable for the physical and psychological harm suffered at the Time Stomp </w:t>
      </w:r>
      <w:r w:rsidR="00AA1B86">
        <w:t>F</w:t>
      </w:r>
      <w:r w:rsidRPr="003C2849">
        <w:t>estival.</w:t>
      </w:r>
    </w:p>
    <w:p w14:paraId="6BFB2AC3" w14:textId="653730A8" w:rsidR="00BE6BFA" w:rsidRPr="00BE6BFA" w:rsidRDefault="00881D99" w:rsidP="00BE6BFA">
      <w:r w:rsidRPr="00881D99">
        <w:t>Barry, in his capacity as organiser of the Time Stomp festival, owed a clear and established duty of care to all attendees</w:t>
      </w:r>
      <w:r>
        <w:t>, which</w:t>
      </w:r>
      <w:r w:rsidR="003C2849" w:rsidRPr="00881D99">
        <w:t xml:space="preserve"> is assessed using the </w:t>
      </w:r>
      <w:r w:rsidRPr="00881D99">
        <w:t>three</w:t>
      </w:r>
      <w:r>
        <w:t>-stage</w:t>
      </w:r>
      <w:r w:rsidR="003C2849" w:rsidRPr="00881D99">
        <w:t xml:space="preserve"> test </w:t>
      </w:r>
      <w:r w:rsidR="003C2849" w:rsidRPr="005072AD">
        <w:t xml:space="preserve">from </w:t>
      </w:r>
      <w:r w:rsidR="005072AD">
        <w:t>‘</w:t>
      </w:r>
      <w:r w:rsidR="003C2849" w:rsidRPr="005072AD">
        <w:t>Caparo Industries plc v Dickman [1990]</w:t>
      </w:r>
      <w:r w:rsidR="005072AD">
        <w:t xml:space="preserve"> 2 AC 605’</w:t>
      </w:r>
      <w:r w:rsidR="003C2849" w:rsidRPr="005072AD">
        <w:t xml:space="preserve"> </w:t>
      </w:r>
      <w:r w:rsidR="003C2849" w:rsidRPr="00881D99">
        <w:t>First, harm must be reasonably foreseeable</w:t>
      </w:r>
      <w:r w:rsidR="00400700">
        <w:t xml:space="preserve"> </w:t>
      </w:r>
      <w:r w:rsidR="003C2849" w:rsidRPr="00881D99">
        <w:t xml:space="preserve">at a large public event with fireworks, the risk of injury or panic is evident. Second, </w:t>
      </w:r>
      <w:r w:rsidR="003C2849" w:rsidRPr="00981538">
        <w:t xml:space="preserve">proximity must exist. Given Barry’s direct control over safety measures and event planning, proximity is established, as affirmed in </w:t>
      </w:r>
      <w:r w:rsidR="00981538" w:rsidRPr="00981538">
        <w:t>‘</w:t>
      </w:r>
      <w:r w:rsidR="003C2849" w:rsidRPr="00981538">
        <w:t>Dorset Yacht Co Ltd v Home Office [19</w:t>
      </w:r>
      <w:r w:rsidR="00981538" w:rsidRPr="00981538">
        <w:t>69</w:t>
      </w:r>
      <w:r w:rsidR="003C2849" w:rsidRPr="00981538">
        <w:t>]</w:t>
      </w:r>
      <w:r w:rsidR="00981538" w:rsidRPr="00981538">
        <w:t xml:space="preserve"> 2 QB 412’</w:t>
      </w:r>
      <w:r w:rsidR="003C2849" w:rsidRPr="00981538">
        <w:t>.</w:t>
      </w:r>
      <w:r w:rsidR="008C5AB7" w:rsidRPr="00981538">
        <w:t xml:space="preserve"> </w:t>
      </w:r>
      <w:r w:rsidR="003C2849" w:rsidRPr="00981538">
        <w:t xml:space="preserve">The final limb of the Caparo test asks whether it is fair, just, and reasonable to impose a duty of care. Given Barry’s failure to </w:t>
      </w:r>
      <w:r w:rsidR="003C2849" w:rsidRPr="0058662B">
        <w:t xml:space="preserve">conduct proper safety assessments and adequately manage the risks associated with </w:t>
      </w:r>
      <w:r w:rsidR="0058662B" w:rsidRPr="00B372E8">
        <w:t>fireworks</w:t>
      </w:r>
      <w:r w:rsidR="003C2849" w:rsidRPr="00B372E8">
        <w:t xml:space="preserve"> in a crowded environment, the imposition of a duty is entirely justified. As established in </w:t>
      </w:r>
      <w:r w:rsidR="00EC396C" w:rsidRPr="00B372E8">
        <w:t>‘</w:t>
      </w:r>
      <w:r w:rsidR="003C2849" w:rsidRPr="00B372E8">
        <w:t xml:space="preserve">Robinson v Chief Constable of West Yorkshire Police </w:t>
      </w:r>
      <w:r w:rsidR="00B372E8" w:rsidRPr="00B372E8">
        <w:t>(</w:t>
      </w:r>
      <w:r w:rsidR="003C2849" w:rsidRPr="00B372E8">
        <w:t>2018</w:t>
      </w:r>
      <w:r w:rsidR="00B372E8" w:rsidRPr="00B372E8">
        <w:t>)</w:t>
      </w:r>
      <w:r w:rsidR="00EC396C" w:rsidRPr="00B372E8">
        <w:t>’</w:t>
      </w:r>
      <w:r w:rsidR="003C2849" w:rsidRPr="00B372E8">
        <w:t>, courts no longer treat this limb as a policy exception to liability but rather consider it as part of a broader assessment</w:t>
      </w:r>
      <w:r w:rsidR="003C2849" w:rsidRPr="008B3158">
        <w:t xml:space="preserve"> based on the facts of the case.</w:t>
      </w:r>
      <w:r w:rsidR="00437B09">
        <w:t xml:space="preserve"> </w:t>
      </w:r>
      <w:r w:rsidR="003C2849" w:rsidRPr="008B3158">
        <w:t xml:space="preserve">Moreover, Barry’s duty is reinforced by statutory obligations, </w:t>
      </w:r>
      <w:r w:rsidR="003C2849" w:rsidRPr="008B3158">
        <w:lastRenderedPageBreak/>
        <w:t xml:space="preserve">including those set out in the </w:t>
      </w:r>
      <w:r w:rsidR="003C2849" w:rsidRPr="009E5583">
        <w:rPr>
          <w:i/>
          <w:iCs/>
        </w:rPr>
        <w:t xml:space="preserve">Health and Safety at Work etc. Act 1974, </w:t>
      </w:r>
      <w:r w:rsidR="003C2849" w:rsidRPr="008B3158">
        <w:t>which requires organisers to ensure, so far as is reasonably practicable, the health and safety of persons affected by their undertakings. Accordingly, both common law and statutory frameworks support the conclusion that Barry owed a duty of care to all festival attendees.</w:t>
      </w:r>
      <w:r w:rsidR="00666051">
        <w:t xml:space="preserve"> </w:t>
      </w:r>
      <w:r w:rsidR="003C2849" w:rsidRPr="00563A8F">
        <w:t xml:space="preserve">Under section 2(2) of </w:t>
      </w:r>
      <w:r w:rsidR="003C2849" w:rsidRPr="009E5583">
        <w:t xml:space="preserve">the </w:t>
      </w:r>
      <w:r w:rsidR="003C2849" w:rsidRPr="009E5583">
        <w:rPr>
          <w:i/>
          <w:iCs/>
        </w:rPr>
        <w:t>Occupiers’ Liability Act 1957</w:t>
      </w:r>
      <w:r w:rsidR="003C2849" w:rsidRPr="009E5583">
        <w:t>,</w:t>
      </w:r>
      <w:r w:rsidR="003C2849" w:rsidRPr="00563A8F">
        <w:t xml:space="preserve"> Barry, as the event organiser and occupier of the festival premises, owed a duty to ensure that all lawful visitors were reasonably safe while attending the event. This statutory duty encompasses both obvious and hidden dangers, requiring proactive measures to identify and mitigate risks present on the premises. However, the statute does not provide a precise definition of what constitutes an “unreasonable risk,” leaving it to judicial interpretation.</w:t>
      </w:r>
      <w:r w:rsidR="00AB2FB7">
        <w:t xml:space="preserve"> </w:t>
      </w:r>
      <w:r w:rsidR="003C2849" w:rsidRPr="003C2849">
        <w:t xml:space="preserve">Judicial interpretation has clarified the scope of liability under the </w:t>
      </w:r>
      <w:r w:rsidR="00BC79F9" w:rsidRPr="00D0030A">
        <w:rPr>
          <w:i/>
          <w:iCs/>
        </w:rPr>
        <w:t xml:space="preserve">Occupiers Liability </w:t>
      </w:r>
      <w:r w:rsidR="003C2849" w:rsidRPr="00D0030A">
        <w:rPr>
          <w:i/>
          <w:iCs/>
        </w:rPr>
        <w:t>Act</w:t>
      </w:r>
      <w:r w:rsidR="00BC79F9" w:rsidRPr="00D0030A">
        <w:rPr>
          <w:i/>
          <w:iCs/>
        </w:rPr>
        <w:t xml:space="preserve"> 1957</w:t>
      </w:r>
      <w:r w:rsidR="003C2849" w:rsidRPr="003C2849">
        <w:t xml:space="preserve">. In </w:t>
      </w:r>
      <w:r w:rsidR="002B1F1F">
        <w:t>‘</w:t>
      </w:r>
      <w:r w:rsidR="003C2849" w:rsidRPr="00D0030A">
        <w:t xml:space="preserve">Tomlinson v Congleton Borough Council </w:t>
      </w:r>
      <w:r w:rsidR="00D0030A">
        <w:t>(</w:t>
      </w:r>
      <w:r w:rsidR="003C2849" w:rsidRPr="00D0030A">
        <w:t>200</w:t>
      </w:r>
      <w:r w:rsidR="00D0030A">
        <w:t>4)</w:t>
      </w:r>
      <w:r w:rsidR="002B1F1F">
        <w:t xml:space="preserve"> 1 AC 46’</w:t>
      </w:r>
      <w:r w:rsidR="003C2849" w:rsidRPr="00D0030A">
        <w:t>,</w:t>
      </w:r>
      <w:r w:rsidR="003C2849" w:rsidRPr="003C2849">
        <w:t xml:space="preserve"> the court held that liability does not extend to all risks, only those deemed unreasonable in the circumstances. There, injury from diving into shallow water was voluntary and unforeseeable. In contrast, </w:t>
      </w:r>
      <w:r w:rsidR="003C2849" w:rsidRPr="00A00E9B">
        <w:t xml:space="preserve">Barry’s use of fireworks in a dense crowd of over 1,000 posed a foreseeable and serious risk. In </w:t>
      </w:r>
      <w:r w:rsidR="00A00E9B" w:rsidRPr="00A00E9B">
        <w:t>‘</w:t>
      </w:r>
      <w:r w:rsidR="003C2849" w:rsidRPr="00A00E9B">
        <w:t>Haley v London Electricity Board [1965]</w:t>
      </w:r>
      <w:r w:rsidR="00A00E9B" w:rsidRPr="00A00E9B">
        <w:t>’</w:t>
      </w:r>
      <w:r w:rsidR="003C2849" w:rsidRPr="00A00E9B">
        <w:t>, the court found liability could arise even from low</w:t>
      </w:r>
      <w:r w:rsidR="00BC79F9">
        <w:t xml:space="preserve"> </w:t>
      </w:r>
      <w:r w:rsidR="003C2849" w:rsidRPr="003C2849">
        <w:t>probability harm if the consequences were severe</w:t>
      </w:r>
      <w:r w:rsidR="00BC79F9">
        <w:t xml:space="preserve"> </w:t>
      </w:r>
      <w:r w:rsidR="003C2849" w:rsidRPr="003C2849">
        <w:t xml:space="preserve">especially for vulnerable groups. </w:t>
      </w:r>
      <w:r w:rsidR="00A87969">
        <w:t>P</w:t>
      </w:r>
      <w:r w:rsidR="003C2849" w:rsidRPr="003C2849">
        <w:t>reventable risks must be proactively managed by occupiers.</w:t>
      </w:r>
      <w:r w:rsidR="005C1BDF">
        <w:t xml:space="preserve"> </w:t>
      </w:r>
      <w:r w:rsidR="00BE6BFA" w:rsidRPr="00BE6BFA">
        <w:t>Barry’s failure to conduct adequate risk assessments, implement crowd control measures, and manage the inherent dangers of a fireworks display contributed directly to the injuries suffered, including Sarah’s. This indicates a breach of both common law and statutory duties.</w:t>
      </w:r>
    </w:p>
    <w:p w14:paraId="48ACB6C7" w14:textId="6439395F" w:rsidR="00BE6BFA" w:rsidRPr="00BE6BFA" w:rsidRDefault="00BE6BFA" w:rsidP="00BE6BFA">
      <w:r w:rsidRPr="00BE6BFA">
        <w:t xml:space="preserve">Under </w:t>
      </w:r>
      <w:r w:rsidRPr="00BE6BFA">
        <w:rPr>
          <w:i/>
          <w:iCs/>
        </w:rPr>
        <w:t>Section 3</w:t>
      </w:r>
      <w:r w:rsidRPr="00BE6BFA">
        <w:t xml:space="preserve"> of the </w:t>
      </w:r>
      <w:r w:rsidRPr="00A87969">
        <w:rPr>
          <w:i/>
          <w:iCs/>
        </w:rPr>
        <w:t>Health and Safety at Work etc. Act 1974</w:t>
      </w:r>
      <w:r w:rsidRPr="00A87969">
        <w:t>,</w:t>
      </w:r>
      <w:r w:rsidRPr="00BE6BFA">
        <w:t xml:space="preserve"> organisers must </w:t>
      </w:r>
      <w:r w:rsidR="00DA4CA5" w:rsidRPr="00BE6BFA">
        <w:t>ensure</w:t>
      </w:r>
      <w:r w:rsidR="00DA4CA5">
        <w:t xml:space="preserve"> </w:t>
      </w:r>
      <w:r w:rsidR="00DA4CA5" w:rsidRPr="00BE6BFA">
        <w:t>so</w:t>
      </w:r>
      <w:r w:rsidRPr="00BE6BFA">
        <w:t xml:space="preserve"> far as reasonably practicable, the safety of the public. This duty is supported by the</w:t>
      </w:r>
      <w:r w:rsidR="00364E0A" w:rsidRPr="00364E0A">
        <w:rPr>
          <w:i/>
          <w:iCs/>
        </w:rPr>
        <w:t xml:space="preserve"> </w:t>
      </w:r>
      <w:r w:rsidRPr="00364E0A">
        <w:rPr>
          <w:i/>
          <w:iCs/>
        </w:rPr>
        <w:t>Management of Health and Safety at Work Regulations 1999</w:t>
      </w:r>
      <w:r w:rsidRPr="00BE6BFA">
        <w:t xml:space="preserve">, notably </w:t>
      </w:r>
      <w:r w:rsidRPr="00BE6BFA">
        <w:rPr>
          <w:i/>
          <w:iCs/>
        </w:rPr>
        <w:t>Regulation 3</w:t>
      </w:r>
      <w:r w:rsidRPr="00BE6BFA">
        <w:t xml:space="preserve">, which requires suitable risk assessments. Given the setting, a rigorous evaluation of </w:t>
      </w:r>
      <w:r w:rsidR="00B50534">
        <w:t>Firework</w:t>
      </w:r>
      <w:r w:rsidR="00985DD1">
        <w:t xml:space="preserve">s </w:t>
      </w:r>
      <w:r w:rsidRPr="00BE6BFA">
        <w:t xml:space="preserve">risks was essential. </w:t>
      </w:r>
      <w:r w:rsidRPr="00C96547">
        <w:rPr>
          <w:i/>
          <w:iCs/>
        </w:rPr>
        <w:t>The Fireworks Regulations 2004,</w:t>
      </w:r>
      <w:r w:rsidRPr="00BE6BFA">
        <w:t xml:space="preserve"> </w:t>
      </w:r>
      <w:r w:rsidRPr="00BE6BFA">
        <w:rPr>
          <w:i/>
          <w:iCs/>
        </w:rPr>
        <w:t>Regulation 4</w:t>
      </w:r>
      <w:r w:rsidRPr="00BE6BFA">
        <w:t xml:space="preserve">, also impose </w:t>
      </w:r>
      <w:r w:rsidRPr="00476147">
        <w:t>specific duties regarding safe use and storage. Barry’s failure to meet these obligations suggests a breach.</w:t>
      </w:r>
      <w:r w:rsidR="00985DD1" w:rsidRPr="00476147">
        <w:t xml:space="preserve"> </w:t>
      </w:r>
      <w:r w:rsidRPr="00476147">
        <w:t xml:space="preserve">In </w:t>
      </w:r>
      <w:r w:rsidR="003A2BA9" w:rsidRPr="00476147">
        <w:t>‘</w:t>
      </w:r>
      <w:r w:rsidRPr="00476147">
        <w:t xml:space="preserve">R v Associated </w:t>
      </w:r>
      <w:proofErr w:type="spellStart"/>
      <w:r w:rsidRPr="00476147">
        <w:t>Octel</w:t>
      </w:r>
      <w:proofErr w:type="spellEnd"/>
      <w:r w:rsidR="000034E8" w:rsidRPr="00476147">
        <w:t xml:space="preserve"> C</w:t>
      </w:r>
      <w:r w:rsidR="003A2BA9" w:rsidRPr="00476147">
        <w:t>o</w:t>
      </w:r>
      <w:r w:rsidRPr="00476147">
        <w:t xml:space="preserve"> Ltd [1996]</w:t>
      </w:r>
      <w:r w:rsidR="003A2BA9" w:rsidRPr="00476147">
        <w:t>’</w:t>
      </w:r>
      <w:r w:rsidRPr="00476147">
        <w:t xml:space="preserve"> and </w:t>
      </w:r>
      <w:r w:rsidR="003A2BA9" w:rsidRPr="00476147">
        <w:t>‘</w:t>
      </w:r>
      <w:r w:rsidRPr="00476147">
        <w:t>R v Board of Trustees of the Science Museum [1993]</w:t>
      </w:r>
      <w:r w:rsidR="003A2BA9" w:rsidRPr="00476147">
        <w:t>’</w:t>
      </w:r>
      <w:r w:rsidRPr="00476147">
        <w:t>, liability was imposed where foreseeable risks were not properly managed</w:t>
      </w:r>
      <w:r w:rsidR="00985DD1" w:rsidRPr="00476147">
        <w:t xml:space="preserve"> </w:t>
      </w:r>
      <w:r w:rsidRPr="00476147">
        <w:t>even without resulting injury</w:t>
      </w:r>
      <w:r w:rsidR="00985DD1" w:rsidRPr="00476147">
        <w:t xml:space="preserve"> </w:t>
      </w:r>
      <w:r w:rsidRPr="00476147">
        <w:t>reinforcing the duty of</w:t>
      </w:r>
      <w:r w:rsidRPr="00BE6BFA">
        <w:t xml:space="preserve"> proactive risk prevention.</w:t>
      </w:r>
    </w:p>
    <w:p w14:paraId="49041C52" w14:textId="2C19174B" w:rsidR="00B06F5F" w:rsidRPr="00B06F5F" w:rsidRDefault="00B06F5F" w:rsidP="00B06F5F">
      <w:r w:rsidRPr="00B06F5F">
        <w:t xml:space="preserve">Barry may still be liable despite delegating the fireworks display to a contractor. In </w:t>
      </w:r>
      <w:r w:rsidR="00E32215">
        <w:t>‘</w:t>
      </w:r>
      <w:r w:rsidRPr="00B06F5F">
        <w:t>Honeywill and Stein Ltd v Larkin Brothers Ltd [1934]</w:t>
      </w:r>
      <w:r w:rsidR="00E32215">
        <w:t>’</w:t>
      </w:r>
      <w:r w:rsidRPr="00B06F5F">
        <w:t xml:space="preserve"> and </w:t>
      </w:r>
      <w:r w:rsidR="0046398D" w:rsidRPr="0046398D">
        <w:t>‘</w:t>
      </w:r>
      <w:r w:rsidRPr="00B06F5F">
        <w:t>Woodland v Swimming Teachers</w:t>
      </w:r>
      <w:r w:rsidR="000504A4" w:rsidRPr="0046398D">
        <w:t>’</w:t>
      </w:r>
      <w:r w:rsidRPr="00B06F5F">
        <w:t xml:space="preserve"> Association</w:t>
      </w:r>
      <w:r w:rsidR="0046398D" w:rsidRPr="0046398D">
        <w:t xml:space="preserve"> and others</w:t>
      </w:r>
      <w:r w:rsidRPr="00B06F5F">
        <w:t xml:space="preserve"> [2013]</w:t>
      </w:r>
      <w:r w:rsidR="0046398D" w:rsidRPr="0046398D">
        <w:t>’</w:t>
      </w:r>
      <w:r w:rsidRPr="00B06F5F">
        <w:t>, the courts held that a non-delegable duty of care can arise in inherently dangerous activities. Given this and the statutory context, Barry’s failure to manage the risks could amount to a serious breach of duty (</w:t>
      </w:r>
      <w:r w:rsidR="00EA037D">
        <w:t>Lunney</w:t>
      </w:r>
      <w:r w:rsidRPr="00B06F5F">
        <w:t xml:space="preserve"> &amp; Oliphant, 2023).</w:t>
      </w:r>
    </w:p>
    <w:p w14:paraId="3DBF61FC" w14:textId="5C10D697" w:rsidR="00B06F5F" w:rsidRPr="00B06F5F" w:rsidRDefault="00B06F5F" w:rsidP="00B06F5F">
      <w:r w:rsidRPr="00B06F5F">
        <w:lastRenderedPageBreak/>
        <w:t xml:space="preserve">Further, in </w:t>
      </w:r>
      <w:r w:rsidR="00CE3FCC">
        <w:t>‘</w:t>
      </w:r>
      <w:r w:rsidRPr="00B06F5F">
        <w:t xml:space="preserve">Cox v Ministry of Justice </w:t>
      </w:r>
      <w:r w:rsidR="00CE3FCC">
        <w:t>(</w:t>
      </w:r>
      <w:r w:rsidRPr="00B06F5F">
        <w:t>2016</w:t>
      </w:r>
      <w:r w:rsidR="00CE3FCC">
        <w:t>)’</w:t>
      </w:r>
      <w:r w:rsidRPr="00B06F5F">
        <w:t xml:space="preserve"> and </w:t>
      </w:r>
      <w:r w:rsidR="00CE3FCC">
        <w:t>‘</w:t>
      </w:r>
      <w:r w:rsidRPr="00B06F5F">
        <w:t xml:space="preserve">Mohamud v WM Morrison Supermarkets plc </w:t>
      </w:r>
      <w:r w:rsidR="00CE3FCC">
        <w:t>(</w:t>
      </w:r>
      <w:r w:rsidRPr="00B06F5F">
        <w:t>2016</w:t>
      </w:r>
      <w:r w:rsidR="00CE3FCC">
        <w:t>)’</w:t>
      </w:r>
      <w:r w:rsidRPr="00B06F5F">
        <w:t>, the courts found that vicarious liability may apply where there is a close connection between the act and the role assigned. If the fireworks posed a foreseeable risk linked to the event, Barry could also be vicariously liable.</w:t>
      </w:r>
    </w:p>
    <w:p w14:paraId="6779775A" w14:textId="66679094" w:rsidR="00BE6BFA" w:rsidRPr="00BE6BFA" w:rsidRDefault="00BE6BFA" w:rsidP="00BE6BFA">
      <w:r w:rsidRPr="00683D6D">
        <w:t xml:space="preserve">While </w:t>
      </w:r>
      <w:r w:rsidRPr="00683D6D">
        <w:rPr>
          <w:i/>
          <w:iCs/>
        </w:rPr>
        <w:t>The Employment Rights Act 1996</w:t>
      </w:r>
      <w:r w:rsidRPr="00683D6D">
        <w:t xml:space="preserve"> primarily addresses</w:t>
      </w:r>
      <w:r w:rsidRPr="00BE6BFA">
        <w:t xml:space="preserve"> employee protections, it supports the principle that those in control have a duty to ensure workplace safety. Barry’s failure to supervise or assess the contractor’s competence may therefore constitute a breach of his duty of care.</w:t>
      </w:r>
      <w:r w:rsidR="004049DE">
        <w:t xml:space="preserve"> </w:t>
      </w:r>
      <w:r w:rsidRPr="00BE6BFA">
        <w:t xml:space="preserve">However, </w:t>
      </w:r>
      <w:r w:rsidRPr="0062241F">
        <w:t xml:space="preserve">in </w:t>
      </w:r>
      <w:r w:rsidR="0062241F">
        <w:t>‘</w:t>
      </w:r>
      <w:r w:rsidRPr="0062241F">
        <w:t xml:space="preserve">Various Claimants v Barclays Bank plc </w:t>
      </w:r>
      <w:r w:rsidR="00D17C38">
        <w:t>(</w:t>
      </w:r>
      <w:r w:rsidRPr="0062241F">
        <w:t>2020</w:t>
      </w:r>
      <w:r w:rsidR="00D17C38">
        <w:t>)</w:t>
      </w:r>
      <w:r w:rsidR="0062241F">
        <w:t>’</w:t>
      </w:r>
      <w:r w:rsidRPr="0062241F">
        <w:t>, the Court clarified that vicarious liability typically does not extend to truly independent contractors, reaffirming the distinction from employees</w:t>
      </w:r>
      <w:r w:rsidRPr="00BE6BFA">
        <w:t xml:space="preserve"> or those in relationships "akin to employment." If the fireworks operator was genuinely independent and not under Barry’s control, liability under this doctrine may not arise.</w:t>
      </w:r>
      <w:r w:rsidR="00767716">
        <w:t xml:space="preserve"> </w:t>
      </w:r>
      <w:r w:rsidRPr="00BE6BFA">
        <w:t xml:space="preserve">Nevertheless, Barry’s personal duty of care under the </w:t>
      </w:r>
      <w:r w:rsidRPr="00C37092">
        <w:rPr>
          <w:i/>
          <w:iCs/>
        </w:rPr>
        <w:t>Occupiers’ Liability Act 1957</w:t>
      </w:r>
      <w:r w:rsidRPr="00BE6BFA">
        <w:t xml:space="preserve"> and health and safety law persists. A failure to undertake due diligence or ensure reasonable safety precautions could still result in primary liability.</w:t>
      </w:r>
    </w:p>
    <w:p w14:paraId="7BD0C207" w14:textId="47720F23" w:rsidR="00BE6BFA" w:rsidRDefault="00BE6BFA" w:rsidP="00BE6BFA">
      <w:r w:rsidRPr="00BE6BFA">
        <w:t xml:space="preserve">In </w:t>
      </w:r>
      <w:r w:rsidR="00931A03">
        <w:t>‘</w:t>
      </w:r>
      <w:r w:rsidRPr="00931A03">
        <w:t>Overseas Tankship (UK) Ltd v The Miller Steamship Co</w:t>
      </w:r>
      <w:r w:rsidR="00931A03" w:rsidRPr="00931A03">
        <w:t xml:space="preserve"> or </w:t>
      </w:r>
      <w:r w:rsidRPr="00931A03">
        <w:t xml:space="preserve">Wagon Mound </w:t>
      </w:r>
      <w:r w:rsidR="00931A03" w:rsidRPr="00931A03">
        <w:t>(</w:t>
      </w:r>
      <w:r w:rsidRPr="00931A03">
        <w:t>No. 2) [1967]</w:t>
      </w:r>
      <w:r w:rsidR="00931A03">
        <w:t>’</w:t>
      </w:r>
      <w:r w:rsidRPr="00931A03">
        <w:t>, the court held that liability only arises for harm that is reasonably foreseeable. Given the nature of</w:t>
      </w:r>
      <w:r w:rsidRPr="00BE6BFA">
        <w:t xml:space="preserve"> fireworks and the large crowd at the Time Stomp festival, the risk of injury</w:t>
      </w:r>
      <w:r w:rsidR="00767716">
        <w:t xml:space="preserve"> </w:t>
      </w:r>
      <w:r w:rsidRPr="00AC5883">
        <w:t>particularly through crowd panic</w:t>
      </w:r>
      <w:r w:rsidR="00767716" w:rsidRPr="00AC5883">
        <w:t xml:space="preserve"> </w:t>
      </w:r>
      <w:r w:rsidRPr="00AC5883">
        <w:t>was clearly foreseeable. While Sarah’s specific reaction (freezing and being trampled) might seem remote, the broader risk of stampede following a malfunction was predictable.</w:t>
      </w:r>
      <w:r w:rsidR="00767716" w:rsidRPr="00AC5883">
        <w:t xml:space="preserve"> </w:t>
      </w:r>
      <w:r w:rsidRPr="00AC5883">
        <w:t xml:space="preserve">Barry’s failure to ensure effective crowd control or emergency exits arguably breached Regulation 8 of the </w:t>
      </w:r>
      <w:r w:rsidR="00AC5883">
        <w:t>‘</w:t>
      </w:r>
      <w:r w:rsidRPr="00AC5883">
        <w:rPr>
          <w:i/>
          <w:iCs/>
        </w:rPr>
        <w:t>Management of Health and Safety at Work Regulations 1999</w:t>
      </w:r>
      <w:r w:rsidR="00AC5883">
        <w:rPr>
          <w:i/>
          <w:iCs/>
        </w:rPr>
        <w:t>’</w:t>
      </w:r>
      <w:r w:rsidRPr="00AC5883">
        <w:t>, which</w:t>
      </w:r>
      <w:r w:rsidRPr="00BE6BFA">
        <w:t xml:space="preserve"> requires proper emergency planning. This omission substantially increased the risk of injury, supporting the likelihood of </w:t>
      </w:r>
      <w:r w:rsidRPr="00AC5883">
        <w:t>liability.</w:t>
      </w:r>
      <w:r w:rsidR="00175FB7" w:rsidRPr="00AC5883">
        <w:t xml:space="preserve"> </w:t>
      </w:r>
      <w:r w:rsidRPr="00AC5883">
        <w:t xml:space="preserve">Under </w:t>
      </w:r>
      <w:r w:rsidR="00AC5883" w:rsidRPr="00AC5883">
        <w:t>‘</w:t>
      </w:r>
      <w:r w:rsidRPr="00AC5883">
        <w:t>Caparo Industries plc v Dickman [1990]</w:t>
      </w:r>
      <w:r w:rsidR="00AC5883" w:rsidRPr="00AC5883">
        <w:t>’</w:t>
      </w:r>
      <w:r w:rsidRPr="00AC5883">
        <w:t>, duty of care is established where harm is foreseeable, proximity exists, and imposing</w:t>
      </w:r>
      <w:r w:rsidRPr="00BE6BFA">
        <w:t xml:space="preserve"> a duty is fair, just, and reasonable</w:t>
      </w:r>
      <w:r w:rsidR="00175FB7">
        <w:t xml:space="preserve"> </w:t>
      </w:r>
      <w:r w:rsidRPr="00BE6BFA">
        <w:t xml:space="preserve">all of which are satisfied here. Barry had direct control over the event and owed a duty to attendees, consistent with the "neighbour principle" from </w:t>
      </w:r>
      <w:r w:rsidR="00925FCF" w:rsidRPr="00925FCF">
        <w:t>‘</w:t>
      </w:r>
      <w:r w:rsidRPr="00925FCF">
        <w:t>Donoghue v Stevenson</w:t>
      </w:r>
      <w:r w:rsidRPr="00BE6BFA">
        <w:t xml:space="preserve"> [1932]</w:t>
      </w:r>
      <w:r w:rsidR="00925FCF">
        <w:t>’</w:t>
      </w:r>
      <w:r w:rsidRPr="00BE6BFA">
        <w:t>, which requires reasonable care to avoid foreseeable harm.</w:t>
      </w:r>
      <w:r w:rsidR="00553A6E">
        <w:t xml:space="preserve"> </w:t>
      </w:r>
    </w:p>
    <w:p w14:paraId="1F979A56" w14:textId="0B173B43" w:rsidR="00553A6E" w:rsidRPr="00BE6BFA" w:rsidRDefault="00553A6E" w:rsidP="00BE6BFA">
      <w:r w:rsidRPr="00553A6E">
        <w:t xml:space="preserve">Causation is established through </w:t>
      </w:r>
      <w:r w:rsidRPr="004E2AA1">
        <w:t xml:space="preserve">the </w:t>
      </w:r>
      <w:r w:rsidR="004E2AA1">
        <w:t>‘</w:t>
      </w:r>
      <w:r w:rsidRPr="004E2AA1">
        <w:t>Barnett v Chelsea and Kensington Hospital Management Committee [1969]</w:t>
      </w:r>
      <w:r w:rsidR="004E2AA1">
        <w:t>’</w:t>
      </w:r>
      <w:r w:rsidRPr="004E2AA1">
        <w:t xml:space="preserve"> “but for" test. Had Barry implemented</w:t>
      </w:r>
      <w:r w:rsidRPr="00553A6E">
        <w:t xml:space="preserve"> proper safety measures, Sarah’s injuries would likely have been avoided. This demonstrates a direct causal link between Barry’s negligence and the harm sustained. As she was physically injured during the incident and was within the range of foreseeable harm, Sarah is likely to be classed </w:t>
      </w:r>
      <w:r w:rsidRPr="004E2AA1">
        <w:t>as a primary victim under</w:t>
      </w:r>
      <w:r w:rsidRPr="00553A6E">
        <w:t xml:space="preserve"> the definition established in </w:t>
      </w:r>
      <w:r w:rsidR="008E2834">
        <w:t>‘</w:t>
      </w:r>
      <w:r w:rsidRPr="008E2834">
        <w:t>Page v Smith [1996]</w:t>
      </w:r>
      <w:r w:rsidR="008E2834" w:rsidRPr="008E2834">
        <w:t>’</w:t>
      </w:r>
      <w:r w:rsidRPr="008E2834">
        <w:t>, which applies to individuals directly involved in an event and subjected</w:t>
      </w:r>
      <w:r w:rsidRPr="00553A6E">
        <w:t xml:space="preserve"> to physical harm or risk thereof. However, Barry’s level of liability could potentially be mitigated by the doctrine of contributory negligence. It is reported that Bob moved </w:t>
      </w:r>
      <w:r w:rsidRPr="00553A6E">
        <w:lastRenderedPageBreak/>
        <w:t xml:space="preserve">Sarah following the incident, which may have exacerbated her injuries. If it can be demonstrated that waiting for qualified medical assistance would have resulted in less harm, then Bob’s actions may be considered a contributing factor, thereby reducing the extent of Barry’s legal responsibility under the </w:t>
      </w:r>
      <w:r w:rsidR="00A4658D">
        <w:t>‘</w:t>
      </w:r>
      <w:r w:rsidRPr="00553A6E">
        <w:rPr>
          <w:i/>
          <w:iCs/>
        </w:rPr>
        <w:t>Law Reform (Contributory Negligence) Act 1945</w:t>
      </w:r>
      <w:r w:rsidR="00A4658D">
        <w:rPr>
          <w:i/>
          <w:iCs/>
        </w:rPr>
        <w:t>’</w:t>
      </w:r>
      <w:r w:rsidRPr="00FE71E5">
        <w:t>. Stapleton (2021) notes that</w:t>
      </w:r>
      <w:r w:rsidRPr="00553A6E">
        <w:t xml:space="preserve"> contributory negligence may apply where a rescuer’s actions are unreasonable, potentially reducing </w:t>
      </w:r>
      <w:r w:rsidRPr="007F5BA0">
        <w:t xml:space="preserve">damages. However, courts typically adopt a lenient approach to emergency interventions. In </w:t>
      </w:r>
      <w:r w:rsidR="0069019F" w:rsidRPr="007F5BA0">
        <w:t>‘</w:t>
      </w:r>
      <w:r w:rsidRPr="007F5BA0">
        <w:t>Baker v TE Hopkins &amp; Son Ltd [1959]</w:t>
      </w:r>
      <w:r w:rsidR="0069019F" w:rsidRPr="007F5BA0">
        <w:t>’</w:t>
      </w:r>
      <w:r w:rsidRPr="007F5BA0">
        <w:t xml:space="preserve">, a doctor who died rescuing workers from a gas-filled well was held not to be contributorily negligent, as his actions were reasonable and foreseeable in the circumstances. Similarly, if Bob reasonably believed Sarah was in immediate danger and acted instinctively, his conduct is unlikely to constitute contributory negligence. The ruling in </w:t>
      </w:r>
      <w:r w:rsidR="007F5BA0" w:rsidRPr="007F5BA0">
        <w:t>‘</w:t>
      </w:r>
      <w:r w:rsidRPr="007F5BA0">
        <w:t>Chadwick v British Railways Board [1967]</w:t>
      </w:r>
      <w:r w:rsidR="007F5BA0" w:rsidRPr="007F5BA0">
        <w:t>’</w:t>
      </w:r>
      <w:r w:rsidRPr="007F5BA0">
        <w:t xml:space="preserve"> also supports</w:t>
      </w:r>
      <w:r w:rsidRPr="00553A6E">
        <w:t xml:space="preserve"> the view that rescuers may be owed a duty of care. In that case, the claimant, who assisted victims of a train crash and later developed psychiatric injury, was entitled to recover damages. However, the scope of who qualifies as a rescuer has since been narrowed. In </w:t>
      </w:r>
      <w:r w:rsidR="001B1266">
        <w:t>‘</w:t>
      </w:r>
      <w:r w:rsidRPr="001B1266">
        <w:t>White v Chief Constable of South Yorkshire Police [1999]</w:t>
      </w:r>
      <w:r w:rsidR="001B1266">
        <w:t>’</w:t>
      </w:r>
      <w:r w:rsidRPr="001B1266">
        <w:t>, the House of Lords ruled that i</w:t>
      </w:r>
      <w:r w:rsidRPr="00553A6E">
        <w:t xml:space="preserve">n the absence of actual or perceived physical danger, claimants cannot qualify as primary victims even if they were involved in rescue efforts. In Bob’s case, although he attempted to help Sarah following the crowd surge, he may struggle to meet the threshold for primary victim status </w:t>
      </w:r>
      <w:r w:rsidRPr="001B1266">
        <w:t xml:space="preserve">under </w:t>
      </w:r>
      <w:r w:rsidR="001B1266">
        <w:t>‘</w:t>
      </w:r>
      <w:r w:rsidRPr="001B1266">
        <w:t>Page v Smith [1996</w:t>
      </w:r>
      <w:r w:rsidRPr="00553A6E">
        <w:t>]</w:t>
      </w:r>
      <w:r w:rsidR="001B1266">
        <w:t>’</w:t>
      </w:r>
      <w:r w:rsidRPr="00553A6E">
        <w:t xml:space="preserve">, as he was not exposed to physical danger himself. He also does not meet the criteria for a secondary victim as laid out </w:t>
      </w:r>
      <w:r w:rsidRPr="00431389">
        <w:t xml:space="preserve">in </w:t>
      </w:r>
      <w:r w:rsidR="00431389" w:rsidRPr="00431389">
        <w:t>‘</w:t>
      </w:r>
      <w:r w:rsidRPr="00431389">
        <w:t>Alcock v Chief Constable of South Yorkshire Police [1991]</w:t>
      </w:r>
      <w:r w:rsidR="00431389" w:rsidRPr="00431389">
        <w:t>’</w:t>
      </w:r>
      <w:r w:rsidRPr="00431389">
        <w:t>, as he lacked a close tie with Sarah, despite his direct perception of the incident</w:t>
      </w:r>
      <w:r w:rsidRPr="00553A6E">
        <w:t xml:space="preserve">. Regarding Barry, the event organiser, he is unlikely to be classed as either a primary or secondary victim. He was not endangered during the incident, nor did he share a recognised close relationship with any injured party. As established </w:t>
      </w:r>
      <w:r w:rsidRPr="00431389">
        <w:t xml:space="preserve">in </w:t>
      </w:r>
      <w:r w:rsidR="00431389" w:rsidRPr="00431389">
        <w:t>‘</w:t>
      </w:r>
      <w:r w:rsidRPr="00431389">
        <w:t>Greatorex v Greatorex [2000]</w:t>
      </w:r>
      <w:r w:rsidR="00431389" w:rsidRPr="00431389">
        <w:t>’</w:t>
      </w:r>
      <w:r w:rsidRPr="00431389">
        <w:t>, courts are reluctant to impose a duty of care in rescue situations where the relationship</w:t>
      </w:r>
      <w:r w:rsidRPr="00553A6E">
        <w:t xml:space="preserve"> between parties is too remote. Therefore, it is unlikely that Barry would owe Bob a duty of care in these circumstances.</w:t>
      </w:r>
    </w:p>
    <w:p w14:paraId="6AC10A02" w14:textId="133DC43E" w:rsidR="00B377A1" w:rsidRPr="002A0155" w:rsidRDefault="00BE6BFA" w:rsidP="00B377A1">
      <w:pPr>
        <w:rPr>
          <w:i/>
          <w:iCs/>
        </w:rPr>
      </w:pPr>
      <w:r w:rsidRPr="00BE6BFA">
        <w:t>Barry may be liable for Jack’s psychiatric injury, potentially classifying Jack as either a secondary or, more favourably, a primary victim</w:t>
      </w:r>
      <w:r w:rsidRPr="00EF410D">
        <w:t xml:space="preserve">. Under </w:t>
      </w:r>
      <w:r w:rsidR="00EF410D">
        <w:t>‘</w:t>
      </w:r>
      <w:r w:rsidRPr="00EF410D">
        <w:t>Alcock v Chief Constable of South Yorkshire Police [1991]</w:t>
      </w:r>
      <w:r w:rsidR="00EF410D">
        <w:t>’</w:t>
      </w:r>
      <w:r w:rsidRPr="00EF410D">
        <w:t>, secondary victims must meet strict criteria</w:t>
      </w:r>
      <w:r w:rsidR="00DD187E">
        <w:t xml:space="preserve"> </w:t>
      </w:r>
      <w:r w:rsidR="00293197">
        <w:t xml:space="preserve">which are </w:t>
      </w:r>
      <w:r w:rsidRPr="00BE6BFA">
        <w:t xml:space="preserve">close emotional ties, proximity in time and space, direct perception, and a recognised psychiatric illness. Jack, present at the scene and in a romantic relationship with Sarah, satisfies these </w:t>
      </w:r>
      <w:r w:rsidRPr="00BF5A95">
        <w:t>conditions (</w:t>
      </w:r>
      <w:r w:rsidR="00E05670" w:rsidRPr="00BF5A95">
        <w:t>Elliott</w:t>
      </w:r>
      <w:r w:rsidR="00BF5A95" w:rsidRPr="00BF5A95">
        <w:t xml:space="preserve"> &amp; Quinn, 2023</w:t>
      </w:r>
      <w:r w:rsidRPr="00BF5A95">
        <w:t>). His</w:t>
      </w:r>
      <w:r w:rsidRPr="00BE6BFA">
        <w:t xml:space="preserve"> diagnosis of PTSD, a recognised disorder under </w:t>
      </w:r>
      <w:r w:rsidRPr="00A563B8">
        <w:t xml:space="preserve">the </w:t>
      </w:r>
      <w:r w:rsidR="006655BA" w:rsidRPr="00A563B8">
        <w:rPr>
          <w:i/>
          <w:iCs/>
        </w:rPr>
        <w:t>Mental Health Act 2007</w:t>
      </w:r>
      <w:r w:rsidR="006655BA" w:rsidRPr="00A563B8">
        <w:t>,</w:t>
      </w:r>
      <w:r w:rsidRPr="00BE6BFA">
        <w:t xml:space="preserve"> meets the requirement of medically verified harm.</w:t>
      </w:r>
      <w:r w:rsidR="006655BA">
        <w:t xml:space="preserve"> </w:t>
      </w:r>
      <w:r w:rsidR="00B377A1" w:rsidRPr="00B377A1">
        <w:t xml:space="preserve">Alternatively, Jack may qualify as a primary victim under </w:t>
      </w:r>
      <w:r w:rsidR="00A563B8" w:rsidRPr="00A563B8">
        <w:t>‘</w:t>
      </w:r>
      <w:r w:rsidR="00B377A1" w:rsidRPr="00A563B8">
        <w:t>Page v Smith [1996]</w:t>
      </w:r>
      <w:r w:rsidR="00A563B8" w:rsidRPr="00A563B8">
        <w:t>’</w:t>
      </w:r>
      <w:r w:rsidR="00B377A1" w:rsidRPr="00A563B8">
        <w:t>, which</w:t>
      </w:r>
      <w:r w:rsidR="00B377A1" w:rsidRPr="00B377A1">
        <w:t xml:space="preserve"> allows recovery for psychiatric harm where the claimant was within the foreseeable zone of physical danger, regardless of serious injury. Jack’s minor injuries from the crowd surge place him within that zone. As confirmed in </w:t>
      </w:r>
      <w:r w:rsidR="00B239D8" w:rsidRPr="00B239D8">
        <w:t>‘</w:t>
      </w:r>
      <w:r w:rsidR="006655BA" w:rsidRPr="00B239D8">
        <w:t>Young</w:t>
      </w:r>
      <w:r w:rsidR="00B377A1" w:rsidRPr="00B239D8">
        <w:t xml:space="preserve"> v Charles </w:t>
      </w:r>
      <w:r w:rsidR="00B377A1" w:rsidRPr="00B239D8">
        <w:lastRenderedPageBreak/>
        <w:t>Church (Southern) Ltd [1997]</w:t>
      </w:r>
      <w:r w:rsidR="00B239D8" w:rsidRPr="00B239D8">
        <w:t>’</w:t>
      </w:r>
      <w:r w:rsidR="00B377A1" w:rsidRPr="00B239D8">
        <w:t>, even minimal physical harm can suffice, removing</w:t>
      </w:r>
      <w:r w:rsidR="00B377A1" w:rsidRPr="00B377A1">
        <w:t xml:space="preserve"> the need to meet the stricter secondary victim criteria and focusing instead on the foreseeability of personal injury due to Barry’s negligence.</w:t>
      </w:r>
      <w:r w:rsidR="00FF6DD7">
        <w:t xml:space="preserve"> </w:t>
      </w:r>
      <w:r w:rsidR="00B377A1" w:rsidRPr="00B377A1">
        <w:t xml:space="preserve">As noted </w:t>
      </w:r>
      <w:r w:rsidR="00D53074">
        <w:t xml:space="preserve">by </w:t>
      </w:r>
      <w:r w:rsidR="002811E0">
        <w:t>Lumney &amp; Oliphant</w:t>
      </w:r>
      <w:r w:rsidR="00D53074">
        <w:t xml:space="preserve"> </w:t>
      </w:r>
      <w:r w:rsidR="002A0155">
        <w:t>(2023)</w:t>
      </w:r>
      <w:r w:rsidR="002A0155">
        <w:rPr>
          <w:i/>
          <w:iCs/>
        </w:rPr>
        <w:t xml:space="preserve"> </w:t>
      </w:r>
      <w:r w:rsidR="00B377A1" w:rsidRPr="00B377A1">
        <w:t xml:space="preserve">primary victims may recover for recognised psychiatric harm if physical injury was foreseeable, even if minor. In a crowded setting involving pyrotechnics, such harm was clearly foreseeable. Barry’s failure to carry out adequate risk assessments and implement crowd control, as </w:t>
      </w:r>
      <w:r w:rsidR="00B377A1" w:rsidRPr="00F358A6">
        <w:t>required under Regulation 3 of the Management of Health and Safety at Work Regulations 1999, supports a breach of duty.</w:t>
      </w:r>
    </w:p>
    <w:p w14:paraId="56B11BE4" w14:textId="494C871C" w:rsidR="00D804FE" w:rsidRDefault="00D804FE" w:rsidP="00B377A1">
      <w:r w:rsidRPr="00F358A6">
        <w:t>While Jack’s psychological vulnerability might be raised as a defence, it is important</w:t>
      </w:r>
      <w:r w:rsidRPr="00D804FE">
        <w:t xml:space="preserve"> to clarify that there is no evidence of a formally diagnosed mental health condition prior to</w:t>
      </w:r>
      <w:r>
        <w:t xml:space="preserve"> </w:t>
      </w:r>
      <w:r w:rsidRPr="00D804FE">
        <w:t>the incident. Any reference to a "pre-existing condition" in this context refers only to a possible emotional sensitivity or predisposition</w:t>
      </w:r>
      <w:r w:rsidR="00F358A6">
        <w:t xml:space="preserve"> </w:t>
      </w:r>
      <w:r w:rsidRPr="00D804FE">
        <w:t xml:space="preserve">not a diagnosed illness. Regardless, under the thin skull rule established in </w:t>
      </w:r>
      <w:r w:rsidR="00090807">
        <w:t>‘</w:t>
      </w:r>
      <w:r w:rsidRPr="00090807">
        <w:t>Smith v Leech Brain &amp; Co Ltd [1962]</w:t>
      </w:r>
      <w:r w:rsidR="00090807" w:rsidRPr="00090807">
        <w:t>’</w:t>
      </w:r>
      <w:r w:rsidRPr="00090807">
        <w:t>, a defendant must take the claimant as they find them. This principle was affirmed</w:t>
      </w:r>
      <w:r w:rsidRPr="00D804FE">
        <w:t xml:space="preserve"> in </w:t>
      </w:r>
      <w:r w:rsidR="00EE7D2F" w:rsidRPr="00EE7D2F">
        <w:t>‘</w:t>
      </w:r>
      <w:r w:rsidRPr="00EE7D2F">
        <w:t>Brice v Brown [1984]</w:t>
      </w:r>
      <w:r w:rsidR="00EE7D2F" w:rsidRPr="00EE7D2F">
        <w:t>’</w:t>
      </w:r>
      <w:r w:rsidRPr="00EE7D2F">
        <w:t>, which held that once psychiatric harm is reasonably foreseeable, the extent or severity</w:t>
      </w:r>
      <w:r w:rsidRPr="00D804FE">
        <w:t xml:space="preserve"> of that harm is irrelevant. Therefore, whether Jack is classified as a primary or secondary victim, his claim remains credible. Barry’s failure to take reasonable precautions against foreseeable harm makes him likely liable for Jack’s injuries.</w:t>
      </w:r>
    </w:p>
    <w:p w14:paraId="324DBA7C" w14:textId="48246F5C" w:rsidR="00B377A1" w:rsidRPr="00164D03" w:rsidRDefault="00B377A1" w:rsidP="00B377A1">
      <w:r w:rsidRPr="00164D03">
        <w:t xml:space="preserve">Mary’s potential claim for psychiatric </w:t>
      </w:r>
      <w:r w:rsidRPr="00234F77">
        <w:t xml:space="preserve">injury hinges on whether she qualifies as a secondary victim under the stringent criteria set out in </w:t>
      </w:r>
      <w:r w:rsidR="00234F77" w:rsidRPr="00234F77">
        <w:t>‘</w:t>
      </w:r>
      <w:r w:rsidRPr="00234F77">
        <w:t>Alcock v Chief Constable of South Yorkshire Police [1991]</w:t>
      </w:r>
      <w:r w:rsidR="00234F77" w:rsidRPr="00234F77">
        <w:t>’</w:t>
      </w:r>
      <w:r w:rsidRPr="00234F77">
        <w:t>. To succeed, she must demonstrate a close tie of love and affection with the primary victim, Sarah</w:t>
      </w:r>
      <w:r w:rsidR="00483E0F" w:rsidRPr="00234F77">
        <w:t xml:space="preserve">, </w:t>
      </w:r>
      <w:r w:rsidRPr="00234F77">
        <w:t>proximity to the traumatic event</w:t>
      </w:r>
      <w:r w:rsidRPr="00164D03">
        <w:t xml:space="preserve"> or its immediate aftermath</w:t>
      </w:r>
      <w:r w:rsidR="00483E0F">
        <w:t xml:space="preserve">, </w:t>
      </w:r>
      <w:r w:rsidRPr="00164D03">
        <w:t>and direct perception of the harm. Mary was present at the festival, came to Sarah’s aid after the incident, and placed her in the recovery position</w:t>
      </w:r>
      <w:r w:rsidR="00483E0F">
        <w:t xml:space="preserve"> </w:t>
      </w:r>
      <w:r w:rsidRPr="00164D03">
        <w:t>indicating direct involvement and proximity to the events as they unfolded.</w:t>
      </w:r>
    </w:p>
    <w:p w14:paraId="460D843C" w14:textId="4AE95C7E" w:rsidR="00B377A1" w:rsidRPr="0028453C" w:rsidRDefault="00B377A1" w:rsidP="00B377A1">
      <w:r w:rsidRPr="00164D03">
        <w:t xml:space="preserve">To satisfy the requirement of a recognised psychiatric illness, Mary has been diagnosed with generalised anxiety disorder, which qualifies as a medically acknowledged condition as </w:t>
      </w:r>
      <w:r w:rsidRPr="00EE5D58">
        <w:t xml:space="preserve">affirmed in </w:t>
      </w:r>
      <w:r w:rsidR="00EE5D58" w:rsidRPr="00EE5D58">
        <w:t>‘</w:t>
      </w:r>
      <w:r w:rsidRPr="00EE5D58">
        <w:t>Hinz v Berry [1970]</w:t>
      </w:r>
      <w:r w:rsidR="00EE5D58" w:rsidRPr="00EE5D58">
        <w:t>’</w:t>
      </w:r>
      <w:r w:rsidRPr="00EE5D58">
        <w:t>. However</w:t>
      </w:r>
      <w:r w:rsidRPr="00164D03">
        <w:t xml:space="preserve">, establishing a sufficiently close relationship with Sarah may prove legally challenging. Although Mary is Jack’s mother and was not directly </w:t>
      </w:r>
      <w:r w:rsidRPr="00C76B6C">
        <w:t xml:space="preserve">related to Sarah, there is some judicial support for broadening the scope of familial ties. In </w:t>
      </w:r>
      <w:r w:rsidR="00C76B6C" w:rsidRPr="00C76B6C">
        <w:t>‘</w:t>
      </w:r>
      <w:r w:rsidRPr="00C76B6C">
        <w:t>McLoughlin v O’Brian [1983]</w:t>
      </w:r>
      <w:r w:rsidR="00C76B6C" w:rsidRPr="00C76B6C">
        <w:t>’</w:t>
      </w:r>
      <w:r w:rsidRPr="00C76B6C">
        <w:t>, the House</w:t>
      </w:r>
      <w:r w:rsidRPr="00164D03">
        <w:t xml:space="preserve"> of Lords allowed a claim where the claimant was not physically present at the accident scene but arrived shortly after and was still considered sufficiently proximate.</w:t>
      </w:r>
      <w:r w:rsidR="007648D0">
        <w:t xml:space="preserve"> </w:t>
      </w:r>
      <w:r w:rsidRPr="00164D03">
        <w:t xml:space="preserve">However, more recent commentary </w:t>
      </w:r>
      <w:r w:rsidRPr="004147B5">
        <w:t>(Butterworths Personal Injury Litigation Service, 2025)</w:t>
      </w:r>
      <w:r w:rsidRPr="00164D03">
        <w:t xml:space="preserve"> highlights that claimants who are neither immediate family nor spouses must provide compelling evidence that their relationship was so intimate that it mirrored that of a parent, child, or spouse. Given that Mary’s connection to Sarah may be seen as more attenuated</w:t>
      </w:r>
      <w:r w:rsidR="00AD35D5">
        <w:t xml:space="preserve"> </w:t>
      </w:r>
      <w:r w:rsidRPr="00164D03">
        <w:lastRenderedPageBreak/>
        <w:t>depending on the nature and closeness of their relationship</w:t>
      </w:r>
      <w:r w:rsidR="00AD35D5">
        <w:t xml:space="preserve"> </w:t>
      </w:r>
      <w:r w:rsidRPr="00164D03">
        <w:t>this requirement would be assessed on a fact</w:t>
      </w:r>
      <w:r w:rsidR="00AD35D5">
        <w:t xml:space="preserve"> </w:t>
      </w:r>
      <w:r w:rsidRPr="00164D03">
        <w:t xml:space="preserve">specific basis </w:t>
      </w:r>
      <w:r w:rsidR="0028453C" w:rsidRPr="0028453C">
        <w:t>‘</w:t>
      </w:r>
      <w:r w:rsidRPr="0028453C">
        <w:t>Galli-Atkinson v Seghal [2003]</w:t>
      </w:r>
      <w:r w:rsidR="0028453C" w:rsidRPr="0028453C">
        <w:t>’</w:t>
      </w:r>
      <w:r w:rsidRPr="0028453C">
        <w:t>.</w:t>
      </w:r>
    </w:p>
    <w:p w14:paraId="72A74E8E" w14:textId="2E978546" w:rsidR="00B377A1" w:rsidRPr="00164D03" w:rsidRDefault="00B377A1" w:rsidP="00B377A1">
      <w:r w:rsidRPr="0028453C">
        <w:t xml:space="preserve">In terms of causation, the 'but for' test, as established in </w:t>
      </w:r>
      <w:r w:rsidR="0028453C">
        <w:t>‘</w:t>
      </w:r>
      <w:r w:rsidRPr="0028453C">
        <w:t>Barnett v Chelsea and Kensington Hospital Management Committee [1969]</w:t>
      </w:r>
      <w:r w:rsidR="0028453C">
        <w:t>’</w:t>
      </w:r>
      <w:r w:rsidRPr="0028453C">
        <w:t>, will be applied. The court would consider whether Mary would have developed her psychiatric condition</w:t>
      </w:r>
      <w:r w:rsidRPr="00164D03">
        <w:t xml:space="preserve"> </w:t>
      </w:r>
      <w:r w:rsidRPr="0028453C">
        <w:t>but for</w:t>
      </w:r>
      <w:r w:rsidRPr="00164D03">
        <w:t xml:space="preserve"> Barry’s alleged negligence in failing to manage the fireworks display and crowd control measures effectively. Given the causal chain</w:t>
      </w:r>
      <w:r w:rsidR="00AD35D5">
        <w:t xml:space="preserve"> </w:t>
      </w:r>
      <w:r w:rsidRPr="00164D03">
        <w:t>Barry’s omission, Sarah’s injury, and Mary’s direct exposure to the traumatic event</w:t>
      </w:r>
      <w:r w:rsidR="00AD35D5">
        <w:t xml:space="preserve"> </w:t>
      </w:r>
      <w:r w:rsidRPr="00164D03">
        <w:t>it is arguable that factual causation is satisfied.</w:t>
      </w:r>
      <w:r w:rsidR="00AD35D5">
        <w:t xml:space="preserve"> </w:t>
      </w:r>
      <w:r w:rsidRPr="00164D03">
        <w:t xml:space="preserve">Alternatively, Mary could seek to establish herself as a rescuer, which may allow her to be classified as a primary victim, thus avoiding the restrictive Alcock criteria. </w:t>
      </w:r>
      <w:r w:rsidRPr="008D2547">
        <w:t xml:space="preserve">In </w:t>
      </w:r>
      <w:r w:rsidR="008D2547" w:rsidRPr="008D2547">
        <w:t>‘</w:t>
      </w:r>
      <w:r w:rsidRPr="008D2547">
        <w:t>Chadwick v British Railways Board [1967]</w:t>
      </w:r>
      <w:r w:rsidR="008D2547" w:rsidRPr="008D2547">
        <w:t>’</w:t>
      </w:r>
      <w:r w:rsidRPr="008D2547">
        <w:t>, the claimant</w:t>
      </w:r>
      <w:r w:rsidRPr="00164D03">
        <w:t xml:space="preserve"> successfully recovered after voluntarily assisting victims in a traumatic train crash, having placed himself at risk. Mary’s intervention</w:t>
      </w:r>
      <w:r w:rsidR="00AD35D5">
        <w:t xml:space="preserve"> </w:t>
      </w:r>
      <w:r w:rsidRPr="00164D03">
        <w:t>shielding Sarah and placing her in the recovery position amid ongoing danger from fireworks and crowd movement</w:t>
      </w:r>
      <w:r w:rsidR="00AD35D5">
        <w:t xml:space="preserve"> </w:t>
      </w:r>
      <w:r w:rsidRPr="00164D03">
        <w:t>may satisfy this requirement.</w:t>
      </w:r>
      <w:r w:rsidR="00AD35D5">
        <w:t xml:space="preserve"> </w:t>
      </w:r>
      <w:r w:rsidR="008E2C16" w:rsidRPr="00164D03">
        <w:t>However,</w:t>
      </w:r>
      <w:r w:rsidR="008E2C16">
        <w:t xml:space="preserve"> as we have already established </w:t>
      </w:r>
      <w:r w:rsidRPr="00164D03">
        <w:t xml:space="preserve">the scope for rescuers to recover has since been limited </w:t>
      </w:r>
      <w:r w:rsidRPr="008D2547">
        <w:t xml:space="preserve">by </w:t>
      </w:r>
      <w:r w:rsidR="008D2547" w:rsidRPr="008D2547">
        <w:t>‘</w:t>
      </w:r>
      <w:r w:rsidRPr="008D2547">
        <w:t>White v Chief Constable of South Yorkshire Police [1999]</w:t>
      </w:r>
      <w:r w:rsidR="008D2547" w:rsidRPr="008D2547">
        <w:t>’</w:t>
      </w:r>
      <w:r w:rsidRPr="008D2547">
        <w:t>, which held that a rescuer must either be in actual physical danger or have a reasonable</w:t>
      </w:r>
      <w:r w:rsidRPr="00164D03">
        <w:t xml:space="preserve"> belief that they were. If Mary genuinely </w:t>
      </w:r>
      <w:r w:rsidRPr="00EA28F0">
        <w:t>believed she was exposed to harm</w:t>
      </w:r>
      <w:r w:rsidR="008E2C16" w:rsidRPr="00EA28F0">
        <w:t xml:space="preserve"> </w:t>
      </w:r>
      <w:r w:rsidRPr="00EA28F0">
        <w:t>due to the stampede and continuing firework explosions</w:t>
      </w:r>
      <w:r w:rsidR="008E2C16" w:rsidRPr="00EA28F0">
        <w:t xml:space="preserve"> </w:t>
      </w:r>
      <w:r w:rsidRPr="00EA28F0">
        <w:t xml:space="preserve">she may still meet the criteria. In </w:t>
      </w:r>
      <w:r w:rsidR="00EA28F0">
        <w:t>‘</w:t>
      </w:r>
      <w:r w:rsidRPr="00EA28F0">
        <w:t>Cullin v London Fire and Civil Defence Authority [1999]</w:t>
      </w:r>
      <w:r w:rsidR="00EA28F0">
        <w:t>’</w:t>
      </w:r>
      <w:r w:rsidRPr="00EA28F0">
        <w:t>, the court found that rescuers exposed to a perceived or real danger could still qualify as primary victims, reinforcing the</w:t>
      </w:r>
      <w:r w:rsidRPr="00164D03">
        <w:t xml:space="preserve"> principle that subjective fear of harm can be sufficient where the danger is credible.</w:t>
      </w:r>
      <w:r w:rsidR="008E2C16">
        <w:t xml:space="preserve"> </w:t>
      </w:r>
      <w:r w:rsidRPr="00164D03">
        <w:t>Accordingly, while Mary faces challenges as a secondary victim, particularly regarding the relational proximity requirement, her potential classification as a rescuer strengthens her claim</w:t>
      </w:r>
      <w:r w:rsidR="008E2C16">
        <w:t xml:space="preserve"> </w:t>
      </w:r>
      <w:r w:rsidR="00A26264" w:rsidRPr="00164D03">
        <w:t>provided,</w:t>
      </w:r>
      <w:r w:rsidRPr="00164D03">
        <w:t xml:space="preserve"> she can demonstrate perceived or actual physical danger during her intervention.</w:t>
      </w:r>
    </w:p>
    <w:p w14:paraId="2BCA8035" w14:textId="0FDA30EB" w:rsidR="00B377A1" w:rsidRPr="00693219" w:rsidRDefault="00B377A1" w:rsidP="00B377A1">
      <w:r w:rsidRPr="00EA28F0">
        <w:t xml:space="preserve">Barry's potential liability for the psychiatric harm suffered by Janice will be examined through the legal framework governing secondary victims, as set out in </w:t>
      </w:r>
      <w:r w:rsidR="00EA28F0" w:rsidRPr="00EA28F0">
        <w:t>‘</w:t>
      </w:r>
      <w:r w:rsidRPr="00EA28F0">
        <w:t>Alcock v Chief Constable of South Yorkshire Police [1991]</w:t>
      </w:r>
      <w:r w:rsidR="00EA28F0" w:rsidRPr="00EA28F0">
        <w:t>’</w:t>
      </w:r>
      <w:r w:rsidRPr="00EA28F0">
        <w:t>. To establish liability, Janice must demonstrate</w:t>
      </w:r>
      <w:r w:rsidR="00DD50CD" w:rsidRPr="00EA28F0">
        <w:t xml:space="preserve">, </w:t>
      </w:r>
      <w:r w:rsidRPr="00EA28F0">
        <w:t>proximity to the traumatic event or its immediate</w:t>
      </w:r>
      <w:r w:rsidRPr="001A1F3C">
        <w:t xml:space="preserve"> aftermath</w:t>
      </w:r>
      <w:r w:rsidR="00DD50CD">
        <w:t xml:space="preserve">, </w:t>
      </w:r>
      <w:r w:rsidRPr="001A1F3C">
        <w:t>a close tie of love and affection with the primary victim</w:t>
      </w:r>
      <w:r w:rsidR="00DD50CD">
        <w:t xml:space="preserve"> </w:t>
      </w:r>
      <w:r w:rsidRPr="001A1F3C">
        <w:t>and a medically recognised psychiatric injury caused by the incident.</w:t>
      </w:r>
      <w:r w:rsidR="00DD50CD">
        <w:t xml:space="preserve"> </w:t>
      </w:r>
      <w:r w:rsidRPr="001A1F3C">
        <w:t>In terms of proximity, Janice was not present at the</w:t>
      </w:r>
      <w:r w:rsidR="00DD50CD">
        <w:t xml:space="preserve"> time</w:t>
      </w:r>
      <w:r w:rsidRPr="001A1F3C">
        <w:t xml:space="preserve"> of the firework malfunction or the initial crowd surge but returned to the scene after hearing distressing screams. Courts have historically required claimants to witness the event with their own unaided senses. While Janice may not satisfy this in a strict sense, the House of </w:t>
      </w:r>
      <w:r w:rsidRPr="00EA28F0">
        <w:t xml:space="preserve">Lords in </w:t>
      </w:r>
      <w:r w:rsidR="00EA28F0" w:rsidRPr="00EA28F0">
        <w:t>‘</w:t>
      </w:r>
      <w:r w:rsidRPr="00EA28F0">
        <w:t>McLoughlin v O’Brian [1983]</w:t>
      </w:r>
      <w:r w:rsidR="00EA28F0" w:rsidRPr="00EA28F0">
        <w:t>’</w:t>
      </w:r>
      <w:r w:rsidRPr="00EA28F0">
        <w:t xml:space="preserve"> held</w:t>
      </w:r>
      <w:r w:rsidRPr="001A1F3C">
        <w:t xml:space="preserve"> that witnessing the immediate aftermath of an incident</w:t>
      </w:r>
      <w:r w:rsidR="00DD50CD">
        <w:t xml:space="preserve"> </w:t>
      </w:r>
      <w:r w:rsidRPr="001A1F3C">
        <w:t>particularly involving visible injury and emotional trauma</w:t>
      </w:r>
      <w:r w:rsidR="00DD50CD">
        <w:t xml:space="preserve"> </w:t>
      </w:r>
      <w:r w:rsidRPr="001A1F3C">
        <w:t xml:space="preserve">can suffice. In Janice’s case, encountering her daughter unconscious and covered in blood shortly after the stampede may satisfy this requirement. Courts have increasingly acknowledged that rigid adherence to proximity can lead to </w:t>
      </w:r>
      <w:r w:rsidRPr="00F004B4">
        <w:t>injustice</w:t>
      </w:r>
      <w:r w:rsidR="00F004B4" w:rsidRPr="00F004B4">
        <w:t xml:space="preserve">. </w:t>
      </w:r>
      <w:r w:rsidR="00CE2298" w:rsidRPr="00F004B4">
        <w:t>Steel</w:t>
      </w:r>
      <w:r w:rsidRPr="00F004B4">
        <w:t xml:space="preserve"> (2003)</w:t>
      </w:r>
      <w:r w:rsidRPr="001A1F3C">
        <w:t xml:space="preserve"> </w:t>
      </w:r>
      <w:r w:rsidRPr="001A1F3C">
        <w:lastRenderedPageBreak/>
        <w:t xml:space="preserve">argues that the </w:t>
      </w:r>
      <w:r w:rsidRPr="001A1F3C">
        <w:rPr>
          <w:i/>
          <w:iCs/>
        </w:rPr>
        <w:t>Alcock</w:t>
      </w:r>
      <w:r w:rsidRPr="001A1F3C">
        <w:t xml:space="preserve"> criteria can exclude legitimate claims merely due to minor variations in time and place.</w:t>
      </w:r>
      <w:r w:rsidR="007463FE">
        <w:t xml:space="preserve"> </w:t>
      </w:r>
      <w:r w:rsidRPr="001A1F3C">
        <w:t xml:space="preserve">The close relationship requirement is more straightforward. As Sarah’s mother, Janice benefits from the presumption of a strong tie, as recognised </w:t>
      </w:r>
      <w:r w:rsidRPr="0047272E">
        <w:t>in Alcock</w:t>
      </w:r>
      <w:r w:rsidRPr="001A1F3C">
        <w:t xml:space="preserve"> and confirmed </w:t>
      </w:r>
      <w:r w:rsidRPr="0047272E">
        <w:t xml:space="preserve">in </w:t>
      </w:r>
      <w:r w:rsidR="0047272E" w:rsidRPr="0047272E">
        <w:t>‘</w:t>
      </w:r>
      <w:r w:rsidRPr="0047272E">
        <w:t>Galli-Atkinson v Seghal [2003]</w:t>
      </w:r>
      <w:r w:rsidR="0047272E" w:rsidRPr="0047272E">
        <w:t>’</w:t>
      </w:r>
      <w:r w:rsidRPr="0047272E">
        <w:t>, where a mother successfully recovered damages for psychiatric harm sustained after</w:t>
      </w:r>
      <w:r w:rsidRPr="001A1F3C">
        <w:t xml:space="preserve"> witnessing the aftermath of her daughter’s fatal accident.</w:t>
      </w:r>
      <w:r w:rsidR="009A49E6">
        <w:t xml:space="preserve"> </w:t>
      </w:r>
      <w:r w:rsidRPr="001A1F3C">
        <w:t xml:space="preserve">The final requirement is the presence of a recognised psychiatric disorder, as </w:t>
      </w:r>
      <w:r w:rsidRPr="0047272E">
        <w:t xml:space="preserve">established in </w:t>
      </w:r>
      <w:r w:rsidR="0047272E">
        <w:t>‘</w:t>
      </w:r>
      <w:r w:rsidRPr="0047272E">
        <w:t>Hinz v Berry [1970</w:t>
      </w:r>
      <w:r w:rsidR="009A49E6" w:rsidRPr="0047272E">
        <w:t>]</w:t>
      </w:r>
      <w:r w:rsidR="0047272E">
        <w:t>’</w:t>
      </w:r>
      <w:r w:rsidR="009A49E6" w:rsidRPr="0047272E">
        <w:t>,</w:t>
      </w:r>
      <w:r w:rsidRPr="0047272E">
        <w:t xml:space="preserve"> Janice has been clinically diagnosed with severe depression and detained under the Mental Health Act </w:t>
      </w:r>
      <w:r w:rsidR="009A49E6" w:rsidRPr="0047272E">
        <w:t>2007</w:t>
      </w:r>
      <w:r w:rsidRPr="0047272E">
        <w:t>, indicating that her condition meets the threshold of a medically verified illness.</w:t>
      </w:r>
      <w:r w:rsidRPr="001A1F3C">
        <w:t xml:space="preserve"> The diagnosis and formal sectioning support the claim that the psychological impact was both serious and directly </w:t>
      </w:r>
      <w:r w:rsidRPr="0018553C">
        <w:t>linked to the traumatic event.</w:t>
      </w:r>
      <w:r w:rsidR="00C94F0E" w:rsidRPr="0018553C">
        <w:t xml:space="preserve"> </w:t>
      </w:r>
      <w:r w:rsidRPr="0018553C">
        <w:t>Janice’s claim may also be strengthened by reference to the Human Rights Act 1998</w:t>
      </w:r>
      <w:r w:rsidR="0018553C" w:rsidRPr="0018553C">
        <w:t xml:space="preserve"> </w:t>
      </w:r>
      <w:r w:rsidRPr="0018553C">
        <w:t>Article 8 of the European Convention on Human Rights (ECHR), which protects the right to respect for private and family life, has occasionally been cited in psychiatric</w:t>
      </w:r>
      <w:r w:rsidRPr="001A1F3C">
        <w:t xml:space="preserve"> injury claims to reinforce the need for careful assessment of </w:t>
      </w:r>
      <w:r w:rsidR="00AC3BFE" w:rsidRPr="001A1F3C">
        <w:t>family</w:t>
      </w:r>
      <w:r w:rsidR="00AC3BFE">
        <w:t>-based</w:t>
      </w:r>
      <w:r w:rsidRPr="001A1F3C">
        <w:t xml:space="preserve"> trauma, although it does not establish a direct tortious </w:t>
      </w:r>
      <w:r w:rsidRPr="00350073">
        <w:t xml:space="preserve">duty </w:t>
      </w:r>
      <w:r w:rsidR="00350073" w:rsidRPr="00350073">
        <w:t>‘</w:t>
      </w:r>
      <w:r w:rsidRPr="00350073">
        <w:t>Osman v United Kingdom [1998]</w:t>
      </w:r>
      <w:r w:rsidR="00350073" w:rsidRPr="00350073">
        <w:t>’</w:t>
      </w:r>
      <w:r w:rsidRPr="00350073">
        <w:t>.</w:t>
      </w:r>
      <w:r w:rsidR="00C94F0E" w:rsidRPr="00350073">
        <w:t xml:space="preserve"> </w:t>
      </w:r>
      <w:r w:rsidRPr="00350073">
        <w:t>Therefore, while the strict application of Alcock may present challenges, particularly regarding</w:t>
      </w:r>
      <w:r w:rsidRPr="001A1F3C">
        <w:t xml:space="preserve"> proximity, Janice’s circumstances</w:t>
      </w:r>
      <w:r w:rsidR="00C94F0E">
        <w:t xml:space="preserve"> </w:t>
      </w:r>
      <w:r w:rsidRPr="001A1F3C">
        <w:t>namely her relationship with the primary victim, the severity of her condition, and the immediacy of her exposure to the aftermath</w:t>
      </w:r>
      <w:r w:rsidR="00C94F0E">
        <w:t xml:space="preserve"> </w:t>
      </w:r>
      <w:r w:rsidRPr="001A1F3C">
        <w:t>may allow her to succeed as a secondary victim under current legal standards.</w:t>
      </w:r>
      <w:r w:rsidR="00C94F0E">
        <w:t xml:space="preserve"> </w:t>
      </w:r>
      <w:r w:rsidRPr="00693219">
        <w:t xml:space="preserve">To establish causation in Janice’s claim for psychiatric injury, it must be shown that Barry’s </w:t>
      </w:r>
      <w:r w:rsidRPr="00EE74E3">
        <w:t xml:space="preserve">negligence was the factual and legal cause of her clinical depression. The standard approach to determining factual causation is the 'but for' test, as reaffirmed in </w:t>
      </w:r>
      <w:r w:rsidR="00EE74E3" w:rsidRPr="00EE74E3">
        <w:t>‘</w:t>
      </w:r>
      <w:r w:rsidRPr="00EE74E3">
        <w:t xml:space="preserve">Gregg v Scott </w:t>
      </w:r>
      <w:r w:rsidR="00EE74E3">
        <w:t>(</w:t>
      </w:r>
      <w:r w:rsidRPr="00EE74E3">
        <w:t>2005</w:t>
      </w:r>
      <w:r w:rsidR="00EE74E3">
        <w:t>)</w:t>
      </w:r>
      <w:r w:rsidR="00EE74E3" w:rsidRPr="00EE74E3">
        <w:t>’</w:t>
      </w:r>
      <w:r w:rsidRPr="00EE74E3">
        <w:t>. This test asks whether the harm would have occurred but for the defendant’s conduct. It is reasonable to infer that had Barry implemented sufficient crowd control measures and enforced firework safety protocols, the traumatic events giving rise to Janice’s condition could have been avoided.</w:t>
      </w:r>
      <w:r w:rsidR="009B5305" w:rsidRPr="00EE74E3">
        <w:t xml:space="preserve"> </w:t>
      </w:r>
      <w:r w:rsidRPr="00EE74E3">
        <w:t xml:space="preserve">Barry may seek to argue that </w:t>
      </w:r>
      <w:r w:rsidRPr="00CB3753">
        <w:t>Janice’s depression had pre-existing roots and that his actions were not the sole cause of her condition. However, the law recognises that a defendant can be liable even if the harm results from a pre-existing vulnerability. The principle of taking the claimant as one finds them</w:t>
      </w:r>
      <w:r w:rsidR="009B5305" w:rsidRPr="00CB3753">
        <w:t xml:space="preserve"> </w:t>
      </w:r>
      <w:r w:rsidRPr="00CB3753">
        <w:t>the so</w:t>
      </w:r>
      <w:r w:rsidR="009B5305" w:rsidRPr="00CB3753">
        <w:t xml:space="preserve"> </w:t>
      </w:r>
      <w:r w:rsidRPr="00CB3753">
        <w:t>called "</w:t>
      </w:r>
      <w:r w:rsidR="009B5305" w:rsidRPr="00CB3753">
        <w:t xml:space="preserve">Thin </w:t>
      </w:r>
      <w:r w:rsidRPr="00CB3753">
        <w:t>skull rule"</w:t>
      </w:r>
      <w:r w:rsidR="009B5305" w:rsidRPr="00CB3753">
        <w:t xml:space="preserve"> </w:t>
      </w:r>
      <w:r w:rsidRPr="00CB3753">
        <w:t xml:space="preserve">was firmly established in </w:t>
      </w:r>
      <w:r w:rsidR="00CB3753" w:rsidRPr="00CB3753">
        <w:t>‘</w:t>
      </w:r>
      <w:r w:rsidRPr="00CB3753">
        <w:t>Robinson v Post Office [1974]</w:t>
      </w:r>
      <w:r w:rsidR="00CB3753" w:rsidRPr="00CB3753">
        <w:t>’</w:t>
      </w:r>
      <w:r w:rsidRPr="00CB3753">
        <w:t xml:space="preserve"> and reaffirmed in </w:t>
      </w:r>
      <w:r w:rsidR="00EE74E3" w:rsidRPr="00CB3753">
        <w:t>‘</w:t>
      </w:r>
      <w:r w:rsidRPr="00CB3753">
        <w:t>Smith v Leech Brain &amp; Co Ltd [1962]</w:t>
      </w:r>
      <w:r w:rsidR="00EE74E3" w:rsidRPr="00CB3753">
        <w:t>’</w:t>
      </w:r>
      <w:r w:rsidRPr="00CB3753">
        <w:t xml:space="preserve">. In psychiatric injury cases, </w:t>
      </w:r>
      <w:r w:rsidR="00EE74E3" w:rsidRPr="00CB3753">
        <w:t>‘</w:t>
      </w:r>
      <w:r w:rsidRPr="00CB3753">
        <w:t>Brice v Brown [1984]</w:t>
      </w:r>
      <w:r w:rsidR="00EE74E3" w:rsidRPr="00CB3753">
        <w:t>’</w:t>
      </w:r>
      <w:r w:rsidRPr="00CB3753">
        <w:t xml:space="preserve"> confirms that where psychiatric harm is foreseeable, the extent of that harm, even if aggravated by a claimant’s predisposition, does not absolve the defendant</w:t>
      </w:r>
      <w:r w:rsidRPr="00693219">
        <w:t xml:space="preserve"> of liability.</w:t>
      </w:r>
    </w:p>
    <w:p w14:paraId="2CA4D956" w14:textId="4D12B98F" w:rsidR="00257BE6" w:rsidRDefault="00B377A1" w:rsidP="00B377A1">
      <w:r w:rsidRPr="00693219">
        <w:t xml:space="preserve">This </w:t>
      </w:r>
      <w:r w:rsidR="009B5305" w:rsidRPr="009B5305">
        <w:t xml:space="preserve">report </w:t>
      </w:r>
      <w:r w:rsidRPr="00693219">
        <w:t xml:space="preserve">highlights broader systemic issues within the legal approach to psychiatric harm. The experiences of Sarah, Jack, Mary, Bob, and Janice reveal the inconsistencies and rigidity in the treatment of claimants suffering psychological injuries. </w:t>
      </w:r>
      <w:r w:rsidR="009B5305" w:rsidRPr="00693219">
        <w:t>Two</w:t>
      </w:r>
      <w:r w:rsidRPr="00693219">
        <w:t xml:space="preserve"> problematic areas emerge</w:t>
      </w:r>
      <w:r w:rsidR="009B5305">
        <w:t xml:space="preserve"> </w:t>
      </w:r>
      <w:r w:rsidRPr="00693219">
        <w:t>the restrictive framework for secondary victims and the uncertain legal status of rescuers.</w:t>
      </w:r>
      <w:r w:rsidR="009B5305">
        <w:t xml:space="preserve"> </w:t>
      </w:r>
      <w:r w:rsidRPr="00693219">
        <w:t xml:space="preserve">The distinction between primary and secondary </w:t>
      </w:r>
      <w:r w:rsidRPr="00693219">
        <w:lastRenderedPageBreak/>
        <w:t xml:space="preserve">victims remains central. </w:t>
      </w:r>
      <w:r w:rsidRPr="00CB62E0">
        <w:t xml:space="preserve">In </w:t>
      </w:r>
      <w:r w:rsidR="00CB62E0" w:rsidRPr="00CB62E0">
        <w:t>‘</w:t>
      </w:r>
      <w:r w:rsidRPr="00CB62E0">
        <w:t>Page v Smith [1996]</w:t>
      </w:r>
      <w:r w:rsidR="00CB62E0" w:rsidRPr="00CB62E0">
        <w:t>’</w:t>
      </w:r>
      <w:r w:rsidRPr="00CB62E0">
        <w:t>, the</w:t>
      </w:r>
      <w:r w:rsidRPr="00693219">
        <w:t xml:space="preserve"> House of Lords held that a claimant involved in an incident and within the foreseeable zone of physical harm could recover for psychiatric injury without needing to prove foreseeability of psychiatric harm specifically. In contrast, secondary victims</w:t>
      </w:r>
      <w:r w:rsidR="009B5305">
        <w:t xml:space="preserve"> </w:t>
      </w:r>
      <w:r w:rsidRPr="00693219">
        <w:t>those who suffer psychiatric injury from witnessing harm to others</w:t>
      </w:r>
      <w:r w:rsidR="009B5305">
        <w:t xml:space="preserve"> </w:t>
      </w:r>
      <w:r w:rsidRPr="00693219">
        <w:t xml:space="preserve">must meet much more demanding criteria, originally set out </w:t>
      </w:r>
      <w:r w:rsidRPr="00CB62E0">
        <w:t xml:space="preserve">in </w:t>
      </w:r>
      <w:r w:rsidR="00CB62E0" w:rsidRPr="00CB62E0">
        <w:t>‘</w:t>
      </w:r>
      <w:r w:rsidRPr="00CB62E0">
        <w:t>Alcock v Chief Constable of South Yorkshire Police [1991]</w:t>
      </w:r>
      <w:r w:rsidR="00CB62E0" w:rsidRPr="00CB62E0">
        <w:t>’</w:t>
      </w:r>
      <w:r w:rsidR="00257BE6" w:rsidRPr="00CB62E0">
        <w:t xml:space="preserve"> t</w:t>
      </w:r>
      <w:r w:rsidRPr="00CB62E0">
        <w:t>hese</w:t>
      </w:r>
      <w:r w:rsidRPr="00693219">
        <w:t xml:space="preserve"> include</w:t>
      </w:r>
    </w:p>
    <w:p w14:paraId="7E102168" w14:textId="77777777" w:rsidR="00257BE6" w:rsidRDefault="00B377A1" w:rsidP="00257BE6">
      <w:pPr>
        <w:pStyle w:val="ListParagraph"/>
        <w:numPr>
          <w:ilvl w:val="0"/>
          <w:numId w:val="11"/>
        </w:numPr>
      </w:pPr>
      <w:r w:rsidRPr="00693219">
        <w:t>a close tie of love and affection with the primary victim</w:t>
      </w:r>
    </w:p>
    <w:p w14:paraId="10A0607F" w14:textId="77777777" w:rsidR="00735ADD" w:rsidRDefault="00B377A1" w:rsidP="00735ADD">
      <w:pPr>
        <w:pStyle w:val="ListParagraph"/>
        <w:numPr>
          <w:ilvl w:val="0"/>
          <w:numId w:val="11"/>
        </w:numPr>
      </w:pPr>
      <w:r w:rsidRPr="00693219">
        <w:t>proximity in time and space to the traumatic event or its immediate aftermath</w:t>
      </w:r>
      <w:r w:rsidR="00735ADD">
        <w:t xml:space="preserve"> </w:t>
      </w:r>
    </w:p>
    <w:p w14:paraId="6594EB3C" w14:textId="77777777" w:rsidR="00735ADD" w:rsidRDefault="00B377A1" w:rsidP="00735ADD">
      <w:pPr>
        <w:pStyle w:val="ListParagraph"/>
        <w:numPr>
          <w:ilvl w:val="0"/>
          <w:numId w:val="11"/>
        </w:numPr>
      </w:pPr>
      <w:r w:rsidRPr="00693219">
        <w:t>perception through unaided senses</w:t>
      </w:r>
    </w:p>
    <w:p w14:paraId="665EF602" w14:textId="29676E89" w:rsidR="00B377A1" w:rsidRPr="00693219" w:rsidRDefault="00B377A1" w:rsidP="00735ADD">
      <w:pPr>
        <w:pStyle w:val="ListParagraph"/>
        <w:numPr>
          <w:ilvl w:val="0"/>
          <w:numId w:val="11"/>
        </w:numPr>
      </w:pPr>
      <w:r w:rsidRPr="00693219">
        <w:t>a recognised psychiatric illness resulting from a sudden, shocking event.</w:t>
      </w:r>
    </w:p>
    <w:p w14:paraId="64108670" w14:textId="2796AAA1" w:rsidR="00B377A1" w:rsidRPr="00693219" w:rsidRDefault="00B377A1" w:rsidP="00B377A1">
      <w:r w:rsidRPr="00693219">
        <w:t xml:space="preserve">In this scenario, Mary and Janice are more likely to succeed as secondary victims. Janice, as Sarah’s mother, and Mary, as the long-term partner of Sarah’s boyfriend, may be able to establish a sufficiently close relationship and satisfy the remaining Alcock </w:t>
      </w:r>
      <w:r w:rsidRPr="00CB62E0">
        <w:t xml:space="preserve">criteria </w:t>
      </w:r>
      <w:r w:rsidR="00CB62E0" w:rsidRPr="00CB62E0">
        <w:t>‘</w:t>
      </w:r>
      <w:r w:rsidRPr="00CB62E0">
        <w:t>Galli-Atkinson v Seghal [2003]</w:t>
      </w:r>
      <w:r w:rsidR="00CB62E0" w:rsidRPr="00CB62E0">
        <w:t>’</w:t>
      </w:r>
      <w:r w:rsidRPr="00CB62E0">
        <w:t>.</w:t>
      </w:r>
      <w:r w:rsidR="00710B8C" w:rsidRPr="00CB62E0">
        <w:t xml:space="preserve"> </w:t>
      </w:r>
      <w:r w:rsidRPr="00CB62E0">
        <w:t>However, Bob’s position illustrates the strictness and exclusionary nature</w:t>
      </w:r>
      <w:r w:rsidRPr="00693219">
        <w:t xml:space="preserve"> of the current legal test. Despite experiencing a psychiatric illness and actively intervening at the scene, Bob is unlikely to satisfy the relational proximity requirement, as he had no prior relationship with the primary victims. This reflects the courts’ narrow approach, which often precludes recovery for individuals genuinely affected by traumatic events due to formalistic constraints</w:t>
      </w:r>
      <w:r w:rsidR="00604A67">
        <w:t>.</w:t>
      </w:r>
    </w:p>
    <w:p w14:paraId="29F00F0E" w14:textId="17BDB5EE" w:rsidR="00FF6866" w:rsidRPr="00D717FD" w:rsidRDefault="00B377A1" w:rsidP="00FF6866">
      <w:r w:rsidRPr="00693219">
        <w:t>There is growing academic and judicial criticism of the secondary victim framework. Nolan (2021) argue</w:t>
      </w:r>
      <w:r w:rsidR="0099764C">
        <w:t>s</w:t>
      </w:r>
      <w:r w:rsidRPr="00693219">
        <w:t xml:space="preserve"> that the Alcock principles are outdated and overly rigid, failing to reflect contemporary understandings of trauma and relationships. These challenges underscore the need for reform </w:t>
      </w:r>
      <w:r w:rsidR="0099764C" w:rsidRPr="00693219">
        <w:t>in</w:t>
      </w:r>
      <w:r w:rsidRPr="00693219">
        <w:t xml:space="preserve"> psychiatric injury, particularly to expand recognition for rescuers and non</w:t>
      </w:r>
      <w:r w:rsidR="0099764C">
        <w:t>-</w:t>
      </w:r>
      <w:r w:rsidRPr="00693219">
        <w:t>traditional claimants who suffer legitimate harm.</w:t>
      </w:r>
      <w:r w:rsidR="00FF6866">
        <w:t xml:space="preserve"> </w:t>
      </w:r>
      <w:r w:rsidR="00FF6866" w:rsidRPr="00C773B7">
        <w:t>In support of this, ‘Wild v Southend Hospital NHS Trust (2014)’</w:t>
      </w:r>
      <w:r w:rsidR="00FF6866">
        <w:t xml:space="preserve"> </w:t>
      </w:r>
      <w:r w:rsidR="00FF6866" w:rsidRPr="00D717FD">
        <w:t>demonstrated how the courts are increasingly being asked to confront the emotional realities of non-traditional relationships and indirect trauma.</w:t>
      </w:r>
    </w:p>
    <w:p w14:paraId="1407EF81" w14:textId="1D3FFFD1" w:rsidR="00B377A1" w:rsidRPr="00D717FD" w:rsidRDefault="00B377A1" w:rsidP="00B377A1">
      <w:r w:rsidRPr="005175EA">
        <w:t xml:space="preserve">One of the enduring legal challenges in psychiatric injury claims </w:t>
      </w:r>
      <w:r w:rsidRPr="003F1E3B">
        <w:t xml:space="preserve">is the requirement of relational proximity for secondary victims. Under the principles set out in </w:t>
      </w:r>
      <w:r w:rsidR="003F1E3B" w:rsidRPr="003F1E3B">
        <w:t>‘</w:t>
      </w:r>
      <w:r w:rsidRPr="003F1E3B">
        <w:t>Alcock v Chief Constable of South Yorkshire Police [1991]</w:t>
      </w:r>
      <w:r w:rsidR="003F1E3B" w:rsidRPr="003F1E3B">
        <w:t>’</w:t>
      </w:r>
      <w:r w:rsidRPr="003F1E3B">
        <w:t>, a claimant must demonstrate a close tie of love and affection to the primary victim. While spouses, parents, and children are</w:t>
      </w:r>
      <w:r w:rsidRPr="005175EA">
        <w:t xml:space="preserve"> presumed to satisfy this requirement, others</w:t>
      </w:r>
      <w:r w:rsidR="00F71036">
        <w:t xml:space="preserve"> </w:t>
      </w:r>
      <w:r w:rsidRPr="005175EA">
        <w:t>such as siblings, friends, or bystanders</w:t>
      </w:r>
      <w:r w:rsidR="00F71036">
        <w:t xml:space="preserve"> </w:t>
      </w:r>
      <w:r w:rsidRPr="005175EA">
        <w:t>must prove the depth of their emotional connection</w:t>
      </w:r>
      <w:r w:rsidR="00564644">
        <w:t xml:space="preserve">. </w:t>
      </w:r>
      <w:r w:rsidRPr="005175EA">
        <w:t xml:space="preserve">This strict approach has been criticised for producing arbitrary outcomes, whereby individuals who suffer genuine and foreseeable psychiatric harm are excluded simply because their relationship falls outside the recognised </w:t>
      </w:r>
      <w:r w:rsidRPr="00D5033B">
        <w:t>categories</w:t>
      </w:r>
      <w:r w:rsidR="00564644" w:rsidRPr="00D5033B">
        <w:t xml:space="preserve"> </w:t>
      </w:r>
      <w:r w:rsidR="00564644" w:rsidRPr="00D5033B">
        <w:t>(Steel, 2021).</w:t>
      </w:r>
    </w:p>
    <w:p w14:paraId="0F7BE84E" w14:textId="2D1B503C" w:rsidR="00B377A1" w:rsidRPr="00D717FD" w:rsidRDefault="00B377A1" w:rsidP="00B377A1">
      <w:r w:rsidRPr="00D717FD">
        <w:t xml:space="preserve">The Law Commission’s 1998 Report on liability for psychiatric illness was also critical of the Alcock framework, particularly the elements of relational proximity, physical </w:t>
      </w:r>
      <w:r w:rsidRPr="00D717FD">
        <w:lastRenderedPageBreak/>
        <w:t xml:space="preserve">proximity, and the requirement for sudden shock. The Commission noted that genuine claims are frequently excluded not because harm is unforeseeable, but because the claimant does not meet artificial threshold requirements. To address this, </w:t>
      </w:r>
      <w:r w:rsidR="00294E85" w:rsidRPr="00D717FD">
        <w:t>T</w:t>
      </w:r>
      <w:r w:rsidRPr="00D717FD">
        <w:t xml:space="preserve">he Law Commission recommended a statutory duty of care based on foreseeability, proximity, and reasonableness, without requiring a sudden shock or specific relationship status. While the Commission retained the presumption of closeness for parents, spouses, and children, it proposed that other claimants be allowed to prove emotional closeness on a </w:t>
      </w:r>
      <w:r w:rsidR="00294E85" w:rsidRPr="00D717FD">
        <w:t>case-by-case</w:t>
      </w:r>
      <w:r w:rsidRPr="00D717FD">
        <w:t xml:space="preserve"> basis (Law Commission,</w:t>
      </w:r>
      <w:r w:rsidR="00723C8C">
        <w:t>1998</w:t>
      </w:r>
      <w:r w:rsidRPr="00D717FD">
        <w:t>).</w:t>
      </w:r>
    </w:p>
    <w:p w14:paraId="4D818E44" w14:textId="37F0F0EA" w:rsidR="00B377A1" w:rsidRPr="005175EA" w:rsidRDefault="00B377A1" w:rsidP="00B377A1">
      <w:r w:rsidRPr="00D717FD">
        <w:t xml:space="preserve">The second major issue concerns the legal treatment of rescuers, who occupy a problematic position under the current legal framework. </w:t>
      </w:r>
      <w:r w:rsidRPr="00066423">
        <w:t xml:space="preserve">In </w:t>
      </w:r>
      <w:r w:rsidR="00D717FD" w:rsidRPr="00066423">
        <w:t>‘</w:t>
      </w:r>
      <w:r w:rsidRPr="00066423">
        <w:t>Chadwick v British Railways Board [1967]</w:t>
      </w:r>
      <w:r w:rsidR="00D717FD" w:rsidRPr="00066423">
        <w:t>’</w:t>
      </w:r>
      <w:r w:rsidRPr="00066423">
        <w:t>, the claimant successfully recovered for psychiatric harm sustained while helping victims of a train crash, having placed himself in potential danger</w:t>
      </w:r>
      <w:r w:rsidRPr="00D717FD">
        <w:t>. He was treated as a primary victim due to the foreseeability of risk. However, the scope for</w:t>
      </w:r>
      <w:r w:rsidRPr="005175EA">
        <w:t xml:space="preserve"> rescuers to claim was significantly narrowed </w:t>
      </w:r>
      <w:r w:rsidRPr="00683D6D">
        <w:t xml:space="preserve">in </w:t>
      </w:r>
      <w:r w:rsidR="00683D6D">
        <w:t>‘</w:t>
      </w:r>
      <w:r w:rsidRPr="00066423">
        <w:t>White v Chief Constable of South Yorkshire Police [1999]</w:t>
      </w:r>
      <w:r w:rsidR="00683D6D" w:rsidRPr="00066423">
        <w:t>’</w:t>
      </w:r>
      <w:r w:rsidRPr="00066423">
        <w:t>, where police officers involv</w:t>
      </w:r>
      <w:r w:rsidRPr="00683D6D">
        <w:t>ed in the aftermath of the Hillsborough disaster were denied compensation on the grounds</w:t>
      </w:r>
      <w:r w:rsidRPr="005175EA">
        <w:t xml:space="preserve"> that they were not themselves endangered, nor did they meet the criteria for primary or secondary victims.</w:t>
      </w:r>
      <w:r w:rsidR="003D02CE">
        <w:t xml:space="preserve"> </w:t>
      </w:r>
      <w:r w:rsidR="003D02CE" w:rsidRPr="006E02E2">
        <w:t>Bailey</w:t>
      </w:r>
      <w:r w:rsidR="00483645" w:rsidRPr="006E02E2">
        <w:t xml:space="preserve"> </w:t>
      </w:r>
      <w:r w:rsidR="003D02CE" w:rsidRPr="006E02E2">
        <w:t xml:space="preserve">(2010) </w:t>
      </w:r>
      <w:r w:rsidRPr="006E02E2">
        <w:t>argues</w:t>
      </w:r>
      <w:r w:rsidRPr="005175EA">
        <w:t xml:space="preserve"> that the reasoning in </w:t>
      </w:r>
      <w:r w:rsidRPr="005175EA">
        <w:rPr>
          <w:i/>
          <w:iCs/>
        </w:rPr>
        <w:t>White</w:t>
      </w:r>
      <w:r w:rsidRPr="005175EA">
        <w:t xml:space="preserve"> was a misapplication of the foreseeability principle </w:t>
      </w:r>
      <w:r w:rsidRPr="00483645">
        <w:t xml:space="preserve">from </w:t>
      </w:r>
      <w:r w:rsidR="00483645" w:rsidRPr="00483645">
        <w:t>‘</w:t>
      </w:r>
      <w:r w:rsidRPr="00483645">
        <w:t>Page v Smith [1996]</w:t>
      </w:r>
      <w:r w:rsidR="00483645" w:rsidRPr="00483645">
        <w:t>’</w:t>
      </w:r>
      <w:r w:rsidR="00483645">
        <w:t xml:space="preserve"> </w:t>
      </w:r>
      <w:r w:rsidR="007055E3">
        <w:t xml:space="preserve">which </w:t>
      </w:r>
      <w:r w:rsidRPr="005175EA">
        <w:t xml:space="preserve">was established that once a claimant is within the range of foreseeable physical injury, liability can extend to psychiatric injury, even if the latter was not specifically foreseeable. </w:t>
      </w:r>
      <w:r w:rsidRPr="005175EA">
        <w:rPr>
          <w:i/>
          <w:iCs/>
        </w:rPr>
        <w:t>White</w:t>
      </w:r>
      <w:r w:rsidRPr="005175EA">
        <w:t xml:space="preserve">, however, deviated from this principle, imposing a new requirement that rescuers must be in actual or perceived physical danger, thereby excluding many who suffer psychiatric injury </w:t>
      </w:r>
      <w:r w:rsidR="00D66D41" w:rsidRPr="005175EA">
        <w:t>while</w:t>
      </w:r>
      <w:r w:rsidRPr="005175EA">
        <w:t xml:space="preserve"> helping others.</w:t>
      </w:r>
    </w:p>
    <w:p w14:paraId="7E3BAF60" w14:textId="111F2131" w:rsidR="00B377A1" w:rsidRDefault="00B377A1" w:rsidP="00B377A1">
      <w:r w:rsidRPr="005175EA">
        <w:t xml:space="preserve">Again, the Law Commission </w:t>
      </w:r>
      <w:r w:rsidR="00D66D41">
        <w:t xml:space="preserve">has been </w:t>
      </w:r>
      <w:r w:rsidRPr="005175EA">
        <w:t xml:space="preserve">highly critical of this position, recommending that a new, distinct category be created for rescuers. Under the Commission’s proposals, it would be sufficient to show that psychiatric harm was reasonably foreseeable when assisting another in an emergency. Rescuers would no longer be required to prove they were at physical risk, thus avoiding the inconsistencies where two individuals performing identical acts might be treated differently purely </w:t>
      </w:r>
      <w:r w:rsidR="00D66D41" w:rsidRPr="005175EA">
        <w:t>based on</w:t>
      </w:r>
      <w:r w:rsidRPr="005175EA">
        <w:t xml:space="preserve"> perceived danger. Such reform would help claimants like Bob, who selflessly intervened during the festival incident and now suffers psychiatric </w:t>
      </w:r>
      <w:r w:rsidR="00D66D41" w:rsidRPr="005175EA">
        <w:t>harm yet</w:t>
      </w:r>
      <w:r w:rsidRPr="005175EA">
        <w:t xml:space="preserve"> may be denied redress under the current legal framework.</w:t>
      </w:r>
    </w:p>
    <w:p w14:paraId="3CFCAF9F" w14:textId="02C02F66" w:rsidR="00EC553E" w:rsidRPr="00EC553E" w:rsidRDefault="00EC553E" w:rsidP="00B377A1">
      <w:pPr>
        <w:rPr>
          <w:b/>
          <w:bCs/>
          <w:u w:val="single"/>
        </w:rPr>
      </w:pPr>
      <w:r w:rsidRPr="00EC553E">
        <w:rPr>
          <w:b/>
          <w:bCs/>
          <w:u w:val="single"/>
        </w:rPr>
        <w:t>Conclusion</w:t>
      </w:r>
    </w:p>
    <w:p w14:paraId="41571F5D" w14:textId="510A9F5B" w:rsidR="00B377A1" w:rsidRPr="005175EA" w:rsidRDefault="00252E6F" w:rsidP="00B377A1">
      <w:r>
        <w:t>To conclude u</w:t>
      </w:r>
      <w:r w:rsidR="00B377A1" w:rsidRPr="005175EA">
        <w:t xml:space="preserve">ltimately, Barry is likely to be held liable for the physical and psychiatric injuries sustained at the festival. He failed to comply with key statutory obligations under </w:t>
      </w:r>
      <w:r w:rsidR="00B377A1" w:rsidRPr="00483645">
        <w:t xml:space="preserve">the </w:t>
      </w:r>
      <w:r w:rsidR="00B377A1" w:rsidRPr="00483645">
        <w:rPr>
          <w:i/>
          <w:iCs/>
        </w:rPr>
        <w:t>Occupiers’ Liability Act 1957</w:t>
      </w:r>
      <w:r w:rsidR="00B377A1" w:rsidRPr="00483645">
        <w:t xml:space="preserve"> and the </w:t>
      </w:r>
      <w:r w:rsidR="00B377A1" w:rsidRPr="00483645">
        <w:rPr>
          <w:i/>
          <w:iCs/>
        </w:rPr>
        <w:t>Health and Safety at Work etc. Act 1974,</w:t>
      </w:r>
      <w:r w:rsidR="00B377A1" w:rsidRPr="005175EA">
        <w:t xml:space="preserve"> particularly in relation to firework safety and crowd control. The application of the Caparo test </w:t>
      </w:r>
      <w:r w:rsidR="00483645">
        <w:t>‘</w:t>
      </w:r>
      <w:r w:rsidR="00B377A1" w:rsidRPr="00483645">
        <w:t>Caparo Industries plc v Dickman [1990]</w:t>
      </w:r>
      <w:r w:rsidR="00483645">
        <w:t>’</w:t>
      </w:r>
      <w:r w:rsidR="00B377A1" w:rsidRPr="005175EA">
        <w:t xml:space="preserve"> further supports the imposition of </w:t>
      </w:r>
      <w:r w:rsidR="00B377A1" w:rsidRPr="005175EA">
        <w:lastRenderedPageBreak/>
        <w:t>a duty of care, as the harm was foreseeable, there was sufficient proximity, and it is fair, just, and reasonable to impose liability.</w:t>
      </w:r>
      <w:r>
        <w:t xml:space="preserve"> </w:t>
      </w:r>
      <w:r w:rsidR="00B377A1" w:rsidRPr="005175EA">
        <w:t xml:space="preserve">However, the broader claims for psychiatric harm demonstrate the limitations of the current legal framework, especially for secondary victims and rescuers. </w:t>
      </w:r>
      <w:r w:rsidR="00B377A1" w:rsidRPr="00483645">
        <w:t>The Alcock criteria</w:t>
      </w:r>
      <w:r w:rsidR="00B377A1" w:rsidRPr="005175EA">
        <w:t xml:space="preserve"> remain rigid and difficult to satisfy, excluding claimants such as Bob, who do not meet formalistic relational or proximity requirements despite suffering genuine harm. Likewise, the narrow interpretation of rescuers' </w:t>
      </w:r>
      <w:r w:rsidR="00B377A1" w:rsidRPr="00483645">
        <w:t>rights in White und</w:t>
      </w:r>
      <w:r w:rsidR="00B377A1" w:rsidRPr="005175EA">
        <w:t>ermines recovery for those who voluntarily put themselves in traumatic situations to help others.</w:t>
      </w:r>
    </w:p>
    <w:p w14:paraId="465AFE76" w14:textId="77777777" w:rsidR="00B377A1" w:rsidRDefault="00B377A1" w:rsidP="00B377A1">
      <w:r w:rsidRPr="005175EA">
        <w:t xml:space="preserve">The Law Commission’s proposals, though not yet enacted, offer a more inclusive and modern approach, focusing on foreseeability and the psychological realities of trauma. Creating a distinct category for rescuers and removing outdated barriers like the sudden shock requirement would allow the legal system to better reflect the complexities of human response to </w:t>
      </w:r>
      <w:r w:rsidRPr="00A26264">
        <w:t>tragedy and</w:t>
      </w:r>
      <w:r w:rsidRPr="005175EA">
        <w:t xml:space="preserve"> provide more compassionate access to justice for psychiatric injury victims.</w:t>
      </w:r>
    </w:p>
    <w:p w14:paraId="37E14ADE" w14:textId="77777777" w:rsidR="00EC553E" w:rsidRDefault="00EC553E" w:rsidP="00B377A1"/>
    <w:p w14:paraId="3A55AA0D" w14:textId="241DA092" w:rsidR="00EC553E" w:rsidRPr="00EC553E" w:rsidRDefault="00EC553E" w:rsidP="00B377A1">
      <w:pPr>
        <w:rPr>
          <w:b/>
          <w:bCs/>
          <w:u w:val="single"/>
        </w:rPr>
      </w:pPr>
      <w:r w:rsidRPr="00EC553E">
        <w:rPr>
          <w:b/>
          <w:bCs/>
          <w:u w:val="single"/>
        </w:rPr>
        <w:t>References</w:t>
      </w:r>
    </w:p>
    <w:p w14:paraId="330A6EE9" w14:textId="77777777" w:rsidR="00B377A1" w:rsidRDefault="00B377A1"/>
    <w:p w14:paraId="5666436C" w14:textId="77777777" w:rsidR="004E2BF8" w:rsidRPr="004E2BF8" w:rsidRDefault="004E2BF8" w:rsidP="004E2BF8">
      <w:pPr>
        <w:rPr>
          <w:lang w:val="en-US"/>
        </w:rPr>
      </w:pPr>
      <w:r w:rsidRPr="004E2BF8">
        <w:rPr>
          <w:lang w:val="en-US"/>
        </w:rPr>
        <w:t>Alcock v Chief Constable of South Yorkshire Police [1992] 1 AC 310.</w:t>
      </w:r>
    </w:p>
    <w:p w14:paraId="2C356B50" w14:textId="77777777" w:rsidR="004E2BF8" w:rsidRPr="004E2BF8" w:rsidRDefault="004E2BF8" w:rsidP="004E2BF8">
      <w:pPr>
        <w:rPr>
          <w:lang w:val="en-US"/>
        </w:rPr>
      </w:pPr>
      <w:r w:rsidRPr="004E2BF8">
        <w:rPr>
          <w:lang w:val="en-US"/>
        </w:rPr>
        <w:t>Bailey, S.H., 2010. Liability for psychiatric damage: A reassessment. Cambridge Law Journal, 69(3), pp.457–486. https://doi.org/10.1017/S0008197310000731.</w:t>
      </w:r>
    </w:p>
    <w:p w14:paraId="1862B72E" w14:textId="77777777" w:rsidR="004E2BF8" w:rsidRPr="004E2BF8" w:rsidRDefault="004E2BF8" w:rsidP="004E2BF8">
      <w:pPr>
        <w:rPr>
          <w:lang w:val="en-US"/>
        </w:rPr>
      </w:pPr>
      <w:r w:rsidRPr="004E2BF8">
        <w:rPr>
          <w:lang w:val="en-US"/>
        </w:rPr>
        <w:t>Baker v TE Hopkins &amp; Son Ltd [1959] 1 WLR 966.</w:t>
      </w:r>
    </w:p>
    <w:p w14:paraId="1E1A0E65" w14:textId="77777777" w:rsidR="004E2BF8" w:rsidRPr="004E2BF8" w:rsidRDefault="004E2BF8" w:rsidP="004E2BF8">
      <w:pPr>
        <w:rPr>
          <w:lang w:val="en-US"/>
        </w:rPr>
      </w:pPr>
      <w:r w:rsidRPr="004E2BF8">
        <w:rPr>
          <w:lang w:val="en-US"/>
        </w:rPr>
        <w:t>Barnett v Chelsea and Kensington Hospital Management Committee [1969] 1 QB 428.</w:t>
      </w:r>
    </w:p>
    <w:p w14:paraId="68A6F262" w14:textId="77777777" w:rsidR="004E2BF8" w:rsidRPr="004E2BF8" w:rsidRDefault="004E2BF8" w:rsidP="004E2BF8">
      <w:pPr>
        <w:rPr>
          <w:lang w:val="en-US"/>
        </w:rPr>
      </w:pPr>
      <w:r w:rsidRPr="004E2BF8">
        <w:rPr>
          <w:lang w:val="en-US"/>
        </w:rPr>
        <w:t>Brice v Brown [1984] 1 ALL ER 997.</w:t>
      </w:r>
    </w:p>
    <w:p w14:paraId="67AD948F" w14:textId="77777777" w:rsidR="004E2BF8" w:rsidRPr="004E2BF8" w:rsidRDefault="004E2BF8" w:rsidP="004E2BF8">
      <w:pPr>
        <w:rPr>
          <w:lang w:val="en-US"/>
        </w:rPr>
      </w:pPr>
      <w:r w:rsidRPr="004E2BF8">
        <w:rPr>
          <w:lang w:val="en-US"/>
        </w:rPr>
        <w:t>Burton, M. and Watkins, D. (2017) Research methods in law. Second edition. Abingdon, Oxon. Routledge. Available at: https://doi.org/10.4324/9781315386669.</w:t>
      </w:r>
    </w:p>
    <w:p w14:paraId="09290E90" w14:textId="77777777" w:rsidR="004E2BF8" w:rsidRPr="004E2BF8" w:rsidRDefault="004E2BF8" w:rsidP="004E2BF8">
      <w:pPr>
        <w:rPr>
          <w:lang w:val="en-US"/>
        </w:rPr>
      </w:pPr>
      <w:r w:rsidRPr="004E2BF8">
        <w:rPr>
          <w:lang w:val="en-US"/>
        </w:rPr>
        <w:t>Butterworths Personal Injury Litigation Service. Issue 221. Lexis Plus UK. Available at: https://plus-lexis-com.ezproxy.uwtsd.ac.uk/uk/toc/?crid=2a49068a-3943-4fca-8987-a06824688a07&amp;pdtocfullpath=%2Fshared%2Ftableofcontents%2Furn:contentItem:5MSW-5T51-FBXG-F000-00000-00&amp;pdsearchdisplaytext=Butterworths%20Personal%20Injury%20Litigation%20Service&amp;pdcontextvalue=analytical-materials-uk%7Cbooks-journals-uk&amp;pdmfid=1001073&amp;pdisurlapi=true (Accessed: 01 July 2025).</w:t>
      </w:r>
    </w:p>
    <w:p w14:paraId="07207146" w14:textId="77777777" w:rsidR="004E2BF8" w:rsidRPr="004E2BF8" w:rsidRDefault="004E2BF8" w:rsidP="004E2BF8">
      <w:pPr>
        <w:rPr>
          <w:lang w:val="en-US"/>
        </w:rPr>
      </w:pPr>
      <w:r w:rsidRPr="004E2BF8">
        <w:rPr>
          <w:lang w:val="en-US"/>
        </w:rPr>
        <w:t>Caparo Industries plc v Dickman [1990] 2 AC 605.</w:t>
      </w:r>
    </w:p>
    <w:p w14:paraId="02A63E6F" w14:textId="77777777" w:rsidR="004E2BF8" w:rsidRPr="004E2BF8" w:rsidRDefault="004E2BF8" w:rsidP="004E2BF8">
      <w:pPr>
        <w:rPr>
          <w:lang w:val="en-US"/>
        </w:rPr>
      </w:pPr>
      <w:r w:rsidRPr="004E2BF8">
        <w:rPr>
          <w:lang w:val="en-US"/>
        </w:rPr>
        <w:t>Chadwick v British Railways Board [1966] 1 WLR 912.</w:t>
      </w:r>
    </w:p>
    <w:p w14:paraId="3EB5DE0C" w14:textId="77777777" w:rsidR="004E2BF8" w:rsidRPr="004E2BF8" w:rsidRDefault="004E2BF8" w:rsidP="004E2BF8">
      <w:pPr>
        <w:rPr>
          <w:lang w:val="en-US"/>
        </w:rPr>
      </w:pPr>
      <w:r w:rsidRPr="004E2BF8">
        <w:rPr>
          <w:lang w:val="en-US"/>
        </w:rPr>
        <w:lastRenderedPageBreak/>
        <w:t>Consumer Protection Act 1987 c.43. Available at: https://www.legislation.gov.uk/ukpga/1987/43 (Accessed 19 Nov 2024).</w:t>
      </w:r>
    </w:p>
    <w:p w14:paraId="62145544" w14:textId="77777777" w:rsidR="004E2BF8" w:rsidRPr="004E2BF8" w:rsidRDefault="004E2BF8" w:rsidP="004E2BF8">
      <w:pPr>
        <w:rPr>
          <w:lang w:val="en-US"/>
        </w:rPr>
      </w:pPr>
      <w:r w:rsidRPr="004E2BF8">
        <w:rPr>
          <w:lang w:val="en-US"/>
        </w:rPr>
        <w:t>Cox v Ministry of Justice (2016) UKSC 10.</w:t>
      </w:r>
    </w:p>
    <w:p w14:paraId="4117F98E" w14:textId="77777777" w:rsidR="004E2BF8" w:rsidRPr="004E2BF8" w:rsidRDefault="004E2BF8" w:rsidP="004E2BF8">
      <w:pPr>
        <w:rPr>
          <w:lang w:val="en-US"/>
        </w:rPr>
      </w:pPr>
      <w:r w:rsidRPr="004E2BF8">
        <w:rPr>
          <w:lang w:val="en-US"/>
        </w:rPr>
        <w:t xml:space="preserve">Cullin v London Fire and Civil </w:t>
      </w:r>
      <w:proofErr w:type="spellStart"/>
      <w:r w:rsidRPr="004E2BF8">
        <w:rPr>
          <w:lang w:val="en-US"/>
        </w:rPr>
        <w:t>Defence</w:t>
      </w:r>
      <w:proofErr w:type="spellEnd"/>
      <w:r w:rsidRPr="004E2BF8">
        <w:rPr>
          <w:lang w:val="en-US"/>
        </w:rPr>
        <w:t xml:space="preserve"> Authority [1999] PIQR 314.</w:t>
      </w:r>
    </w:p>
    <w:p w14:paraId="4FCD8CFC" w14:textId="77777777" w:rsidR="004E2BF8" w:rsidRPr="004E2BF8" w:rsidRDefault="004E2BF8" w:rsidP="004E2BF8">
      <w:pPr>
        <w:rPr>
          <w:lang w:val="en-US"/>
        </w:rPr>
      </w:pPr>
      <w:r w:rsidRPr="004E2BF8">
        <w:rPr>
          <w:lang w:val="en-US"/>
        </w:rPr>
        <w:t>Donoghue v Stevenson [1932] AC 562.</w:t>
      </w:r>
    </w:p>
    <w:p w14:paraId="1BA67591" w14:textId="77777777" w:rsidR="004E2BF8" w:rsidRPr="004E2BF8" w:rsidRDefault="004E2BF8" w:rsidP="004E2BF8">
      <w:pPr>
        <w:rPr>
          <w:lang w:val="en-US"/>
        </w:rPr>
      </w:pPr>
      <w:r w:rsidRPr="004E2BF8">
        <w:rPr>
          <w:lang w:val="en-US"/>
        </w:rPr>
        <w:t>Dorset Yacht Co Ltd v Home Office [1969] 2 QB 412.</w:t>
      </w:r>
    </w:p>
    <w:p w14:paraId="5BF9033B" w14:textId="77777777" w:rsidR="004E2BF8" w:rsidRPr="004E2BF8" w:rsidRDefault="004E2BF8" w:rsidP="004E2BF8">
      <w:pPr>
        <w:rPr>
          <w:lang w:val="en-US"/>
        </w:rPr>
      </w:pPr>
      <w:r w:rsidRPr="004E2BF8">
        <w:rPr>
          <w:lang w:val="en-US"/>
        </w:rPr>
        <w:t>Elliott, C. and Quinn, F. (2019) Elliott and Quinn’s tort law. Twelfth edition. Harlow, England: Pearson.</w:t>
      </w:r>
    </w:p>
    <w:p w14:paraId="7AFDDA2D" w14:textId="77777777" w:rsidR="004E2BF8" w:rsidRPr="004E2BF8" w:rsidRDefault="004E2BF8" w:rsidP="004E2BF8">
      <w:pPr>
        <w:rPr>
          <w:lang w:val="en-US"/>
        </w:rPr>
      </w:pPr>
      <w:r w:rsidRPr="004E2BF8">
        <w:rPr>
          <w:lang w:val="en-US"/>
        </w:rPr>
        <w:t>Employment Rights Act 1996 c.18. Available at: https://www.legislation.gov.uk/ukpga/1996/18/contents (Accessed: 12 Jan 2025).</w:t>
      </w:r>
    </w:p>
    <w:p w14:paraId="77A7F831" w14:textId="77777777" w:rsidR="004E2BF8" w:rsidRPr="004E2BF8" w:rsidRDefault="004E2BF8" w:rsidP="004E2BF8">
      <w:pPr>
        <w:rPr>
          <w:lang w:val="en-US"/>
        </w:rPr>
      </w:pPr>
      <w:r w:rsidRPr="004E2BF8">
        <w:rPr>
          <w:lang w:val="en-US"/>
        </w:rPr>
        <w:t xml:space="preserve">Galli-Atkinson v </w:t>
      </w:r>
      <w:proofErr w:type="spellStart"/>
      <w:r w:rsidRPr="004E2BF8">
        <w:rPr>
          <w:lang w:val="en-US"/>
        </w:rPr>
        <w:t>Seghal</w:t>
      </w:r>
      <w:proofErr w:type="spellEnd"/>
      <w:r w:rsidRPr="004E2BF8">
        <w:rPr>
          <w:lang w:val="en-US"/>
        </w:rPr>
        <w:t xml:space="preserve"> [2003] EWCA Civ 697.</w:t>
      </w:r>
    </w:p>
    <w:p w14:paraId="01E955C8" w14:textId="77777777" w:rsidR="004E2BF8" w:rsidRPr="004E2BF8" w:rsidRDefault="004E2BF8" w:rsidP="004E2BF8">
      <w:pPr>
        <w:rPr>
          <w:lang w:val="en-US"/>
        </w:rPr>
      </w:pPr>
      <w:r w:rsidRPr="004E2BF8">
        <w:rPr>
          <w:lang w:val="en-US"/>
        </w:rPr>
        <w:t>Greatorex v Greatorex [2000] 1 WLR 1970.</w:t>
      </w:r>
    </w:p>
    <w:p w14:paraId="6F8C955F" w14:textId="77777777" w:rsidR="004E2BF8" w:rsidRPr="004E2BF8" w:rsidRDefault="004E2BF8" w:rsidP="004E2BF8">
      <w:pPr>
        <w:rPr>
          <w:lang w:val="en-US"/>
        </w:rPr>
      </w:pPr>
      <w:r w:rsidRPr="004E2BF8">
        <w:rPr>
          <w:lang w:val="en-US"/>
        </w:rPr>
        <w:t>Gregg v Scott (2005) UKHL 2.</w:t>
      </w:r>
    </w:p>
    <w:p w14:paraId="7F4B54CC" w14:textId="77777777" w:rsidR="004E2BF8" w:rsidRPr="004E2BF8" w:rsidRDefault="004E2BF8" w:rsidP="004E2BF8">
      <w:pPr>
        <w:rPr>
          <w:lang w:val="en-US"/>
        </w:rPr>
      </w:pPr>
      <w:r w:rsidRPr="004E2BF8">
        <w:rPr>
          <w:lang w:val="en-US"/>
        </w:rPr>
        <w:t>Haley v London Electricity Board [1965] AC 778.</w:t>
      </w:r>
    </w:p>
    <w:p w14:paraId="08010DA0" w14:textId="77777777" w:rsidR="004E2BF8" w:rsidRPr="004E2BF8" w:rsidRDefault="004E2BF8" w:rsidP="004E2BF8">
      <w:pPr>
        <w:rPr>
          <w:lang w:val="en-US"/>
        </w:rPr>
      </w:pPr>
      <w:r w:rsidRPr="004E2BF8">
        <w:rPr>
          <w:lang w:val="en-US"/>
        </w:rPr>
        <w:t>Health and Safety at Work etc. Act 1974 c.37. Available at: https://www.legislation.gov.uk/ukpga/1974/37/contents (Accessed 11 Nov 2024).</w:t>
      </w:r>
    </w:p>
    <w:p w14:paraId="2B745BD0" w14:textId="77777777" w:rsidR="004E2BF8" w:rsidRPr="004E2BF8" w:rsidRDefault="004E2BF8" w:rsidP="004E2BF8">
      <w:pPr>
        <w:rPr>
          <w:lang w:val="en-US"/>
        </w:rPr>
      </w:pPr>
      <w:r w:rsidRPr="004E2BF8">
        <w:rPr>
          <w:lang w:val="en-US"/>
        </w:rPr>
        <w:t>Hinz v Berry [1980] 2 QB 40.</w:t>
      </w:r>
    </w:p>
    <w:p w14:paraId="29F3063E" w14:textId="77777777" w:rsidR="004E2BF8" w:rsidRPr="004E2BF8" w:rsidRDefault="004E2BF8" w:rsidP="004E2BF8">
      <w:pPr>
        <w:rPr>
          <w:lang w:val="en-US"/>
        </w:rPr>
      </w:pPr>
      <w:proofErr w:type="spellStart"/>
      <w:r w:rsidRPr="004E2BF8">
        <w:rPr>
          <w:lang w:val="en-US"/>
        </w:rPr>
        <w:t>Honeywill</w:t>
      </w:r>
      <w:proofErr w:type="spellEnd"/>
      <w:r w:rsidRPr="004E2BF8">
        <w:rPr>
          <w:lang w:val="en-US"/>
        </w:rPr>
        <w:t xml:space="preserve"> and Stein Ltd v Larkin Bros Ltd [1934] 1KB 191.</w:t>
      </w:r>
    </w:p>
    <w:p w14:paraId="6B433D88" w14:textId="77777777" w:rsidR="004E2BF8" w:rsidRPr="004E2BF8" w:rsidRDefault="004E2BF8" w:rsidP="004E2BF8">
      <w:pPr>
        <w:rPr>
          <w:lang w:val="en-US"/>
        </w:rPr>
      </w:pPr>
      <w:r w:rsidRPr="004E2BF8">
        <w:rPr>
          <w:lang w:val="en-US"/>
        </w:rPr>
        <w:t>Human Rights Act 1998. c.42 Available at: ttps://www.legislation.gov.uk/ukpga/1998/42/contents (Accessed: 19 Feb 2025).</w:t>
      </w:r>
    </w:p>
    <w:p w14:paraId="0D9C6F6A" w14:textId="77777777" w:rsidR="004E2BF8" w:rsidRPr="004E2BF8" w:rsidRDefault="004E2BF8" w:rsidP="004E2BF8">
      <w:pPr>
        <w:rPr>
          <w:lang w:val="en-US"/>
        </w:rPr>
      </w:pPr>
      <w:r w:rsidRPr="004E2BF8">
        <w:rPr>
          <w:lang w:val="en-US"/>
        </w:rPr>
        <w:t>Hutchinson, T. and Duncan, N. (2012) ‘Defining and describing what we do: doctrinal legal research’, Deakin law review, 17(1), pp. 83–119. Available at: https://doi.org/10.21153/dlr2012vol17no1art70.</w:t>
      </w:r>
    </w:p>
    <w:p w14:paraId="456AE34A" w14:textId="77777777" w:rsidR="004E2BF8" w:rsidRPr="004E2BF8" w:rsidRDefault="004E2BF8" w:rsidP="004E2BF8">
      <w:pPr>
        <w:rPr>
          <w:lang w:val="en-US"/>
        </w:rPr>
      </w:pPr>
      <w:proofErr w:type="spellStart"/>
      <w:r w:rsidRPr="004E2BF8">
        <w:rPr>
          <w:lang w:val="en-US"/>
        </w:rPr>
        <w:t>Lammasniemi</w:t>
      </w:r>
      <w:proofErr w:type="spellEnd"/>
      <w:r w:rsidRPr="004E2BF8">
        <w:rPr>
          <w:lang w:val="en-US"/>
        </w:rPr>
        <w:t>, L. (2021). Law Dissertations: A Step-by-Step Guide. 2nd Edition. Routledge. Available at: https://doi.org/10.4324/9781003123552</w:t>
      </w:r>
    </w:p>
    <w:p w14:paraId="309E670C" w14:textId="77777777" w:rsidR="004E2BF8" w:rsidRPr="004E2BF8" w:rsidRDefault="004E2BF8" w:rsidP="004E2BF8">
      <w:pPr>
        <w:rPr>
          <w:lang w:val="en-US"/>
        </w:rPr>
      </w:pPr>
      <w:r w:rsidRPr="004E2BF8">
        <w:rPr>
          <w:lang w:val="en-US"/>
        </w:rPr>
        <w:t>Law Commission, 1998. Liability for psychiatric illness. Law Com No 249. London: HMSO. Available at: https://www.lawcom.gov.uk/project/liability-for-psychiatric-illness/ (Accessed 20 June 2025).</w:t>
      </w:r>
    </w:p>
    <w:p w14:paraId="47E4170B" w14:textId="77777777" w:rsidR="004E2BF8" w:rsidRPr="004E2BF8" w:rsidRDefault="004E2BF8" w:rsidP="004E2BF8">
      <w:pPr>
        <w:rPr>
          <w:lang w:val="en-US"/>
        </w:rPr>
      </w:pPr>
      <w:r w:rsidRPr="004E2BF8">
        <w:rPr>
          <w:lang w:val="en-US"/>
        </w:rPr>
        <w:t>Law Reform (Contributory Negligence) Act 1945. c.28. Available at: https://www.legislation.gov.uk/ukpga/Geo6/8-9/28/contents (Accessed: 09 Feb 2025).</w:t>
      </w:r>
    </w:p>
    <w:p w14:paraId="1454D91D" w14:textId="77777777" w:rsidR="004E2BF8" w:rsidRPr="004E2BF8" w:rsidRDefault="004E2BF8" w:rsidP="004E2BF8">
      <w:pPr>
        <w:rPr>
          <w:lang w:val="en-US"/>
        </w:rPr>
      </w:pPr>
      <w:r w:rsidRPr="004E2BF8">
        <w:rPr>
          <w:lang w:val="en-US"/>
        </w:rPr>
        <w:t>McLoughlin v O’Brian [1983] 1 AC 410.</w:t>
      </w:r>
    </w:p>
    <w:p w14:paraId="1619F864" w14:textId="77777777" w:rsidR="004E2BF8" w:rsidRPr="004E2BF8" w:rsidRDefault="004E2BF8" w:rsidP="004E2BF8">
      <w:pPr>
        <w:rPr>
          <w:lang w:val="en-US"/>
        </w:rPr>
      </w:pPr>
      <w:r w:rsidRPr="004E2BF8">
        <w:rPr>
          <w:lang w:val="en-US"/>
        </w:rPr>
        <w:lastRenderedPageBreak/>
        <w:t>Mental Health Act 2007. c.12. Available at: https://www.legislation.gov.uk/ukpga/2007/12/contents (Accessed: 16 Feb 2025).</w:t>
      </w:r>
    </w:p>
    <w:p w14:paraId="7D5AD969" w14:textId="77777777" w:rsidR="004E2BF8" w:rsidRPr="004E2BF8" w:rsidRDefault="004E2BF8" w:rsidP="004E2BF8">
      <w:pPr>
        <w:rPr>
          <w:lang w:val="en-US"/>
        </w:rPr>
      </w:pPr>
      <w:r w:rsidRPr="004E2BF8">
        <w:rPr>
          <w:lang w:val="en-US"/>
        </w:rPr>
        <w:t>Mohamud v WM Morrison Supermarkets plc (2016) UKSC 11.</w:t>
      </w:r>
    </w:p>
    <w:p w14:paraId="21537D1E" w14:textId="77777777" w:rsidR="004E2BF8" w:rsidRPr="004E2BF8" w:rsidRDefault="004E2BF8" w:rsidP="004E2BF8">
      <w:pPr>
        <w:rPr>
          <w:lang w:val="en-US"/>
        </w:rPr>
      </w:pPr>
      <w:r w:rsidRPr="004E2BF8">
        <w:rPr>
          <w:lang w:val="en-US"/>
        </w:rPr>
        <w:t xml:space="preserve">Nolan, D., 2021. Negligence and psychiatric injury: The end of the road for </w:t>
      </w:r>
      <w:proofErr w:type="gramStart"/>
      <w:r w:rsidRPr="004E2BF8">
        <w:rPr>
          <w:lang w:val="en-US"/>
        </w:rPr>
        <w:t>Alcock?.</w:t>
      </w:r>
      <w:proofErr w:type="gramEnd"/>
      <w:r w:rsidRPr="004E2BF8">
        <w:rPr>
          <w:lang w:val="en-US"/>
        </w:rPr>
        <w:t xml:space="preserve"> Law Quarterly Review, 137(3), pp.369–395.</w:t>
      </w:r>
    </w:p>
    <w:p w14:paraId="1AF3B800" w14:textId="77777777" w:rsidR="004E2BF8" w:rsidRPr="004E2BF8" w:rsidRDefault="004E2BF8" w:rsidP="004E2BF8">
      <w:pPr>
        <w:rPr>
          <w:lang w:val="en-US"/>
        </w:rPr>
      </w:pPr>
      <w:r w:rsidRPr="004E2BF8">
        <w:rPr>
          <w:lang w:val="en-US"/>
        </w:rPr>
        <w:t>Nolan, D., Oliphant, K. and Lunney, M. (2023) Lunney &amp; Oliphant’s tort law: text and materials. Seventh edition. Oxford: Oxford University Press.</w:t>
      </w:r>
    </w:p>
    <w:p w14:paraId="12E69226" w14:textId="77777777" w:rsidR="004E2BF8" w:rsidRPr="004E2BF8" w:rsidRDefault="004E2BF8" w:rsidP="004E2BF8">
      <w:pPr>
        <w:rPr>
          <w:lang w:val="en-US"/>
        </w:rPr>
      </w:pPr>
      <w:r w:rsidRPr="004E2BF8">
        <w:rPr>
          <w:lang w:val="en-US"/>
        </w:rPr>
        <w:t>Occupiers’ Liability Act 1957 c.31. Available at: https://www.legislation.gov.uk/ukpga/Eliz2/5-6/31/contents (Accessed 11 Nov 2024).</w:t>
      </w:r>
    </w:p>
    <w:p w14:paraId="32816D7C" w14:textId="77777777" w:rsidR="004E2BF8" w:rsidRPr="004E2BF8" w:rsidRDefault="004E2BF8" w:rsidP="004E2BF8">
      <w:pPr>
        <w:rPr>
          <w:lang w:val="en-US"/>
        </w:rPr>
      </w:pPr>
      <w:r w:rsidRPr="004E2BF8">
        <w:rPr>
          <w:lang w:val="en-US"/>
        </w:rPr>
        <w:t>Osman v United Kingdom [1998] ECHR 28.</w:t>
      </w:r>
    </w:p>
    <w:p w14:paraId="2A51F1EF" w14:textId="77777777" w:rsidR="004E2BF8" w:rsidRPr="004E2BF8" w:rsidRDefault="004E2BF8" w:rsidP="004E2BF8">
      <w:pPr>
        <w:rPr>
          <w:lang w:val="en-US"/>
        </w:rPr>
      </w:pPr>
      <w:r w:rsidRPr="004E2BF8">
        <w:rPr>
          <w:lang w:val="en-US"/>
        </w:rPr>
        <w:t>Overseas Tankship (UK) Ltd v The Miller Steamship Co or Wagon Mound (No.2) [1967] 1 AC 617.</w:t>
      </w:r>
    </w:p>
    <w:p w14:paraId="24BB2708" w14:textId="77777777" w:rsidR="004E2BF8" w:rsidRPr="004E2BF8" w:rsidRDefault="004E2BF8" w:rsidP="004E2BF8">
      <w:pPr>
        <w:rPr>
          <w:lang w:val="en-US"/>
        </w:rPr>
      </w:pPr>
      <w:r w:rsidRPr="004E2BF8">
        <w:rPr>
          <w:lang w:val="en-US"/>
        </w:rPr>
        <w:t>Page v Smith [1996] AC 155.</w:t>
      </w:r>
    </w:p>
    <w:p w14:paraId="3AD52324" w14:textId="77777777" w:rsidR="004E2BF8" w:rsidRPr="004E2BF8" w:rsidRDefault="004E2BF8" w:rsidP="004E2BF8">
      <w:pPr>
        <w:rPr>
          <w:lang w:val="en-US"/>
        </w:rPr>
      </w:pPr>
      <w:r w:rsidRPr="004E2BF8">
        <w:rPr>
          <w:lang w:val="en-US"/>
        </w:rPr>
        <w:t xml:space="preserve">R v Associated </w:t>
      </w:r>
      <w:proofErr w:type="spellStart"/>
      <w:r w:rsidRPr="004E2BF8">
        <w:rPr>
          <w:lang w:val="en-US"/>
        </w:rPr>
        <w:t>Octel</w:t>
      </w:r>
      <w:proofErr w:type="spellEnd"/>
      <w:r w:rsidRPr="004E2BF8">
        <w:rPr>
          <w:lang w:val="en-US"/>
        </w:rPr>
        <w:t xml:space="preserve"> Co Ltd [1996] 4 ALL ER 846.</w:t>
      </w:r>
    </w:p>
    <w:p w14:paraId="1DB1EFA0" w14:textId="77777777" w:rsidR="004E2BF8" w:rsidRPr="004E2BF8" w:rsidRDefault="004E2BF8" w:rsidP="004E2BF8">
      <w:pPr>
        <w:rPr>
          <w:lang w:val="en-US"/>
        </w:rPr>
      </w:pPr>
      <w:r w:rsidRPr="004E2BF8">
        <w:rPr>
          <w:lang w:val="en-US"/>
        </w:rPr>
        <w:t>R v Board of Trustees of The Science Museum [1993] 1 WLR 1171.</w:t>
      </w:r>
    </w:p>
    <w:p w14:paraId="4E4294E8" w14:textId="77777777" w:rsidR="004E2BF8" w:rsidRPr="004E2BF8" w:rsidRDefault="004E2BF8" w:rsidP="004E2BF8">
      <w:pPr>
        <w:rPr>
          <w:lang w:val="en-US"/>
        </w:rPr>
      </w:pPr>
      <w:r w:rsidRPr="004E2BF8">
        <w:rPr>
          <w:lang w:val="en-US"/>
        </w:rPr>
        <w:t>Robinson v Chief Constable of West Yorkshire Police (2018) AC, 736, Lexis Plus UK.</w:t>
      </w:r>
    </w:p>
    <w:p w14:paraId="6B576291" w14:textId="77777777" w:rsidR="004E2BF8" w:rsidRPr="004E2BF8" w:rsidRDefault="004E2BF8" w:rsidP="004E2BF8">
      <w:pPr>
        <w:rPr>
          <w:lang w:val="en-US"/>
        </w:rPr>
      </w:pPr>
      <w:r w:rsidRPr="004E2BF8">
        <w:rPr>
          <w:lang w:val="en-US"/>
        </w:rPr>
        <w:t>Robinson v Post Office [1974] 1 WLR 1176.</w:t>
      </w:r>
    </w:p>
    <w:p w14:paraId="126D5029" w14:textId="77777777" w:rsidR="004E2BF8" w:rsidRPr="004E2BF8" w:rsidRDefault="004E2BF8" w:rsidP="004E2BF8">
      <w:pPr>
        <w:rPr>
          <w:lang w:val="en-US"/>
        </w:rPr>
      </w:pPr>
      <w:r w:rsidRPr="004E2BF8">
        <w:rPr>
          <w:lang w:val="en-US"/>
        </w:rPr>
        <w:t>Smith v Leech Brain [1962] 2 QB 405.</w:t>
      </w:r>
    </w:p>
    <w:p w14:paraId="06A8F590" w14:textId="77777777" w:rsidR="004E2BF8" w:rsidRPr="004E2BF8" w:rsidRDefault="004E2BF8" w:rsidP="004E2BF8">
      <w:pPr>
        <w:rPr>
          <w:lang w:val="en-US"/>
        </w:rPr>
      </w:pPr>
      <w:r w:rsidRPr="004E2BF8">
        <w:rPr>
          <w:lang w:val="en-US"/>
        </w:rPr>
        <w:t>Stapleton, J. (2021). Three essays on Torts. Oxford: Oxford University Press.</w:t>
      </w:r>
    </w:p>
    <w:p w14:paraId="1AE13F6D" w14:textId="77777777" w:rsidR="004E2BF8" w:rsidRPr="004E2BF8" w:rsidRDefault="004E2BF8" w:rsidP="004E2BF8">
      <w:pPr>
        <w:rPr>
          <w:lang w:val="en-US"/>
        </w:rPr>
      </w:pPr>
      <w:r w:rsidRPr="004E2BF8">
        <w:rPr>
          <w:lang w:val="en-US"/>
        </w:rPr>
        <w:t>Steel, A., 2021. Rethinking secondary victims: Relational proximity and psychiatric injury in negligence. Tort Law Review, 29(2), pp.75–91.</w:t>
      </w:r>
    </w:p>
    <w:p w14:paraId="4E4AEF38" w14:textId="77777777" w:rsidR="004E2BF8" w:rsidRPr="004E2BF8" w:rsidRDefault="004E2BF8" w:rsidP="004E2BF8">
      <w:pPr>
        <w:rPr>
          <w:lang w:val="en-US"/>
        </w:rPr>
      </w:pPr>
      <w:r w:rsidRPr="004E2BF8">
        <w:rPr>
          <w:lang w:val="en-US"/>
        </w:rPr>
        <w:t>The Fireworks Regulations 2004 (SI 1836). Available at: https://www.legislation.gov.uk/en/uksi/2004/1836/contents (Accessed: 05 Jan 2025).</w:t>
      </w:r>
    </w:p>
    <w:p w14:paraId="2BC82125" w14:textId="77777777" w:rsidR="004E2BF8" w:rsidRPr="004E2BF8" w:rsidRDefault="004E2BF8" w:rsidP="004E2BF8">
      <w:pPr>
        <w:rPr>
          <w:lang w:val="en-US"/>
        </w:rPr>
      </w:pPr>
      <w:r w:rsidRPr="004E2BF8">
        <w:rPr>
          <w:lang w:val="en-US"/>
        </w:rPr>
        <w:t>The Management of Health and Safety at Work Regulations 1999 (SI 3242). Available at: https://www.legislation.gov.uk/uksi/1999/3242/contents (Accessed: 05 Jan 2025).</w:t>
      </w:r>
    </w:p>
    <w:p w14:paraId="37AC4E33" w14:textId="77777777" w:rsidR="004E2BF8" w:rsidRPr="004E2BF8" w:rsidRDefault="004E2BF8" w:rsidP="004E2BF8">
      <w:pPr>
        <w:rPr>
          <w:lang w:val="en-US"/>
        </w:rPr>
      </w:pPr>
      <w:r w:rsidRPr="004E2BF8">
        <w:rPr>
          <w:lang w:val="en-US"/>
        </w:rPr>
        <w:t>Tomlinson v Congleton Borough Council (2004) 1 AC, 46, Lexis Plus UK.</w:t>
      </w:r>
    </w:p>
    <w:p w14:paraId="6840D87C" w14:textId="77777777" w:rsidR="004E2BF8" w:rsidRPr="004E2BF8" w:rsidRDefault="004E2BF8" w:rsidP="004E2BF8">
      <w:pPr>
        <w:rPr>
          <w:lang w:val="en-US"/>
        </w:rPr>
      </w:pPr>
      <w:r w:rsidRPr="004E2BF8">
        <w:rPr>
          <w:lang w:val="en-US"/>
        </w:rPr>
        <w:t>Various Claimants v Barclays Bank plc (2020) UKSC 13.</w:t>
      </w:r>
    </w:p>
    <w:p w14:paraId="1ABE04B6" w14:textId="77777777" w:rsidR="004E2BF8" w:rsidRPr="004E2BF8" w:rsidRDefault="004E2BF8" w:rsidP="004E2BF8">
      <w:pPr>
        <w:rPr>
          <w:lang w:val="en-US"/>
        </w:rPr>
      </w:pPr>
      <w:r w:rsidRPr="004E2BF8">
        <w:rPr>
          <w:lang w:val="en-US"/>
        </w:rPr>
        <w:t>Wheat v E Lacon &amp; Co Ltd [1966] AC 552.</w:t>
      </w:r>
    </w:p>
    <w:p w14:paraId="06C770AB" w14:textId="77777777" w:rsidR="004E2BF8" w:rsidRPr="004E2BF8" w:rsidRDefault="004E2BF8" w:rsidP="004E2BF8">
      <w:pPr>
        <w:rPr>
          <w:lang w:val="en-US"/>
        </w:rPr>
      </w:pPr>
      <w:r w:rsidRPr="004E2BF8">
        <w:rPr>
          <w:lang w:val="en-US"/>
        </w:rPr>
        <w:t>White v Chief Constable of South Yorkshire Police [1999] 2 AC 455</w:t>
      </w:r>
    </w:p>
    <w:p w14:paraId="2C3A0C97" w14:textId="77777777" w:rsidR="004E2BF8" w:rsidRPr="004E2BF8" w:rsidRDefault="004E2BF8" w:rsidP="004E2BF8">
      <w:pPr>
        <w:rPr>
          <w:lang w:val="en-US"/>
        </w:rPr>
      </w:pPr>
      <w:r w:rsidRPr="004E2BF8">
        <w:rPr>
          <w:lang w:val="en-US"/>
        </w:rPr>
        <w:t>Wild v Southend Hospital NHS Trust (2014) EWHC 4053 (QB).</w:t>
      </w:r>
    </w:p>
    <w:p w14:paraId="4A01C6BC" w14:textId="77777777" w:rsidR="004E2BF8" w:rsidRPr="004E2BF8" w:rsidRDefault="004E2BF8" w:rsidP="004E2BF8">
      <w:pPr>
        <w:rPr>
          <w:lang w:val="en-US"/>
        </w:rPr>
      </w:pPr>
      <w:r w:rsidRPr="004E2BF8">
        <w:rPr>
          <w:lang w:val="en-US"/>
        </w:rPr>
        <w:lastRenderedPageBreak/>
        <w:t>Woodland v Swimming Teachers’ Association and Others (2013) UKSC 66.</w:t>
      </w:r>
    </w:p>
    <w:p w14:paraId="4131F7E2" w14:textId="77777777" w:rsidR="004E2BF8" w:rsidRPr="004E2BF8" w:rsidRDefault="004E2BF8" w:rsidP="004E2BF8">
      <w:pPr>
        <w:rPr>
          <w:lang w:val="en-US"/>
        </w:rPr>
      </w:pPr>
      <w:r w:rsidRPr="004E2BF8">
        <w:rPr>
          <w:lang w:val="en-US"/>
        </w:rPr>
        <w:t>Young v Charles Church (Southern) Ltd [1997] 39 CA.</w:t>
      </w:r>
    </w:p>
    <w:p w14:paraId="64795424" w14:textId="77777777" w:rsidR="004E2BF8" w:rsidRDefault="004E2BF8"/>
    <w:sectPr w:rsidR="004E2BF8" w:rsidSect="00892A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7C1E"/>
    <w:multiLevelType w:val="multilevel"/>
    <w:tmpl w:val="CC96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D4BD3"/>
    <w:multiLevelType w:val="multilevel"/>
    <w:tmpl w:val="265E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7643C"/>
    <w:multiLevelType w:val="multilevel"/>
    <w:tmpl w:val="3C0E2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7A541C"/>
    <w:multiLevelType w:val="multilevel"/>
    <w:tmpl w:val="1C44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2134EE"/>
    <w:multiLevelType w:val="multilevel"/>
    <w:tmpl w:val="81A4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661707"/>
    <w:multiLevelType w:val="multilevel"/>
    <w:tmpl w:val="1AAA5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F07DB5"/>
    <w:multiLevelType w:val="multilevel"/>
    <w:tmpl w:val="DBDC0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01A34"/>
    <w:multiLevelType w:val="multilevel"/>
    <w:tmpl w:val="CB88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644FB0"/>
    <w:multiLevelType w:val="multilevel"/>
    <w:tmpl w:val="A50E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A43672"/>
    <w:multiLevelType w:val="hybridMultilevel"/>
    <w:tmpl w:val="E812B9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163D3E"/>
    <w:multiLevelType w:val="multilevel"/>
    <w:tmpl w:val="53821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6267214">
    <w:abstractNumId w:val="7"/>
  </w:num>
  <w:num w:numId="2" w16cid:durableId="964234564">
    <w:abstractNumId w:val="2"/>
  </w:num>
  <w:num w:numId="3" w16cid:durableId="1371494678">
    <w:abstractNumId w:val="8"/>
  </w:num>
  <w:num w:numId="4" w16cid:durableId="1472090833">
    <w:abstractNumId w:val="10"/>
  </w:num>
  <w:num w:numId="5" w16cid:durableId="1500148597">
    <w:abstractNumId w:val="6"/>
  </w:num>
  <w:num w:numId="6" w16cid:durableId="308171211">
    <w:abstractNumId w:val="0"/>
  </w:num>
  <w:num w:numId="7" w16cid:durableId="148601665">
    <w:abstractNumId w:val="4"/>
  </w:num>
  <w:num w:numId="8" w16cid:durableId="811755109">
    <w:abstractNumId w:val="3"/>
  </w:num>
  <w:num w:numId="9" w16cid:durableId="1120222544">
    <w:abstractNumId w:val="1"/>
  </w:num>
  <w:num w:numId="10" w16cid:durableId="1075277025">
    <w:abstractNumId w:val="5"/>
  </w:num>
  <w:num w:numId="11" w16cid:durableId="2599918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6AD"/>
    <w:rsid w:val="000034E8"/>
    <w:rsid w:val="00015B71"/>
    <w:rsid w:val="000504A4"/>
    <w:rsid w:val="000657E2"/>
    <w:rsid w:val="00066423"/>
    <w:rsid w:val="00075FC2"/>
    <w:rsid w:val="00090807"/>
    <w:rsid w:val="000C3251"/>
    <w:rsid w:val="00100DEA"/>
    <w:rsid w:val="00114D55"/>
    <w:rsid w:val="00175FB7"/>
    <w:rsid w:val="0018553C"/>
    <w:rsid w:val="0018634C"/>
    <w:rsid w:val="0018694F"/>
    <w:rsid w:val="001A3B20"/>
    <w:rsid w:val="001B1266"/>
    <w:rsid w:val="001F0D8F"/>
    <w:rsid w:val="0022325E"/>
    <w:rsid w:val="00234F77"/>
    <w:rsid w:val="00240B98"/>
    <w:rsid w:val="00252E6F"/>
    <w:rsid w:val="00257BE6"/>
    <w:rsid w:val="002811E0"/>
    <w:rsid w:val="0028453C"/>
    <w:rsid w:val="00293197"/>
    <w:rsid w:val="002944E1"/>
    <w:rsid w:val="00294E85"/>
    <w:rsid w:val="002A0155"/>
    <w:rsid w:val="002B1F1F"/>
    <w:rsid w:val="002B35AC"/>
    <w:rsid w:val="002C3070"/>
    <w:rsid w:val="003056CE"/>
    <w:rsid w:val="00345054"/>
    <w:rsid w:val="00345A95"/>
    <w:rsid w:val="00350073"/>
    <w:rsid w:val="00364E0A"/>
    <w:rsid w:val="003A2BA9"/>
    <w:rsid w:val="003C2849"/>
    <w:rsid w:val="003D02CE"/>
    <w:rsid w:val="003D2817"/>
    <w:rsid w:val="003F1E3B"/>
    <w:rsid w:val="00400700"/>
    <w:rsid w:val="004049DE"/>
    <w:rsid w:val="004147B5"/>
    <w:rsid w:val="00431389"/>
    <w:rsid w:val="00437B09"/>
    <w:rsid w:val="00457379"/>
    <w:rsid w:val="0046398D"/>
    <w:rsid w:val="0047272E"/>
    <w:rsid w:val="00476147"/>
    <w:rsid w:val="00483645"/>
    <w:rsid w:val="00483E0F"/>
    <w:rsid w:val="00495D26"/>
    <w:rsid w:val="004C2CCC"/>
    <w:rsid w:val="004E2AA1"/>
    <w:rsid w:val="004E2BF8"/>
    <w:rsid w:val="005072AD"/>
    <w:rsid w:val="00553A6E"/>
    <w:rsid w:val="00562578"/>
    <w:rsid w:val="00564644"/>
    <w:rsid w:val="0058662B"/>
    <w:rsid w:val="00591CF7"/>
    <w:rsid w:val="005931EB"/>
    <w:rsid w:val="005A1188"/>
    <w:rsid w:val="005C1BDF"/>
    <w:rsid w:val="005F09CE"/>
    <w:rsid w:val="00604A67"/>
    <w:rsid w:val="0062241F"/>
    <w:rsid w:val="006655BA"/>
    <w:rsid w:val="00666051"/>
    <w:rsid w:val="006737E4"/>
    <w:rsid w:val="00683D6D"/>
    <w:rsid w:val="0069019F"/>
    <w:rsid w:val="006B5BEE"/>
    <w:rsid w:val="006E02E2"/>
    <w:rsid w:val="006F37B3"/>
    <w:rsid w:val="007055E3"/>
    <w:rsid w:val="00710B8C"/>
    <w:rsid w:val="00723C8C"/>
    <w:rsid w:val="00724CBC"/>
    <w:rsid w:val="00727397"/>
    <w:rsid w:val="00735ADD"/>
    <w:rsid w:val="007463FE"/>
    <w:rsid w:val="007648D0"/>
    <w:rsid w:val="00767716"/>
    <w:rsid w:val="0078645E"/>
    <w:rsid w:val="007E090D"/>
    <w:rsid w:val="007F5BA0"/>
    <w:rsid w:val="00806733"/>
    <w:rsid w:val="00825326"/>
    <w:rsid w:val="00881D99"/>
    <w:rsid w:val="00892A11"/>
    <w:rsid w:val="008B5BE2"/>
    <w:rsid w:val="008C5AB7"/>
    <w:rsid w:val="008D2547"/>
    <w:rsid w:val="008E2834"/>
    <w:rsid w:val="008E2C16"/>
    <w:rsid w:val="008F5730"/>
    <w:rsid w:val="009036AD"/>
    <w:rsid w:val="00912B03"/>
    <w:rsid w:val="00913E2D"/>
    <w:rsid w:val="00925FCF"/>
    <w:rsid w:val="00931A03"/>
    <w:rsid w:val="00945701"/>
    <w:rsid w:val="0094603B"/>
    <w:rsid w:val="00947B51"/>
    <w:rsid w:val="00981538"/>
    <w:rsid w:val="00985DD1"/>
    <w:rsid w:val="0099764C"/>
    <w:rsid w:val="009A014D"/>
    <w:rsid w:val="009A49E6"/>
    <w:rsid w:val="009B5305"/>
    <w:rsid w:val="009C044D"/>
    <w:rsid w:val="009D3320"/>
    <w:rsid w:val="009E5583"/>
    <w:rsid w:val="00A00E9B"/>
    <w:rsid w:val="00A26264"/>
    <w:rsid w:val="00A33916"/>
    <w:rsid w:val="00A4658D"/>
    <w:rsid w:val="00A563B8"/>
    <w:rsid w:val="00A87969"/>
    <w:rsid w:val="00A913AF"/>
    <w:rsid w:val="00AA1B86"/>
    <w:rsid w:val="00AA2C83"/>
    <w:rsid w:val="00AA70FF"/>
    <w:rsid w:val="00AB2FB7"/>
    <w:rsid w:val="00AC3BFE"/>
    <w:rsid w:val="00AC5883"/>
    <w:rsid w:val="00AD35D5"/>
    <w:rsid w:val="00AF75F4"/>
    <w:rsid w:val="00B06F5F"/>
    <w:rsid w:val="00B16912"/>
    <w:rsid w:val="00B239D8"/>
    <w:rsid w:val="00B372E8"/>
    <w:rsid w:val="00B377A1"/>
    <w:rsid w:val="00B4174E"/>
    <w:rsid w:val="00B50534"/>
    <w:rsid w:val="00B80C11"/>
    <w:rsid w:val="00B87DC6"/>
    <w:rsid w:val="00BB02A8"/>
    <w:rsid w:val="00BC79F9"/>
    <w:rsid w:val="00BE6BFA"/>
    <w:rsid w:val="00BF5A95"/>
    <w:rsid w:val="00C01030"/>
    <w:rsid w:val="00C37092"/>
    <w:rsid w:val="00C76119"/>
    <w:rsid w:val="00C76B6C"/>
    <w:rsid w:val="00C773B7"/>
    <w:rsid w:val="00C94F0E"/>
    <w:rsid w:val="00C96547"/>
    <w:rsid w:val="00CA15C6"/>
    <w:rsid w:val="00CA49C0"/>
    <w:rsid w:val="00CB050E"/>
    <w:rsid w:val="00CB3753"/>
    <w:rsid w:val="00CB62E0"/>
    <w:rsid w:val="00CD7B43"/>
    <w:rsid w:val="00CE2298"/>
    <w:rsid w:val="00CE3FCC"/>
    <w:rsid w:val="00D0030A"/>
    <w:rsid w:val="00D17C38"/>
    <w:rsid w:val="00D5033B"/>
    <w:rsid w:val="00D53074"/>
    <w:rsid w:val="00D66D41"/>
    <w:rsid w:val="00D717FD"/>
    <w:rsid w:val="00D804FE"/>
    <w:rsid w:val="00DA4CA5"/>
    <w:rsid w:val="00DD187E"/>
    <w:rsid w:val="00DD50CD"/>
    <w:rsid w:val="00E05670"/>
    <w:rsid w:val="00E15BB7"/>
    <w:rsid w:val="00E27ACE"/>
    <w:rsid w:val="00E32215"/>
    <w:rsid w:val="00E64682"/>
    <w:rsid w:val="00E743B7"/>
    <w:rsid w:val="00E928E0"/>
    <w:rsid w:val="00E96084"/>
    <w:rsid w:val="00EA037D"/>
    <w:rsid w:val="00EA28F0"/>
    <w:rsid w:val="00EB5B56"/>
    <w:rsid w:val="00EC396C"/>
    <w:rsid w:val="00EC553E"/>
    <w:rsid w:val="00EE5D58"/>
    <w:rsid w:val="00EE74E3"/>
    <w:rsid w:val="00EE7D2F"/>
    <w:rsid w:val="00EF0078"/>
    <w:rsid w:val="00EF02FC"/>
    <w:rsid w:val="00EF410D"/>
    <w:rsid w:val="00F004B4"/>
    <w:rsid w:val="00F358A6"/>
    <w:rsid w:val="00F71036"/>
    <w:rsid w:val="00F80B47"/>
    <w:rsid w:val="00F85393"/>
    <w:rsid w:val="00F92818"/>
    <w:rsid w:val="00FB5574"/>
    <w:rsid w:val="00FB7F63"/>
    <w:rsid w:val="00FE71E5"/>
    <w:rsid w:val="00FF6866"/>
    <w:rsid w:val="00FF6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BC989"/>
  <w15:chartTrackingRefBased/>
  <w15:docId w15:val="{1C5E35BC-AC39-4531-B5D3-87768801A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6AD"/>
    <w:rPr>
      <w:rFonts w:eastAsiaTheme="majorEastAsia" w:cstheme="majorBidi"/>
      <w:color w:val="272727" w:themeColor="text1" w:themeTint="D8"/>
    </w:rPr>
  </w:style>
  <w:style w:type="paragraph" w:styleId="Title">
    <w:name w:val="Title"/>
    <w:basedOn w:val="Normal"/>
    <w:next w:val="Normal"/>
    <w:link w:val="TitleChar"/>
    <w:uiPriority w:val="10"/>
    <w:qFormat/>
    <w:rsid w:val="00903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6AD"/>
    <w:pPr>
      <w:spacing w:before="160"/>
      <w:jc w:val="center"/>
    </w:pPr>
    <w:rPr>
      <w:i/>
      <w:iCs/>
      <w:color w:val="404040" w:themeColor="text1" w:themeTint="BF"/>
    </w:rPr>
  </w:style>
  <w:style w:type="character" w:customStyle="1" w:styleId="QuoteChar">
    <w:name w:val="Quote Char"/>
    <w:basedOn w:val="DefaultParagraphFont"/>
    <w:link w:val="Quote"/>
    <w:uiPriority w:val="29"/>
    <w:rsid w:val="009036AD"/>
    <w:rPr>
      <w:i/>
      <w:iCs/>
      <w:color w:val="404040" w:themeColor="text1" w:themeTint="BF"/>
    </w:rPr>
  </w:style>
  <w:style w:type="paragraph" w:styleId="ListParagraph">
    <w:name w:val="List Paragraph"/>
    <w:basedOn w:val="Normal"/>
    <w:uiPriority w:val="34"/>
    <w:qFormat/>
    <w:rsid w:val="009036AD"/>
    <w:pPr>
      <w:ind w:left="720"/>
      <w:contextualSpacing/>
    </w:pPr>
  </w:style>
  <w:style w:type="character" w:styleId="IntenseEmphasis">
    <w:name w:val="Intense Emphasis"/>
    <w:basedOn w:val="DefaultParagraphFont"/>
    <w:uiPriority w:val="21"/>
    <w:qFormat/>
    <w:rsid w:val="009036AD"/>
    <w:rPr>
      <w:i/>
      <w:iCs/>
      <w:color w:val="0F4761" w:themeColor="accent1" w:themeShade="BF"/>
    </w:rPr>
  </w:style>
  <w:style w:type="paragraph" w:styleId="IntenseQuote">
    <w:name w:val="Intense Quote"/>
    <w:basedOn w:val="Normal"/>
    <w:next w:val="Normal"/>
    <w:link w:val="IntenseQuoteChar"/>
    <w:uiPriority w:val="30"/>
    <w:qFormat/>
    <w:rsid w:val="00903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6AD"/>
    <w:rPr>
      <w:i/>
      <w:iCs/>
      <w:color w:val="0F4761" w:themeColor="accent1" w:themeShade="BF"/>
    </w:rPr>
  </w:style>
  <w:style w:type="character" w:styleId="IntenseReference">
    <w:name w:val="Intense Reference"/>
    <w:basedOn w:val="DefaultParagraphFont"/>
    <w:uiPriority w:val="32"/>
    <w:qFormat/>
    <w:rsid w:val="009036AD"/>
    <w:rPr>
      <w:b/>
      <w:bCs/>
      <w:smallCaps/>
      <w:color w:val="0F4761" w:themeColor="accent1" w:themeShade="BF"/>
      <w:spacing w:val="5"/>
    </w:rPr>
  </w:style>
  <w:style w:type="paragraph" w:styleId="NoSpacing">
    <w:name w:val="No Spacing"/>
    <w:link w:val="NoSpacingChar"/>
    <w:uiPriority w:val="1"/>
    <w:qFormat/>
    <w:rsid w:val="00892A1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92A1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8812">
      <w:bodyDiv w:val="1"/>
      <w:marLeft w:val="0"/>
      <w:marRight w:val="0"/>
      <w:marTop w:val="0"/>
      <w:marBottom w:val="0"/>
      <w:divBdr>
        <w:top w:val="none" w:sz="0" w:space="0" w:color="auto"/>
        <w:left w:val="none" w:sz="0" w:space="0" w:color="auto"/>
        <w:bottom w:val="none" w:sz="0" w:space="0" w:color="auto"/>
        <w:right w:val="none" w:sz="0" w:space="0" w:color="auto"/>
      </w:divBdr>
    </w:div>
    <w:div w:id="38172946">
      <w:bodyDiv w:val="1"/>
      <w:marLeft w:val="0"/>
      <w:marRight w:val="0"/>
      <w:marTop w:val="0"/>
      <w:marBottom w:val="0"/>
      <w:divBdr>
        <w:top w:val="none" w:sz="0" w:space="0" w:color="auto"/>
        <w:left w:val="none" w:sz="0" w:space="0" w:color="auto"/>
        <w:bottom w:val="none" w:sz="0" w:space="0" w:color="auto"/>
        <w:right w:val="none" w:sz="0" w:space="0" w:color="auto"/>
      </w:divBdr>
    </w:div>
    <w:div w:id="44529946">
      <w:bodyDiv w:val="1"/>
      <w:marLeft w:val="0"/>
      <w:marRight w:val="0"/>
      <w:marTop w:val="0"/>
      <w:marBottom w:val="0"/>
      <w:divBdr>
        <w:top w:val="none" w:sz="0" w:space="0" w:color="auto"/>
        <w:left w:val="none" w:sz="0" w:space="0" w:color="auto"/>
        <w:bottom w:val="none" w:sz="0" w:space="0" w:color="auto"/>
        <w:right w:val="none" w:sz="0" w:space="0" w:color="auto"/>
      </w:divBdr>
    </w:div>
    <w:div w:id="204295408">
      <w:bodyDiv w:val="1"/>
      <w:marLeft w:val="0"/>
      <w:marRight w:val="0"/>
      <w:marTop w:val="0"/>
      <w:marBottom w:val="0"/>
      <w:divBdr>
        <w:top w:val="none" w:sz="0" w:space="0" w:color="auto"/>
        <w:left w:val="none" w:sz="0" w:space="0" w:color="auto"/>
        <w:bottom w:val="none" w:sz="0" w:space="0" w:color="auto"/>
        <w:right w:val="none" w:sz="0" w:space="0" w:color="auto"/>
      </w:divBdr>
    </w:div>
    <w:div w:id="295532423">
      <w:bodyDiv w:val="1"/>
      <w:marLeft w:val="0"/>
      <w:marRight w:val="0"/>
      <w:marTop w:val="0"/>
      <w:marBottom w:val="0"/>
      <w:divBdr>
        <w:top w:val="none" w:sz="0" w:space="0" w:color="auto"/>
        <w:left w:val="none" w:sz="0" w:space="0" w:color="auto"/>
        <w:bottom w:val="none" w:sz="0" w:space="0" w:color="auto"/>
        <w:right w:val="none" w:sz="0" w:space="0" w:color="auto"/>
      </w:divBdr>
    </w:div>
    <w:div w:id="454716687">
      <w:bodyDiv w:val="1"/>
      <w:marLeft w:val="0"/>
      <w:marRight w:val="0"/>
      <w:marTop w:val="0"/>
      <w:marBottom w:val="0"/>
      <w:divBdr>
        <w:top w:val="none" w:sz="0" w:space="0" w:color="auto"/>
        <w:left w:val="none" w:sz="0" w:space="0" w:color="auto"/>
        <w:bottom w:val="none" w:sz="0" w:space="0" w:color="auto"/>
        <w:right w:val="none" w:sz="0" w:space="0" w:color="auto"/>
      </w:divBdr>
    </w:div>
    <w:div w:id="509177667">
      <w:bodyDiv w:val="1"/>
      <w:marLeft w:val="0"/>
      <w:marRight w:val="0"/>
      <w:marTop w:val="0"/>
      <w:marBottom w:val="0"/>
      <w:divBdr>
        <w:top w:val="none" w:sz="0" w:space="0" w:color="auto"/>
        <w:left w:val="none" w:sz="0" w:space="0" w:color="auto"/>
        <w:bottom w:val="none" w:sz="0" w:space="0" w:color="auto"/>
        <w:right w:val="none" w:sz="0" w:space="0" w:color="auto"/>
      </w:divBdr>
    </w:div>
    <w:div w:id="759525509">
      <w:bodyDiv w:val="1"/>
      <w:marLeft w:val="0"/>
      <w:marRight w:val="0"/>
      <w:marTop w:val="0"/>
      <w:marBottom w:val="0"/>
      <w:divBdr>
        <w:top w:val="none" w:sz="0" w:space="0" w:color="auto"/>
        <w:left w:val="none" w:sz="0" w:space="0" w:color="auto"/>
        <w:bottom w:val="none" w:sz="0" w:space="0" w:color="auto"/>
        <w:right w:val="none" w:sz="0" w:space="0" w:color="auto"/>
      </w:divBdr>
    </w:div>
    <w:div w:id="801964241">
      <w:bodyDiv w:val="1"/>
      <w:marLeft w:val="0"/>
      <w:marRight w:val="0"/>
      <w:marTop w:val="0"/>
      <w:marBottom w:val="0"/>
      <w:divBdr>
        <w:top w:val="none" w:sz="0" w:space="0" w:color="auto"/>
        <w:left w:val="none" w:sz="0" w:space="0" w:color="auto"/>
        <w:bottom w:val="none" w:sz="0" w:space="0" w:color="auto"/>
        <w:right w:val="none" w:sz="0" w:space="0" w:color="auto"/>
      </w:divBdr>
    </w:div>
    <w:div w:id="968585525">
      <w:bodyDiv w:val="1"/>
      <w:marLeft w:val="0"/>
      <w:marRight w:val="0"/>
      <w:marTop w:val="0"/>
      <w:marBottom w:val="0"/>
      <w:divBdr>
        <w:top w:val="none" w:sz="0" w:space="0" w:color="auto"/>
        <w:left w:val="none" w:sz="0" w:space="0" w:color="auto"/>
        <w:bottom w:val="none" w:sz="0" w:space="0" w:color="auto"/>
        <w:right w:val="none" w:sz="0" w:space="0" w:color="auto"/>
      </w:divBdr>
    </w:div>
    <w:div w:id="1113019340">
      <w:bodyDiv w:val="1"/>
      <w:marLeft w:val="0"/>
      <w:marRight w:val="0"/>
      <w:marTop w:val="0"/>
      <w:marBottom w:val="0"/>
      <w:divBdr>
        <w:top w:val="none" w:sz="0" w:space="0" w:color="auto"/>
        <w:left w:val="none" w:sz="0" w:space="0" w:color="auto"/>
        <w:bottom w:val="none" w:sz="0" w:space="0" w:color="auto"/>
        <w:right w:val="none" w:sz="0" w:space="0" w:color="auto"/>
      </w:divBdr>
    </w:div>
    <w:div w:id="1157843155">
      <w:bodyDiv w:val="1"/>
      <w:marLeft w:val="0"/>
      <w:marRight w:val="0"/>
      <w:marTop w:val="0"/>
      <w:marBottom w:val="0"/>
      <w:divBdr>
        <w:top w:val="none" w:sz="0" w:space="0" w:color="auto"/>
        <w:left w:val="none" w:sz="0" w:space="0" w:color="auto"/>
        <w:bottom w:val="none" w:sz="0" w:space="0" w:color="auto"/>
        <w:right w:val="none" w:sz="0" w:space="0" w:color="auto"/>
      </w:divBdr>
      <w:divsChild>
        <w:div w:id="1303076472">
          <w:marLeft w:val="0"/>
          <w:marRight w:val="0"/>
          <w:marTop w:val="0"/>
          <w:marBottom w:val="0"/>
          <w:divBdr>
            <w:top w:val="none" w:sz="0" w:space="0" w:color="auto"/>
            <w:left w:val="none" w:sz="0" w:space="0" w:color="auto"/>
            <w:bottom w:val="none" w:sz="0" w:space="0" w:color="auto"/>
            <w:right w:val="none" w:sz="0" w:space="0" w:color="auto"/>
          </w:divBdr>
        </w:div>
        <w:div w:id="406077240">
          <w:marLeft w:val="0"/>
          <w:marRight w:val="0"/>
          <w:marTop w:val="0"/>
          <w:marBottom w:val="0"/>
          <w:divBdr>
            <w:top w:val="none" w:sz="0" w:space="0" w:color="auto"/>
            <w:left w:val="none" w:sz="0" w:space="0" w:color="auto"/>
            <w:bottom w:val="none" w:sz="0" w:space="0" w:color="auto"/>
            <w:right w:val="none" w:sz="0" w:space="0" w:color="auto"/>
          </w:divBdr>
        </w:div>
        <w:div w:id="697245865">
          <w:marLeft w:val="0"/>
          <w:marRight w:val="0"/>
          <w:marTop w:val="0"/>
          <w:marBottom w:val="0"/>
          <w:divBdr>
            <w:top w:val="none" w:sz="0" w:space="0" w:color="auto"/>
            <w:left w:val="none" w:sz="0" w:space="0" w:color="auto"/>
            <w:bottom w:val="none" w:sz="0" w:space="0" w:color="auto"/>
            <w:right w:val="none" w:sz="0" w:space="0" w:color="auto"/>
          </w:divBdr>
        </w:div>
        <w:div w:id="490827452">
          <w:marLeft w:val="0"/>
          <w:marRight w:val="0"/>
          <w:marTop w:val="0"/>
          <w:marBottom w:val="0"/>
          <w:divBdr>
            <w:top w:val="none" w:sz="0" w:space="0" w:color="auto"/>
            <w:left w:val="none" w:sz="0" w:space="0" w:color="auto"/>
            <w:bottom w:val="none" w:sz="0" w:space="0" w:color="auto"/>
            <w:right w:val="none" w:sz="0" w:space="0" w:color="auto"/>
          </w:divBdr>
        </w:div>
        <w:div w:id="1931504842">
          <w:marLeft w:val="0"/>
          <w:marRight w:val="0"/>
          <w:marTop w:val="0"/>
          <w:marBottom w:val="0"/>
          <w:divBdr>
            <w:top w:val="none" w:sz="0" w:space="0" w:color="auto"/>
            <w:left w:val="none" w:sz="0" w:space="0" w:color="auto"/>
            <w:bottom w:val="none" w:sz="0" w:space="0" w:color="auto"/>
            <w:right w:val="none" w:sz="0" w:space="0" w:color="auto"/>
          </w:divBdr>
        </w:div>
        <w:div w:id="743113725">
          <w:marLeft w:val="0"/>
          <w:marRight w:val="0"/>
          <w:marTop w:val="0"/>
          <w:marBottom w:val="0"/>
          <w:divBdr>
            <w:top w:val="none" w:sz="0" w:space="0" w:color="auto"/>
            <w:left w:val="none" w:sz="0" w:space="0" w:color="auto"/>
            <w:bottom w:val="none" w:sz="0" w:space="0" w:color="auto"/>
            <w:right w:val="none" w:sz="0" w:space="0" w:color="auto"/>
          </w:divBdr>
        </w:div>
        <w:div w:id="1578056400">
          <w:marLeft w:val="0"/>
          <w:marRight w:val="0"/>
          <w:marTop w:val="0"/>
          <w:marBottom w:val="0"/>
          <w:divBdr>
            <w:top w:val="none" w:sz="0" w:space="0" w:color="auto"/>
            <w:left w:val="none" w:sz="0" w:space="0" w:color="auto"/>
            <w:bottom w:val="none" w:sz="0" w:space="0" w:color="auto"/>
            <w:right w:val="none" w:sz="0" w:space="0" w:color="auto"/>
          </w:divBdr>
        </w:div>
      </w:divsChild>
    </w:div>
    <w:div w:id="1246643393">
      <w:bodyDiv w:val="1"/>
      <w:marLeft w:val="0"/>
      <w:marRight w:val="0"/>
      <w:marTop w:val="0"/>
      <w:marBottom w:val="0"/>
      <w:divBdr>
        <w:top w:val="none" w:sz="0" w:space="0" w:color="auto"/>
        <w:left w:val="none" w:sz="0" w:space="0" w:color="auto"/>
        <w:bottom w:val="none" w:sz="0" w:space="0" w:color="auto"/>
        <w:right w:val="none" w:sz="0" w:space="0" w:color="auto"/>
      </w:divBdr>
    </w:div>
    <w:div w:id="1253202235">
      <w:bodyDiv w:val="1"/>
      <w:marLeft w:val="0"/>
      <w:marRight w:val="0"/>
      <w:marTop w:val="0"/>
      <w:marBottom w:val="0"/>
      <w:divBdr>
        <w:top w:val="none" w:sz="0" w:space="0" w:color="auto"/>
        <w:left w:val="none" w:sz="0" w:space="0" w:color="auto"/>
        <w:bottom w:val="none" w:sz="0" w:space="0" w:color="auto"/>
        <w:right w:val="none" w:sz="0" w:space="0" w:color="auto"/>
      </w:divBdr>
    </w:div>
    <w:div w:id="1552841682">
      <w:bodyDiv w:val="1"/>
      <w:marLeft w:val="0"/>
      <w:marRight w:val="0"/>
      <w:marTop w:val="0"/>
      <w:marBottom w:val="0"/>
      <w:divBdr>
        <w:top w:val="none" w:sz="0" w:space="0" w:color="auto"/>
        <w:left w:val="none" w:sz="0" w:space="0" w:color="auto"/>
        <w:bottom w:val="none" w:sz="0" w:space="0" w:color="auto"/>
        <w:right w:val="none" w:sz="0" w:space="0" w:color="auto"/>
      </w:divBdr>
    </w:div>
    <w:div w:id="1571112731">
      <w:bodyDiv w:val="1"/>
      <w:marLeft w:val="0"/>
      <w:marRight w:val="0"/>
      <w:marTop w:val="0"/>
      <w:marBottom w:val="0"/>
      <w:divBdr>
        <w:top w:val="none" w:sz="0" w:space="0" w:color="auto"/>
        <w:left w:val="none" w:sz="0" w:space="0" w:color="auto"/>
        <w:bottom w:val="none" w:sz="0" w:space="0" w:color="auto"/>
        <w:right w:val="none" w:sz="0" w:space="0" w:color="auto"/>
      </w:divBdr>
    </w:div>
    <w:div w:id="1574272070">
      <w:bodyDiv w:val="1"/>
      <w:marLeft w:val="0"/>
      <w:marRight w:val="0"/>
      <w:marTop w:val="0"/>
      <w:marBottom w:val="0"/>
      <w:divBdr>
        <w:top w:val="none" w:sz="0" w:space="0" w:color="auto"/>
        <w:left w:val="none" w:sz="0" w:space="0" w:color="auto"/>
        <w:bottom w:val="none" w:sz="0" w:space="0" w:color="auto"/>
        <w:right w:val="none" w:sz="0" w:space="0" w:color="auto"/>
      </w:divBdr>
      <w:divsChild>
        <w:div w:id="853811530">
          <w:marLeft w:val="0"/>
          <w:marRight w:val="0"/>
          <w:marTop w:val="0"/>
          <w:marBottom w:val="0"/>
          <w:divBdr>
            <w:top w:val="none" w:sz="0" w:space="0" w:color="auto"/>
            <w:left w:val="none" w:sz="0" w:space="0" w:color="auto"/>
            <w:bottom w:val="none" w:sz="0" w:space="0" w:color="auto"/>
            <w:right w:val="none" w:sz="0" w:space="0" w:color="auto"/>
          </w:divBdr>
        </w:div>
        <w:div w:id="1145123377">
          <w:marLeft w:val="0"/>
          <w:marRight w:val="0"/>
          <w:marTop w:val="0"/>
          <w:marBottom w:val="0"/>
          <w:divBdr>
            <w:top w:val="none" w:sz="0" w:space="0" w:color="auto"/>
            <w:left w:val="none" w:sz="0" w:space="0" w:color="auto"/>
            <w:bottom w:val="none" w:sz="0" w:space="0" w:color="auto"/>
            <w:right w:val="none" w:sz="0" w:space="0" w:color="auto"/>
          </w:divBdr>
        </w:div>
        <w:div w:id="986278328">
          <w:marLeft w:val="0"/>
          <w:marRight w:val="0"/>
          <w:marTop w:val="0"/>
          <w:marBottom w:val="0"/>
          <w:divBdr>
            <w:top w:val="none" w:sz="0" w:space="0" w:color="auto"/>
            <w:left w:val="none" w:sz="0" w:space="0" w:color="auto"/>
            <w:bottom w:val="none" w:sz="0" w:space="0" w:color="auto"/>
            <w:right w:val="none" w:sz="0" w:space="0" w:color="auto"/>
          </w:divBdr>
        </w:div>
        <w:div w:id="519205842">
          <w:marLeft w:val="0"/>
          <w:marRight w:val="0"/>
          <w:marTop w:val="0"/>
          <w:marBottom w:val="0"/>
          <w:divBdr>
            <w:top w:val="none" w:sz="0" w:space="0" w:color="auto"/>
            <w:left w:val="none" w:sz="0" w:space="0" w:color="auto"/>
            <w:bottom w:val="none" w:sz="0" w:space="0" w:color="auto"/>
            <w:right w:val="none" w:sz="0" w:space="0" w:color="auto"/>
          </w:divBdr>
        </w:div>
        <w:div w:id="672074477">
          <w:marLeft w:val="0"/>
          <w:marRight w:val="0"/>
          <w:marTop w:val="0"/>
          <w:marBottom w:val="0"/>
          <w:divBdr>
            <w:top w:val="none" w:sz="0" w:space="0" w:color="auto"/>
            <w:left w:val="none" w:sz="0" w:space="0" w:color="auto"/>
            <w:bottom w:val="none" w:sz="0" w:space="0" w:color="auto"/>
            <w:right w:val="none" w:sz="0" w:space="0" w:color="auto"/>
          </w:divBdr>
        </w:div>
        <w:div w:id="674307965">
          <w:marLeft w:val="0"/>
          <w:marRight w:val="0"/>
          <w:marTop w:val="0"/>
          <w:marBottom w:val="0"/>
          <w:divBdr>
            <w:top w:val="none" w:sz="0" w:space="0" w:color="auto"/>
            <w:left w:val="none" w:sz="0" w:space="0" w:color="auto"/>
            <w:bottom w:val="none" w:sz="0" w:space="0" w:color="auto"/>
            <w:right w:val="none" w:sz="0" w:space="0" w:color="auto"/>
          </w:divBdr>
        </w:div>
        <w:div w:id="642127359">
          <w:marLeft w:val="0"/>
          <w:marRight w:val="0"/>
          <w:marTop w:val="0"/>
          <w:marBottom w:val="0"/>
          <w:divBdr>
            <w:top w:val="none" w:sz="0" w:space="0" w:color="auto"/>
            <w:left w:val="none" w:sz="0" w:space="0" w:color="auto"/>
            <w:bottom w:val="none" w:sz="0" w:space="0" w:color="auto"/>
            <w:right w:val="none" w:sz="0" w:space="0" w:color="auto"/>
          </w:divBdr>
        </w:div>
      </w:divsChild>
    </w:div>
    <w:div w:id="1812361088">
      <w:bodyDiv w:val="1"/>
      <w:marLeft w:val="0"/>
      <w:marRight w:val="0"/>
      <w:marTop w:val="0"/>
      <w:marBottom w:val="0"/>
      <w:divBdr>
        <w:top w:val="none" w:sz="0" w:space="0" w:color="auto"/>
        <w:left w:val="none" w:sz="0" w:space="0" w:color="auto"/>
        <w:bottom w:val="none" w:sz="0" w:space="0" w:color="auto"/>
        <w:right w:val="none" w:sz="0" w:space="0" w:color="auto"/>
      </w:divBdr>
    </w:div>
    <w:div w:id="1921719777">
      <w:bodyDiv w:val="1"/>
      <w:marLeft w:val="0"/>
      <w:marRight w:val="0"/>
      <w:marTop w:val="0"/>
      <w:marBottom w:val="0"/>
      <w:divBdr>
        <w:top w:val="none" w:sz="0" w:space="0" w:color="auto"/>
        <w:left w:val="none" w:sz="0" w:space="0" w:color="auto"/>
        <w:bottom w:val="none" w:sz="0" w:space="0" w:color="auto"/>
        <w:right w:val="none" w:sz="0" w:space="0" w:color="auto"/>
      </w:divBdr>
    </w:div>
    <w:div w:id="1930652990">
      <w:bodyDiv w:val="1"/>
      <w:marLeft w:val="0"/>
      <w:marRight w:val="0"/>
      <w:marTop w:val="0"/>
      <w:marBottom w:val="0"/>
      <w:divBdr>
        <w:top w:val="none" w:sz="0" w:space="0" w:color="auto"/>
        <w:left w:val="none" w:sz="0" w:space="0" w:color="auto"/>
        <w:bottom w:val="none" w:sz="0" w:space="0" w:color="auto"/>
        <w:right w:val="none" w:sz="0" w:space="0" w:color="auto"/>
      </w:divBdr>
    </w:div>
    <w:div w:id="1936937719">
      <w:bodyDiv w:val="1"/>
      <w:marLeft w:val="0"/>
      <w:marRight w:val="0"/>
      <w:marTop w:val="0"/>
      <w:marBottom w:val="0"/>
      <w:divBdr>
        <w:top w:val="none" w:sz="0" w:space="0" w:color="auto"/>
        <w:left w:val="none" w:sz="0" w:space="0" w:color="auto"/>
        <w:bottom w:val="none" w:sz="0" w:space="0" w:color="auto"/>
        <w:right w:val="none" w:sz="0" w:space="0" w:color="auto"/>
      </w:divBdr>
    </w:div>
    <w:div w:id="1955597934">
      <w:bodyDiv w:val="1"/>
      <w:marLeft w:val="0"/>
      <w:marRight w:val="0"/>
      <w:marTop w:val="0"/>
      <w:marBottom w:val="0"/>
      <w:divBdr>
        <w:top w:val="none" w:sz="0" w:space="0" w:color="auto"/>
        <w:left w:val="none" w:sz="0" w:space="0" w:color="auto"/>
        <w:bottom w:val="none" w:sz="0" w:space="0" w:color="auto"/>
        <w:right w:val="none" w:sz="0" w:space="0" w:color="auto"/>
      </w:divBdr>
    </w:div>
    <w:div w:id="1987778682">
      <w:bodyDiv w:val="1"/>
      <w:marLeft w:val="0"/>
      <w:marRight w:val="0"/>
      <w:marTop w:val="0"/>
      <w:marBottom w:val="0"/>
      <w:divBdr>
        <w:top w:val="none" w:sz="0" w:space="0" w:color="auto"/>
        <w:left w:val="none" w:sz="0" w:space="0" w:color="auto"/>
        <w:bottom w:val="none" w:sz="0" w:space="0" w:color="auto"/>
        <w:right w:val="none" w:sz="0" w:space="0" w:color="auto"/>
      </w:divBdr>
    </w:div>
    <w:div w:id="213956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D4F78AD4CC46AC8662881D107AA009"/>
        <w:category>
          <w:name w:val="General"/>
          <w:gallery w:val="placeholder"/>
        </w:category>
        <w:types>
          <w:type w:val="bbPlcHdr"/>
        </w:types>
        <w:behaviors>
          <w:behavior w:val="content"/>
        </w:behaviors>
        <w:guid w:val="{44D0B4E9-A762-40C1-B78A-9AC7126CC695}"/>
      </w:docPartPr>
      <w:docPartBody>
        <w:p w:rsidR="00236F8D" w:rsidRDefault="00236F8D" w:rsidP="00236F8D">
          <w:pPr>
            <w:pStyle w:val="71D4F78AD4CC46AC8662881D107AA009"/>
          </w:pPr>
          <w:r>
            <w:rPr>
              <w:rFonts w:asciiTheme="majorHAnsi" w:eastAsiaTheme="majorEastAsia" w:hAnsiTheme="majorHAnsi" w:cstheme="majorBidi"/>
              <w:caps/>
              <w:color w:val="156082" w:themeColor="accent1"/>
              <w:sz w:val="80"/>
              <w:szCs w:val="80"/>
            </w:rPr>
            <w:t>[Document title]</w:t>
          </w:r>
        </w:p>
      </w:docPartBody>
    </w:docPart>
    <w:docPart>
      <w:docPartPr>
        <w:name w:val="4B08D1B28F1E41ADB582A93B120A87BB"/>
        <w:category>
          <w:name w:val="General"/>
          <w:gallery w:val="placeholder"/>
        </w:category>
        <w:types>
          <w:type w:val="bbPlcHdr"/>
        </w:types>
        <w:behaviors>
          <w:behavior w:val="content"/>
        </w:behaviors>
        <w:guid w:val="{A87C376C-3DB6-428F-8F13-436B54E673FA}"/>
      </w:docPartPr>
      <w:docPartBody>
        <w:p w:rsidR="00236F8D" w:rsidRDefault="00236F8D" w:rsidP="00236F8D">
          <w:pPr>
            <w:pStyle w:val="4B08D1B28F1E41ADB582A93B120A87B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F8D"/>
    <w:rsid w:val="00236F8D"/>
    <w:rsid w:val="00BB0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D4F78AD4CC46AC8662881D107AA009">
    <w:name w:val="71D4F78AD4CC46AC8662881D107AA009"/>
    <w:rsid w:val="00236F8D"/>
  </w:style>
  <w:style w:type="paragraph" w:customStyle="1" w:styleId="4B08D1B28F1E41ADB582A93B120A87BB">
    <w:name w:val="4B08D1B28F1E41ADB582A93B120A87BB"/>
    <w:rsid w:val="00236F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2319007</PublishDate>
  <Abstract/>
  <CompanyAddress>BMLW5019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6029</Words>
  <Characters>34367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Jade Brown</Company>
  <LinksUpToDate>false</LinksUpToDate>
  <CharactersWithSpaces>40316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RESEARCH REPORT</dc:title>
  <dc:subject>The Tortious Liability of Barry Bottleman: A Legal Analysis of the Time Stomp Festival Incident</dc:subject>
  <dc:creator>jade brown</dc:creator>
  <cp:keywords/>
  <dc:description/>
  <cp:lastModifiedBy>jade brown</cp:lastModifiedBy>
  <cp:revision>2</cp:revision>
  <dcterms:created xsi:type="dcterms:W3CDTF">2025-07-18T22:25:00Z</dcterms:created>
  <dcterms:modified xsi:type="dcterms:W3CDTF">2025-07-18T22:25:00Z</dcterms:modified>
</cp:coreProperties>
</file>