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B3D556" w14:textId="77777777" w:rsidR="007E0D85" w:rsidRDefault="007E0D85" w:rsidP="007A7122">
      <w:pPr>
        <w:spacing w:after="200" w:line="360" w:lineRule="auto"/>
      </w:pPr>
    </w:p>
    <w:p w14:paraId="4A0C2CFE" w14:textId="77777777" w:rsidR="007E0D85" w:rsidRPr="008F34D7" w:rsidRDefault="00AE1BD7" w:rsidP="007A7122">
      <w:pPr>
        <w:spacing w:after="400" w:line="360" w:lineRule="auto"/>
        <w:jc w:val="center"/>
        <w:rPr>
          <w:rFonts w:ascii="Arial" w:hAnsi="Arial" w:cs="Arial"/>
          <w:sz w:val="28"/>
          <w:szCs w:val="28"/>
        </w:rPr>
      </w:pPr>
      <w:r w:rsidRPr="008F34D7">
        <w:rPr>
          <w:rFonts w:ascii="Arial" w:hAnsi="Arial" w:cs="Arial"/>
          <w:b/>
          <w:bCs/>
          <w:sz w:val="28"/>
          <w:szCs w:val="28"/>
        </w:rPr>
        <w:t>LCHS7002 – Case Study Analysis</w:t>
      </w:r>
    </w:p>
    <w:p w14:paraId="5026E3B7" w14:textId="112AB623" w:rsidR="007E0D85" w:rsidRPr="008F34D7" w:rsidRDefault="00AE1BD7" w:rsidP="007A7122">
      <w:pPr>
        <w:spacing w:after="200" w:line="360" w:lineRule="auto"/>
        <w:jc w:val="center"/>
        <w:rPr>
          <w:rFonts w:ascii="Arial" w:hAnsi="Arial" w:cs="Arial"/>
          <w:sz w:val="28"/>
          <w:szCs w:val="28"/>
        </w:rPr>
      </w:pPr>
      <w:r w:rsidRPr="008F34D7">
        <w:rPr>
          <w:rFonts w:ascii="Arial" w:hAnsi="Arial" w:cs="Arial"/>
          <w:b/>
          <w:bCs/>
          <w:sz w:val="28"/>
          <w:szCs w:val="28"/>
        </w:rPr>
        <w:t xml:space="preserve">Leadership, Systems </w:t>
      </w:r>
      <w:r w:rsidR="008F34D7">
        <w:rPr>
          <w:rFonts w:ascii="Arial" w:hAnsi="Arial" w:cs="Arial"/>
          <w:b/>
          <w:bCs/>
          <w:sz w:val="28"/>
          <w:szCs w:val="28"/>
        </w:rPr>
        <w:t>Thinking,</w:t>
      </w:r>
      <w:r w:rsidRPr="008F34D7">
        <w:rPr>
          <w:rFonts w:ascii="Arial" w:hAnsi="Arial" w:cs="Arial"/>
          <w:b/>
          <w:bCs/>
          <w:sz w:val="28"/>
          <w:szCs w:val="28"/>
        </w:rPr>
        <w:t xml:space="preserve"> and Governance Failure in a Wrong-Patient Surgery Incident:</w:t>
      </w:r>
    </w:p>
    <w:p w14:paraId="7EFABC58" w14:textId="77777777" w:rsidR="007E0D85" w:rsidRPr="008F34D7" w:rsidRDefault="00AE1BD7" w:rsidP="007A7122">
      <w:pPr>
        <w:spacing w:after="400" w:line="360" w:lineRule="auto"/>
        <w:jc w:val="center"/>
        <w:rPr>
          <w:rFonts w:ascii="Arial" w:hAnsi="Arial" w:cs="Arial"/>
          <w:sz w:val="28"/>
          <w:szCs w:val="28"/>
        </w:rPr>
      </w:pPr>
      <w:r w:rsidRPr="008F34D7">
        <w:rPr>
          <w:rFonts w:ascii="Arial" w:hAnsi="Arial" w:cs="Arial"/>
          <w:b/>
          <w:bCs/>
          <w:sz w:val="28"/>
          <w:szCs w:val="28"/>
        </w:rPr>
        <w:t>The Case of Kota Medical College Hospital, Rajasthan (12 April 2025)</w:t>
      </w:r>
    </w:p>
    <w:p w14:paraId="04437F1D" w14:textId="4A838328" w:rsidR="00EB0EB3" w:rsidRPr="008F34D7" w:rsidRDefault="00AE1BD7" w:rsidP="007A7122">
      <w:pPr>
        <w:spacing w:line="360" w:lineRule="auto"/>
        <w:jc w:val="center"/>
        <w:rPr>
          <w:rFonts w:ascii="Arial" w:hAnsi="Arial" w:cs="Arial"/>
          <w:sz w:val="28"/>
          <w:szCs w:val="28"/>
        </w:rPr>
      </w:pPr>
      <w:r w:rsidRPr="008F34D7">
        <w:rPr>
          <w:rFonts w:ascii="Arial" w:hAnsi="Arial" w:cs="Arial"/>
          <w:sz w:val="28"/>
          <w:szCs w:val="28"/>
        </w:rPr>
        <w:t>Student Name:</w:t>
      </w:r>
      <w:r w:rsidR="008F34D7" w:rsidRPr="008F34D7">
        <w:rPr>
          <w:rFonts w:ascii="Arial" w:hAnsi="Arial" w:cs="Arial"/>
          <w:sz w:val="28"/>
          <w:szCs w:val="28"/>
        </w:rPr>
        <w:t xml:space="preserve"> Krupakumari Bharatbhai Rathod </w:t>
      </w:r>
    </w:p>
    <w:p w14:paraId="67135BC0" w14:textId="4253E9CC" w:rsidR="007E0D85" w:rsidRPr="008F34D7" w:rsidRDefault="00AE1BD7" w:rsidP="007A7122">
      <w:pPr>
        <w:spacing w:line="360" w:lineRule="auto"/>
        <w:jc w:val="center"/>
        <w:rPr>
          <w:rFonts w:ascii="Arial" w:hAnsi="Arial" w:cs="Arial"/>
          <w:sz w:val="28"/>
          <w:szCs w:val="28"/>
        </w:rPr>
      </w:pPr>
      <w:r w:rsidRPr="008F34D7">
        <w:rPr>
          <w:rFonts w:ascii="Arial" w:hAnsi="Arial" w:cs="Arial"/>
          <w:sz w:val="28"/>
          <w:szCs w:val="28"/>
        </w:rPr>
        <w:t xml:space="preserve">Student </w:t>
      </w:r>
      <w:r w:rsidR="008F34D7">
        <w:rPr>
          <w:rFonts w:ascii="Arial" w:hAnsi="Arial" w:cs="Arial"/>
          <w:sz w:val="28"/>
          <w:szCs w:val="28"/>
        </w:rPr>
        <w:t>Number: 2537419</w:t>
      </w:r>
      <w:r w:rsidR="008F34D7" w:rsidRPr="008F34D7">
        <w:rPr>
          <w:rFonts w:ascii="Arial" w:hAnsi="Arial" w:cs="Arial"/>
          <w:sz w:val="28"/>
          <w:szCs w:val="28"/>
        </w:rPr>
        <w:t xml:space="preserve"> </w:t>
      </w:r>
    </w:p>
    <w:p w14:paraId="6CB3CB82" w14:textId="77777777" w:rsidR="007E0D85" w:rsidRPr="008F34D7" w:rsidRDefault="00AE1BD7" w:rsidP="007A7122">
      <w:pPr>
        <w:spacing w:line="360" w:lineRule="auto"/>
        <w:jc w:val="center"/>
        <w:rPr>
          <w:rFonts w:ascii="Arial" w:hAnsi="Arial" w:cs="Arial"/>
          <w:sz w:val="28"/>
          <w:szCs w:val="28"/>
        </w:rPr>
      </w:pPr>
      <w:r w:rsidRPr="008F34D7">
        <w:rPr>
          <w:rFonts w:ascii="Arial" w:hAnsi="Arial" w:cs="Arial"/>
          <w:sz w:val="28"/>
          <w:szCs w:val="28"/>
        </w:rPr>
        <w:t>Module Code and Title: LCHS7002 – Case Study Analysis</w:t>
      </w:r>
    </w:p>
    <w:p w14:paraId="4893369B" w14:textId="6A8F3E46" w:rsidR="007E0D85" w:rsidRPr="008F34D7" w:rsidRDefault="00AE1BD7" w:rsidP="007A7122">
      <w:pPr>
        <w:spacing w:line="360" w:lineRule="auto"/>
        <w:jc w:val="center"/>
        <w:rPr>
          <w:rFonts w:ascii="Arial" w:hAnsi="Arial" w:cs="Arial"/>
          <w:sz w:val="28"/>
          <w:szCs w:val="28"/>
        </w:rPr>
      </w:pPr>
      <w:r w:rsidRPr="008F34D7">
        <w:rPr>
          <w:rFonts w:ascii="Arial" w:hAnsi="Arial" w:cs="Arial"/>
          <w:sz w:val="28"/>
          <w:szCs w:val="28"/>
        </w:rPr>
        <w:t>Lecturer’s Name:</w:t>
      </w:r>
      <w:r w:rsidR="008F34D7">
        <w:rPr>
          <w:rFonts w:ascii="Arial" w:hAnsi="Arial" w:cs="Arial"/>
          <w:sz w:val="28"/>
          <w:szCs w:val="28"/>
        </w:rPr>
        <w:t xml:space="preserve"> Dr. Fahad Khan </w:t>
      </w:r>
    </w:p>
    <w:p w14:paraId="52A2C63A" w14:textId="6FAE8C5E" w:rsidR="007E0D85" w:rsidRPr="008F34D7" w:rsidRDefault="00AE1BD7" w:rsidP="007A7122">
      <w:pPr>
        <w:spacing w:line="360" w:lineRule="auto"/>
        <w:jc w:val="center"/>
        <w:rPr>
          <w:rFonts w:ascii="Arial" w:hAnsi="Arial" w:cs="Arial"/>
          <w:sz w:val="28"/>
          <w:szCs w:val="28"/>
        </w:rPr>
      </w:pPr>
      <w:r w:rsidRPr="008F34D7">
        <w:rPr>
          <w:rFonts w:ascii="Arial" w:hAnsi="Arial" w:cs="Arial"/>
          <w:sz w:val="28"/>
          <w:szCs w:val="28"/>
        </w:rPr>
        <w:t>Word Count: 5,000 words</w:t>
      </w:r>
    </w:p>
    <w:p w14:paraId="499B8AD1" w14:textId="7D23A6EF" w:rsidR="007E0D85" w:rsidRDefault="00AE1BD7" w:rsidP="007A7122">
      <w:pPr>
        <w:spacing w:line="360" w:lineRule="auto"/>
        <w:jc w:val="center"/>
        <w:rPr>
          <w:rFonts w:ascii="Arial" w:hAnsi="Arial" w:cs="Arial"/>
          <w:sz w:val="28"/>
          <w:szCs w:val="28"/>
        </w:rPr>
      </w:pPr>
      <w:r w:rsidRPr="008F34D7">
        <w:rPr>
          <w:rFonts w:ascii="Arial" w:hAnsi="Arial" w:cs="Arial"/>
          <w:sz w:val="28"/>
          <w:szCs w:val="28"/>
        </w:rPr>
        <w:t>Date of Submission:</w:t>
      </w:r>
      <w:r w:rsidR="008F34D7">
        <w:rPr>
          <w:rFonts w:ascii="Arial" w:hAnsi="Arial" w:cs="Arial"/>
          <w:sz w:val="28"/>
          <w:szCs w:val="28"/>
        </w:rPr>
        <w:t xml:space="preserve"> 27</w:t>
      </w:r>
      <w:r w:rsidR="008F34D7" w:rsidRPr="008F34D7">
        <w:rPr>
          <w:rFonts w:ascii="Arial" w:hAnsi="Arial" w:cs="Arial"/>
          <w:sz w:val="28"/>
          <w:szCs w:val="28"/>
          <w:vertAlign w:val="superscript"/>
        </w:rPr>
        <w:t>th</w:t>
      </w:r>
      <w:r w:rsidR="008F34D7">
        <w:rPr>
          <w:rFonts w:ascii="Arial" w:hAnsi="Arial" w:cs="Arial"/>
          <w:sz w:val="28"/>
          <w:szCs w:val="28"/>
        </w:rPr>
        <w:t xml:space="preserve"> of July 2026</w:t>
      </w:r>
    </w:p>
    <w:p w14:paraId="2652AD31" w14:textId="77777777" w:rsidR="008F34D7" w:rsidRPr="008F34D7" w:rsidRDefault="008F34D7" w:rsidP="007A7122">
      <w:pPr>
        <w:spacing w:line="360" w:lineRule="auto"/>
        <w:jc w:val="center"/>
        <w:rPr>
          <w:rFonts w:ascii="Arial" w:hAnsi="Arial" w:cs="Arial"/>
          <w:sz w:val="28"/>
          <w:szCs w:val="28"/>
        </w:rPr>
      </w:pPr>
    </w:p>
    <w:p w14:paraId="6F295568" w14:textId="77777777" w:rsidR="007E0D85" w:rsidRDefault="00AE1BD7" w:rsidP="007A7122">
      <w:pPr>
        <w:spacing w:line="360" w:lineRule="auto"/>
      </w:pPr>
      <w:r>
        <w:br w:type="page"/>
      </w:r>
    </w:p>
    <w:p w14:paraId="76B1630C" w14:textId="0E31A79E" w:rsidR="007A7122" w:rsidRDefault="007A7122" w:rsidP="007A7122">
      <w:pPr>
        <w:spacing w:before="0" w:after="0" w:line="360" w:lineRule="auto"/>
        <w:jc w:val="left"/>
      </w:pPr>
    </w:p>
    <w:sdt>
      <w:sdtPr>
        <w:rPr>
          <w:b/>
          <w:bCs/>
        </w:rPr>
        <w:id w:val="-941679031"/>
        <w:docPartObj>
          <w:docPartGallery w:val="Table of Contents"/>
          <w:docPartUnique/>
        </w:docPartObj>
      </w:sdtPr>
      <w:sdtEndPr>
        <w:rPr>
          <w:noProof/>
        </w:rPr>
      </w:sdtEndPr>
      <w:sdtContent>
        <w:p w14:paraId="60B8AC46" w14:textId="1620783C" w:rsidR="007A7122" w:rsidRPr="007A7122" w:rsidRDefault="007A7122" w:rsidP="007A7122">
          <w:pPr>
            <w:spacing w:before="0" w:after="0" w:line="360" w:lineRule="auto"/>
            <w:jc w:val="center"/>
            <w:rPr>
              <w:b/>
              <w:bCs/>
              <w:sz w:val="28"/>
              <w:szCs w:val="28"/>
            </w:rPr>
          </w:pPr>
          <w:r w:rsidRPr="007A7122">
            <w:rPr>
              <w:b/>
              <w:bCs/>
            </w:rPr>
            <w:t>Table of Contents</w:t>
          </w:r>
        </w:p>
        <w:p w14:paraId="62ECBB8F" w14:textId="101FB8C3" w:rsidR="007A7122" w:rsidRDefault="007A7122" w:rsidP="007A7122">
          <w:pPr>
            <w:pStyle w:val="TOC1"/>
            <w:tabs>
              <w:tab w:val="right" w:leader="dot" w:pos="9628"/>
            </w:tabs>
            <w:spacing w:line="360" w:lineRule="auto"/>
            <w:rPr>
              <w:rFonts w:asciiTheme="minorHAnsi" w:eastAsiaTheme="minorEastAsia" w:hAnsiTheme="minorHAnsi" w:cstheme="minorBidi"/>
              <w:noProof/>
              <w:kern w:val="2"/>
              <w:szCs w:val="30"/>
              <w14:ligatures w14:val="standardContextual"/>
            </w:rPr>
          </w:pPr>
          <w:r>
            <w:fldChar w:fldCharType="begin"/>
          </w:r>
          <w:r>
            <w:instrText xml:space="preserve"> TOC \o "1-3" \h \z \u </w:instrText>
          </w:r>
          <w:r>
            <w:fldChar w:fldCharType="separate"/>
          </w:r>
          <w:hyperlink w:anchor="_Toc235360992" w:history="1">
            <w:r w:rsidRPr="00C10B3E">
              <w:rPr>
                <w:rStyle w:val="Hyperlink"/>
                <w:noProof/>
              </w:rPr>
              <w:t>1. Introduction</w:t>
            </w:r>
            <w:r>
              <w:rPr>
                <w:noProof/>
                <w:webHidden/>
              </w:rPr>
              <w:tab/>
            </w:r>
            <w:r>
              <w:rPr>
                <w:noProof/>
                <w:webHidden/>
              </w:rPr>
              <w:fldChar w:fldCharType="begin"/>
            </w:r>
            <w:r>
              <w:rPr>
                <w:noProof/>
                <w:webHidden/>
              </w:rPr>
              <w:instrText xml:space="preserve"> PAGEREF _Toc235360992 \h </w:instrText>
            </w:r>
            <w:r>
              <w:rPr>
                <w:noProof/>
                <w:webHidden/>
              </w:rPr>
            </w:r>
            <w:r>
              <w:rPr>
                <w:noProof/>
                <w:webHidden/>
              </w:rPr>
              <w:fldChar w:fldCharType="separate"/>
            </w:r>
            <w:r>
              <w:rPr>
                <w:noProof/>
                <w:webHidden/>
              </w:rPr>
              <w:t>3</w:t>
            </w:r>
            <w:r>
              <w:rPr>
                <w:noProof/>
                <w:webHidden/>
              </w:rPr>
              <w:fldChar w:fldCharType="end"/>
            </w:r>
          </w:hyperlink>
        </w:p>
        <w:p w14:paraId="2EE44F71" w14:textId="0F06DE7F" w:rsidR="007A7122" w:rsidRDefault="007A7122" w:rsidP="007A7122">
          <w:pPr>
            <w:pStyle w:val="TOC1"/>
            <w:tabs>
              <w:tab w:val="right" w:leader="dot" w:pos="9628"/>
            </w:tabs>
            <w:spacing w:line="360" w:lineRule="auto"/>
            <w:rPr>
              <w:rFonts w:asciiTheme="minorHAnsi" w:eastAsiaTheme="minorEastAsia" w:hAnsiTheme="minorHAnsi" w:cstheme="minorBidi"/>
              <w:noProof/>
              <w:kern w:val="2"/>
              <w:szCs w:val="30"/>
              <w14:ligatures w14:val="standardContextual"/>
            </w:rPr>
          </w:pPr>
          <w:hyperlink w:anchor="_Toc235360993" w:history="1">
            <w:r w:rsidRPr="00C10B3E">
              <w:rPr>
                <w:rStyle w:val="Hyperlink"/>
                <w:noProof/>
              </w:rPr>
              <w:t>2. Main Body and Analysis</w:t>
            </w:r>
            <w:r>
              <w:rPr>
                <w:noProof/>
                <w:webHidden/>
              </w:rPr>
              <w:tab/>
            </w:r>
            <w:r>
              <w:rPr>
                <w:noProof/>
                <w:webHidden/>
              </w:rPr>
              <w:fldChar w:fldCharType="begin"/>
            </w:r>
            <w:r>
              <w:rPr>
                <w:noProof/>
                <w:webHidden/>
              </w:rPr>
              <w:instrText xml:space="preserve"> PAGEREF _Toc235360993 \h </w:instrText>
            </w:r>
            <w:r>
              <w:rPr>
                <w:noProof/>
                <w:webHidden/>
              </w:rPr>
            </w:r>
            <w:r>
              <w:rPr>
                <w:noProof/>
                <w:webHidden/>
              </w:rPr>
              <w:fldChar w:fldCharType="separate"/>
            </w:r>
            <w:r>
              <w:rPr>
                <w:noProof/>
                <w:webHidden/>
              </w:rPr>
              <w:t>3</w:t>
            </w:r>
            <w:r>
              <w:rPr>
                <w:noProof/>
                <w:webHidden/>
              </w:rPr>
              <w:fldChar w:fldCharType="end"/>
            </w:r>
          </w:hyperlink>
        </w:p>
        <w:p w14:paraId="07C86A83" w14:textId="2CC009CF" w:rsidR="007A7122" w:rsidRDefault="007A7122" w:rsidP="007A7122">
          <w:pPr>
            <w:pStyle w:val="TOC2"/>
            <w:tabs>
              <w:tab w:val="right" w:leader="dot" w:pos="9628"/>
            </w:tabs>
            <w:spacing w:line="360" w:lineRule="auto"/>
            <w:rPr>
              <w:rFonts w:asciiTheme="minorHAnsi" w:eastAsiaTheme="minorEastAsia" w:hAnsiTheme="minorHAnsi" w:cstheme="minorBidi"/>
              <w:noProof/>
              <w:kern w:val="2"/>
              <w:szCs w:val="30"/>
              <w14:ligatures w14:val="standardContextual"/>
            </w:rPr>
          </w:pPr>
          <w:hyperlink w:anchor="_Toc235360994" w:history="1">
            <w:r w:rsidRPr="00C10B3E">
              <w:rPr>
                <w:rStyle w:val="Hyperlink"/>
                <w:noProof/>
              </w:rPr>
              <w:t>a. Identifying the Problem and Setting the System Context – Applying Systems Thinking and the Rich Picture</w:t>
            </w:r>
            <w:r>
              <w:rPr>
                <w:noProof/>
                <w:webHidden/>
              </w:rPr>
              <w:tab/>
            </w:r>
            <w:r>
              <w:rPr>
                <w:noProof/>
                <w:webHidden/>
              </w:rPr>
              <w:fldChar w:fldCharType="begin"/>
            </w:r>
            <w:r>
              <w:rPr>
                <w:noProof/>
                <w:webHidden/>
              </w:rPr>
              <w:instrText xml:space="preserve"> PAGEREF _Toc235360994 \h </w:instrText>
            </w:r>
            <w:r>
              <w:rPr>
                <w:noProof/>
                <w:webHidden/>
              </w:rPr>
            </w:r>
            <w:r>
              <w:rPr>
                <w:noProof/>
                <w:webHidden/>
              </w:rPr>
              <w:fldChar w:fldCharType="separate"/>
            </w:r>
            <w:r>
              <w:rPr>
                <w:noProof/>
                <w:webHidden/>
              </w:rPr>
              <w:t>4</w:t>
            </w:r>
            <w:r>
              <w:rPr>
                <w:noProof/>
                <w:webHidden/>
              </w:rPr>
              <w:fldChar w:fldCharType="end"/>
            </w:r>
          </w:hyperlink>
        </w:p>
        <w:p w14:paraId="2EAAC981" w14:textId="1E1F9E53" w:rsidR="007A7122" w:rsidRDefault="007A7122" w:rsidP="007A7122">
          <w:pPr>
            <w:pStyle w:val="TOC2"/>
            <w:tabs>
              <w:tab w:val="right" w:leader="dot" w:pos="9628"/>
            </w:tabs>
            <w:spacing w:line="360" w:lineRule="auto"/>
            <w:rPr>
              <w:rFonts w:asciiTheme="minorHAnsi" w:eastAsiaTheme="minorEastAsia" w:hAnsiTheme="minorHAnsi" w:cstheme="minorBidi"/>
              <w:noProof/>
              <w:kern w:val="2"/>
              <w:szCs w:val="30"/>
              <w14:ligatures w14:val="standardContextual"/>
            </w:rPr>
          </w:pPr>
          <w:hyperlink w:anchor="_Toc235360995" w:history="1">
            <w:r w:rsidRPr="00C10B3E">
              <w:rPr>
                <w:rStyle w:val="Hyperlink"/>
                <w:noProof/>
              </w:rPr>
              <w:t>b. Centralisation or Decentralisation within the Case Study</w:t>
            </w:r>
            <w:r>
              <w:rPr>
                <w:noProof/>
                <w:webHidden/>
              </w:rPr>
              <w:tab/>
            </w:r>
            <w:r>
              <w:rPr>
                <w:noProof/>
                <w:webHidden/>
              </w:rPr>
              <w:fldChar w:fldCharType="begin"/>
            </w:r>
            <w:r>
              <w:rPr>
                <w:noProof/>
                <w:webHidden/>
              </w:rPr>
              <w:instrText xml:space="preserve"> PAGEREF _Toc235360995 \h </w:instrText>
            </w:r>
            <w:r>
              <w:rPr>
                <w:noProof/>
                <w:webHidden/>
              </w:rPr>
            </w:r>
            <w:r>
              <w:rPr>
                <w:noProof/>
                <w:webHidden/>
              </w:rPr>
              <w:fldChar w:fldCharType="separate"/>
            </w:r>
            <w:r>
              <w:rPr>
                <w:noProof/>
                <w:webHidden/>
              </w:rPr>
              <w:t>6</w:t>
            </w:r>
            <w:r>
              <w:rPr>
                <w:noProof/>
                <w:webHidden/>
              </w:rPr>
              <w:fldChar w:fldCharType="end"/>
            </w:r>
          </w:hyperlink>
        </w:p>
        <w:p w14:paraId="69013041" w14:textId="1005AAC0" w:rsidR="007A7122" w:rsidRDefault="007A7122" w:rsidP="007A7122">
          <w:pPr>
            <w:pStyle w:val="TOC2"/>
            <w:tabs>
              <w:tab w:val="right" w:leader="dot" w:pos="9628"/>
            </w:tabs>
            <w:spacing w:line="360" w:lineRule="auto"/>
            <w:rPr>
              <w:rFonts w:asciiTheme="minorHAnsi" w:eastAsiaTheme="minorEastAsia" w:hAnsiTheme="minorHAnsi" w:cstheme="minorBidi"/>
              <w:noProof/>
              <w:kern w:val="2"/>
              <w:szCs w:val="30"/>
              <w14:ligatures w14:val="standardContextual"/>
            </w:rPr>
          </w:pPr>
          <w:hyperlink w:anchor="_Toc235360996" w:history="1">
            <w:r w:rsidRPr="00C10B3E">
              <w:rPr>
                <w:rStyle w:val="Hyperlink"/>
                <w:noProof/>
              </w:rPr>
              <w:t>c. Leadership Theories and Application to the Case Study</w:t>
            </w:r>
            <w:r>
              <w:rPr>
                <w:noProof/>
                <w:webHidden/>
              </w:rPr>
              <w:tab/>
            </w:r>
            <w:r>
              <w:rPr>
                <w:noProof/>
                <w:webHidden/>
              </w:rPr>
              <w:fldChar w:fldCharType="begin"/>
            </w:r>
            <w:r>
              <w:rPr>
                <w:noProof/>
                <w:webHidden/>
              </w:rPr>
              <w:instrText xml:space="preserve"> PAGEREF _Toc235360996 \h </w:instrText>
            </w:r>
            <w:r>
              <w:rPr>
                <w:noProof/>
                <w:webHidden/>
              </w:rPr>
            </w:r>
            <w:r>
              <w:rPr>
                <w:noProof/>
                <w:webHidden/>
              </w:rPr>
              <w:fldChar w:fldCharType="separate"/>
            </w:r>
            <w:r>
              <w:rPr>
                <w:noProof/>
                <w:webHidden/>
              </w:rPr>
              <w:t>8</w:t>
            </w:r>
            <w:r>
              <w:rPr>
                <w:noProof/>
                <w:webHidden/>
              </w:rPr>
              <w:fldChar w:fldCharType="end"/>
            </w:r>
          </w:hyperlink>
        </w:p>
        <w:p w14:paraId="6DA51802" w14:textId="3833C736" w:rsidR="007A7122" w:rsidRDefault="007A7122" w:rsidP="007A7122">
          <w:pPr>
            <w:pStyle w:val="TOC2"/>
            <w:tabs>
              <w:tab w:val="right" w:leader="dot" w:pos="9628"/>
            </w:tabs>
            <w:spacing w:line="360" w:lineRule="auto"/>
            <w:rPr>
              <w:rFonts w:asciiTheme="minorHAnsi" w:eastAsiaTheme="minorEastAsia" w:hAnsiTheme="minorHAnsi" w:cstheme="minorBidi"/>
              <w:noProof/>
              <w:kern w:val="2"/>
              <w:szCs w:val="30"/>
              <w14:ligatures w14:val="standardContextual"/>
            </w:rPr>
          </w:pPr>
          <w:hyperlink w:anchor="_Toc235360997" w:history="1">
            <w:r w:rsidRPr="00C10B3E">
              <w:rPr>
                <w:rStyle w:val="Hyperlink"/>
                <w:noProof/>
              </w:rPr>
              <w:t>d. Critique, Improvements and Lessons Learned</w:t>
            </w:r>
            <w:r>
              <w:rPr>
                <w:noProof/>
                <w:webHidden/>
              </w:rPr>
              <w:tab/>
            </w:r>
            <w:r>
              <w:rPr>
                <w:noProof/>
                <w:webHidden/>
              </w:rPr>
              <w:fldChar w:fldCharType="begin"/>
            </w:r>
            <w:r>
              <w:rPr>
                <w:noProof/>
                <w:webHidden/>
              </w:rPr>
              <w:instrText xml:space="preserve"> PAGEREF _Toc235360997 \h </w:instrText>
            </w:r>
            <w:r>
              <w:rPr>
                <w:noProof/>
                <w:webHidden/>
              </w:rPr>
            </w:r>
            <w:r>
              <w:rPr>
                <w:noProof/>
                <w:webHidden/>
              </w:rPr>
              <w:fldChar w:fldCharType="separate"/>
            </w:r>
            <w:r>
              <w:rPr>
                <w:noProof/>
                <w:webHidden/>
              </w:rPr>
              <w:t>10</w:t>
            </w:r>
            <w:r>
              <w:rPr>
                <w:noProof/>
                <w:webHidden/>
              </w:rPr>
              <w:fldChar w:fldCharType="end"/>
            </w:r>
          </w:hyperlink>
        </w:p>
        <w:p w14:paraId="7197023B" w14:textId="6009B212" w:rsidR="007A7122" w:rsidRDefault="007A7122" w:rsidP="007A7122">
          <w:pPr>
            <w:pStyle w:val="TOC1"/>
            <w:tabs>
              <w:tab w:val="right" w:leader="dot" w:pos="9628"/>
            </w:tabs>
            <w:spacing w:line="360" w:lineRule="auto"/>
            <w:rPr>
              <w:rFonts w:asciiTheme="minorHAnsi" w:eastAsiaTheme="minorEastAsia" w:hAnsiTheme="minorHAnsi" w:cstheme="minorBidi"/>
              <w:noProof/>
              <w:kern w:val="2"/>
              <w:szCs w:val="30"/>
              <w14:ligatures w14:val="standardContextual"/>
            </w:rPr>
          </w:pPr>
          <w:hyperlink w:anchor="_Toc235360998" w:history="1">
            <w:r w:rsidRPr="00C10B3E">
              <w:rPr>
                <w:rStyle w:val="Hyperlink"/>
                <w:noProof/>
              </w:rPr>
              <w:t>3. Recommendations</w:t>
            </w:r>
            <w:r>
              <w:rPr>
                <w:noProof/>
                <w:webHidden/>
              </w:rPr>
              <w:tab/>
            </w:r>
            <w:r>
              <w:rPr>
                <w:noProof/>
                <w:webHidden/>
              </w:rPr>
              <w:fldChar w:fldCharType="begin"/>
            </w:r>
            <w:r>
              <w:rPr>
                <w:noProof/>
                <w:webHidden/>
              </w:rPr>
              <w:instrText xml:space="preserve"> PAGEREF _Toc235360998 \h </w:instrText>
            </w:r>
            <w:r>
              <w:rPr>
                <w:noProof/>
                <w:webHidden/>
              </w:rPr>
            </w:r>
            <w:r>
              <w:rPr>
                <w:noProof/>
                <w:webHidden/>
              </w:rPr>
              <w:fldChar w:fldCharType="separate"/>
            </w:r>
            <w:r>
              <w:rPr>
                <w:noProof/>
                <w:webHidden/>
              </w:rPr>
              <w:t>12</w:t>
            </w:r>
            <w:r>
              <w:rPr>
                <w:noProof/>
                <w:webHidden/>
              </w:rPr>
              <w:fldChar w:fldCharType="end"/>
            </w:r>
          </w:hyperlink>
        </w:p>
        <w:p w14:paraId="493D74DD" w14:textId="2191FF3C" w:rsidR="007A7122" w:rsidRDefault="007A7122" w:rsidP="007A7122">
          <w:pPr>
            <w:pStyle w:val="TOC1"/>
            <w:tabs>
              <w:tab w:val="right" w:leader="dot" w:pos="9628"/>
            </w:tabs>
            <w:spacing w:line="360" w:lineRule="auto"/>
            <w:rPr>
              <w:rFonts w:asciiTheme="minorHAnsi" w:eastAsiaTheme="minorEastAsia" w:hAnsiTheme="minorHAnsi" w:cstheme="minorBidi"/>
              <w:noProof/>
              <w:kern w:val="2"/>
              <w:szCs w:val="30"/>
              <w14:ligatures w14:val="standardContextual"/>
            </w:rPr>
          </w:pPr>
          <w:hyperlink w:anchor="_Toc235360999" w:history="1">
            <w:r w:rsidRPr="00C10B3E">
              <w:rPr>
                <w:rStyle w:val="Hyperlink"/>
                <w:noProof/>
              </w:rPr>
              <w:t>4. Conclusion</w:t>
            </w:r>
            <w:r>
              <w:rPr>
                <w:noProof/>
                <w:webHidden/>
              </w:rPr>
              <w:tab/>
            </w:r>
            <w:r>
              <w:rPr>
                <w:noProof/>
                <w:webHidden/>
              </w:rPr>
              <w:fldChar w:fldCharType="begin"/>
            </w:r>
            <w:r>
              <w:rPr>
                <w:noProof/>
                <w:webHidden/>
              </w:rPr>
              <w:instrText xml:space="preserve"> PAGEREF _Toc235360999 \h </w:instrText>
            </w:r>
            <w:r>
              <w:rPr>
                <w:noProof/>
                <w:webHidden/>
              </w:rPr>
            </w:r>
            <w:r>
              <w:rPr>
                <w:noProof/>
                <w:webHidden/>
              </w:rPr>
              <w:fldChar w:fldCharType="separate"/>
            </w:r>
            <w:r>
              <w:rPr>
                <w:noProof/>
                <w:webHidden/>
              </w:rPr>
              <w:t>14</w:t>
            </w:r>
            <w:r>
              <w:rPr>
                <w:noProof/>
                <w:webHidden/>
              </w:rPr>
              <w:fldChar w:fldCharType="end"/>
            </w:r>
          </w:hyperlink>
        </w:p>
        <w:p w14:paraId="55B91D9F" w14:textId="1095CDEF" w:rsidR="007A7122" w:rsidRDefault="007A7122" w:rsidP="007A7122">
          <w:pPr>
            <w:pStyle w:val="TOC1"/>
            <w:tabs>
              <w:tab w:val="right" w:leader="dot" w:pos="9628"/>
            </w:tabs>
            <w:spacing w:line="360" w:lineRule="auto"/>
            <w:rPr>
              <w:rFonts w:asciiTheme="minorHAnsi" w:eastAsiaTheme="minorEastAsia" w:hAnsiTheme="minorHAnsi" w:cstheme="minorBidi"/>
              <w:noProof/>
              <w:kern w:val="2"/>
              <w:szCs w:val="30"/>
              <w14:ligatures w14:val="standardContextual"/>
            </w:rPr>
          </w:pPr>
          <w:hyperlink w:anchor="_Toc235361000" w:history="1">
            <w:r w:rsidRPr="00C10B3E">
              <w:rPr>
                <w:rStyle w:val="Hyperlink"/>
                <w:noProof/>
              </w:rPr>
              <w:t>References</w:t>
            </w:r>
            <w:r>
              <w:rPr>
                <w:noProof/>
                <w:webHidden/>
              </w:rPr>
              <w:tab/>
            </w:r>
            <w:r>
              <w:rPr>
                <w:noProof/>
                <w:webHidden/>
              </w:rPr>
              <w:fldChar w:fldCharType="begin"/>
            </w:r>
            <w:r>
              <w:rPr>
                <w:noProof/>
                <w:webHidden/>
              </w:rPr>
              <w:instrText xml:space="preserve"> PAGEREF _Toc235361000 \h </w:instrText>
            </w:r>
            <w:r>
              <w:rPr>
                <w:noProof/>
                <w:webHidden/>
              </w:rPr>
            </w:r>
            <w:r>
              <w:rPr>
                <w:noProof/>
                <w:webHidden/>
              </w:rPr>
              <w:fldChar w:fldCharType="separate"/>
            </w:r>
            <w:r>
              <w:rPr>
                <w:noProof/>
                <w:webHidden/>
              </w:rPr>
              <w:t>15</w:t>
            </w:r>
            <w:r>
              <w:rPr>
                <w:noProof/>
                <w:webHidden/>
              </w:rPr>
              <w:fldChar w:fldCharType="end"/>
            </w:r>
          </w:hyperlink>
        </w:p>
        <w:p w14:paraId="27B5E674" w14:textId="39B246B6" w:rsidR="007A7122" w:rsidRDefault="007A7122" w:rsidP="007A7122">
          <w:pPr>
            <w:spacing w:line="360" w:lineRule="auto"/>
          </w:pPr>
          <w:r>
            <w:rPr>
              <w:b/>
              <w:bCs/>
              <w:noProof/>
            </w:rPr>
            <w:fldChar w:fldCharType="end"/>
          </w:r>
        </w:p>
      </w:sdtContent>
    </w:sdt>
    <w:p w14:paraId="4425DF76" w14:textId="77777777" w:rsidR="007A7122" w:rsidRDefault="007A7122" w:rsidP="007A7122">
      <w:pPr>
        <w:spacing w:before="0" w:after="0" w:line="360" w:lineRule="auto"/>
        <w:jc w:val="left"/>
        <w:rPr>
          <w:b/>
          <w:bCs/>
          <w:sz w:val="28"/>
          <w:szCs w:val="28"/>
        </w:rPr>
      </w:pPr>
      <w:r>
        <w:br w:type="page"/>
      </w:r>
    </w:p>
    <w:p w14:paraId="1FBE5CB0" w14:textId="21F80D60" w:rsidR="007E0D85" w:rsidRPr="00AA604D" w:rsidRDefault="00AE1BD7" w:rsidP="007A7122">
      <w:pPr>
        <w:pStyle w:val="Heading1"/>
        <w:spacing w:line="360" w:lineRule="auto"/>
        <w:jc w:val="both"/>
        <w:rPr>
          <w:rFonts w:ascii="Arial" w:hAnsi="Arial" w:cs="Arial"/>
        </w:rPr>
      </w:pPr>
      <w:bookmarkStart w:id="0" w:name="_Toc235360992"/>
      <w:r w:rsidRPr="00AA604D">
        <w:rPr>
          <w:rFonts w:ascii="Arial" w:hAnsi="Arial" w:cs="Arial"/>
        </w:rPr>
        <w:lastRenderedPageBreak/>
        <w:t>1. Introduction</w:t>
      </w:r>
      <w:bookmarkEnd w:id="0"/>
    </w:p>
    <w:p w14:paraId="575F561C" w14:textId="2BB9E107" w:rsidR="00712A14" w:rsidRPr="008F34D7" w:rsidRDefault="00712A14" w:rsidP="007A7122">
      <w:pPr>
        <w:spacing w:line="360" w:lineRule="auto"/>
        <w:rPr>
          <w:rFonts w:ascii="Arial" w:hAnsi="Arial" w:cs="Arial"/>
          <w:sz w:val="22"/>
          <w:szCs w:val="22"/>
        </w:rPr>
      </w:pPr>
      <w:r w:rsidRPr="008F34D7">
        <w:rPr>
          <w:rFonts w:ascii="Arial" w:hAnsi="Arial" w:cs="Arial"/>
          <w:sz w:val="22"/>
          <w:szCs w:val="22"/>
        </w:rPr>
        <w:t xml:space="preserve">On 12 April 2025, at Government Medical College Hospital (New Medical College Hospital), Kota, Rajasthan, India, a tragic case of patient safety took place that uncovered serious vulnerabilities in identification procedures, communication, </w:t>
      </w:r>
      <w:r w:rsidR="008F34D7">
        <w:rPr>
          <w:rFonts w:ascii="Arial" w:hAnsi="Arial" w:cs="Arial"/>
          <w:sz w:val="22"/>
          <w:szCs w:val="22"/>
        </w:rPr>
        <w:t>hierarchies,</w:t>
      </w:r>
      <w:r w:rsidRPr="008F34D7">
        <w:rPr>
          <w:rFonts w:ascii="Arial" w:hAnsi="Arial" w:cs="Arial"/>
          <w:sz w:val="22"/>
          <w:szCs w:val="22"/>
        </w:rPr>
        <w:t xml:space="preserve"> and </w:t>
      </w:r>
      <w:r w:rsidR="008F34D7">
        <w:rPr>
          <w:rFonts w:ascii="Arial" w:hAnsi="Arial" w:cs="Arial"/>
          <w:sz w:val="22"/>
          <w:szCs w:val="22"/>
        </w:rPr>
        <w:t>organizational</w:t>
      </w:r>
      <w:r w:rsidRPr="008F34D7">
        <w:rPr>
          <w:rFonts w:ascii="Arial" w:hAnsi="Arial" w:cs="Arial"/>
          <w:sz w:val="22"/>
          <w:szCs w:val="22"/>
        </w:rPr>
        <w:t xml:space="preserve"> leadership. Jagdish Panchal, a 60-year-old partially </w:t>
      </w:r>
      <w:r w:rsidR="008F34D7">
        <w:rPr>
          <w:rFonts w:ascii="Arial" w:hAnsi="Arial" w:cs="Arial"/>
          <w:sz w:val="22"/>
          <w:szCs w:val="22"/>
        </w:rPr>
        <w:t>paralyzed</w:t>
      </w:r>
      <w:r w:rsidRPr="008F34D7">
        <w:rPr>
          <w:rFonts w:ascii="Arial" w:hAnsi="Arial" w:cs="Arial"/>
          <w:sz w:val="22"/>
          <w:szCs w:val="22"/>
        </w:rPr>
        <w:t xml:space="preserve"> male with face paralysis and speech disorder, was accompanying his son </w:t>
      </w:r>
      <w:r w:rsidR="008F34D7">
        <w:rPr>
          <w:rFonts w:ascii="Arial" w:hAnsi="Arial" w:cs="Arial"/>
          <w:sz w:val="22"/>
          <w:szCs w:val="22"/>
        </w:rPr>
        <w:t>Manish,</w:t>
      </w:r>
      <w:r w:rsidRPr="008F34D7">
        <w:rPr>
          <w:rFonts w:ascii="Arial" w:hAnsi="Arial" w:cs="Arial"/>
          <w:sz w:val="22"/>
          <w:szCs w:val="22"/>
        </w:rPr>
        <w:t xml:space="preserve"> who was getting </w:t>
      </w:r>
      <w:r w:rsidR="008F34D7">
        <w:rPr>
          <w:rFonts w:ascii="Arial" w:hAnsi="Arial" w:cs="Arial"/>
          <w:sz w:val="22"/>
          <w:szCs w:val="22"/>
        </w:rPr>
        <w:t>operated on</w:t>
      </w:r>
      <w:r w:rsidRPr="008F34D7">
        <w:rPr>
          <w:rFonts w:ascii="Arial" w:hAnsi="Arial" w:cs="Arial"/>
          <w:sz w:val="22"/>
          <w:szCs w:val="22"/>
        </w:rPr>
        <w:t xml:space="preserve"> for </w:t>
      </w:r>
      <w:r w:rsidR="008F34D7">
        <w:rPr>
          <w:rFonts w:ascii="Arial" w:hAnsi="Arial" w:cs="Arial"/>
          <w:sz w:val="22"/>
          <w:szCs w:val="22"/>
        </w:rPr>
        <w:t>a road</w:t>
      </w:r>
      <w:r w:rsidRPr="008F34D7">
        <w:rPr>
          <w:rFonts w:ascii="Arial" w:hAnsi="Arial" w:cs="Arial"/>
          <w:sz w:val="22"/>
          <w:szCs w:val="22"/>
        </w:rPr>
        <w:t xml:space="preserve"> traffic injury. When waiting near the operating room, the staff members from </w:t>
      </w:r>
      <w:r w:rsidR="008F34D7">
        <w:rPr>
          <w:rFonts w:ascii="Arial" w:hAnsi="Arial" w:cs="Arial"/>
          <w:sz w:val="22"/>
          <w:szCs w:val="22"/>
        </w:rPr>
        <w:t>the cardiothoracic</w:t>
      </w:r>
      <w:r w:rsidRPr="008F34D7">
        <w:rPr>
          <w:rFonts w:ascii="Arial" w:hAnsi="Arial" w:cs="Arial"/>
          <w:sz w:val="22"/>
          <w:szCs w:val="22"/>
        </w:rPr>
        <w:t xml:space="preserve"> and vascular surgery department were calling the name </w:t>
      </w:r>
      <w:r w:rsidR="009337D9" w:rsidRPr="008F34D7">
        <w:rPr>
          <w:rFonts w:ascii="Arial" w:hAnsi="Arial" w:cs="Arial"/>
          <w:sz w:val="22"/>
          <w:szCs w:val="22"/>
        </w:rPr>
        <w:t>“</w:t>
      </w:r>
      <w:r w:rsidRPr="008F34D7">
        <w:rPr>
          <w:rFonts w:ascii="Arial" w:hAnsi="Arial" w:cs="Arial"/>
          <w:sz w:val="22"/>
          <w:szCs w:val="22"/>
        </w:rPr>
        <w:t>Jagdish</w:t>
      </w:r>
      <w:r w:rsidR="009337D9" w:rsidRPr="008F34D7">
        <w:rPr>
          <w:rFonts w:ascii="Arial" w:hAnsi="Arial" w:cs="Arial"/>
          <w:sz w:val="22"/>
          <w:szCs w:val="22"/>
        </w:rPr>
        <w:t>”</w:t>
      </w:r>
      <w:r w:rsidRPr="008F34D7">
        <w:rPr>
          <w:rFonts w:ascii="Arial" w:hAnsi="Arial" w:cs="Arial"/>
          <w:sz w:val="22"/>
          <w:szCs w:val="22"/>
        </w:rPr>
        <w:t xml:space="preserve"> for a dialysis fistula surgery. Unable to convey properly, he raised his hand, was led to the operating room without verifying his identity, </w:t>
      </w:r>
      <w:r w:rsidR="008F34D7">
        <w:rPr>
          <w:rFonts w:ascii="Arial" w:hAnsi="Arial" w:cs="Arial"/>
          <w:sz w:val="22"/>
          <w:szCs w:val="22"/>
        </w:rPr>
        <w:t>anesthetized,</w:t>
      </w:r>
      <w:r w:rsidRPr="008F34D7">
        <w:rPr>
          <w:rFonts w:ascii="Arial" w:hAnsi="Arial" w:cs="Arial"/>
          <w:sz w:val="22"/>
          <w:szCs w:val="22"/>
        </w:rPr>
        <w:t xml:space="preserve"> and had an incision on his arm. Only after Manish was done with his own operation and unable to find his </w:t>
      </w:r>
      <w:r w:rsidR="008F34D7">
        <w:rPr>
          <w:rFonts w:ascii="Arial" w:hAnsi="Arial" w:cs="Arial"/>
          <w:sz w:val="22"/>
          <w:szCs w:val="22"/>
        </w:rPr>
        <w:t>father was</w:t>
      </w:r>
      <w:r w:rsidRPr="008F34D7">
        <w:rPr>
          <w:rFonts w:ascii="Arial" w:hAnsi="Arial" w:cs="Arial"/>
          <w:sz w:val="22"/>
          <w:szCs w:val="22"/>
        </w:rPr>
        <w:t xml:space="preserve"> the mistake noticed and stopped. The medical college principal ordered an inquiry (The Joint Commission, 2024; Jacobs, 2024).</w:t>
      </w:r>
    </w:p>
    <w:p w14:paraId="7F774FC7" w14:textId="0F926A8B" w:rsidR="00712A14" w:rsidRPr="008F34D7" w:rsidRDefault="00712A14" w:rsidP="007A7122">
      <w:pPr>
        <w:spacing w:line="360" w:lineRule="auto"/>
        <w:rPr>
          <w:rFonts w:ascii="Arial" w:hAnsi="Arial" w:cs="Arial"/>
          <w:sz w:val="22"/>
          <w:szCs w:val="22"/>
        </w:rPr>
      </w:pPr>
      <w:r w:rsidRPr="008F34D7">
        <w:rPr>
          <w:rFonts w:ascii="Arial" w:hAnsi="Arial" w:cs="Arial"/>
          <w:sz w:val="22"/>
          <w:szCs w:val="22"/>
        </w:rPr>
        <w:t xml:space="preserve">This incident can be classified as a classic case of </w:t>
      </w:r>
      <w:r w:rsidR="009337D9" w:rsidRPr="008F34D7">
        <w:rPr>
          <w:rFonts w:ascii="Arial" w:hAnsi="Arial" w:cs="Arial"/>
          <w:sz w:val="22"/>
          <w:szCs w:val="22"/>
        </w:rPr>
        <w:t>“</w:t>
      </w:r>
      <w:r w:rsidRPr="008F34D7">
        <w:rPr>
          <w:rFonts w:ascii="Arial" w:hAnsi="Arial" w:cs="Arial"/>
          <w:sz w:val="22"/>
          <w:szCs w:val="22"/>
        </w:rPr>
        <w:t>never event</w:t>
      </w:r>
      <w:r w:rsidR="009337D9" w:rsidRPr="008F34D7">
        <w:rPr>
          <w:rFonts w:ascii="Arial" w:hAnsi="Arial" w:cs="Arial"/>
          <w:sz w:val="22"/>
          <w:szCs w:val="22"/>
        </w:rPr>
        <w:t>”</w:t>
      </w:r>
      <w:r w:rsidRPr="008F34D7">
        <w:rPr>
          <w:rFonts w:ascii="Arial" w:hAnsi="Arial" w:cs="Arial"/>
          <w:sz w:val="22"/>
          <w:szCs w:val="22"/>
        </w:rPr>
        <w:t xml:space="preserve"> - wrong-patient procedure that is never supposed to happen in any effective healthcare system (AHRQ Patient Safety Network, 2024; World Health Organization, 2023). Healthcare and social care leadership is the process of exerting influence on people and teams to reach collective goals of providing safe, quality and patient-centred care in complex and risky environment. Successful leadership involves creating psychological safety, implementation of reliable processes and continuous improvement (</w:t>
      </w:r>
      <w:proofErr w:type="spellStart"/>
      <w:r w:rsidRPr="008F34D7">
        <w:rPr>
          <w:rFonts w:ascii="Arial" w:hAnsi="Arial" w:cs="Arial"/>
          <w:sz w:val="22"/>
          <w:szCs w:val="22"/>
        </w:rPr>
        <w:t>Bahadurzada</w:t>
      </w:r>
      <w:proofErr w:type="spellEnd"/>
      <w:r w:rsidRPr="008F34D7">
        <w:rPr>
          <w:rFonts w:ascii="Arial" w:hAnsi="Arial" w:cs="Arial"/>
          <w:sz w:val="22"/>
          <w:szCs w:val="22"/>
        </w:rPr>
        <w:t xml:space="preserve">, Edmondson and </w:t>
      </w:r>
      <w:proofErr w:type="spellStart"/>
      <w:r w:rsidRPr="008F34D7">
        <w:rPr>
          <w:rFonts w:ascii="Arial" w:hAnsi="Arial" w:cs="Arial"/>
          <w:sz w:val="22"/>
          <w:szCs w:val="22"/>
        </w:rPr>
        <w:t>Kerrissey</w:t>
      </w:r>
      <w:proofErr w:type="spellEnd"/>
      <w:r w:rsidRPr="008F34D7">
        <w:rPr>
          <w:rFonts w:ascii="Arial" w:hAnsi="Arial" w:cs="Arial"/>
          <w:sz w:val="22"/>
          <w:szCs w:val="22"/>
        </w:rPr>
        <w:t>, 2024; Wright, Kernen and Kouevi, 2024).</w:t>
      </w:r>
    </w:p>
    <w:p w14:paraId="1F3C7CCE" w14:textId="13CD3EE9" w:rsidR="00712A14" w:rsidRPr="008F34D7" w:rsidRDefault="00712A14" w:rsidP="007A7122">
      <w:pPr>
        <w:spacing w:line="360" w:lineRule="auto"/>
        <w:rPr>
          <w:rFonts w:ascii="Arial" w:hAnsi="Arial" w:cs="Arial"/>
          <w:sz w:val="22"/>
          <w:szCs w:val="22"/>
        </w:rPr>
      </w:pPr>
      <w:r w:rsidRPr="008F34D7">
        <w:rPr>
          <w:rFonts w:ascii="Arial" w:hAnsi="Arial" w:cs="Arial"/>
          <w:sz w:val="22"/>
          <w:szCs w:val="22"/>
        </w:rPr>
        <w:t>Centralisation is related to the accumulation of decision-making power on higher hierarchical levels, whereas decentralisation means dispersing of the power on clinical teams. Each of these approaches has its benefits and drawbacks that depend on the situation. Important for this analysis leadership theories include the fundamental Great Man, Trait and Behavioural theories and transformational, situational, distributed and emotionally intelligent leadership. Choice of the proper leadership style is crucial in high-risk environments because hierarchical and command-oriented styles may discourage reporting and laissez-faire style does not provide for process reliability (</w:t>
      </w:r>
      <w:proofErr w:type="spellStart"/>
      <w:r w:rsidRPr="008F34D7">
        <w:rPr>
          <w:rFonts w:ascii="Arial" w:hAnsi="Arial" w:cs="Arial"/>
          <w:sz w:val="22"/>
          <w:szCs w:val="22"/>
        </w:rPr>
        <w:t>Curșeu</w:t>
      </w:r>
      <w:proofErr w:type="spellEnd"/>
      <w:r w:rsidRPr="008F34D7">
        <w:rPr>
          <w:rFonts w:ascii="Arial" w:hAnsi="Arial" w:cs="Arial"/>
          <w:sz w:val="22"/>
          <w:szCs w:val="22"/>
        </w:rPr>
        <w:t xml:space="preserve">, van Rijswijk and </w:t>
      </w:r>
      <w:proofErr w:type="spellStart"/>
      <w:r w:rsidRPr="008F34D7">
        <w:rPr>
          <w:rFonts w:ascii="Arial" w:hAnsi="Arial" w:cs="Arial"/>
          <w:sz w:val="22"/>
          <w:szCs w:val="22"/>
        </w:rPr>
        <w:t>Schruijer</w:t>
      </w:r>
      <w:proofErr w:type="spellEnd"/>
      <w:r w:rsidRPr="008F34D7">
        <w:rPr>
          <w:rFonts w:ascii="Arial" w:hAnsi="Arial" w:cs="Arial"/>
          <w:sz w:val="22"/>
          <w:szCs w:val="22"/>
        </w:rPr>
        <w:t xml:space="preserve">, 2025; Vikan </w:t>
      </w:r>
      <w:r w:rsidR="007A7122" w:rsidRPr="008F34D7">
        <w:rPr>
          <w:rFonts w:ascii="Arial" w:hAnsi="Arial" w:cs="Arial"/>
          <w:i/>
          <w:iCs/>
          <w:sz w:val="22"/>
          <w:szCs w:val="22"/>
        </w:rPr>
        <w:t>et al</w:t>
      </w:r>
      <w:r w:rsidRPr="008F34D7">
        <w:rPr>
          <w:rFonts w:ascii="Arial" w:hAnsi="Arial" w:cs="Arial"/>
          <w:sz w:val="22"/>
          <w:szCs w:val="22"/>
        </w:rPr>
        <w:t>., 2024).</w:t>
      </w:r>
    </w:p>
    <w:p w14:paraId="07B2B302" w14:textId="6E8CB9E2" w:rsidR="00712A14" w:rsidRPr="008F34D7" w:rsidRDefault="00712A14" w:rsidP="007A7122">
      <w:pPr>
        <w:spacing w:line="360" w:lineRule="auto"/>
        <w:rPr>
          <w:rFonts w:ascii="Arial" w:hAnsi="Arial" w:cs="Arial"/>
          <w:sz w:val="22"/>
          <w:szCs w:val="22"/>
        </w:rPr>
      </w:pPr>
      <w:r w:rsidRPr="008F34D7">
        <w:rPr>
          <w:rFonts w:ascii="Arial" w:hAnsi="Arial" w:cs="Arial"/>
          <w:sz w:val="22"/>
          <w:szCs w:val="22"/>
        </w:rPr>
        <w:t>In this report, patient safety case will be examined using systems thinking, governance approach and leadership theories. This report aims at identifying the root causes, criticising the organisation response and making evidence-based suggestions for transformational changes. The analysis will be based on national and international patient safety data, leadership literature and frameworks of public health governance.</w:t>
      </w:r>
    </w:p>
    <w:p w14:paraId="0A9DEE66" w14:textId="77777777" w:rsidR="009337D9" w:rsidRDefault="009337D9" w:rsidP="007A7122">
      <w:pPr>
        <w:pStyle w:val="Heading1"/>
        <w:spacing w:line="360" w:lineRule="auto"/>
        <w:jc w:val="both"/>
      </w:pPr>
      <w:bookmarkStart w:id="1" w:name="_Toc235360993"/>
    </w:p>
    <w:p w14:paraId="37237024" w14:textId="4C238B25" w:rsidR="007E0D85" w:rsidRDefault="00AE1BD7" w:rsidP="007A7122">
      <w:pPr>
        <w:pStyle w:val="Heading1"/>
        <w:spacing w:line="360" w:lineRule="auto"/>
        <w:jc w:val="both"/>
      </w:pPr>
      <w:r>
        <w:t>2</w:t>
      </w:r>
      <w:r w:rsidRPr="00AA604D">
        <w:rPr>
          <w:rFonts w:ascii="Arial" w:hAnsi="Arial" w:cs="Arial"/>
        </w:rPr>
        <w:t>. Main Body and Analysis</w:t>
      </w:r>
      <w:bookmarkEnd w:id="1"/>
    </w:p>
    <w:p w14:paraId="6591F0A3" w14:textId="77777777" w:rsidR="007E0D85" w:rsidRPr="00AA604D" w:rsidRDefault="00AE1BD7" w:rsidP="007A7122">
      <w:pPr>
        <w:pStyle w:val="Heading2"/>
        <w:spacing w:line="360" w:lineRule="auto"/>
        <w:jc w:val="both"/>
        <w:rPr>
          <w:rFonts w:ascii="Arial" w:hAnsi="Arial" w:cs="Arial"/>
        </w:rPr>
      </w:pPr>
      <w:bookmarkStart w:id="2" w:name="_Toc235360994"/>
      <w:r w:rsidRPr="00AA604D">
        <w:rPr>
          <w:rFonts w:ascii="Arial" w:hAnsi="Arial" w:cs="Arial"/>
        </w:rPr>
        <w:lastRenderedPageBreak/>
        <w:t>a. Identifying the Problem and Setting the System Context – Applying Systems Thinking and the Rich Picture</w:t>
      </w:r>
      <w:bookmarkEnd w:id="2"/>
    </w:p>
    <w:p w14:paraId="10B69FF6" w14:textId="2B44BC49" w:rsidR="009C3E5A" w:rsidRPr="008F34D7" w:rsidRDefault="009C3E5A" w:rsidP="007A7122">
      <w:pPr>
        <w:spacing w:line="360" w:lineRule="auto"/>
        <w:rPr>
          <w:rFonts w:ascii="Arial" w:hAnsi="Arial" w:cs="Arial"/>
          <w:sz w:val="22"/>
          <w:szCs w:val="22"/>
        </w:rPr>
      </w:pPr>
      <w:r w:rsidRPr="008F34D7">
        <w:rPr>
          <w:rFonts w:ascii="Arial" w:hAnsi="Arial" w:cs="Arial"/>
          <w:sz w:val="22"/>
          <w:szCs w:val="22"/>
        </w:rPr>
        <w:t xml:space="preserve">The core issue in the Kota Medical College Hospital case of 12 April 2025 was a wrong-patient surgery as a consequence of inadequate basic patient identification procedures. The patient was Jagdish Panchal, a 60-year-old person who suffered partial paralysis with paralysis of his face and severe communication difficulties. He had no clinical indications whatsoever for any invasive procedure and was certainly not a patient in that hospital. Still, he was anaesthetised and operated upon with an incision in his arm made for a dialysis fistula, which was meant for another person who happened to have the same name. That is precisely the kind of </w:t>
      </w:r>
      <w:r w:rsidR="009337D9" w:rsidRPr="008F34D7">
        <w:rPr>
          <w:rFonts w:ascii="Arial" w:hAnsi="Arial" w:cs="Arial"/>
          <w:sz w:val="22"/>
          <w:szCs w:val="22"/>
        </w:rPr>
        <w:t>“</w:t>
      </w:r>
      <w:r w:rsidRPr="008F34D7">
        <w:rPr>
          <w:rFonts w:ascii="Arial" w:hAnsi="Arial" w:cs="Arial"/>
          <w:sz w:val="22"/>
          <w:szCs w:val="22"/>
        </w:rPr>
        <w:t>never event</w:t>
      </w:r>
      <w:r w:rsidR="009337D9" w:rsidRPr="008F34D7">
        <w:rPr>
          <w:rFonts w:ascii="Arial" w:hAnsi="Arial" w:cs="Arial"/>
          <w:sz w:val="22"/>
          <w:szCs w:val="22"/>
        </w:rPr>
        <w:t>”</w:t>
      </w:r>
      <w:r w:rsidRPr="008F34D7">
        <w:rPr>
          <w:rFonts w:ascii="Arial" w:hAnsi="Arial" w:cs="Arial"/>
          <w:sz w:val="22"/>
          <w:szCs w:val="22"/>
        </w:rPr>
        <w:t xml:space="preserve"> that should not ever happen in a properly run health care organisation (AHRQ Patient Safety Network, 2024; Taylor, Quesenberry and </w:t>
      </w:r>
      <w:proofErr w:type="spellStart"/>
      <w:r w:rsidRPr="008F34D7">
        <w:rPr>
          <w:rFonts w:ascii="Arial" w:hAnsi="Arial" w:cs="Arial"/>
          <w:sz w:val="22"/>
          <w:szCs w:val="22"/>
        </w:rPr>
        <w:t>Yonash</w:t>
      </w:r>
      <w:proofErr w:type="spellEnd"/>
      <w:r w:rsidRPr="008F34D7">
        <w:rPr>
          <w:rFonts w:ascii="Arial" w:hAnsi="Arial" w:cs="Arial"/>
          <w:sz w:val="22"/>
          <w:szCs w:val="22"/>
        </w:rPr>
        <w:t>, 2026; Taylor and Yonash, 2024). Such never events as wrong-patient, wrong-site and wrong-procedure surgery are clear-cut mistakes, quite severe in their consequences and mostly preventable. Occurrence of such an event speaks about serious systemic problems in the hospital rather than just a simple human mistake.</w:t>
      </w:r>
    </w:p>
    <w:p w14:paraId="49236753" w14:textId="77777777" w:rsidR="009C3E5A" w:rsidRPr="008F34D7" w:rsidRDefault="009C3E5A" w:rsidP="007A7122">
      <w:pPr>
        <w:spacing w:line="360" w:lineRule="auto"/>
        <w:rPr>
          <w:rFonts w:ascii="Arial" w:hAnsi="Arial" w:cs="Arial"/>
          <w:sz w:val="22"/>
          <w:szCs w:val="22"/>
        </w:rPr>
      </w:pPr>
      <w:r w:rsidRPr="008F34D7">
        <w:rPr>
          <w:rFonts w:ascii="Arial" w:hAnsi="Arial" w:cs="Arial"/>
          <w:sz w:val="22"/>
          <w:szCs w:val="22"/>
        </w:rPr>
        <w:t xml:space="preserve">International and national statistics reveal the seriousness of the problem as well as its persistent nature. The World Health Organisation has been considering patient misidentification as one of the most common sources of serious adverse events in the field, including wrong-patient and wrong-site surgeries (World Health Organization, 2023). The Joint Commission's Sentinel Event Data 2023 Annual Report counted 112 wrong surgeries, that is 26 per cent more as compared to last year with most of the cases being wrong-site surgery (The Joint Commission, 2024; Jacobs, 2024). More recently conducted multi-facility studies still show that those types of events are very resistant to all kinds of safety interventions and persist throughout decades (Taylor, Quesenberry and </w:t>
      </w:r>
      <w:proofErr w:type="spellStart"/>
      <w:r w:rsidRPr="008F34D7">
        <w:rPr>
          <w:rFonts w:ascii="Arial" w:hAnsi="Arial" w:cs="Arial"/>
          <w:sz w:val="22"/>
          <w:szCs w:val="22"/>
        </w:rPr>
        <w:t>Yonash</w:t>
      </w:r>
      <w:proofErr w:type="spellEnd"/>
      <w:r w:rsidRPr="008F34D7">
        <w:rPr>
          <w:rFonts w:ascii="Arial" w:hAnsi="Arial" w:cs="Arial"/>
          <w:sz w:val="22"/>
          <w:szCs w:val="22"/>
        </w:rPr>
        <w:t>, 2026). Those numbers are even higher in low- and middle-income countries where the problem is considerably bigger. The estimate indicates that there are about 134 million adverse events happening every year in LMICs causing 2.6 million deaths and a major part of them are considered to be preventable (Kumah, 2025). Regarding the Indian context, precise data on that matter is not available due to the absence of reporting culture, nevertheless it is estimated that there are millions of injuries and preventable deaths every year in India as a result of medical errors, especially in government-run hospitals suffering from understaffing and crowdedness (Shetty, 2022; Kumah, 2025).</w:t>
      </w:r>
    </w:p>
    <w:p w14:paraId="4F4117AD" w14:textId="60FA13BA" w:rsidR="009C3E5A" w:rsidRPr="008F34D7" w:rsidRDefault="009C3E5A" w:rsidP="007A7122">
      <w:pPr>
        <w:spacing w:line="360" w:lineRule="auto"/>
        <w:rPr>
          <w:rFonts w:ascii="Arial" w:hAnsi="Arial" w:cs="Arial"/>
          <w:sz w:val="22"/>
          <w:szCs w:val="22"/>
        </w:rPr>
      </w:pPr>
      <w:r w:rsidRPr="008F34D7">
        <w:rPr>
          <w:rFonts w:ascii="Arial" w:hAnsi="Arial" w:cs="Arial"/>
          <w:sz w:val="22"/>
          <w:szCs w:val="22"/>
        </w:rPr>
        <w:t xml:space="preserve">From the standpoint of systems thinking, the problem in the above-mentioned case can hardly be explained as simply as an individual negligence. Soft Systems Methodology and other similar approaches pay attention to the fact that complex problems arise as a result of interaction of several components of a socio-technical system (Atalla, El-Ashry and Sharif, 2025; Bowditch </w:t>
      </w:r>
      <w:r w:rsidR="007A7122" w:rsidRPr="008F34D7">
        <w:rPr>
          <w:rFonts w:ascii="Arial" w:hAnsi="Arial" w:cs="Arial"/>
          <w:i/>
          <w:iCs/>
          <w:sz w:val="22"/>
          <w:szCs w:val="22"/>
        </w:rPr>
        <w:t>et al</w:t>
      </w:r>
      <w:r w:rsidRPr="008F34D7">
        <w:rPr>
          <w:rFonts w:ascii="Arial" w:hAnsi="Arial" w:cs="Arial"/>
          <w:sz w:val="22"/>
          <w:szCs w:val="22"/>
        </w:rPr>
        <w:t>., 2026). Rich Picture is a particularly effective approach to represent those kinds of interactions in a non-linear and holistic manner.</w:t>
      </w:r>
    </w:p>
    <w:p w14:paraId="4762A768" w14:textId="1BA6BE80" w:rsidR="004132F6" w:rsidRPr="008F34D7" w:rsidRDefault="004132F6" w:rsidP="004132F6">
      <w:pPr>
        <w:spacing w:line="360" w:lineRule="auto"/>
        <w:jc w:val="center"/>
        <w:rPr>
          <w:rFonts w:ascii="Arial" w:hAnsi="Arial" w:cs="Arial"/>
          <w:sz w:val="22"/>
          <w:szCs w:val="22"/>
        </w:rPr>
      </w:pPr>
      <w:r w:rsidRPr="008F34D7">
        <w:rPr>
          <w:rFonts w:ascii="Arial" w:hAnsi="Arial" w:cs="Arial"/>
          <w:noProof/>
          <w:sz w:val="22"/>
          <w:szCs w:val="22"/>
        </w:rPr>
        <w:lastRenderedPageBreak/>
        <w:drawing>
          <wp:inline distT="0" distB="0" distL="0" distR="0" wp14:anchorId="409D0B1A" wp14:editId="65720EDE">
            <wp:extent cx="6248400" cy="4139565"/>
            <wp:effectExtent l="0" t="0" r="0" b="0"/>
            <wp:docPr id="10955292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248400" cy="4139565"/>
                    </a:xfrm>
                    <a:prstGeom prst="rect">
                      <a:avLst/>
                    </a:prstGeom>
                    <a:noFill/>
                  </pic:spPr>
                </pic:pic>
              </a:graphicData>
            </a:graphic>
          </wp:inline>
        </w:drawing>
      </w:r>
    </w:p>
    <w:p w14:paraId="57593DBB" w14:textId="4AF01FB9" w:rsidR="006A3C86" w:rsidRPr="008F34D7" w:rsidRDefault="006A3C86" w:rsidP="004132F6">
      <w:pPr>
        <w:spacing w:line="360" w:lineRule="auto"/>
        <w:jc w:val="center"/>
        <w:rPr>
          <w:rFonts w:ascii="Arial" w:hAnsi="Arial" w:cs="Arial"/>
          <w:sz w:val="22"/>
          <w:szCs w:val="22"/>
        </w:rPr>
      </w:pPr>
      <w:r w:rsidRPr="008F34D7">
        <w:rPr>
          <w:rFonts w:ascii="Arial" w:hAnsi="Arial" w:cs="Arial"/>
          <w:b/>
          <w:bCs/>
          <w:sz w:val="22"/>
          <w:szCs w:val="22"/>
        </w:rPr>
        <w:t xml:space="preserve">Figure 1: </w:t>
      </w:r>
      <w:r w:rsidRPr="008F34D7">
        <w:rPr>
          <w:rFonts w:ascii="Arial" w:hAnsi="Arial" w:cs="Arial"/>
          <w:sz w:val="22"/>
          <w:szCs w:val="22"/>
        </w:rPr>
        <w:t>Rich Picture of the Kota Medical College Hospital system at the time of the 12 April 2025 incident</w:t>
      </w:r>
    </w:p>
    <w:p w14:paraId="3FEEFAAA" w14:textId="7C687E03" w:rsidR="004132F6" w:rsidRPr="008F34D7" w:rsidRDefault="004132F6" w:rsidP="004132F6">
      <w:pPr>
        <w:spacing w:line="360" w:lineRule="auto"/>
        <w:jc w:val="center"/>
        <w:rPr>
          <w:rFonts w:ascii="Arial" w:hAnsi="Arial" w:cs="Arial"/>
          <w:sz w:val="22"/>
          <w:szCs w:val="22"/>
        </w:rPr>
      </w:pPr>
      <w:r w:rsidRPr="008F34D7">
        <w:rPr>
          <w:rFonts w:ascii="Arial" w:hAnsi="Arial" w:cs="Arial"/>
          <w:sz w:val="22"/>
          <w:szCs w:val="22"/>
        </w:rPr>
        <w:t>(Source: Self-Developed)</w:t>
      </w:r>
    </w:p>
    <w:p w14:paraId="57A10C9C" w14:textId="77777777" w:rsidR="006A3C86" w:rsidRDefault="006A3C86" w:rsidP="007A7122">
      <w:pPr>
        <w:spacing w:line="360" w:lineRule="auto"/>
      </w:pPr>
      <w:r w:rsidRPr="008F34D7">
        <w:rPr>
          <w:rFonts w:ascii="Arial" w:hAnsi="Arial" w:cs="Arial"/>
          <w:sz w:val="22"/>
          <w:szCs w:val="22"/>
        </w:rPr>
        <w:t>The key elements that would appear in Figure 1 are as follows</w:t>
      </w:r>
      <w:r w:rsidRPr="006A3C86">
        <w:t>:</w:t>
      </w:r>
    </w:p>
    <w:p w14:paraId="2B51DE7F" w14:textId="241869D6" w:rsidR="006A3C86" w:rsidRPr="00AA604D" w:rsidRDefault="006A3C86" w:rsidP="007A7122">
      <w:pPr>
        <w:spacing w:line="360" w:lineRule="auto"/>
        <w:rPr>
          <w:rFonts w:ascii="Arial" w:hAnsi="Arial" w:cs="Arial"/>
        </w:rPr>
      </w:pPr>
      <w:r w:rsidRPr="00AA604D">
        <w:rPr>
          <w:rFonts w:ascii="Arial" w:hAnsi="Arial" w:cs="Arial"/>
          <w:b/>
          <w:bCs/>
        </w:rPr>
        <w:t>Actors</w:t>
      </w:r>
      <w:r w:rsidRPr="00AA604D">
        <w:rPr>
          <w:rFonts w:ascii="Arial" w:hAnsi="Arial" w:cs="Arial"/>
        </w:rPr>
        <w:t xml:space="preserve"> </w:t>
      </w:r>
    </w:p>
    <w:p w14:paraId="7537AE4C" w14:textId="77777777" w:rsidR="009C3E5A" w:rsidRDefault="009C3E5A" w:rsidP="007A7122">
      <w:pPr>
        <w:spacing w:line="360" w:lineRule="auto"/>
      </w:pPr>
      <w:r w:rsidRPr="008F34D7">
        <w:rPr>
          <w:rFonts w:ascii="Arial" w:hAnsi="Arial" w:cs="Arial"/>
          <w:sz w:val="22"/>
          <w:szCs w:val="22"/>
        </w:rPr>
        <w:t>Key players in this situation include the cardiothoracic and vascular surgery departments’ operating and anaesthesia teams, theatre nursing and theatre technical staff, ward attendants who will call the patient by his name, hospital principal and medical superintendent, the actual patient who will undergo the dialysis fistula operation (highly vulnerable due to paralysis and speech problems), Jagdish Panchal’s son Manish, and the rest of his family outside the theatre complex</w:t>
      </w:r>
      <w:r w:rsidRPr="009C3E5A">
        <w:t>.</w:t>
      </w:r>
    </w:p>
    <w:p w14:paraId="422A4F3E" w14:textId="344925B0" w:rsidR="006A3C86" w:rsidRPr="00AA604D" w:rsidRDefault="006A3C86" w:rsidP="007A7122">
      <w:pPr>
        <w:spacing w:line="360" w:lineRule="auto"/>
        <w:rPr>
          <w:rFonts w:ascii="Arial" w:hAnsi="Arial" w:cs="Arial"/>
        </w:rPr>
      </w:pPr>
      <w:r w:rsidRPr="00AA604D">
        <w:rPr>
          <w:rFonts w:ascii="Arial" w:hAnsi="Arial" w:cs="Arial"/>
          <w:b/>
          <w:bCs/>
        </w:rPr>
        <w:t>Processes</w:t>
      </w:r>
      <w:r w:rsidRPr="00AA604D">
        <w:rPr>
          <w:rFonts w:ascii="Arial" w:hAnsi="Arial" w:cs="Arial"/>
        </w:rPr>
        <w:t xml:space="preserve"> </w:t>
      </w:r>
    </w:p>
    <w:p w14:paraId="38F9BAB6" w14:textId="77777777" w:rsidR="009C3E5A" w:rsidRPr="008F34D7" w:rsidRDefault="009C3E5A" w:rsidP="007A7122">
      <w:pPr>
        <w:spacing w:line="360" w:lineRule="auto"/>
        <w:rPr>
          <w:rFonts w:ascii="Arial" w:hAnsi="Arial" w:cs="Arial"/>
          <w:sz w:val="22"/>
          <w:szCs w:val="22"/>
        </w:rPr>
      </w:pPr>
      <w:r w:rsidRPr="008F34D7">
        <w:rPr>
          <w:rFonts w:ascii="Arial" w:hAnsi="Arial" w:cs="Arial"/>
          <w:sz w:val="22"/>
          <w:szCs w:val="22"/>
        </w:rPr>
        <w:t>The key procedures that did not work include verbal insults at the waiting area, lack of effective two-point identification system (name and unique patient number, picture, or band), pre-</w:t>
      </w:r>
      <w:proofErr w:type="spellStart"/>
      <w:r w:rsidRPr="008F34D7">
        <w:rPr>
          <w:rFonts w:ascii="Arial" w:hAnsi="Arial" w:cs="Arial"/>
          <w:sz w:val="22"/>
          <w:szCs w:val="22"/>
        </w:rPr>
        <w:t>anesthetic</w:t>
      </w:r>
      <w:proofErr w:type="spellEnd"/>
      <w:r w:rsidRPr="008F34D7">
        <w:rPr>
          <w:rFonts w:ascii="Arial" w:hAnsi="Arial" w:cs="Arial"/>
          <w:sz w:val="22"/>
          <w:szCs w:val="22"/>
        </w:rPr>
        <w:t xml:space="preserve"> check, formal surgical time out prior to cutting, and real time interaction between the trauma/</w:t>
      </w:r>
      <w:proofErr w:type="spellStart"/>
      <w:r w:rsidRPr="008F34D7">
        <w:rPr>
          <w:rFonts w:ascii="Arial" w:hAnsi="Arial" w:cs="Arial"/>
          <w:sz w:val="22"/>
          <w:szCs w:val="22"/>
        </w:rPr>
        <w:t>orthopedic</w:t>
      </w:r>
      <w:proofErr w:type="spellEnd"/>
      <w:r w:rsidRPr="008F34D7">
        <w:rPr>
          <w:rFonts w:ascii="Arial" w:hAnsi="Arial" w:cs="Arial"/>
          <w:sz w:val="22"/>
          <w:szCs w:val="22"/>
        </w:rPr>
        <w:t xml:space="preserve"> operating theatre and vascular operating theatre. The use of single-point verbal call of the common name was the major cause of the failure.</w:t>
      </w:r>
    </w:p>
    <w:p w14:paraId="59D575CE" w14:textId="593DF556" w:rsidR="006A3C86" w:rsidRPr="00AA604D" w:rsidRDefault="006A3C86" w:rsidP="007A7122">
      <w:pPr>
        <w:spacing w:line="360" w:lineRule="auto"/>
        <w:rPr>
          <w:rFonts w:ascii="Arial" w:hAnsi="Arial" w:cs="Arial"/>
        </w:rPr>
      </w:pPr>
      <w:r w:rsidRPr="00AA604D">
        <w:rPr>
          <w:rFonts w:ascii="Arial" w:hAnsi="Arial" w:cs="Arial"/>
          <w:b/>
          <w:bCs/>
        </w:rPr>
        <w:t>Structures</w:t>
      </w:r>
      <w:r w:rsidRPr="00AA604D">
        <w:rPr>
          <w:rFonts w:ascii="Arial" w:hAnsi="Arial" w:cs="Arial"/>
        </w:rPr>
        <w:t xml:space="preserve"> </w:t>
      </w:r>
    </w:p>
    <w:p w14:paraId="6318DA10" w14:textId="157584D7" w:rsidR="009C3E5A" w:rsidRDefault="008F34D7" w:rsidP="007A7122">
      <w:pPr>
        <w:spacing w:line="360" w:lineRule="auto"/>
      </w:pPr>
      <w:r w:rsidRPr="008F34D7">
        <w:rPr>
          <w:rFonts w:ascii="Arial" w:hAnsi="Arial" w:cs="Arial"/>
          <w:sz w:val="22"/>
          <w:szCs w:val="22"/>
        </w:rPr>
        <w:lastRenderedPageBreak/>
        <w:t>Organizational</w:t>
      </w:r>
      <w:r w:rsidR="009C3E5A" w:rsidRPr="008F34D7">
        <w:rPr>
          <w:rFonts w:ascii="Arial" w:hAnsi="Arial" w:cs="Arial"/>
          <w:sz w:val="22"/>
          <w:szCs w:val="22"/>
        </w:rPr>
        <w:t xml:space="preserve"> hierarchy is typical. Authority lies with the chief of the medical college and the state health department, whereas the management of each theatre is distributed to specialty teams. Silo effect of specialties (vascular or trauma) prevented awareness of situation across the theatres. There was no IT support for patient tracing and electronic identification</w:t>
      </w:r>
      <w:r w:rsidR="009C3E5A" w:rsidRPr="009C3E5A">
        <w:t>.</w:t>
      </w:r>
    </w:p>
    <w:p w14:paraId="6297706A" w14:textId="46CDE00B" w:rsidR="006A3C86" w:rsidRPr="00AA604D" w:rsidRDefault="006A3C86" w:rsidP="007A7122">
      <w:pPr>
        <w:spacing w:line="360" w:lineRule="auto"/>
        <w:rPr>
          <w:rFonts w:ascii="Arial" w:hAnsi="Arial" w:cs="Arial"/>
        </w:rPr>
      </w:pPr>
      <w:r w:rsidRPr="00AA604D">
        <w:rPr>
          <w:rFonts w:ascii="Arial" w:hAnsi="Arial" w:cs="Arial"/>
          <w:b/>
          <w:bCs/>
        </w:rPr>
        <w:t>Feedback loops</w:t>
      </w:r>
      <w:r w:rsidRPr="00AA604D">
        <w:rPr>
          <w:rFonts w:ascii="Arial" w:hAnsi="Arial" w:cs="Arial"/>
        </w:rPr>
        <w:t xml:space="preserve"> </w:t>
      </w:r>
    </w:p>
    <w:p w14:paraId="386A6D0E" w14:textId="776CDA6A" w:rsidR="009C3E5A" w:rsidRPr="008F34D7" w:rsidRDefault="009C3E5A" w:rsidP="007A7122">
      <w:pPr>
        <w:spacing w:line="360" w:lineRule="auto"/>
        <w:rPr>
          <w:rFonts w:ascii="Arial" w:hAnsi="Arial" w:cs="Arial"/>
          <w:sz w:val="22"/>
          <w:szCs w:val="22"/>
        </w:rPr>
      </w:pPr>
      <w:r w:rsidRPr="008F34D7">
        <w:rPr>
          <w:rFonts w:ascii="Arial" w:hAnsi="Arial" w:cs="Arial"/>
          <w:sz w:val="22"/>
          <w:szCs w:val="22"/>
        </w:rPr>
        <w:t xml:space="preserve">The feedback loops were not working or were simply non-existent. The absence of real-time incident reporting system would not have allowed detecting the problem until the operation. Only after Manish’s operation and the start of his search for his father was the mistake discovered. The formal inquiry process involving three members was started only after a third-party complaint (Bowditch </w:t>
      </w:r>
      <w:r w:rsidR="007A7122" w:rsidRPr="008F34D7">
        <w:rPr>
          <w:rFonts w:ascii="Arial" w:hAnsi="Arial" w:cs="Arial"/>
          <w:i/>
          <w:iCs/>
          <w:sz w:val="22"/>
          <w:szCs w:val="22"/>
        </w:rPr>
        <w:t>et al</w:t>
      </w:r>
      <w:r w:rsidRPr="008F34D7">
        <w:rPr>
          <w:rFonts w:ascii="Arial" w:hAnsi="Arial" w:cs="Arial"/>
          <w:sz w:val="22"/>
          <w:szCs w:val="22"/>
        </w:rPr>
        <w:t>., 2026).</w:t>
      </w:r>
    </w:p>
    <w:p w14:paraId="016AC897" w14:textId="2A313C62" w:rsidR="006A3C86" w:rsidRPr="00AA604D" w:rsidRDefault="006A3C86" w:rsidP="007A7122">
      <w:pPr>
        <w:spacing w:line="360" w:lineRule="auto"/>
        <w:rPr>
          <w:rFonts w:ascii="Arial" w:hAnsi="Arial" w:cs="Arial"/>
        </w:rPr>
      </w:pPr>
      <w:r w:rsidRPr="00AA604D">
        <w:rPr>
          <w:rFonts w:ascii="Arial" w:hAnsi="Arial" w:cs="Arial"/>
          <w:b/>
          <w:bCs/>
        </w:rPr>
        <w:t>Emotions and culture</w:t>
      </w:r>
      <w:r w:rsidRPr="00AA604D">
        <w:rPr>
          <w:rFonts w:ascii="Arial" w:hAnsi="Arial" w:cs="Arial"/>
        </w:rPr>
        <w:t xml:space="preserve"> </w:t>
      </w:r>
    </w:p>
    <w:p w14:paraId="44415714" w14:textId="77777777" w:rsidR="00ED2449" w:rsidRPr="008F34D7" w:rsidRDefault="00ED2449" w:rsidP="007A7122">
      <w:pPr>
        <w:spacing w:line="360" w:lineRule="auto"/>
        <w:rPr>
          <w:rFonts w:ascii="Arial" w:hAnsi="Arial" w:cs="Arial"/>
          <w:sz w:val="22"/>
          <w:szCs w:val="22"/>
        </w:rPr>
      </w:pPr>
      <w:r w:rsidRPr="008F34D7">
        <w:rPr>
          <w:rFonts w:ascii="Arial" w:hAnsi="Arial" w:cs="Arial"/>
          <w:sz w:val="22"/>
          <w:szCs w:val="22"/>
        </w:rPr>
        <w:t>Staff members were subject to high time constraints and pressure associated with government medical colleges. Hierarchal norms and fear of confrontation with superiors could inhibit the possibility of raising concerns despite the intuition about potential dangers. For the family, the situation brought an impression of fear and confusion and erosion of trust in the organization. In case of error discovery, organizational reactions would be expected.</w:t>
      </w:r>
    </w:p>
    <w:p w14:paraId="19B66DE3" w14:textId="72D38F69" w:rsidR="00ED2449" w:rsidRPr="008F34D7" w:rsidRDefault="00ED2449" w:rsidP="007A7122">
      <w:pPr>
        <w:spacing w:line="360" w:lineRule="auto"/>
        <w:rPr>
          <w:rFonts w:ascii="Arial" w:hAnsi="Arial" w:cs="Arial"/>
          <w:sz w:val="22"/>
          <w:szCs w:val="22"/>
        </w:rPr>
      </w:pPr>
      <w:r w:rsidRPr="008F34D7">
        <w:rPr>
          <w:rFonts w:ascii="Arial" w:hAnsi="Arial" w:cs="Arial"/>
          <w:sz w:val="22"/>
          <w:szCs w:val="22"/>
        </w:rPr>
        <w:t xml:space="preserve">The systemic problems revealed from Rich Picture analysis include communication issues between waiting areas and theatre, lack of closed loop identification procedures, hierarchies that discourage questions and insufficient monitoring of critical activities like time out prior to incision (Weatherford </w:t>
      </w:r>
      <w:r w:rsidR="007A7122" w:rsidRPr="008F34D7">
        <w:rPr>
          <w:rFonts w:ascii="Arial" w:hAnsi="Arial" w:cs="Arial"/>
          <w:i/>
          <w:iCs/>
          <w:sz w:val="22"/>
          <w:szCs w:val="22"/>
        </w:rPr>
        <w:t>et al</w:t>
      </w:r>
      <w:r w:rsidRPr="008F34D7">
        <w:rPr>
          <w:rFonts w:ascii="Arial" w:hAnsi="Arial" w:cs="Arial"/>
          <w:sz w:val="22"/>
          <w:szCs w:val="22"/>
        </w:rPr>
        <w:t xml:space="preserve">., 2026; Najla </w:t>
      </w:r>
      <w:r w:rsidR="007A7122" w:rsidRPr="008F34D7">
        <w:rPr>
          <w:rFonts w:ascii="Arial" w:hAnsi="Arial" w:cs="Arial"/>
          <w:i/>
          <w:iCs/>
          <w:sz w:val="22"/>
          <w:szCs w:val="22"/>
        </w:rPr>
        <w:t>et al</w:t>
      </w:r>
      <w:r w:rsidRPr="008F34D7">
        <w:rPr>
          <w:rFonts w:ascii="Arial" w:hAnsi="Arial" w:cs="Arial"/>
          <w:sz w:val="22"/>
          <w:szCs w:val="22"/>
        </w:rPr>
        <w:t xml:space="preserve">., 2025; Vikan </w:t>
      </w:r>
      <w:r w:rsidR="007A7122" w:rsidRPr="008F34D7">
        <w:rPr>
          <w:rFonts w:ascii="Arial" w:hAnsi="Arial" w:cs="Arial"/>
          <w:i/>
          <w:iCs/>
          <w:sz w:val="22"/>
          <w:szCs w:val="22"/>
        </w:rPr>
        <w:t>et al</w:t>
      </w:r>
      <w:r w:rsidRPr="008F34D7">
        <w:rPr>
          <w:rFonts w:ascii="Arial" w:hAnsi="Arial" w:cs="Arial"/>
          <w:sz w:val="22"/>
          <w:szCs w:val="22"/>
        </w:rPr>
        <w:t xml:space="preserve">., 2024). The level of governance involved in the problem is local level, namely hospitals and medical colleges' administration; however, state regulations concerning standards of safety and resources also influence the operating environment. Overall, all those elements formed the situation where the presence of a vulnerable individual with a common name in a risk zone resulted in a predictable error due to insufficient </w:t>
      </w:r>
      <w:proofErr w:type="spellStart"/>
      <w:r w:rsidRPr="008F34D7">
        <w:rPr>
          <w:rFonts w:ascii="Arial" w:hAnsi="Arial" w:cs="Arial"/>
          <w:sz w:val="22"/>
          <w:szCs w:val="22"/>
        </w:rPr>
        <w:t>defense</w:t>
      </w:r>
      <w:proofErr w:type="spellEnd"/>
      <w:r w:rsidRPr="008F34D7">
        <w:rPr>
          <w:rFonts w:ascii="Arial" w:hAnsi="Arial" w:cs="Arial"/>
          <w:sz w:val="22"/>
          <w:szCs w:val="22"/>
        </w:rPr>
        <w:t xml:space="preserve"> mechanisms (Bowditch </w:t>
      </w:r>
      <w:r w:rsidR="007A7122" w:rsidRPr="008F34D7">
        <w:rPr>
          <w:rFonts w:ascii="Arial" w:hAnsi="Arial" w:cs="Arial"/>
          <w:i/>
          <w:iCs/>
          <w:sz w:val="22"/>
          <w:szCs w:val="22"/>
        </w:rPr>
        <w:t>et al</w:t>
      </w:r>
      <w:r w:rsidRPr="008F34D7">
        <w:rPr>
          <w:rFonts w:ascii="Arial" w:hAnsi="Arial" w:cs="Arial"/>
          <w:sz w:val="22"/>
          <w:szCs w:val="22"/>
        </w:rPr>
        <w:t>., 2026; Atalla, El-Ashry and Sharif, 2025).</w:t>
      </w:r>
    </w:p>
    <w:p w14:paraId="68FE534E" w14:textId="06A26C38" w:rsidR="00ED2449" w:rsidRPr="008F34D7" w:rsidRDefault="00ED2449" w:rsidP="007A7122">
      <w:pPr>
        <w:spacing w:line="360" w:lineRule="auto"/>
        <w:rPr>
          <w:rFonts w:ascii="Arial" w:hAnsi="Arial" w:cs="Arial"/>
          <w:sz w:val="22"/>
          <w:szCs w:val="22"/>
        </w:rPr>
      </w:pPr>
      <w:r w:rsidRPr="008F34D7">
        <w:rPr>
          <w:rFonts w:ascii="Arial" w:hAnsi="Arial" w:cs="Arial"/>
          <w:sz w:val="22"/>
          <w:szCs w:val="22"/>
        </w:rPr>
        <w:t>In conclusion, the case at the Kota cannot be viewed as the result of individual mistakes of one or two employees but rather as a result of emergence from a complex adaptive system where many factors combined to cause a never event. The application of the systems approach through Rich Picture, thus, gives a more relevant diagnosis compared to root cause analysis focused on human error only.</w:t>
      </w:r>
    </w:p>
    <w:p w14:paraId="696C595D" w14:textId="77777777" w:rsidR="007E0D85" w:rsidRDefault="00AE1BD7" w:rsidP="007A7122">
      <w:pPr>
        <w:pStyle w:val="Heading2"/>
        <w:spacing w:line="360" w:lineRule="auto"/>
        <w:jc w:val="both"/>
      </w:pPr>
      <w:bookmarkStart w:id="3" w:name="_Toc235360995"/>
      <w:r>
        <w:t xml:space="preserve">b. </w:t>
      </w:r>
      <w:r w:rsidRPr="00AA604D">
        <w:rPr>
          <w:rFonts w:ascii="Arial" w:hAnsi="Arial" w:cs="Arial"/>
        </w:rPr>
        <w:t>Centralisation or Decentralisation within the Case Study</w:t>
      </w:r>
      <w:bookmarkEnd w:id="3"/>
    </w:p>
    <w:p w14:paraId="6B2F1EE1" w14:textId="77777777" w:rsidR="00ED2449" w:rsidRPr="008F34D7" w:rsidRDefault="00ED2449" w:rsidP="007A7122">
      <w:pPr>
        <w:spacing w:line="360" w:lineRule="auto"/>
        <w:rPr>
          <w:rFonts w:ascii="Arial" w:hAnsi="Arial" w:cs="Arial"/>
          <w:sz w:val="22"/>
          <w:szCs w:val="22"/>
        </w:rPr>
      </w:pPr>
      <w:r w:rsidRPr="008F34D7">
        <w:rPr>
          <w:rFonts w:ascii="Arial" w:hAnsi="Arial" w:cs="Arial"/>
          <w:sz w:val="22"/>
          <w:szCs w:val="22"/>
        </w:rPr>
        <w:t xml:space="preserve">Government hospitals of medical colleges in India generally follow a predominantly centralized structure of governance. Strategic decisions related to allocation of resources, appointment of executives, investment and creation of policy relating to patients' safety emerge from the state health department and the medical college principal. Daily operations such as </w:t>
      </w:r>
      <w:proofErr w:type="spellStart"/>
      <w:r w:rsidRPr="008F34D7">
        <w:rPr>
          <w:rFonts w:ascii="Arial" w:hAnsi="Arial" w:cs="Arial"/>
          <w:sz w:val="22"/>
          <w:szCs w:val="22"/>
        </w:rPr>
        <w:t>theater</w:t>
      </w:r>
      <w:proofErr w:type="spellEnd"/>
      <w:r w:rsidRPr="008F34D7">
        <w:rPr>
          <w:rFonts w:ascii="Arial" w:hAnsi="Arial" w:cs="Arial"/>
          <w:sz w:val="22"/>
          <w:szCs w:val="22"/>
        </w:rPr>
        <w:t xml:space="preserve"> scheduling, patient </w:t>
      </w:r>
      <w:r w:rsidRPr="008F34D7">
        <w:rPr>
          <w:rFonts w:ascii="Arial" w:hAnsi="Arial" w:cs="Arial"/>
          <w:sz w:val="22"/>
          <w:szCs w:val="22"/>
        </w:rPr>
        <w:lastRenderedPageBreak/>
        <w:t>calling and pre-procedure verification are delegated to heads of departments, specialists and nursing staffs. In case of the Kota Medical College Hospital on 12 April 2025, the combination of centralization and decentralization contributed to the wrong-patient surgery incident and limited the response of the organization to this incident.</w:t>
      </w:r>
    </w:p>
    <w:p w14:paraId="09C0928E" w14:textId="415ED2CB" w:rsidR="00ED2449" w:rsidRPr="008F34D7" w:rsidRDefault="00ED2449" w:rsidP="007A7122">
      <w:pPr>
        <w:spacing w:line="360" w:lineRule="auto"/>
        <w:rPr>
          <w:rFonts w:ascii="Arial" w:hAnsi="Arial" w:cs="Arial"/>
          <w:sz w:val="22"/>
          <w:szCs w:val="22"/>
        </w:rPr>
      </w:pPr>
      <w:r w:rsidRPr="008F34D7">
        <w:rPr>
          <w:rFonts w:ascii="Arial" w:hAnsi="Arial" w:cs="Arial"/>
          <w:sz w:val="22"/>
          <w:szCs w:val="22"/>
        </w:rPr>
        <w:t xml:space="preserve">Theoretical strengths of centralization include the clarity of lines of responsibility as the hospital principal was able to immediately order a three-person investigation and submit a report. Centralization also allows for establishment of standardized practices for the entire institution and allocation of necessary resources for investigation and improvement efforts. The policies endorsing the use of the Surgical Safety Checklist promoted by the World Health Organization are the results of centralized decision making (World Health Organization, 2026; </w:t>
      </w:r>
      <w:proofErr w:type="spellStart"/>
      <w:r w:rsidRPr="008F34D7">
        <w:rPr>
          <w:rFonts w:ascii="Arial" w:hAnsi="Arial" w:cs="Arial"/>
          <w:sz w:val="22"/>
          <w:szCs w:val="22"/>
        </w:rPr>
        <w:t>Habtie</w:t>
      </w:r>
      <w:proofErr w:type="spellEnd"/>
      <w:r w:rsidRPr="008F34D7">
        <w:rPr>
          <w:rFonts w:ascii="Arial" w:hAnsi="Arial" w:cs="Arial"/>
          <w:sz w:val="22"/>
          <w:szCs w:val="22"/>
        </w:rPr>
        <w:t xml:space="preserve"> </w:t>
      </w:r>
      <w:r w:rsidR="007A7122" w:rsidRPr="008F34D7">
        <w:rPr>
          <w:rFonts w:ascii="Arial" w:hAnsi="Arial" w:cs="Arial"/>
          <w:i/>
          <w:iCs/>
          <w:sz w:val="22"/>
          <w:szCs w:val="22"/>
        </w:rPr>
        <w:t>et al</w:t>
      </w:r>
      <w:r w:rsidRPr="008F34D7">
        <w:rPr>
          <w:rFonts w:ascii="Arial" w:hAnsi="Arial" w:cs="Arial"/>
          <w:sz w:val="22"/>
          <w:szCs w:val="22"/>
        </w:rPr>
        <w:t xml:space="preserve">., 2025). However, the distance created by centralization may undermine the effectiveness of the established standards. According to Habtie </w:t>
      </w:r>
      <w:r w:rsidR="007A7122" w:rsidRPr="008F34D7">
        <w:rPr>
          <w:rFonts w:ascii="Arial" w:hAnsi="Arial" w:cs="Arial"/>
          <w:i/>
          <w:iCs/>
          <w:sz w:val="22"/>
          <w:szCs w:val="22"/>
        </w:rPr>
        <w:t>et al</w:t>
      </w:r>
      <w:r w:rsidRPr="008F34D7">
        <w:rPr>
          <w:rFonts w:ascii="Arial" w:hAnsi="Arial" w:cs="Arial"/>
          <w:sz w:val="22"/>
          <w:szCs w:val="22"/>
        </w:rPr>
        <w:t xml:space="preserve">. (2025), the utilization rate of checklists is only 73 per cent worldwide that is significantly lower than the goal set by WHO. Weaknesses of local audit and monitoring of compliance are recognized as the major obstacles to the adoption of the WHO checklist. As </w:t>
      </w:r>
      <w:proofErr w:type="spellStart"/>
      <w:r w:rsidRPr="008F34D7">
        <w:rPr>
          <w:rFonts w:ascii="Arial" w:hAnsi="Arial" w:cs="Arial"/>
          <w:sz w:val="22"/>
          <w:szCs w:val="22"/>
        </w:rPr>
        <w:t>Badasa</w:t>
      </w:r>
      <w:proofErr w:type="spellEnd"/>
      <w:r w:rsidRPr="008F34D7">
        <w:rPr>
          <w:rFonts w:ascii="Arial" w:hAnsi="Arial" w:cs="Arial"/>
          <w:sz w:val="22"/>
          <w:szCs w:val="22"/>
        </w:rPr>
        <w:t xml:space="preserve"> </w:t>
      </w:r>
      <w:r w:rsidR="007A7122" w:rsidRPr="008F34D7">
        <w:rPr>
          <w:rFonts w:ascii="Arial" w:hAnsi="Arial" w:cs="Arial"/>
          <w:i/>
          <w:iCs/>
          <w:sz w:val="22"/>
          <w:szCs w:val="22"/>
        </w:rPr>
        <w:t>et al</w:t>
      </w:r>
      <w:r w:rsidRPr="008F34D7">
        <w:rPr>
          <w:rFonts w:ascii="Arial" w:hAnsi="Arial" w:cs="Arial"/>
          <w:sz w:val="22"/>
          <w:szCs w:val="22"/>
        </w:rPr>
        <w:t xml:space="preserve">. (2025) and Kamal </w:t>
      </w:r>
      <w:r w:rsidR="007A7122" w:rsidRPr="008F34D7">
        <w:rPr>
          <w:rFonts w:ascii="Arial" w:hAnsi="Arial" w:cs="Arial"/>
          <w:i/>
          <w:iCs/>
          <w:sz w:val="22"/>
          <w:szCs w:val="22"/>
        </w:rPr>
        <w:t>et al</w:t>
      </w:r>
      <w:r w:rsidRPr="008F34D7">
        <w:rPr>
          <w:rFonts w:ascii="Arial" w:hAnsi="Arial" w:cs="Arial"/>
          <w:sz w:val="22"/>
          <w:szCs w:val="22"/>
        </w:rPr>
        <w:t>. (2025) argue, even if there is a central directive, compliance depends on local leaders' involvement, training and monitoring. The lack of any standardized identification procedure at the point of care is another indicator of failure of central policy to translate into local practices.</w:t>
      </w:r>
    </w:p>
    <w:p w14:paraId="3BC30BF5" w14:textId="083F1D67" w:rsidR="00ED2449" w:rsidRPr="008F34D7" w:rsidRDefault="00ED2449" w:rsidP="007A7122">
      <w:pPr>
        <w:spacing w:line="360" w:lineRule="auto"/>
        <w:rPr>
          <w:rFonts w:ascii="Arial" w:hAnsi="Arial" w:cs="Arial"/>
          <w:sz w:val="22"/>
          <w:szCs w:val="22"/>
        </w:rPr>
      </w:pPr>
      <w:r w:rsidRPr="008F34D7">
        <w:rPr>
          <w:rFonts w:ascii="Arial" w:hAnsi="Arial" w:cs="Arial"/>
          <w:sz w:val="22"/>
          <w:szCs w:val="22"/>
        </w:rPr>
        <w:t xml:space="preserve">The decentralization in this case brought about its own problems. The responsibility for the preparation of the list of patients in </w:t>
      </w:r>
      <w:proofErr w:type="spellStart"/>
      <w:r w:rsidRPr="008F34D7">
        <w:rPr>
          <w:rFonts w:ascii="Arial" w:hAnsi="Arial" w:cs="Arial"/>
          <w:sz w:val="22"/>
          <w:szCs w:val="22"/>
        </w:rPr>
        <w:t>theaters</w:t>
      </w:r>
      <w:proofErr w:type="spellEnd"/>
      <w:r w:rsidRPr="008F34D7">
        <w:rPr>
          <w:rFonts w:ascii="Arial" w:hAnsi="Arial" w:cs="Arial"/>
          <w:sz w:val="22"/>
          <w:szCs w:val="22"/>
        </w:rPr>
        <w:t xml:space="preserve">, their calling and conducting pre-procedure checks was allocated to specialty departments and nursing staffs. The idea behind the delegation is fast adaptation to the local circumstances and involvement of those who are involved in the work. The problem is that decentralization may bring inconsistency and fragmentation. In this case, verbal name-calling without secondary verification became the routine process. Special </w:t>
      </w:r>
      <w:proofErr w:type="spellStart"/>
      <w:r w:rsidRPr="008F34D7">
        <w:rPr>
          <w:rFonts w:ascii="Arial" w:hAnsi="Arial" w:cs="Arial"/>
          <w:sz w:val="22"/>
          <w:szCs w:val="22"/>
        </w:rPr>
        <w:t>theaters</w:t>
      </w:r>
      <w:proofErr w:type="spellEnd"/>
      <w:r w:rsidRPr="008F34D7">
        <w:rPr>
          <w:rFonts w:ascii="Arial" w:hAnsi="Arial" w:cs="Arial"/>
          <w:sz w:val="22"/>
          <w:szCs w:val="22"/>
        </w:rPr>
        <w:t xml:space="preserve"> functioned as autonomous silos with poor communication so that an old man with the usual name could be brought to the cardiothoracic </w:t>
      </w:r>
      <w:proofErr w:type="spellStart"/>
      <w:r w:rsidRPr="008F34D7">
        <w:rPr>
          <w:rFonts w:ascii="Arial" w:hAnsi="Arial" w:cs="Arial"/>
          <w:sz w:val="22"/>
          <w:szCs w:val="22"/>
        </w:rPr>
        <w:t>theater</w:t>
      </w:r>
      <w:proofErr w:type="spellEnd"/>
      <w:r w:rsidRPr="008F34D7">
        <w:rPr>
          <w:rFonts w:ascii="Arial" w:hAnsi="Arial" w:cs="Arial"/>
          <w:sz w:val="22"/>
          <w:szCs w:val="22"/>
        </w:rPr>
        <w:t xml:space="preserve"> without being challenged by the staff who knew him as a non-patient (</w:t>
      </w:r>
      <w:proofErr w:type="spellStart"/>
      <w:r w:rsidRPr="008F34D7">
        <w:rPr>
          <w:rFonts w:ascii="Arial" w:hAnsi="Arial" w:cs="Arial"/>
          <w:sz w:val="22"/>
          <w:szCs w:val="22"/>
        </w:rPr>
        <w:t>Curșeu</w:t>
      </w:r>
      <w:proofErr w:type="spellEnd"/>
      <w:r w:rsidRPr="008F34D7">
        <w:rPr>
          <w:rFonts w:ascii="Arial" w:hAnsi="Arial" w:cs="Arial"/>
          <w:sz w:val="22"/>
          <w:szCs w:val="22"/>
        </w:rPr>
        <w:t xml:space="preserve">, van Rijswijk and </w:t>
      </w:r>
      <w:proofErr w:type="spellStart"/>
      <w:r w:rsidRPr="008F34D7">
        <w:rPr>
          <w:rFonts w:ascii="Arial" w:hAnsi="Arial" w:cs="Arial"/>
          <w:sz w:val="22"/>
          <w:szCs w:val="22"/>
        </w:rPr>
        <w:t>Schruijer</w:t>
      </w:r>
      <w:proofErr w:type="spellEnd"/>
      <w:r w:rsidRPr="008F34D7">
        <w:rPr>
          <w:rFonts w:ascii="Arial" w:hAnsi="Arial" w:cs="Arial"/>
          <w:sz w:val="22"/>
          <w:szCs w:val="22"/>
        </w:rPr>
        <w:t xml:space="preserve">, 2025). </w:t>
      </w:r>
      <w:proofErr w:type="spellStart"/>
      <w:r w:rsidRPr="008F34D7">
        <w:rPr>
          <w:rFonts w:ascii="Arial" w:hAnsi="Arial" w:cs="Arial"/>
          <w:sz w:val="22"/>
          <w:szCs w:val="22"/>
        </w:rPr>
        <w:t>Curșeu</w:t>
      </w:r>
      <w:proofErr w:type="spellEnd"/>
      <w:r w:rsidRPr="008F34D7">
        <w:rPr>
          <w:rFonts w:ascii="Arial" w:hAnsi="Arial" w:cs="Arial"/>
          <w:sz w:val="22"/>
          <w:szCs w:val="22"/>
        </w:rPr>
        <w:t xml:space="preserve"> and his co-authors emphasize that collaborative leadership works poorly in critical surgical situations when coordination mechanisms are lacking. In this case, the advantage of decentralization, namely quick actions and local knowledge, was lost because of the lack of standardized tools, training and collaboration between the teams (Kamal </w:t>
      </w:r>
      <w:r w:rsidR="007A7122" w:rsidRPr="008F34D7">
        <w:rPr>
          <w:rFonts w:ascii="Arial" w:hAnsi="Arial" w:cs="Arial"/>
          <w:i/>
          <w:iCs/>
          <w:sz w:val="22"/>
          <w:szCs w:val="22"/>
        </w:rPr>
        <w:t>et al</w:t>
      </w:r>
      <w:r w:rsidRPr="008F34D7">
        <w:rPr>
          <w:rFonts w:ascii="Arial" w:hAnsi="Arial" w:cs="Arial"/>
          <w:sz w:val="22"/>
          <w:szCs w:val="22"/>
        </w:rPr>
        <w:t xml:space="preserve">., 2025; Yousif </w:t>
      </w:r>
      <w:r w:rsidR="007A7122" w:rsidRPr="008F34D7">
        <w:rPr>
          <w:rFonts w:ascii="Arial" w:hAnsi="Arial" w:cs="Arial"/>
          <w:i/>
          <w:iCs/>
          <w:sz w:val="22"/>
          <w:szCs w:val="22"/>
        </w:rPr>
        <w:t>et al</w:t>
      </w:r>
      <w:r w:rsidRPr="008F34D7">
        <w:rPr>
          <w:rFonts w:ascii="Arial" w:hAnsi="Arial" w:cs="Arial"/>
          <w:sz w:val="22"/>
          <w:szCs w:val="22"/>
        </w:rPr>
        <w:t>., 2025).</w:t>
      </w:r>
    </w:p>
    <w:p w14:paraId="44AE7C96" w14:textId="6142378B" w:rsidR="00ED2449" w:rsidRPr="008F34D7" w:rsidRDefault="00ED2449" w:rsidP="007A7122">
      <w:pPr>
        <w:spacing w:line="360" w:lineRule="auto"/>
        <w:rPr>
          <w:rFonts w:ascii="Arial" w:hAnsi="Arial" w:cs="Arial"/>
          <w:sz w:val="22"/>
          <w:szCs w:val="22"/>
        </w:rPr>
      </w:pPr>
      <w:r w:rsidRPr="008F34D7">
        <w:rPr>
          <w:rFonts w:ascii="Arial" w:hAnsi="Arial" w:cs="Arial"/>
          <w:sz w:val="22"/>
          <w:szCs w:val="22"/>
        </w:rPr>
        <w:t xml:space="preserve">The critical assessment of the situation in the Kota Medical College Hospital demonstrates that it suffered from the worst of the two approaches to governance. The centralized culture was responsible for discouragement of people from raising concerns and delaying the acknowledgment of the mistake till the time it was reported externally, while the decentralized operation was characterized by lack of local controls that could prevent the mistake. Comparative research of healthcare systems with good patient safety records shows that either purely decentralized or purely </w:t>
      </w:r>
      <w:r w:rsidRPr="008F34D7">
        <w:rPr>
          <w:rFonts w:ascii="Arial" w:hAnsi="Arial" w:cs="Arial"/>
          <w:sz w:val="22"/>
          <w:szCs w:val="22"/>
        </w:rPr>
        <w:lastRenderedPageBreak/>
        <w:t xml:space="preserve">centralized governance is not the best solution. Hybrid structures combining clear central standards, locally empowered teams and continuous feedback loops provide the best results in terms of safety (Wright, Kernen and Kouevi, 2024; Vikan </w:t>
      </w:r>
      <w:r w:rsidR="007A7122" w:rsidRPr="008F34D7">
        <w:rPr>
          <w:rFonts w:ascii="Arial" w:hAnsi="Arial" w:cs="Arial"/>
          <w:i/>
          <w:iCs/>
          <w:sz w:val="22"/>
          <w:szCs w:val="22"/>
        </w:rPr>
        <w:t>et al</w:t>
      </w:r>
      <w:r w:rsidRPr="008F34D7">
        <w:rPr>
          <w:rFonts w:ascii="Arial" w:hAnsi="Arial" w:cs="Arial"/>
          <w:sz w:val="22"/>
          <w:szCs w:val="22"/>
        </w:rPr>
        <w:t xml:space="preserve">., 2024; </w:t>
      </w:r>
      <w:proofErr w:type="spellStart"/>
      <w:r w:rsidRPr="008F34D7">
        <w:rPr>
          <w:rFonts w:ascii="Arial" w:hAnsi="Arial" w:cs="Arial"/>
          <w:sz w:val="22"/>
          <w:szCs w:val="22"/>
        </w:rPr>
        <w:t>Alrasheeday</w:t>
      </w:r>
      <w:proofErr w:type="spellEnd"/>
      <w:r w:rsidRPr="008F34D7">
        <w:rPr>
          <w:rFonts w:ascii="Arial" w:hAnsi="Arial" w:cs="Arial"/>
          <w:sz w:val="22"/>
          <w:szCs w:val="22"/>
        </w:rPr>
        <w:t xml:space="preserve"> </w:t>
      </w:r>
      <w:r w:rsidR="007A7122" w:rsidRPr="008F34D7">
        <w:rPr>
          <w:rFonts w:ascii="Arial" w:hAnsi="Arial" w:cs="Arial"/>
          <w:i/>
          <w:iCs/>
          <w:sz w:val="22"/>
          <w:szCs w:val="22"/>
        </w:rPr>
        <w:t>et al</w:t>
      </w:r>
      <w:r w:rsidRPr="008F34D7">
        <w:rPr>
          <w:rFonts w:ascii="Arial" w:hAnsi="Arial" w:cs="Arial"/>
          <w:sz w:val="22"/>
          <w:szCs w:val="22"/>
        </w:rPr>
        <w:t xml:space="preserve">., 2024). Wright </w:t>
      </w:r>
      <w:r w:rsidR="007A7122" w:rsidRPr="008F34D7">
        <w:rPr>
          <w:rFonts w:ascii="Arial" w:hAnsi="Arial" w:cs="Arial"/>
          <w:i/>
          <w:iCs/>
          <w:sz w:val="22"/>
          <w:szCs w:val="22"/>
        </w:rPr>
        <w:t>et al</w:t>
      </w:r>
      <w:r w:rsidRPr="008F34D7">
        <w:rPr>
          <w:rFonts w:ascii="Arial" w:hAnsi="Arial" w:cs="Arial"/>
          <w:sz w:val="22"/>
          <w:szCs w:val="22"/>
        </w:rPr>
        <w:t xml:space="preserve">. demonstrate that gradients in hierarchies in the operating room negatively impact speaking up </w:t>
      </w:r>
      <w:proofErr w:type="spellStart"/>
      <w:r w:rsidRPr="008F34D7">
        <w:rPr>
          <w:rFonts w:ascii="Arial" w:hAnsi="Arial" w:cs="Arial"/>
          <w:sz w:val="22"/>
          <w:szCs w:val="22"/>
        </w:rPr>
        <w:t>behaviors</w:t>
      </w:r>
      <w:proofErr w:type="spellEnd"/>
      <w:r w:rsidRPr="008F34D7">
        <w:rPr>
          <w:rFonts w:ascii="Arial" w:hAnsi="Arial" w:cs="Arial"/>
          <w:sz w:val="22"/>
          <w:szCs w:val="22"/>
        </w:rPr>
        <w:t xml:space="preserve">; Vikan </w:t>
      </w:r>
      <w:r w:rsidR="007A7122" w:rsidRPr="008F34D7">
        <w:rPr>
          <w:rFonts w:ascii="Arial" w:hAnsi="Arial" w:cs="Arial"/>
          <w:i/>
          <w:iCs/>
          <w:sz w:val="22"/>
          <w:szCs w:val="22"/>
        </w:rPr>
        <w:t>et al</w:t>
      </w:r>
      <w:r w:rsidRPr="008F34D7">
        <w:rPr>
          <w:rFonts w:ascii="Arial" w:hAnsi="Arial" w:cs="Arial"/>
          <w:sz w:val="22"/>
          <w:szCs w:val="22"/>
        </w:rPr>
        <w:t xml:space="preserve">. (2024) prove that successful surgical teams are based on mutual trust and ability of junior members to question seniors; </w:t>
      </w:r>
      <w:proofErr w:type="spellStart"/>
      <w:r w:rsidRPr="008F34D7">
        <w:rPr>
          <w:rFonts w:ascii="Arial" w:hAnsi="Arial" w:cs="Arial"/>
          <w:sz w:val="22"/>
          <w:szCs w:val="22"/>
        </w:rPr>
        <w:t>Alrasheeday</w:t>
      </w:r>
      <w:proofErr w:type="spellEnd"/>
      <w:r w:rsidRPr="008F34D7">
        <w:rPr>
          <w:rFonts w:ascii="Arial" w:hAnsi="Arial" w:cs="Arial"/>
          <w:sz w:val="22"/>
          <w:szCs w:val="22"/>
        </w:rPr>
        <w:t xml:space="preserve"> </w:t>
      </w:r>
      <w:r w:rsidR="007A7122" w:rsidRPr="008F34D7">
        <w:rPr>
          <w:rFonts w:ascii="Arial" w:hAnsi="Arial" w:cs="Arial"/>
          <w:i/>
          <w:iCs/>
          <w:sz w:val="22"/>
          <w:szCs w:val="22"/>
        </w:rPr>
        <w:t>et al</w:t>
      </w:r>
      <w:r w:rsidRPr="008F34D7">
        <w:rPr>
          <w:rFonts w:ascii="Arial" w:hAnsi="Arial" w:cs="Arial"/>
          <w:sz w:val="22"/>
          <w:szCs w:val="22"/>
        </w:rPr>
        <w:t>. (2024) find a significant association between patient safety culture score and the number of adverse events. Thus, all three papers support the idea of the need to balance structural power and psychological safety at local level.</w:t>
      </w:r>
    </w:p>
    <w:p w14:paraId="74EE6460" w14:textId="4190B995" w:rsidR="00ED2449" w:rsidRPr="008F34D7" w:rsidRDefault="00ED2449" w:rsidP="007A7122">
      <w:pPr>
        <w:spacing w:line="360" w:lineRule="auto"/>
        <w:rPr>
          <w:rFonts w:ascii="Arial" w:hAnsi="Arial" w:cs="Arial"/>
          <w:sz w:val="22"/>
          <w:szCs w:val="22"/>
        </w:rPr>
      </w:pPr>
      <w:r w:rsidRPr="008F34D7">
        <w:rPr>
          <w:rFonts w:ascii="Arial" w:hAnsi="Arial" w:cs="Arial"/>
          <w:sz w:val="22"/>
          <w:szCs w:val="22"/>
        </w:rPr>
        <w:t xml:space="preserve">Numerical indicators that could be used for strengthening this analysis are staff-to-patient ratio in operating rooms, rates of compliance with two-identifier protocol, completion of surgical time-outs and the incidence of never events. The data on these parameters in Indian government hospitals is often not available, but The Joint Commission's data on sentinel events of 2023 and 2024 show that despite good resources, the rate of wrong-surgery events keeps growing (The Joint Commission, 2024; Jacobs, 2024). The very fact of the initiation of the investigation in response to external pressure in the case under discussion shows the gap in the accountability that was created by the present structure of centralization and decentralization (Bowditch </w:t>
      </w:r>
      <w:r w:rsidR="007A7122" w:rsidRPr="008F34D7">
        <w:rPr>
          <w:rFonts w:ascii="Arial" w:hAnsi="Arial" w:cs="Arial"/>
          <w:i/>
          <w:iCs/>
          <w:sz w:val="22"/>
          <w:szCs w:val="22"/>
        </w:rPr>
        <w:t>et al</w:t>
      </w:r>
      <w:r w:rsidRPr="008F34D7">
        <w:rPr>
          <w:rFonts w:ascii="Arial" w:hAnsi="Arial" w:cs="Arial"/>
          <w:sz w:val="22"/>
          <w:szCs w:val="22"/>
        </w:rPr>
        <w:t>., 2026). Bowditch and his co-authors find that many patient safety investigations are still lacking a systems approach and thus do not offer recommendations aimed at addressing the root causes of the situation.</w:t>
      </w:r>
    </w:p>
    <w:p w14:paraId="46434001" w14:textId="788DA790" w:rsidR="00ED2449" w:rsidRPr="008F34D7" w:rsidRDefault="00ED2449" w:rsidP="007A7122">
      <w:pPr>
        <w:spacing w:line="360" w:lineRule="auto"/>
        <w:rPr>
          <w:rFonts w:ascii="Arial" w:hAnsi="Arial" w:cs="Arial"/>
          <w:sz w:val="22"/>
          <w:szCs w:val="22"/>
        </w:rPr>
      </w:pPr>
      <w:r w:rsidRPr="008F34D7">
        <w:rPr>
          <w:rFonts w:ascii="Arial" w:hAnsi="Arial" w:cs="Arial"/>
          <w:sz w:val="22"/>
          <w:szCs w:val="22"/>
        </w:rPr>
        <w:t>To conclude, the governance structure of Kota Medical College Hospital combines the rigidity and distance of centralization with inconsistency and poor local mutual accountability of decentralization. The result is an organization capable of launching a formal investigation in the event of harm but unable to prevent the harm. Sustainable change requires the hybrid governance design with clear and unchangeable central standards, empowered and trained local teams and feedback loops closing the gap between policy and implementation.</w:t>
      </w:r>
    </w:p>
    <w:p w14:paraId="36101E4B" w14:textId="77777777" w:rsidR="007E0D85" w:rsidRDefault="00AE1BD7" w:rsidP="007A7122">
      <w:pPr>
        <w:pStyle w:val="Heading2"/>
        <w:spacing w:line="360" w:lineRule="auto"/>
        <w:jc w:val="both"/>
      </w:pPr>
      <w:bookmarkStart w:id="4" w:name="_Toc235360996"/>
      <w:r>
        <w:t xml:space="preserve">c. </w:t>
      </w:r>
      <w:r w:rsidRPr="00AA604D">
        <w:rPr>
          <w:rFonts w:ascii="Arial" w:hAnsi="Arial" w:cs="Arial"/>
        </w:rPr>
        <w:t>Leadership Theories and Application to the Case Study</w:t>
      </w:r>
      <w:bookmarkEnd w:id="4"/>
    </w:p>
    <w:p w14:paraId="2A26D42A" w14:textId="77777777" w:rsidR="00ED2449" w:rsidRPr="00AA604D" w:rsidRDefault="00ED2449" w:rsidP="007A7122">
      <w:pPr>
        <w:spacing w:line="360" w:lineRule="auto"/>
        <w:rPr>
          <w:rFonts w:ascii="Arial" w:hAnsi="Arial" w:cs="Arial"/>
          <w:sz w:val="22"/>
          <w:szCs w:val="22"/>
        </w:rPr>
      </w:pPr>
      <w:r w:rsidRPr="00AA604D">
        <w:rPr>
          <w:rFonts w:ascii="Arial" w:hAnsi="Arial" w:cs="Arial"/>
          <w:sz w:val="22"/>
          <w:szCs w:val="22"/>
        </w:rPr>
        <w:t>Many different leadership theories shed light on both the situation that led to the wrong-patient surgery at Kota Medical College Hospital on 12 April 2025 and the organizational response. Theories that have provided a foundation for further research will be considered first, then theories of a more recent date that allow us to gain additional insight into the matter.</w:t>
      </w:r>
    </w:p>
    <w:p w14:paraId="2EA625CD" w14:textId="0AA10CFA" w:rsidR="00ED2449" w:rsidRPr="00AA604D" w:rsidRDefault="00ED2449" w:rsidP="007A7122">
      <w:pPr>
        <w:spacing w:line="360" w:lineRule="auto"/>
        <w:rPr>
          <w:rFonts w:ascii="Arial" w:hAnsi="Arial" w:cs="Arial"/>
          <w:sz w:val="22"/>
          <w:szCs w:val="22"/>
        </w:rPr>
      </w:pPr>
      <w:r w:rsidRPr="00AA604D">
        <w:rPr>
          <w:rFonts w:ascii="Arial" w:hAnsi="Arial" w:cs="Arial"/>
          <w:sz w:val="22"/>
          <w:szCs w:val="22"/>
        </w:rPr>
        <w:t xml:space="preserve">The Great Man Theory originated in the nineteenth century and states that great leaders are born, not made, and that history is shaped by the actions of such outstanding individuals. The Great Man Theory offers no explanatory potential for the case study presented above since the incident at Kota was not caused by one outstanding individual or one deficient individual but by a combination of technical, procedural, and cultural factors (Atalla, El-Ashry and Sharif, 2025; Bowditch </w:t>
      </w:r>
      <w:r w:rsidR="007A7122" w:rsidRPr="00AA604D">
        <w:rPr>
          <w:rFonts w:ascii="Arial" w:hAnsi="Arial" w:cs="Arial"/>
          <w:i/>
          <w:iCs/>
          <w:sz w:val="22"/>
          <w:szCs w:val="22"/>
        </w:rPr>
        <w:t>et al</w:t>
      </w:r>
      <w:r w:rsidRPr="00AA604D">
        <w:rPr>
          <w:rFonts w:ascii="Arial" w:hAnsi="Arial" w:cs="Arial"/>
          <w:sz w:val="22"/>
          <w:szCs w:val="22"/>
        </w:rPr>
        <w:t xml:space="preserve">., 2026). Trait theory followed the Great Man theory and attempted to find the qualities that distinguish great leaders. Many researchers agree that integrity, decisiveness and emotional stability, among others, </w:t>
      </w:r>
      <w:r w:rsidRPr="00AA604D">
        <w:rPr>
          <w:rFonts w:ascii="Arial" w:hAnsi="Arial" w:cs="Arial"/>
          <w:sz w:val="22"/>
          <w:szCs w:val="22"/>
        </w:rPr>
        <w:lastRenderedPageBreak/>
        <w:t>are some of those qualities, however, no common list of characteristics exists, this theory does not consider the followers and the circumstances and does not guide the development of future leaders (Wright, Kernen and Kouevi, 2024). Thus, in the highly pressured environment of the governmental hospital it would be difficult to explain the incident in terms of the personal characteristics of individual surgeons and managers.</w:t>
      </w:r>
    </w:p>
    <w:p w14:paraId="3704FB72" w14:textId="120B0FF7" w:rsidR="00ED2449" w:rsidRPr="00AA604D" w:rsidRDefault="00ED2449" w:rsidP="007A7122">
      <w:pPr>
        <w:spacing w:line="360" w:lineRule="auto"/>
        <w:rPr>
          <w:rFonts w:ascii="Arial" w:hAnsi="Arial" w:cs="Arial"/>
          <w:sz w:val="22"/>
          <w:szCs w:val="22"/>
        </w:rPr>
      </w:pPr>
      <w:proofErr w:type="spellStart"/>
      <w:r w:rsidRPr="00AA604D">
        <w:rPr>
          <w:rFonts w:ascii="Arial" w:hAnsi="Arial" w:cs="Arial"/>
          <w:sz w:val="22"/>
          <w:szCs w:val="22"/>
        </w:rPr>
        <w:t>Behavioral</w:t>
      </w:r>
      <w:proofErr w:type="spellEnd"/>
      <w:r w:rsidRPr="00AA604D">
        <w:rPr>
          <w:rFonts w:ascii="Arial" w:hAnsi="Arial" w:cs="Arial"/>
          <w:sz w:val="22"/>
          <w:szCs w:val="22"/>
        </w:rPr>
        <w:t xml:space="preserve"> theory represents a significant step forward since it directs the focus away from who the leaders are and towards what kind of </w:t>
      </w:r>
      <w:proofErr w:type="spellStart"/>
      <w:r w:rsidRPr="00AA604D">
        <w:rPr>
          <w:rFonts w:ascii="Arial" w:hAnsi="Arial" w:cs="Arial"/>
          <w:sz w:val="22"/>
          <w:szCs w:val="22"/>
        </w:rPr>
        <w:t>behavior</w:t>
      </w:r>
      <w:proofErr w:type="spellEnd"/>
      <w:r w:rsidRPr="00AA604D">
        <w:rPr>
          <w:rFonts w:ascii="Arial" w:hAnsi="Arial" w:cs="Arial"/>
          <w:sz w:val="22"/>
          <w:szCs w:val="22"/>
        </w:rPr>
        <w:t xml:space="preserve"> they exhibit. The classic Ohio State University and University of Michigan studies of the 1940s and 1950s identified two key components of leadership </w:t>
      </w:r>
      <w:proofErr w:type="spellStart"/>
      <w:r w:rsidRPr="00AA604D">
        <w:rPr>
          <w:rFonts w:ascii="Arial" w:hAnsi="Arial" w:cs="Arial"/>
          <w:sz w:val="22"/>
          <w:szCs w:val="22"/>
        </w:rPr>
        <w:t>behavior</w:t>
      </w:r>
      <w:proofErr w:type="spellEnd"/>
      <w:r w:rsidRPr="00AA604D">
        <w:rPr>
          <w:rFonts w:ascii="Arial" w:hAnsi="Arial" w:cs="Arial"/>
          <w:sz w:val="22"/>
          <w:szCs w:val="22"/>
        </w:rPr>
        <w:t xml:space="preserve">: task-oriented </w:t>
      </w:r>
      <w:proofErr w:type="spellStart"/>
      <w:r w:rsidRPr="00AA604D">
        <w:rPr>
          <w:rFonts w:ascii="Arial" w:hAnsi="Arial" w:cs="Arial"/>
          <w:sz w:val="22"/>
          <w:szCs w:val="22"/>
        </w:rPr>
        <w:t>behavior</w:t>
      </w:r>
      <w:proofErr w:type="spellEnd"/>
      <w:r w:rsidRPr="00AA604D">
        <w:rPr>
          <w:rFonts w:ascii="Arial" w:hAnsi="Arial" w:cs="Arial"/>
          <w:sz w:val="22"/>
          <w:szCs w:val="22"/>
        </w:rPr>
        <w:t xml:space="preserve"> (also called </w:t>
      </w:r>
      <w:r w:rsidR="009337D9" w:rsidRPr="00AA604D">
        <w:rPr>
          <w:rFonts w:ascii="Arial" w:hAnsi="Arial" w:cs="Arial"/>
          <w:sz w:val="22"/>
          <w:szCs w:val="22"/>
        </w:rPr>
        <w:t>“</w:t>
      </w:r>
      <w:r w:rsidRPr="00AA604D">
        <w:rPr>
          <w:rFonts w:ascii="Arial" w:hAnsi="Arial" w:cs="Arial"/>
          <w:sz w:val="22"/>
          <w:szCs w:val="22"/>
        </w:rPr>
        <w:t>initiating structure</w:t>
      </w:r>
      <w:r w:rsidR="009337D9" w:rsidRPr="00AA604D">
        <w:rPr>
          <w:rFonts w:ascii="Arial" w:hAnsi="Arial" w:cs="Arial"/>
          <w:sz w:val="22"/>
          <w:szCs w:val="22"/>
        </w:rPr>
        <w:t>”</w:t>
      </w:r>
      <w:r w:rsidRPr="00AA604D">
        <w:rPr>
          <w:rFonts w:ascii="Arial" w:hAnsi="Arial" w:cs="Arial"/>
          <w:sz w:val="22"/>
          <w:szCs w:val="22"/>
        </w:rPr>
        <w:t xml:space="preserve"> or </w:t>
      </w:r>
      <w:r w:rsidR="009337D9" w:rsidRPr="00AA604D">
        <w:rPr>
          <w:rFonts w:ascii="Arial" w:hAnsi="Arial" w:cs="Arial"/>
          <w:sz w:val="22"/>
          <w:szCs w:val="22"/>
        </w:rPr>
        <w:t>“</w:t>
      </w:r>
      <w:r w:rsidRPr="00AA604D">
        <w:rPr>
          <w:rFonts w:ascii="Arial" w:hAnsi="Arial" w:cs="Arial"/>
          <w:sz w:val="22"/>
          <w:szCs w:val="22"/>
        </w:rPr>
        <w:t>job-</w:t>
      </w:r>
      <w:proofErr w:type="spellStart"/>
      <w:r w:rsidRPr="00AA604D">
        <w:rPr>
          <w:rFonts w:ascii="Arial" w:hAnsi="Arial" w:cs="Arial"/>
          <w:sz w:val="22"/>
          <w:szCs w:val="22"/>
        </w:rPr>
        <w:t>centered</w:t>
      </w:r>
      <w:proofErr w:type="spellEnd"/>
      <w:r w:rsidR="009337D9" w:rsidRPr="00AA604D">
        <w:rPr>
          <w:rFonts w:ascii="Arial" w:hAnsi="Arial" w:cs="Arial"/>
          <w:sz w:val="22"/>
          <w:szCs w:val="22"/>
        </w:rPr>
        <w:t>”</w:t>
      </w:r>
      <w:r w:rsidRPr="00AA604D">
        <w:rPr>
          <w:rFonts w:ascii="Arial" w:hAnsi="Arial" w:cs="Arial"/>
          <w:sz w:val="22"/>
          <w:szCs w:val="22"/>
        </w:rPr>
        <w:t xml:space="preserve">) and people-oriented </w:t>
      </w:r>
      <w:proofErr w:type="spellStart"/>
      <w:r w:rsidRPr="00AA604D">
        <w:rPr>
          <w:rFonts w:ascii="Arial" w:hAnsi="Arial" w:cs="Arial"/>
          <w:sz w:val="22"/>
          <w:szCs w:val="22"/>
        </w:rPr>
        <w:t>behavior</w:t>
      </w:r>
      <w:proofErr w:type="spellEnd"/>
      <w:r w:rsidRPr="00AA604D">
        <w:rPr>
          <w:rFonts w:ascii="Arial" w:hAnsi="Arial" w:cs="Arial"/>
          <w:sz w:val="22"/>
          <w:szCs w:val="22"/>
        </w:rPr>
        <w:t xml:space="preserve"> (</w:t>
      </w:r>
      <w:r w:rsidR="009337D9" w:rsidRPr="00AA604D">
        <w:rPr>
          <w:rFonts w:ascii="Arial" w:hAnsi="Arial" w:cs="Arial"/>
          <w:sz w:val="22"/>
          <w:szCs w:val="22"/>
        </w:rPr>
        <w:t>“</w:t>
      </w:r>
      <w:r w:rsidRPr="00AA604D">
        <w:rPr>
          <w:rFonts w:ascii="Arial" w:hAnsi="Arial" w:cs="Arial"/>
          <w:sz w:val="22"/>
          <w:szCs w:val="22"/>
        </w:rPr>
        <w:t>consideration</w:t>
      </w:r>
      <w:r w:rsidR="009337D9" w:rsidRPr="00AA604D">
        <w:rPr>
          <w:rFonts w:ascii="Arial" w:hAnsi="Arial" w:cs="Arial"/>
          <w:sz w:val="22"/>
          <w:szCs w:val="22"/>
        </w:rPr>
        <w:t>”</w:t>
      </w:r>
      <w:r w:rsidRPr="00AA604D">
        <w:rPr>
          <w:rFonts w:ascii="Arial" w:hAnsi="Arial" w:cs="Arial"/>
          <w:sz w:val="22"/>
          <w:szCs w:val="22"/>
        </w:rPr>
        <w:t xml:space="preserve"> or </w:t>
      </w:r>
      <w:r w:rsidR="009337D9" w:rsidRPr="00AA604D">
        <w:rPr>
          <w:rFonts w:ascii="Arial" w:hAnsi="Arial" w:cs="Arial"/>
          <w:sz w:val="22"/>
          <w:szCs w:val="22"/>
        </w:rPr>
        <w:t>“</w:t>
      </w:r>
      <w:r w:rsidRPr="00AA604D">
        <w:rPr>
          <w:rFonts w:ascii="Arial" w:hAnsi="Arial" w:cs="Arial"/>
          <w:sz w:val="22"/>
          <w:szCs w:val="22"/>
        </w:rPr>
        <w:t>employee-</w:t>
      </w:r>
      <w:proofErr w:type="spellStart"/>
      <w:r w:rsidRPr="00AA604D">
        <w:rPr>
          <w:rFonts w:ascii="Arial" w:hAnsi="Arial" w:cs="Arial"/>
          <w:sz w:val="22"/>
          <w:szCs w:val="22"/>
        </w:rPr>
        <w:t>centered</w:t>
      </w:r>
      <w:proofErr w:type="spellEnd"/>
      <w:r w:rsidR="009337D9" w:rsidRPr="00AA604D">
        <w:rPr>
          <w:rFonts w:ascii="Arial" w:hAnsi="Arial" w:cs="Arial"/>
          <w:sz w:val="22"/>
          <w:szCs w:val="22"/>
        </w:rPr>
        <w:t>”</w:t>
      </w:r>
      <w:r w:rsidRPr="00AA604D">
        <w:rPr>
          <w:rFonts w:ascii="Arial" w:hAnsi="Arial" w:cs="Arial"/>
          <w:sz w:val="22"/>
          <w:szCs w:val="22"/>
        </w:rPr>
        <w:t xml:space="preserve">). An ideal leader demonstrates high level of both components. In the operating </w:t>
      </w:r>
      <w:proofErr w:type="spellStart"/>
      <w:r w:rsidRPr="00AA604D">
        <w:rPr>
          <w:rFonts w:ascii="Arial" w:hAnsi="Arial" w:cs="Arial"/>
          <w:sz w:val="22"/>
          <w:szCs w:val="22"/>
        </w:rPr>
        <w:t>theaters</w:t>
      </w:r>
      <w:proofErr w:type="spellEnd"/>
      <w:r w:rsidRPr="00AA604D">
        <w:rPr>
          <w:rFonts w:ascii="Arial" w:hAnsi="Arial" w:cs="Arial"/>
          <w:sz w:val="22"/>
          <w:szCs w:val="22"/>
        </w:rPr>
        <w:t xml:space="preserve"> of Kota, it seems that high task pressure (caused by high workload, time pressure and need to </w:t>
      </w:r>
      <w:proofErr w:type="spellStart"/>
      <w:r w:rsidRPr="00AA604D">
        <w:rPr>
          <w:rFonts w:ascii="Arial" w:hAnsi="Arial" w:cs="Arial"/>
          <w:sz w:val="22"/>
          <w:szCs w:val="22"/>
        </w:rPr>
        <w:t>fulfill</w:t>
      </w:r>
      <w:proofErr w:type="spellEnd"/>
      <w:r w:rsidRPr="00AA604D">
        <w:rPr>
          <w:rFonts w:ascii="Arial" w:hAnsi="Arial" w:cs="Arial"/>
          <w:sz w:val="22"/>
          <w:szCs w:val="22"/>
        </w:rPr>
        <w:t xml:space="preserve"> the surgical schedule) prevailed in combination with low level of consideration for the vulnerability of an elderly person with speech impairment (Vikan </w:t>
      </w:r>
      <w:r w:rsidR="007A7122" w:rsidRPr="00AA604D">
        <w:rPr>
          <w:rFonts w:ascii="Arial" w:hAnsi="Arial" w:cs="Arial"/>
          <w:i/>
          <w:iCs/>
          <w:sz w:val="22"/>
          <w:szCs w:val="22"/>
        </w:rPr>
        <w:t>et al</w:t>
      </w:r>
      <w:r w:rsidRPr="00AA604D">
        <w:rPr>
          <w:rFonts w:ascii="Arial" w:hAnsi="Arial" w:cs="Arial"/>
          <w:sz w:val="22"/>
          <w:szCs w:val="22"/>
        </w:rPr>
        <w:t xml:space="preserve">., 2024; </w:t>
      </w:r>
      <w:proofErr w:type="spellStart"/>
      <w:r w:rsidRPr="00AA604D">
        <w:rPr>
          <w:rFonts w:ascii="Arial" w:hAnsi="Arial" w:cs="Arial"/>
          <w:sz w:val="22"/>
          <w:szCs w:val="22"/>
        </w:rPr>
        <w:t>Alrasheeday</w:t>
      </w:r>
      <w:proofErr w:type="spellEnd"/>
      <w:r w:rsidRPr="00AA604D">
        <w:rPr>
          <w:rFonts w:ascii="Arial" w:hAnsi="Arial" w:cs="Arial"/>
          <w:sz w:val="22"/>
          <w:szCs w:val="22"/>
        </w:rPr>
        <w:t xml:space="preserve"> </w:t>
      </w:r>
      <w:r w:rsidR="007A7122" w:rsidRPr="00AA604D">
        <w:rPr>
          <w:rFonts w:ascii="Arial" w:hAnsi="Arial" w:cs="Arial"/>
          <w:i/>
          <w:iCs/>
          <w:sz w:val="22"/>
          <w:szCs w:val="22"/>
        </w:rPr>
        <w:t>et al</w:t>
      </w:r>
      <w:r w:rsidRPr="00AA604D">
        <w:rPr>
          <w:rFonts w:ascii="Arial" w:hAnsi="Arial" w:cs="Arial"/>
          <w:sz w:val="22"/>
          <w:szCs w:val="22"/>
        </w:rPr>
        <w:t xml:space="preserve">., 2024; Alshammari </w:t>
      </w:r>
      <w:r w:rsidR="007A7122" w:rsidRPr="00AA604D">
        <w:rPr>
          <w:rFonts w:ascii="Arial" w:hAnsi="Arial" w:cs="Arial"/>
          <w:i/>
          <w:iCs/>
          <w:sz w:val="22"/>
          <w:szCs w:val="22"/>
        </w:rPr>
        <w:t>et al</w:t>
      </w:r>
      <w:r w:rsidRPr="00AA604D">
        <w:rPr>
          <w:rFonts w:ascii="Arial" w:hAnsi="Arial" w:cs="Arial"/>
          <w:sz w:val="22"/>
          <w:szCs w:val="22"/>
        </w:rPr>
        <w:t xml:space="preserve">., 2026). The authors of the study about safe surgical teams found that hierarchical culture and reluctance to speak out about problems were the biggest barriers for safety; according to </w:t>
      </w:r>
      <w:proofErr w:type="spellStart"/>
      <w:r w:rsidRPr="00AA604D">
        <w:rPr>
          <w:rFonts w:ascii="Arial" w:hAnsi="Arial" w:cs="Arial"/>
          <w:sz w:val="22"/>
          <w:szCs w:val="22"/>
        </w:rPr>
        <w:t>Alrasheeday</w:t>
      </w:r>
      <w:proofErr w:type="spellEnd"/>
      <w:r w:rsidRPr="00AA604D">
        <w:rPr>
          <w:rFonts w:ascii="Arial" w:hAnsi="Arial" w:cs="Arial"/>
          <w:sz w:val="22"/>
          <w:szCs w:val="22"/>
        </w:rPr>
        <w:t xml:space="preserve"> </w:t>
      </w:r>
      <w:r w:rsidR="007A7122" w:rsidRPr="00AA604D">
        <w:rPr>
          <w:rFonts w:ascii="Arial" w:hAnsi="Arial" w:cs="Arial"/>
          <w:i/>
          <w:iCs/>
          <w:sz w:val="22"/>
          <w:szCs w:val="22"/>
        </w:rPr>
        <w:t>et al</w:t>
      </w:r>
      <w:r w:rsidRPr="00AA604D">
        <w:rPr>
          <w:rFonts w:ascii="Arial" w:hAnsi="Arial" w:cs="Arial"/>
          <w:sz w:val="22"/>
          <w:szCs w:val="22"/>
        </w:rPr>
        <w:t xml:space="preserve">. (2024), the worse was the score for patient-safety culture, the more incidents had occurred. The Kota incident fits in well with these conclusions: the task of </w:t>
      </w:r>
      <w:r w:rsidR="009337D9" w:rsidRPr="00AA604D">
        <w:rPr>
          <w:rFonts w:ascii="Arial" w:hAnsi="Arial" w:cs="Arial"/>
          <w:sz w:val="22"/>
          <w:szCs w:val="22"/>
        </w:rPr>
        <w:t>“</w:t>
      </w:r>
      <w:r w:rsidRPr="00AA604D">
        <w:rPr>
          <w:rFonts w:ascii="Arial" w:hAnsi="Arial" w:cs="Arial"/>
          <w:sz w:val="22"/>
          <w:szCs w:val="22"/>
        </w:rPr>
        <w:t xml:space="preserve">getting the next patient in </w:t>
      </w:r>
      <w:proofErr w:type="spellStart"/>
      <w:r w:rsidRPr="00AA604D">
        <w:rPr>
          <w:rFonts w:ascii="Arial" w:hAnsi="Arial" w:cs="Arial"/>
          <w:sz w:val="22"/>
          <w:szCs w:val="22"/>
        </w:rPr>
        <w:t>theater</w:t>
      </w:r>
      <w:proofErr w:type="spellEnd"/>
      <w:r w:rsidR="009337D9" w:rsidRPr="00AA604D">
        <w:rPr>
          <w:rFonts w:ascii="Arial" w:hAnsi="Arial" w:cs="Arial"/>
          <w:sz w:val="22"/>
          <w:szCs w:val="22"/>
        </w:rPr>
        <w:t>”</w:t>
      </w:r>
      <w:r w:rsidRPr="00AA604D">
        <w:rPr>
          <w:rFonts w:ascii="Arial" w:hAnsi="Arial" w:cs="Arial"/>
          <w:sz w:val="22"/>
          <w:szCs w:val="22"/>
        </w:rPr>
        <w:t xml:space="preserve"> seems to take precedence over proper identification and consideration of the individual's incapacity to give consent or communicate.</w:t>
      </w:r>
    </w:p>
    <w:p w14:paraId="552F1350" w14:textId="5E58A2C4" w:rsidR="00ED2449" w:rsidRPr="00AA604D" w:rsidRDefault="00ED2449" w:rsidP="007A7122">
      <w:pPr>
        <w:spacing w:line="360" w:lineRule="auto"/>
        <w:rPr>
          <w:rFonts w:ascii="Arial" w:hAnsi="Arial" w:cs="Arial"/>
          <w:sz w:val="22"/>
          <w:szCs w:val="22"/>
        </w:rPr>
      </w:pPr>
      <w:r w:rsidRPr="00AA604D">
        <w:rPr>
          <w:rFonts w:ascii="Arial" w:hAnsi="Arial" w:cs="Arial"/>
          <w:sz w:val="22"/>
          <w:szCs w:val="22"/>
        </w:rPr>
        <w:t>Transformational leadership theory provides a more powerful tool for investigation. Transformational leaders inspire shared vision, stimulate intellectually, pay individualized consideration and serve as idealized influences. In the high-reliability organization like a medical institution such leaders would create a culture in which all staff members feel psychologically safe to stop the line when patient's identification is doubtful (</w:t>
      </w:r>
      <w:proofErr w:type="spellStart"/>
      <w:r w:rsidRPr="00AA604D">
        <w:rPr>
          <w:rFonts w:ascii="Arial" w:hAnsi="Arial" w:cs="Arial"/>
          <w:sz w:val="22"/>
          <w:szCs w:val="22"/>
        </w:rPr>
        <w:t>Bahadurzada</w:t>
      </w:r>
      <w:proofErr w:type="spellEnd"/>
      <w:r w:rsidRPr="00AA604D">
        <w:rPr>
          <w:rFonts w:ascii="Arial" w:hAnsi="Arial" w:cs="Arial"/>
          <w:sz w:val="22"/>
          <w:szCs w:val="22"/>
        </w:rPr>
        <w:t xml:space="preserve">, Edmondson and </w:t>
      </w:r>
      <w:proofErr w:type="spellStart"/>
      <w:r w:rsidRPr="00AA604D">
        <w:rPr>
          <w:rFonts w:ascii="Arial" w:hAnsi="Arial" w:cs="Arial"/>
          <w:sz w:val="22"/>
          <w:szCs w:val="22"/>
        </w:rPr>
        <w:t>Kerrissey</w:t>
      </w:r>
      <w:proofErr w:type="spellEnd"/>
      <w:r w:rsidRPr="00AA604D">
        <w:rPr>
          <w:rFonts w:ascii="Arial" w:hAnsi="Arial" w:cs="Arial"/>
          <w:sz w:val="22"/>
          <w:szCs w:val="22"/>
        </w:rPr>
        <w:t xml:space="preserve">, 2024; Patole, 2026). As demonstrated by </w:t>
      </w:r>
      <w:proofErr w:type="spellStart"/>
      <w:r w:rsidRPr="00AA604D">
        <w:rPr>
          <w:rFonts w:ascii="Arial" w:hAnsi="Arial" w:cs="Arial"/>
          <w:sz w:val="22"/>
          <w:szCs w:val="22"/>
        </w:rPr>
        <w:t>Bahadurzada</w:t>
      </w:r>
      <w:proofErr w:type="spellEnd"/>
      <w:r w:rsidRPr="00AA604D">
        <w:rPr>
          <w:rFonts w:ascii="Arial" w:hAnsi="Arial" w:cs="Arial"/>
          <w:sz w:val="22"/>
          <w:szCs w:val="22"/>
        </w:rPr>
        <w:t xml:space="preserve"> </w:t>
      </w:r>
      <w:r w:rsidR="007A7122" w:rsidRPr="00AA604D">
        <w:rPr>
          <w:rFonts w:ascii="Arial" w:hAnsi="Arial" w:cs="Arial"/>
          <w:i/>
          <w:iCs/>
          <w:sz w:val="22"/>
          <w:szCs w:val="22"/>
        </w:rPr>
        <w:t>et al</w:t>
      </w:r>
      <w:r w:rsidRPr="00AA604D">
        <w:rPr>
          <w:rFonts w:ascii="Arial" w:hAnsi="Arial" w:cs="Arial"/>
          <w:sz w:val="22"/>
          <w:szCs w:val="22"/>
        </w:rPr>
        <w:t xml:space="preserve">., psychological safety acts as a persistent resource that helps teams even with limited resources; Patole (2026) emphasizes the importance of freedom to speak up for the sake of patient's safety. There is little evidence of transformational leadership in the case of Kota, at least at the level of frontline and middle management. Verbal name calling, lack of time-out procedures, and lack of questioning of the presence of </w:t>
      </w:r>
      <w:proofErr w:type="gramStart"/>
      <w:r w:rsidRPr="00AA604D">
        <w:rPr>
          <w:rFonts w:ascii="Arial" w:hAnsi="Arial" w:cs="Arial"/>
          <w:sz w:val="22"/>
          <w:szCs w:val="22"/>
        </w:rPr>
        <w:t>an elderly</w:t>
      </w:r>
      <w:proofErr w:type="gramEnd"/>
      <w:r w:rsidRPr="00AA604D">
        <w:rPr>
          <w:rFonts w:ascii="Arial" w:hAnsi="Arial" w:cs="Arial"/>
          <w:sz w:val="22"/>
          <w:szCs w:val="22"/>
        </w:rPr>
        <w:t xml:space="preserve">, incapable man </w:t>
      </w:r>
      <w:proofErr w:type="gramStart"/>
      <w:r w:rsidRPr="00AA604D">
        <w:rPr>
          <w:rFonts w:ascii="Arial" w:hAnsi="Arial" w:cs="Arial"/>
          <w:sz w:val="22"/>
          <w:szCs w:val="22"/>
        </w:rPr>
        <w:t>are</w:t>
      </w:r>
      <w:proofErr w:type="gramEnd"/>
      <w:r w:rsidRPr="00AA604D">
        <w:rPr>
          <w:rFonts w:ascii="Arial" w:hAnsi="Arial" w:cs="Arial"/>
          <w:sz w:val="22"/>
          <w:szCs w:val="22"/>
        </w:rPr>
        <w:t xml:space="preserve"> evidence of predominantly transactional or hierarchical atmosphere.</w:t>
      </w:r>
    </w:p>
    <w:p w14:paraId="0A04C82C" w14:textId="238A2AF1" w:rsidR="00ED2449" w:rsidRPr="00AA604D" w:rsidRDefault="00ED2449" w:rsidP="007A7122">
      <w:pPr>
        <w:spacing w:line="360" w:lineRule="auto"/>
        <w:rPr>
          <w:rFonts w:ascii="Arial" w:hAnsi="Arial" w:cs="Arial"/>
          <w:sz w:val="22"/>
          <w:szCs w:val="22"/>
        </w:rPr>
      </w:pPr>
      <w:r w:rsidRPr="00AA604D">
        <w:rPr>
          <w:rFonts w:ascii="Arial" w:hAnsi="Arial" w:cs="Arial"/>
          <w:sz w:val="22"/>
          <w:szCs w:val="22"/>
        </w:rPr>
        <w:t>Models of situational and distributed leadership theories also help understand the gap between theory and practice. According to situational leadership, leaders must adjust their leadership style to the readiness of the followers and to the complexity of the tasks. Preparing a patient for surgery under time pressure is a highly complex and risky task which calls for more directive leadership style with clear, non-negotiable procedures, followed by supportive coaching after completion of key steps. Distributed and shared leadership, however, stress the fact that everyone bears responsibility for safety and expertise should be recognized independently from hierarchical position (</w:t>
      </w:r>
      <w:proofErr w:type="spellStart"/>
      <w:r w:rsidRPr="00AA604D">
        <w:rPr>
          <w:rFonts w:ascii="Arial" w:hAnsi="Arial" w:cs="Arial"/>
          <w:sz w:val="22"/>
          <w:szCs w:val="22"/>
        </w:rPr>
        <w:t>Curșeu</w:t>
      </w:r>
      <w:proofErr w:type="spellEnd"/>
      <w:r w:rsidRPr="00AA604D">
        <w:rPr>
          <w:rFonts w:ascii="Arial" w:hAnsi="Arial" w:cs="Arial"/>
          <w:sz w:val="22"/>
          <w:szCs w:val="22"/>
        </w:rPr>
        <w:t xml:space="preserve">, van </w:t>
      </w:r>
      <w:r w:rsidRPr="00AA604D">
        <w:rPr>
          <w:rFonts w:ascii="Arial" w:hAnsi="Arial" w:cs="Arial"/>
          <w:sz w:val="22"/>
          <w:szCs w:val="22"/>
        </w:rPr>
        <w:lastRenderedPageBreak/>
        <w:t xml:space="preserve">Rijswijk and </w:t>
      </w:r>
      <w:proofErr w:type="spellStart"/>
      <w:r w:rsidRPr="00AA604D">
        <w:rPr>
          <w:rFonts w:ascii="Arial" w:hAnsi="Arial" w:cs="Arial"/>
          <w:sz w:val="22"/>
          <w:szCs w:val="22"/>
        </w:rPr>
        <w:t>Schruijer</w:t>
      </w:r>
      <w:proofErr w:type="spellEnd"/>
      <w:r w:rsidRPr="00AA604D">
        <w:rPr>
          <w:rFonts w:ascii="Arial" w:hAnsi="Arial" w:cs="Arial"/>
          <w:sz w:val="22"/>
          <w:szCs w:val="22"/>
        </w:rPr>
        <w:t xml:space="preserve">, 2025; Wright, Kernen and Kouevi, 2024). As shown by </w:t>
      </w:r>
      <w:proofErr w:type="spellStart"/>
      <w:r w:rsidRPr="00AA604D">
        <w:rPr>
          <w:rFonts w:ascii="Arial" w:hAnsi="Arial" w:cs="Arial"/>
          <w:sz w:val="22"/>
          <w:szCs w:val="22"/>
        </w:rPr>
        <w:t>Curșeu</w:t>
      </w:r>
      <w:proofErr w:type="spellEnd"/>
      <w:r w:rsidRPr="00AA604D">
        <w:rPr>
          <w:rFonts w:ascii="Arial" w:hAnsi="Arial" w:cs="Arial"/>
          <w:sz w:val="22"/>
          <w:szCs w:val="22"/>
        </w:rPr>
        <w:t xml:space="preserve"> </w:t>
      </w:r>
      <w:r w:rsidR="007A7122" w:rsidRPr="00AA604D">
        <w:rPr>
          <w:rFonts w:ascii="Arial" w:hAnsi="Arial" w:cs="Arial"/>
          <w:i/>
          <w:iCs/>
          <w:sz w:val="22"/>
          <w:szCs w:val="22"/>
        </w:rPr>
        <w:t>et al</w:t>
      </w:r>
      <w:r w:rsidRPr="00AA604D">
        <w:rPr>
          <w:rFonts w:ascii="Arial" w:hAnsi="Arial" w:cs="Arial"/>
          <w:sz w:val="22"/>
          <w:szCs w:val="22"/>
        </w:rPr>
        <w:t>., collaborative leadership increases team adaptability and psychological safety, however, they point out the lower efficiency of shared leadership during the crucial stage of surgery if not enough coordination mechanism exist. In the Kota theatres hierarchical norms seem to prevent junior staff and nurses from questioning the procedure. Emotionally intelligent leadership would emphasize the awareness of the specific vulnerability of a paralyzed, speech impaired individual and would help create the environment of empathic identification (</w:t>
      </w:r>
      <w:proofErr w:type="spellStart"/>
      <w:r w:rsidRPr="00AA604D">
        <w:rPr>
          <w:rFonts w:ascii="Arial" w:hAnsi="Arial" w:cs="Arial"/>
          <w:sz w:val="22"/>
          <w:szCs w:val="22"/>
        </w:rPr>
        <w:t>Bahadurzada</w:t>
      </w:r>
      <w:proofErr w:type="spellEnd"/>
      <w:r w:rsidRPr="00AA604D">
        <w:rPr>
          <w:rFonts w:ascii="Arial" w:hAnsi="Arial" w:cs="Arial"/>
          <w:sz w:val="22"/>
          <w:szCs w:val="22"/>
        </w:rPr>
        <w:t xml:space="preserve">, Edmondson and </w:t>
      </w:r>
      <w:proofErr w:type="spellStart"/>
      <w:r w:rsidRPr="00AA604D">
        <w:rPr>
          <w:rFonts w:ascii="Arial" w:hAnsi="Arial" w:cs="Arial"/>
          <w:sz w:val="22"/>
          <w:szCs w:val="22"/>
        </w:rPr>
        <w:t>Kerrissey</w:t>
      </w:r>
      <w:proofErr w:type="spellEnd"/>
      <w:r w:rsidRPr="00AA604D">
        <w:rPr>
          <w:rFonts w:ascii="Arial" w:hAnsi="Arial" w:cs="Arial"/>
          <w:sz w:val="22"/>
          <w:szCs w:val="22"/>
        </w:rPr>
        <w:t>, 2024; Patole, 2026; Wright, Kernen and Kouevi, 2024).</w:t>
      </w:r>
    </w:p>
    <w:p w14:paraId="63CE2277" w14:textId="19E134D8" w:rsidR="00ED2449" w:rsidRPr="00AA604D" w:rsidRDefault="00ED2449" w:rsidP="007A7122">
      <w:pPr>
        <w:spacing w:line="360" w:lineRule="auto"/>
        <w:rPr>
          <w:rFonts w:ascii="Arial" w:hAnsi="Arial" w:cs="Arial"/>
          <w:sz w:val="22"/>
          <w:szCs w:val="22"/>
        </w:rPr>
      </w:pPr>
      <w:r w:rsidRPr="00AA604D">
        <w:rPr>
          <w:rFonts w:ascii="Arial" w:hAnsi="Arial" w:cs="Arial"/>
          <w:sz w:val="22"/>
          <w:szCs w:val="22"/>
        </w:rPr>
        <w:t xml:space="preserve">Some critical questions arise based on the data provided above. Was the leadership style appropriate to the situation? The data indicates mostly hierarchical and reactive leadership style. Only after the complaints from the outside the leaders initiated a formal inquiry, instead of incorporating continuous and proactive safety monitoring. What could have been done differently? The use of distributed and emotionally intelligent leadership (regular multidisciplinary huddles, leader's visible walk-rounds focused on patient identification, public acknowledgment of the staff members who speak out and systematic celebration of near-miss reporting) would have helped build better </w:t>
      </w:r>
      <w:proofErr w:type="spellStart"/>
      <w:r w:rsidRPr="00AA604D">
        <w:rPr>
          <w:rFonts w:ascii="Arial" w:hAnsi="Arial" w:cs="Arial"/>
          <w:sz w:val="22"/>
          <w:szCs w:val="22"/>
        </w:rPr>
        <w:t>defenses</w:t>
      </w:r>
      <w:proofErr w:type="spellEnd"/>
      <w:r w:rsidRPr="00AA604D">
        <w:rPr>
          <w:rFonts w:ascii="Arial" w:hAnsi="Arial" w:cs="Arial"/>
          <w:sz w:val="22"/>
          <w:szCs w:val="22"/>
        </w:rPr>
        <w:t xml:space="preserve"> before the incident occurred (Wright, Kernen and Kouevi, 2024; Vikan </w:t>
      </w:r>
      <w:r w:rsidR="007A7122" w:rsidRPr="00AA604D">
        <w:rPr>
          <w:rFonts w:ascii="Arial" w:hAnsi="Arial" w:cs="Arial"/>
          <w:i/>
          <w:iCs/>
          <w:sz w:val="22"/>
          <w:szCs w:val="22"/>
        </w:rPr>
        <w:t>et al</w:t>
      </w:r>
      <w:r w:rsidRPr="00AA604D">
        <w:rPr>
          <w:rFonts w:ascii="Arial" w:hAnsi="Arial" w:cs="Arial"/>
          <w:sz w:val="22"/>
          <w:szCs w:val="22"/>
        </w:rPr>
        <w:t xml:space="preserve">., 2024; </w:t>
      </w:r>
      <w:proofErr w:type="spellStart"/>
      <w:r w:rsidRPr="00AA604D">
        <w:rPr>
          <w:rFonts w:ascii="Arial" w:hAnsi="Arial" w:cs="Arial"/>
          <w:sz w:val="22"/>
          <w:szCs w:val="22"/>
        </w:rPr>
        <w:t>Alrasheeday</w:t>
      </w:r>
      <w:proofErr w:type="spellEnd"/>
      <w:r w:rsidRPr="00AA604D">
        <w:rPr>
          <w:rFonts w:ascii="Arial" w:hAnsi="Arial" w:cs="Arial"/>
          <w:sz w:val="22"/>
          <w:szCs w:val="22"/>
        </w:rPr>
        <w:t xml:space="preserve"> </w:t>
      </w:r>
      <w:r w:rsidR="007A7122" w:rsidRPr="00AA604D">
        <w:rPr>
          <w:rFonts w:ascii="Arial" w:hAnsi="Arial" w:cs="Arial"/>
          <w:i/>
          <w:iCs/>
          <w:sz w:val="22"/>
          <w:szCs w:val="22"/>
        </w:rPr>
        <w:t>et al</w:t>
      </w:r>
      <w:r w:rsidRPr="00AA604D">
        <w:rPr>
          <w:rFonts w:ascii="Arial" w:hAnsi="Arial" w:cs="Arial"/>
          <w:sz w:val="22"/>
          <w:szCs w:val="22"/>
        </w:rPr>
        <w:t xml:space="preserve">., 2024; </w:t>
      </w:r>
      <w:proofErr w:type="spellStart"/>
      <w:r w:rsidRPr="00AA604D">
        <w:rPr>
          <w:rFonts w:ascii="Arial" w:hAnsi="Arial" w:cs="Arial"/>
          <w:sz w:val="22"/>
          <w:szCs w:val="22"/>
        </w:rPr>
        <w:t>Bahadurzada</w:t>
      </w:r>
      <w:proofErr w:type="spellEnd"/>
      <w:r w:rsidRPr="00AA604D">
        <w:rPr>
          <w:rFonts w:ascii="Arial" w:hAnsi="Arial" w:cs="Arial"/>
          <w:sz w:val="22"/>
          <w:szCs w:val="22"/>
        </w:rPr>
        <w:t xml:space="preserve">, Edmondson and </w:t>
      </w:r>
      <w:proofErr w:type="spellStart"/>
      <w:r w:rsidRPr="00AA604D">
        <w:rPr>
          <w:rFonts w:ascii="Arial" w:hAnsi="Arial" w:cs="Arial"/>
          <w:sz w:val="22"/>
          <w:szCs w:val="22"/>
        </w:rPr>
        <w:t>Kerrissey</w:t>
      </w:r>
      <w:proofErr w:type="spellEnd"/>
      <w:r w:rsidRPr="00AA604D">
        <w:rPr>
          <w:rFonts w:ascii="Arial" w:hAnsi="Arial" w:cs="Arial"/>
          <w:sz w:val="22"/>
          <w:szCs w:val="22"/>
        </w:rPr>
        <w:t>, 2024). In conclusion, the leadership climate at Kota Medical College Hospital was more suitable for ensuring throughput than preventing never events.</w:t>
      </w:r>
    </w:p>
    <w:p w14:paraId="09B48739" w14:textId="77777777" w:rsidR="007E0D85" w:rsidRDefault="00AE1BD7" w:rsidP="007A7122">
      <w:pPr>
        <w:pStyle w:val="Heading2"/>
        <w:spacing w:line="360" w:lineRule="auto"/>
        <w:jc w:val="both"/>
      </w:pPr>
      <w:bookmarkStart w:id="5" w:name="_Toc235360997"/>
      <w:r>
        <w:t xml:space="preserve">d. </w:t>
      </w:r>
      <w:r w:rsidRPr="00AA604D">
        <w:rPr>
          <w:rFonts w:ascii="Arial" w:hAnsi="Arial" w:cs="Arial"/>
        </w:rPr>
        <w:t>Critique, Improvements and Lessons Learned</w:t>
      </w:r>
      <w:bookmarkEnd w:id="5"/>
    </w:p>
    <w:p w14:paraId="757196D1" w14:textId="309E1CC6" w:rsidR="00EB0EB3" w:rsidRPr="00AA604D" w:rsidRDefault="00EB0EB3" w:rsidP="007A7122">
      <w:pPr>
        <w:spacing w:line="360" w:lineRule="auto"/>
        <w:rPr>
          <w:rFonts w:ascii="Arial" w:hAnsi="Arial" w:cs="Arial"/>
          <w:sz w:val="22"/>
          <w:szCs w:val="22"/>
        </w:rPr>
      </w:pPr>
      <w:r w:rsidRPr="00AA604D">
        <w:rPr>
          <w:rFonts w:ascii="Arial" w:hAnsi="Arial" w:cs="Arial"/>
          <w:sz w:val="22"/>
          <w:szCs w:val="22"/>
        </w:rPr>
        <w:t xml:space="preserve">The problems identified in the Kota Medical College Hospital incident—failed patient identification, weak communication, hierarchical barriers and delayed detection—are classic symptoms of a system that relies on individual vigilance rather than designed reliability. High-reliability organisations are characterised by five core principles: preoccupation with failure, reluctance to simplify interpretations, sensitivity to operations, commitment to resilience, and deference to expertise. When these principles are embedded, never events become rare (Bowditch </w:t>
      </w:r>
      <w:r w:rsidR="007A7122" w:rsidRPr="00AA604D">
        <w:rPr>
          <w:rFonts w:ascii="Arial" w:hAnsi="Arial" w:cs="Arial"/>
          <w:i/>
          <w:iCs/>
          <w:sz w:val="22"/>
          <w:szCs w:val="22"/>
        </w:rPr>
        <w:t>et al</w:t>
      </w:r>
      <w:r w:rsidRPr="00AA604D">
        <w:rPr>
          <w:rFonts w:ascii="Arial" w:hAnsi="Arial" w:cs="Arial"/>
          <w:sz w:val="22"/>
          <w:szCs w:val="22"/>
        </w:rPr>
        <w:t xml:space="preserve">., 2026; Atalla, El-Ashry and Sharif, 2025). The Kota system displayed the opposite characteristics. There was little evidence of preoccupation with failure; verbal name-calling continued as routine practice. Interpretations were simplified to </w:t>
      </w:r>
      <w:r w:rsidR="009337D9" w:rsidRPr="00AA604D">
        <w:rPr>
          <w:rFonts w:ascii="Arial" w:hAnsi="Arial" w:cs="Arial"/>
          <w:sz w:val="22"/>
          <w:szCs w:val="22"/>
        </w:rPr>
        <w:t>“</w:t>
      </w:r>
      <w:r w:rsidRPr="00AA604D">
        <w:rPr>
          <w:rFonts w:ascii="Arial" w:hAnsi="Arial" w:cs="Arial"/>
          <w:sz w:val="22"/>
          <w:szCs w:val="22"/>
        </w:rPr>
        <w:t>the next patient called Jagdish.</w:t>
      </w:r>
      <w:r w:rsidR="009337D9" w:rsidRPr="00AA604D">
        <w:rPr>
          <w:rFonts w:ascii="Arial" w:hAnsi="Arial" w:cs="Arial"/>
          <w:sz w:val="22"/>
          <w:szCs w:val="22"/>
        </w:rPr>
        <w:t>”</w:t>
      </w:r>
      <w:r w:rsidRPr="00AA604D">
        <w:rPr>
          <w:rFonts w:ascii="Arial" w:hAnsi="Arial" w:cs="Arial"/>
          <w:sz w:val="22"/>
          <w:szCs w:val="22"/>
        </w:rPr>
        <w:t xml:space="preserve"> Sensitivity to the operational reality of a speech-impaired, non-patient in a high-risk zone was absent. Resilience mechanisms failed to halt the process before incision, and deference to expertise was inverted by hierarchical norms that discouraged junior staff from speaking up (Vikan </w:t>
      </w:r>
      <w:r w:rsidR="007A7122" w:rsidRPr="00AA604D">
        <w:rPr>
          <w:rFonts w:ascii="Arial" w:hAnsi="Arial" w:cs="Arial"/>
          <w:i/>
          <w:iCs/>
          <w:sz w:val="22"/>
          <w:szCs w:val="22"/>
        </w:rPr>
        <w:t>et al</w:t>
      </w:r>
      <w:r w:rsidRPr="00AA604D">
        <w:rPr>
          <w:rFonts w:ascii="Arial" w:hAnsi="Arial" w:cs="Arial"/>
          <w:sz w:val="22"/>
          <w:szCs w:val="22"/>
        </w:rPr>
        <w:t>., 2024; Wright, Kernen and Kouevi, 2024).</w:t>
      </w:r>
    </w:p>
    <w:p w14:paraId="21B3C0FF" w14:textId="3D33FA4A" w:rsidR="00EB0EB3" w:rsidRPr="00AA604D" w:rsidRDefault="00EB0EB3" w:rsidP="007A7122">
      <w:pPr>
        <w:spacing w:line="360" w:lineRule="auto"/>
        <w:rPr>
          <w:rFonts w:ascii="Arial" w:hAnsi="Arial" w:cs="Arial"/>
          <w:sz w:val="22"/>
          <w:szCs w:val="22"/>
        </w:rPr>
      </w:pPr>
      <w:r w:rsidRPr="00AA604D">
        <w:rPr>
          <w:rFonts w:ascii="Arial" w:hAnsi="Arial" w:cs="Arial"/>
          <w:sz w:val="22"/>
          <w:szCs w:val="22"/>
        </w:rPr>
        <w:t xml:space="preserve">Improvements must therefore address both technical processes and socio-cultural factors simultaneously. Immediate technical fixes are well established in the international literature. Mandatory use of at least two patient identifiers (full name plus a unique hospital number or photograph), the consistent application of barcode or radio-frequency identification wristbands, and </w:t>
      </w:r>
      <w:r w:rsidRPr="00AA604D">
        <w:rPr>
          <w:rFonts w:ascii="Arial" w:hAnsi="Arial" w:cs="Arial"/>
          <w:sz w:val="22"/>
          <w:szCs w:val="22"/>
        </w:rPr>
        <w:lastRenderedPageBreak/>
        <w:t xml:space="preserve">a structured surgical time-out that includes explicit verbal confirmation of identity before induction of anaesthesia and again before incision are all evidence-based interventions. These measures align directly with the principles of the WHO Surgical Safety Checklist and have been shown to reduce wrong-patient and wrong-site events when implemented with fidelity (World Health Organization, 2026; </w:t>
      </w:r>
      <w:proofErr w:type="spellStart"/>
      <w:r w:rsidRPr="00AA604D">
        <w:rPr>
          <w:rFonts w:ascii="Arial" w:hAnsi="Arial" w:cs="Arial"/>
          <w:sz w:val="22"/>
          <w:szCs w:val="22"/>
        </w:rPr>
        <w:t>Habtie</w:t>
      </w:r>
      <w:proofErr w:type="spellEnd"/>
      <w:r w:rsidRPr="00AA604D">
        <w:rPr>
          <w:rFonts w:ascii="Arial" w:hAnsi="Arial" w:cs="Arial"/>
          <w:sz w:val="22"/>
          <w:szCs w:val="22"/>
        </w:rPr>
        <w:t xml:space="preserve"> </w:t>
      </w:r>
      <w:r w:rsidR="007A7122" w:rsidRPr="00AA604D">
        <w:rPr>
          <w:rFonts w:ascii="Arial" w:hAnsi="Arial" w:cs="Arial"/>
          <w:i/>
          <w:iCs/>
          <w:sz w:val="22"/>
          <w:szCs w:val="22"/>
        </w:rPr>
        <w:t>et al</w:t>
      </w:r>
      <w:r w:rsidRPr="00AA604D">
        <w:rPr>
          <w:rFonts w:ascii="Arial" w:hAnsi="Arial" w:cs="Arial"/>
          <w:sz w:val="22"/>
          <w:szCs w:val="22"/>
        </w:rPr>
        <w:t xml:space="preserve">., 2025). </w:t>
      </w:r>
      <w:proofErr w:type="spellStart"/>
      <w:r w:rsidRPr="00AA604D">
        <w:rPr>
          <w:rFonts w:ascii="Arial" w:hAnsi="Arial" w:cs="Arial"/>
          <w:sz w:val="22"/>
          <w:szCs w:val="22"/>
        </w:rPr>
        <w:t>Habtie</w:t>
      </w:r>
      <w:proofErr w:type="spellEnd"/>
      <w:r w:rsidRPr="00AA604D">
        <w:rPr>
          <w:rFonts w:ascii="Arial" w:hAnsi="Arial" w:cs="Arial"/>
          <w:sz w:val="22"/>
          <w:szCs w:val="22"/>
        </w:rPr>
        <w:t xml:space="preserve"> and colleagues’ systematic review and meta-analysis found global checklist compliance to average only 73 per cent, indicating substantial room for improvement even in settings that formally adopt the tool. Closed-loop audits conducted in Ethiopia, Pakistan, Somalia, Sudan and Croatia have demonstrated that targeted education, leadership endorsement and rapid feedback can raise compliance dramatically—in some cases from below 60 per cent to over 90 per cent (</w:t>
      </w:r>
      <w:proofErr w:type="spellStart"/>
      <w:r w:rsidRPr="00AA604D">
        <w:rPr>
          <w:rFonts w:ascii="Arial" w:hAnsi="Arial" w:cs="Arial"/>
          <w:sz w:val="22"/>
          <w:szCs w:val="22"/>
        </w:rPr>
        <w:t>Badasa</w:t>
      </w:r>
      <w:proofErr w:type="spellEnd"/>
      <w:r w:rsidRPr="00AA604D">
        <w:rPr>
          <w:rFonts w:ascii="Arial" w:hAnsi="Arial" w:cs="Arial"/>
          <w:sz w:val="22"/>
          <w:szCs w:val="22"/>
        </w:rPr>
        <w:t xml:space="preserve"> </w:t>
      </w:r>
      <w:r w:rsidR="007A7122" w:rsidRPr="00AA604D">
        <w:rPr>
          <w:rFonts w:ascii="Arial" w:hAnsi="Arial" w:cs="Arial"/>
          <w:i/>
          <w:iCs/>
          <w:sz w:val="22"/>
          <w:szCs w:val="22"/>
        </w:rPr>
        <w:t>et al</w:t>
      </w:r>
      <w:r w:rsidRPr="00AA604D">
        <w:rPr>
          <w:rFonts w:ascii="Arial" w:hAnsi="Arial" w:cs="Arial"/>
          <w:sz w:val="22"/>
          <w:szCs w:val="22"/>
        </w:rPr>
        <w:t xml:space="preserve">., 2025; Kamal </w:t>
      </w:r>
      <w:r w:rsidR="007A7122" w:rsidRPr="00AA604D">
        <w:rPr>
          <w:rFonts w:ascii="Arial" w:hAnsi="Arial" w:cs="Arial"/>
          <w:i/>
          <w:iCs/>
          <w:sz w:val="22"/>
          <w:szCs w:val="22"/>
        </w:rPr>
        <w:t>et al</w:t>
      </w:r>
      <w:r w:rsidRPr="00AA604D">
        <w:rPr>
          <w:rFonts w:ascii="Arial" w:hAnsi="Arial" w:cs="Arial"/>
          <w:sz w:val="22"/>
          <w:szCs w:val="22"/>
        </w:rPr>
        <w:t xml:space="preserve">., 2025; Yusuf </w:t>
      </w:r>
      <w:r w:rsidR="007A7122" w:rsidRPr="00AA604D">
        <w:rPr>
          <w:rFonts w:ascii="Arial" w:hAnsi="Arial" w:cs="Arial"/>
          <w:i/>
          <w:iCs/>
          <w:sz w:val="22"/>
          <w:szCs w:val="22"/>
        </w:rPr>
        <w:t>et al</w:t>
      </w:r>
      <w:r w:rsidRPr="00AA604D">
        <w:rPr>
          <w:rFonts w:ascii="Arial" w:hAnsi="Arial" w:cs="Arial"/>
          <w:sz w:val="22"/>
          <w:szCs w:val="22"/>
        </w:rPr>
        <w:t xml:space="preserve">., 2025; Yousif </w:t>
      </w:r>
      <w:r w:rsidR="007A7122" w:rsidRPr="00AA604D">
        <w:rPr>
          <w:rFonts w:ascii="Arial" w:hAnsi="Arial" w:cs="Arial"/>
          <w:i/>
          <w:iCs/>
          <w:sz w:val="22"/>
          <w:szCs w:val="22"/>
        </w:rPr>
        <w:t>et al</w:t>
      </w:r>
      <w:r w:rsidRPr="00AA604D">
        <w:rPr>
          <w:rFonts w:ascii="Arial" w:hAnsi="Arial" w:cs="Arial"/>
          <w:sz w:val="22"/>
          <w:szCs w:val="22"/>
        </w:rPr>
        <w:t xml:space="preserve">., 2025; Krstulović </w:t>
      </w:r>
      <w:r w:rsidR="007A7122" w:rsidRPr="00AA604D">
        <w:rPr>
          <w:rFonts w:ascii="Arial" w:hAnsi="Arial" w:cs="Arial"/>
          <w:i/>
          <w:iCs/>
          <w:sz w:val="22"/>
          <w:szCs w:val="22"/>
        </w:rPr>
        <w:t>et al</w:t>
      </w:r>
      <w:r w:rsidRPr="00AA604D">
        <w:rPr>
          <w:rFonts w:ascii="Arial" w:hAnsi="Arial" w:cs="Arial"/>
          <w:sz w:val="22"/>
          <w:szCs w:val="22"/>
        </w:rPr>
        <w:t>., 2025). Applying the same closed-loop methodology to patient-identification and time-out compliance at Kota would generate measurable local evidence of progress and create a continuous improvement cycle.</w:t>
      </w:r>
    </w:p>
    <w:p w14:paraId="07FFADDD" w14:textId="354FA96D" w:rsidR="00EB0EB3" w:rsidRPr="00AA604D" w:rsidRDefault="00EB0EB3" w:rsidP="007A7122">
      <w:pPr>
        <w:spacing w:line="360" w:lineRule="auto"/>
        <w:rPr>
          <w:rFonts w:ascii="Arial" w:hAnsi="Arial" w:cs="Arial"/>
          <w:sz w:val="22"/>
          <w:szCs w:val="22"/>
        </w:rPr>
      </w:pPr>
      <w:r w:rsidRPr="00AA604D">
        <w:rPr>
          <w:rFonts w:ascii="Arial" w:hAnsi="Arial" w:cs="Arial"/>
          <w:sz w:val="22"/>
          <w:szCs w:val="22"/>
        </w:rPr>
        <w:t xml:space="preserve">Closed-loop audit is particularly powerful because it does not stop at measurement. It requires the implementation of interventions and subsequent re-measurement to confirm whether change has occurred. Recent examples show that multi-faceted interventions—staff training, visual prompts, daily safety huddles, and visible senior leadership support—produce the largest gains (Kamal </w:t>
      </w:r>
      <w:r w:rsidR="007A7122" w:rsidRPr="00AA604D">
        <w:rPr>
          <w:rFonts w:ascii="Arial" w:hAnsi="Arial" w:cs="Arial"/>
          <w:i/>
          <w:iCs/>
          <w:sz w:val="22"/>
          <w:szCs w:val="22"/>
        </w:rPr>
        <w:t>et al</w:t>
      </w:r>
      <w:r w:rsidRPr="00AA604D">
        <w:rPr>
          <w:rFonts w:ascii="Arial" w:hAnsi="Arial" w:cs="Arial"/>
          <w:sz w:val="22"/>
          <w:szCs w:val="22"/>
        </w:rPr>
        <w:t xml:space="preserve">., 2025; Yusuf </w:t>
      </w:r>
      <w:r w:rsidR="007A7122" w:rsidRPr="00AA604D">
        <w:rPr>
          <w:rFonts w:ascii="Arial" w:hAnsi="Arial" w:cs="Arial"/>
          <w:i/>
          <w:iCs/>
          <w:sz w:val="22"/>
          <w:szCs w:val="22"/>
        </w:rPr>
        <w:t>et al</w:t>
      </w:r>
      <w:r w:rsidRPr="00AA604D">
        <w:rPr>
          <w:rFonts w:ascii="Arial" w:hAnsi="Arial" w:cs="Arial"/>
          <w:sz w:val="22"/>
          <w:szCs w:val="22"/>
        </w:rPr>
        <w:t xml:space="preserve">., 2025; </w:t>
      </w:r>
      <w:proofErr w:type="spellStart"/>
      <w:r w:rsidRPr="00AA604D">
        <w:rPr>
          <w:rFonts w:ascii="Arial" w:hAnsi="Arial" w:cs="Arial"/>
          <w:sz w:val="22"/>
          <w:szCs w:val="22"/>
        </w:rPr>
        <w:t>Badasa</w:t>
      </w:r>
      <w:proofErr w:type="spellEnd"/>
      <w:r w:rsidRPr="00AA604D">
        <w:rPr>
          <w:rFonts w:ascii="Arial" w:hAnsi="Arial" w:cs="Arial"/>
          <w:sz w:val="22"/>
          <w:szCs w:val="22"/>
        </w:rPr>
        <w:t xml:space="preserve"> </w:t>
      </w:r>
      <w:r w:rsidR="007A7122" w:rsidRPr="00AA604D">
        <w:rPr>
          <w:rFonts w:ascii="Arial" w:hAnsi="Arial" w:cs="Arial"/>
          <w:i/>
          <w:iCs/>
          <w:sz w:val="22"/>
          <w:szCs w:val="22"/>
        </w:rPr>
        <w:t>et al</w:t>
      </w:r>
      <w:r w:rsidRPr="00AA604D">
        <w:rPr>
          <w:rFonts w:ascii="Arial" w:hAnsi="Arial" w:cs="Arial"/>
          <w:sz w:val="22"/>
          <w:szCs w:val="22"/>
        </w:rPr>
        <w:t xml:space="preserve">., 2025). Without the </w:t>
      </w:r>
      <w:r w:rsidR="009337D9" w:rsidRPr="00AA604D">
        <w:rPr>
          <w:rFonts w:ascii="Arial" w:hAnsi="Arial" w:cs="Arial"/>
          <w:sz w:val="22"/>
          <w:szCs w:val="22"/>
        </w:rPr>
        <w:t>“</w:t>
      </w:r>
      <w:r w:rsidRPr="00AA604D">
        <w:rPr>
          <w:rFonts w:ascii="Arial" w:hAnsi="Arial" w:cs="Arial"/>
          <w:sz w:val="22"/>
          <w:szCs w:val="22"/>
        </w:rPr>
        <w:t>closing of the loop,</w:t>
      </w:r>
      <w:r w:rsidR="009337D9" w:rsidRPr="00AA604D">
        <w:rPr>
          <w:rFonts w:ascii="Arial" w:hAnsi="Arial" w:cs="Arial"/>
          <w:sz w:val="22"/>
          <w:szCs w:val="22"/>
        </w:rPr>
        <w:t>”</w:t>
      </w:r>
      <w:r w:rsidRPr="00AA604D">
        <w:rPr>
          <w:rFonts w:ascii="Arial" w:hAnsi="Arial" w:cs="Arial"/>
          <w:sz w:val="22"/>
          <w:szCs w:val="22"/>
        </w:rPr>
        <w:t xml:space="preserve"> audit data remain diagnostic rather than transformative.</w:t>
      </w:r>
    </w:p>
    <w:p w14:paraId="76BDA5BD" w14:textId="503CD8D4" w:rsidR="00EB0EB3" w:rsidRPr="00AA604D" w:rsidRDefault="00EB0EB3" w:rsidP="007A7122">
      <w:pPr>
        <w:spacing w:line="360" w:lineRule="auto"/>
        <w:rPr>
          <w:rFonts w:ascii="Arial" w:hAnsi="Arial" w:cs="Arial"/>
          <w:sz w:val="22"/>
          <w:szCs w:val="22"/>
        </w:rPr>
      </w:pPr>
      <w:r w:rsidRPr="00AA604D">
        <w:rPr>
          <w:rFonts w:ascii="Arial" w:hAnsi="Arial" w:cs="Arial"/>
          <w:sz w:val="22"/>
          <w:szCs w:val="22"/>
        </w:rPr>
        <w:t>Deeper and more durable improvement, however, requires cultural change. Psychological safety—the shared belief that the team is safe for interpersonal risk-taking—is a prerequisite for reliable speaking-up behaviour (</w:t>
      </w:r>
      <w:proofErr w:type="spellStart"/>
      <w:r w:rsidRPr="00AA604D">
        <w:rPr>
          <w:rFonts w:ascii="Arial" w:hAnsi="Arial" w:cs="Arial"/>
          <w:sz w:val="22"/>
          <w:szCs w:val="22"/>
        </w:rPr>
        <w:t>Bahadurzada</w:t>
      </w:r>
      <w:proofErr w:type="spellEnd"/>
      <w:r w:rsidRPr="00AA604D">
        <w:rPr>
          <w:rFonts w:ascii="Arial" w:hAnsi="Arial" w:cs="Arial"/>
          <w:sz w:val="22"/>
          <w:szCs w:val="22"/>
        </w:rPr>
        <w:t xml:space="preserve">, Edmondson and </w:t>
      </w:r>
      <w:proofErr w:type="spellStart"/>
      <w:r w:rsidRPr="00AA604D">
        <w:rPr>
          <w:rFonts w:ascii="Arial" w:hAnsi="Arial" w:cs="Arial"/>
          <w:sz w:val="22"/>
          <w:szCs w:val="22"/>
        </w:rPr>
        <w:t>Kerrissey</w:t>
      </w:r>
      <w:proofErr w:type="spellEnd"/>
      <w:r w:rsidRPr="00AA604D">
        <w:rPr>
          <w:rFonts w:ascii="Arial" w:hAnsi="Arial" w:cs="Arial"/>
          <w:sz w:val="22"/>
          <w:szCs w:val="22"/>
        </w:rPr>
        <w:t xml:space="preserve">, 2024; Patole, 2026; Wright, Kernen and Kouevi, 2024). </w:t>
      </w:r>
      <w:proofErr w:type="spellStart"/>
      <w:r w:rsidRPr="00AA604D">
        <w:rPr>
          <w:rFonts w:ascii="Arial" w:hAnsi="Arial" w:cs="Arial"/>
          <w:sz w:val="22"/>
          <w:szCs w:val="22"/>
        </w:rPr>
        <w:t>Bahadurzada</w:t>
      </w:r>
      <w:proofErr w:type="spellEnd"/>
      <w:r w:rsidRPr="00AA604D">
        <w:rPr>
          <w:rFonts w:ascii="Arial" w:hAnsi="Arial" w:cs="Arial"/>
          <w:sz w:val="22"/>
          <w:szCs w:val="22"/>
        </w:rPr>
        <w:t xml:space="preserve"> and colleagues demonstrate that psychological safety functions as an enduring resource that protects teams even under resource constraints. Without it, junior nurses, technicians and trainees will continue to remain silent even when they sense that the wrong person is being prepared for surgery. Leadership must therefore model and reward speaking-up. Public recognition of staff who raise concerns, regular multi-disciplinary safety huddles, and the systematic treatment of near-misses as learning opportunities rather than occasions for blame are essential (Wright, Kernen and Kouevi, 2024; Vikan </w:t>
      </w:r>
      <w:r w:rsidR="007A7122" w:rsidRPr="00AA604D">
        <w:rPr>
          <w:rFonts w:ascii="Arial" w:hAnsi="Arial" w:cs="Arial"/>
          <w:i/>
          <w:iCs/>
          <w:sz w:val="22"/>
          <w:szCs w:val="22"/>
        </w:rPr>
        <w:t>et al</w:t>
      </w:r>
      <w:r w:rsidRPr="00AA604D">
        <w:rPr>
          <w:rFonts w:ascii="Arial" w:hAnsi="Arial" w:cs="Arial"/>
          <w:sz w:val="22"/>
          <w:szCs w:val="22"/>
        </w:rPr>
        <w:t xml:space="preserve">., 2024). Governance structures must also clarify accountability. The medical-college principal and hospital superintendent hold ultimate responsibility for embedding safety systems and monitoring their effectiveness; department heads own local implementation and day-to-day compliance (Bowditch </w:t>
      </w:r>
      <w:r w:rsidR="007A7122" w:rsidRPr="00AA604D">
        <w:rPr>
          <w:rFonts w:ascii="Arial" w:hAnsi="Arial" w:cs="Arial"/>
          <w:i/>
          <w:iCs/>
          <w:sz w:val="22"/>
          <w:szCs w:val="22"/>
        </w:rPr>
        <w:t>et al</w:t>
      </w:r>
      <w:r w:rsidRPr="00AA604D">
        <w:rPr>
          <w:rFonts w:ascii="Arial" w:hAnsi="Arial" w:cs="Arial"/>
          <w:sz w:val="22"/>
          <w:szCs w:val="22"/>
        </w:rPr>
        <w:t xml:space="preserve">., 2026; </w:t>
      </w:r>
      <w:proofErr w:type="spellStart"/>
      <w:r w:rsidRPr="00AA604D">
        <w:rPr>
          <w:rFonts w:ascii="Arial" w:hAnsi="Arial" w:cs="Arial"/>
          <w:sz w:val="22"/>
          <w:szCs w:val="22"/>
        </w:rPr>
        <w:t>Alrasheeday</w:t>
      </w:r>
      <w:proofErr w:type="spellEnd"/>
      <w:r w:rsidRPr="00AA604D">
        <w:rPr>
          <w:rFonts w:ascii="Arial" w:hAnsi="Arial" w:cs="Arial"/>
          <w:sz w:val="22"/>
          <w:szCs w:val="22"/>
        </w:rPr>
        <w:t xml:space="preserve"> </w:t>
      </w:r>
      <w:r w:rsidR="007A7122" w:rsidRPr="00AA604D">
        <w:rPr>
          <w:rFonts w:ascii="Arial" w:hAnsi="Arial" w:cs="Arial"/>
          <w:i/>
          <w:iCs/>
          <w:sz w:val="22"/>
          <w:szCs w:val="22"/>
        </w:rPr>
        <w:t>et al</w:t>
      </w:r>
      <w:r w:rsidRPr="00AA604D">
        <w:rPr>
          <w:rFonts w:ascii="Arial" w:hAnsi="Arial" w:cs="Arial"/>
          <w:sz w:val="22"/>
          <w:szCs w:val="22"/>
        </w:rPr>
        <w:t>., 2024). When accountability is diffuse, improvement stalls.</w:t>
      </w:r>
    </w:p>
    <w:p w14:paraId="648C352D" w14:textId="0BA47D7F" w:rsidR="00EB0EB3" w:rsidRPr="00AA604D" w:rsidRDefault="00EB0EB3" w:rsidP="007A7122">
      <w:pPr>
        <w:spacing w:line="360" w:lineRule="auto"/>
        <w:rPr>
          <w:rFonts w:ascii="Arial" w:hAnsi="Arial" w:cs="Arial"/>
          <w:sz w:val="22"/>
          <w:szCs w:val="22"/>
        </w:rPr>
      </w:pPr>
      <w:r w:rsidRPr="00AA604D">
        <w:rPr>
          <w:rFonts w:ascii="Arial" w:hAnsi="Arial" w:cs="Arial"/>
          <w:sz w:val="22"/>
          <w:szCs w:val="22"/>
        </w:rPr>
        <w:t xml:space="preserve">Three key lessons emerge for health organisations. First, systems must not rely on individual heroism or the expectation of perfect human performance. Robust, standardised processes that make the correct action the easiest action are essential (Weatherford </w:t>
      </w:r>
      <w:r w:rsidR="007A7122" w:rsidRPr="00AA604D">
        <w:rPr>
          <w:rFonts w:ascii="Arial" w:hAnsi="Arial" w:cs="Arial"/>
          <w:i/>
          <w:iCs/>
          <w:sz w:val="22"/>
          <w:szCs w:val="22"/>
        </w:rPr>
        <w:t>et al</w:t>
      </w:r>
      <w:r w:rsidRPr="00AA604D">
        <w:rPr>
          <w:rFonts w:ascii="Arial" w:hAnsi="Arial" w:cs="Arial"/>
          <w:sz w:val="22"/>
          <w:szCs w:val="22"/>
        </w:rPr>
        <w:t xml:space="preserve">., 2026; Najla </w:t>
      </w:r>
      <w:r w:rsidR="007A7122" w:rsidRPr="00AA604D">
        <w:rPr>
          <w:rFonts w:ascii="Arial" w:hAnsi="Arial" w:cs="Arial"/>
          <w:i/>
          <w:iCs/>
          <w:sz w:val="22"/>
          <w:szCs w:val="22"/>
        </w:rPr>
        <w:t>et al</w:t>
      </w:r>
      <w:r w:rsidRPr="00AA604D">
        <w:rPr>
          <w:rFonts w:ascii="Arial" w:hAnsi="Arial" w:cs="Arial"/>
          <w:sz w:val="22"/>
          <w:szCs w:val="22"/>
        </w:rPr>
        <w:t xml:space="preserve">., 2025). Second, clear governance lines prevent accountability gaps. Inquiries that are initiated only after </w:t>
      </w:r>
      <w:r w:rsidRPr="00AA604D">
        <w:rPr>
          <w:rFonts w:ascii="Arial" w:hAnsi="Arial" w:cs="Arial"/>
          <w:sz w:val="22"/>
          <w:szCs w:val="22"/>
        </w:rPr>
        <w:lastRenderedPageBreak/>
        <w:t>media attention or political pressure signal weak internal surveillance and a reactive rather than proactive safety culture (The Joint Commission, 2024; Jacobs, 2024). Third, psychological safety improves incident reporting and ultimately saves lives. Organisations that respond to error with individual punishment rather than system learning perpetuate risk and suppress the very information needed for improvement (</w:t>
      </w:r>
      <w:proofErr w:type="spellStart"/>
      <w:r w:rsidRPr="00AA604D">
        <w:rPr>
          <w:rFonts w:ascii="Arial" w:hAnsi="Arial" w:cs="Arial"/>
          <w:sz w:val="22"/>
          <w:szCs w:val="22"/>
        </w:rPr>
        <w:t>Bahadurzada</w:t>
      </w:r>
      <w:proofErr w:type="spellEnd"/>
      <w:r w:rsidRPr="00AA604D">
        <w:rPr>
          <w:rFonts w:ascii="Arial" w:hAnsi="Arial" w:cs="Arial"/>
          <w:sz w:val="22"/>
          <w:szCs w:val="22"/>
        </w:rPr>
        <w:t xml:space="preserve">, Edmondson and </w:t>
      </w:r>
      <w:proofErr w:type="spellStart"/>
      <w:r w:rsidRPr="00AA604D">
        <w:rPr>
          <w:rFonts w:ascii="Arial" w:hAnsi="Arial" w:cs="Arial"/>
          <w:sz w:val="22"/>
          <w:szCs w:val="22"/>
        </w:rPr>
        <w:t>Kerrissey</w:t>
      </w:r>
      <w:proofErr w:type="spellEnd"/>
      <w:r w:rsidRPr="00AA604D">
        <w:rPr>
          <w:rFonts w:ascii="Arial" w:hAnsi="Arial" w:cs="Arial"/>
          <w:sz w:val="22"/>
          <w:szCs w:val="22"/>
        </w:rPr>
        <w:t xml:space="preserve">, 2024; Vikan </w:t>
      </w:r>
      <w:r w:rsidR="007A7122" w:rsidRPr="00AA604D">
        <w:rPr>
          <w:rFonts w:ascii="Arial" w:hAnsi="Arial" w:cs="Arial"/>
          <w:i/>
          <w:iCs/>
          <w:sz w:val="22"/>
          <w:szCs w:val="22"/>
        </w:rPr>
        <w:t>et al</w:t>
      </w:r>
      <w:r w:rsidRPr="00AA604D">
        <w:rPr>
          <w:rFonts w:ascii="Arial" w:hAnsi="Arial" w:cs="Arial"/>
          <w:sz w:val="22"/>
          <w:szCs w:val="22"/>
        </w:rPr>
        <w:t>., 2024; Rigamonti, Rigamonti and Rigamonti, 2025).</w:t>
      </w:r>
    </w:p>
    <w:p w14:paraId="71E0E061" w14:textId="042F9D73" w:rsidR="00EB0EB3" w:rsidRPr="00AA604D" w:rsidRDefault="00EB0EB3" w:rsidP="007A7122">
      <w:pPr>
        <w:spacing w:line="360" w:lineRule="auto"/>
        <w:rPr>
          <w:rFonts w:ascii="Arial" w:hAnsi="Arial" w:cs="Arial"/>
          <w:sz w:val="22"/>
          <w:szCs w:val="22"/>
        </w:rPr>
      </w:pPr>
      <w:r w:rsidRPr="00AA604D">
        <w:rPr>
          <w:rFonts w:ascii="Arial" w:hAnsi="Arial" w:cs="Arial"/>
          <w:sz w:val="22"/>
          <w:szCs w:val="22"/>
        </w:rPr>
        <w:t xml:space="preserve">The formal inquiry ordered at Kota was a necessary first step, yet it will generate lasting improvement only if its findings translate into measurable changes in process reliability, training coverage, leadership behaviour and psychological safety. A systems-thinking approach that systematically addresses every element of the Rich Picture—actors, processes, structures, feedback loops and culture—is far more likely to produce sustainable safety gains than an approach focused solely on individual blame or disciplinary action (Atalla, El-Ashry and Sharif, 2025; Bowditch </w:t>
      </w:r>
      <w:r w:rsidR="007A7122" w:rsidRPr="00AA604D">
        <w:rPr>
          <w:rFonts w:ascii="Arial" w:hAnsi="Arial" w:cs="Arial"/>
          <w:i/>
          <w:iCs/>
          <w:sz w:val="22"/>
          <w:szCs w:val="22"/>
        </w:rPr>
        <w:t>et al</w:t>
      </w:r>
      <w:r w:rsidRPr="00AA604D">
        <w:rPr>
          <w:rFonts w:ascii="Arial" w:hAnsi="Arial" w:cs="Arial"/>
          <w:sz w:val="22"/>
          <w:szCs w:val="22"/>
        </w:rPr>
        <w:t>., 2026). In short, the Kota incident reveals a system that was designed, however unintentionally, to allow a never event. Redesigning that system requires equal attention to technical defences, cultural conditions and accountable leadership.</w:t>
      </w:r>
    </w:p>
    <w:p w14:paraId="1C9B02BE" w14:textId="77777777" w:rsidR="007E0D85" w:rsidRPr="00AA604D" w:rsidRDefault="00AE1BD7" w:rsidP="007A7122">
      <w:pPr>
        <w:pStyle w:val="Heading1"/>
        <w:spacing w:line="360" w:lineRule="auto"/>
        <w:jc w:val="both"/>
        <w:rPr>
          <w:rFonts w:ascii="Arial" w:hAnsi="Arial" w:cs="Arial"/>
        </w:rPr>
      </w:pPr>
      <w:bookmarkStart w:id="6" w:name="_Toc235360998"/>
      <w:r>
        <w:t xml:space="preserve">3. </w:t>
      </w:r>
      <w:r w:rsidRPr="00AA604D">
        <w:rPr>
          <w:rFonts w:ascii="Arial" w:hAnsi="Arial" w:cs="Arial"/>
        </w:rPr>
        <w:t>Recommendations</w:t>
      </w:r>
      <w:bookmarkEnd w:id="6"/>
    </w:p>
    <w:p w14:paraId="5CF776F3" w14:textId="77777777" w:rsidR="007A7122" w:rsidRPr="00AA604D" w:rsidRDefault="007A7122" w:rsidP="007A7122">
      <w:pPr>
        <w:spacing w:line="360" w:lineRule="auto"/>
        <w:rPr>
          <w:rFonts w:ascii="Arial" w:hAnsi="Arial" w:cs="Arial"/>
          <w:sz w:val="22"/>
          <w:szCs w:val="22"/>
        </w:rPr>
      </w:pPr>
      <w:r w:rsidRPr="00AA604D">
        <w:rPr>
          <w:rFonts w:ascii="Arial" w:hAnsi="Arial" w:cs="Arial"/>
          <w:sz w:val="22"/>
          <w:szCs w:val="22"/>
        </w:rPr>
        <w:t>Using the systems thinking approach, Rich Picture and a critical analysis of leadership and governance structures, a set of related, evidence-based recommendations is developed to achieve transformation in a sustainable way at Kota Medical College Hospital and other similar institutions. These recommendations not only deal with technical failures that led to the surgery on the wrong patient but with the cultural and structural problems that have made this event possible.</w:t>
      </w:r>
    </w:p>
    <w:p w14:paraId="1C9B2C3C" w14:textId="41FCFD63" w:rsidR="007A7122" w:rsidRPr="00AA604D" w:rsidRDefault="007A7122" w:rsidP="007A7122">
      <w:pPr>
        <w:spacing w:line="360" w:lineRule="auto"/>
        <w:rPr>
          <w:rFonts w:ascii="Arial" w:hAnsi="Arial" w:cs="Arial"/>
          <w:sz w:val="22"/>
          <w:szCs w:val="22"/>
        </w:rPr>
      </w:pPr>
      <w:r w:rsidRPr="00AA604D">
        <w:rPr>
          <w:rFonts w:ascii="Arial" w:hAnsi="Arial" w:cs="Arial"/>
          <w:sz w:val="22"/>
          <w:szCs w:val="22"/>
        </w:rPr>
        <w:t xml:space="preserve">First, the implementation of mandatory and standardized patient identification and surgical safety protocols should be enforced in the hospital. There should be a hospital-wide two identifier rule that requires full name verification plus unique hospital identification number or photo. Wristbands, which would contain bar codes or photographic image of the patient should be introduced and mandatory. Moreover, there should be a mandatory pre-anaesthesia and pre-incision time-out for all patients undergoing a surgery. During the time-out, the entire team will verify the identity of the patient, planned procedure, and surgical site. The results of compliance with the protocol should be audited once a month and the results of audits published internally. The above measures are relatively inexpensive compared to the human and organizational costs of never events. These recommendations correspond to the best international practices promoted by the World Health Organization and The Joint Commission (World Health Organization, 2026; Weatherford </w:t>
      </w:r>
      <w:r w:rsidRPr="00AA604D">
        <w:rPr>
          <w:rFonts w:ascii="Arial" w:hAnsi="Arial" w:cs="Arial"/>
          <w:i/>
          <w:iCs/>
          <w:sz w:val="22"/>
          <w:szCs w:val="22"/>
        </w:rPr>
        <w:t>et al</w:t>
      </w:r>
      <w:r w:rsidRPr="00AA604D">
        <w:rPr>
          <w:rFonts w:ascii="Arial" w:hAnsi="Arial" w:cs="Arial"/>
          <w:sz w:val="22"/>
          <w:szCs w:val="22"/>
        </w:rPr>
        <w:t xml:space="preserve">., 2026; </w:t>
      </w:r>
      <w:proofErr w:type="spellStart"/>
      <w:r w:rsidRPr="00AA604D">
        <w:rPr>
          <w:rFonts w:ascii="Arial" w:hAnsi="Arial" w:cs="Arial"/>
          <w:sz w:val="22"/>
          <w:szCs w:val="22"/>
        </w:rPr>
        <w:t>Habtie</w:t>
      </w:r>
      <w:proofErr w:type="spellEnd"/>
      <w:r w:rsidRPr="00AA604D">
        <w:rPr>
          <w:rFonts w:ascii="Arial" w:hAnsi="Arial" w:cs="Arial"/>
          <w:sz w:val="22"/>
          <w:szCs w:val="22"/>
        </w:rPr>
        <w:t xml:space="preserve"> </w:t>
      </w:r>
      <w:r w:rsidRPr="00AA604D">
        <w:rPr>
          <w:rFonts w:ascii="Arial" w:hAnsi="Arial" w:cs="Arial"/>
          <w:i/>
          <w:iCs/>
          <w:sz w:val="22"/>
          <w:szCs w:val="22"/>
        </w:rPr>
        <w:t>et al</w:t>
      </w:r>
      <w:r w:rsidRPr="00AA604D">
        <w:rPr>
          <w:rFonts w:ascii="Arial" w:hAnsi="Arial" w:cs="Arial"/>
          <w:sz w:val="22"/>
          <w:szCs w:val="22"/>
        </w:rPr>
        <w:t>., 2025; The Joint Commission, 2024).</w:t>
      </w:r>
    </w:p>
    <w:p w14:paraId="07FCB91D" w14:textId="77777777" w:rsidR="007A7122" w:rsidRPr="00AA604D" w:rsidRDefault="007A7122" w:rsidP="007A7122">
      <w:pPr>
        <w:spacing w:line="360" w:lineRule="auto"/>
        <w:rPr>
          <w:rFonts w:ascii="Arial" w:hAnsi="Arial" w:cs="Arial"/>
          <w:sz w:val="22"/>
          <w:szCs w:val="22"/>
        </w:rPr>
      </w:pPr>
      <w:r w:rsidRPr="00AA604D">
        <w:rPr>
          <w:rFonts w:ascii="Arial" w:hAnsi="Arial" w:cs="Arial"/>
          <w:sz w:val="22"/>
          <w:szCs w:val="22"/>
        </w:rPr>
        <w:t xml:space="preserve">Second, leaders in the organization need to adopt the transformational and distributed leadership style in order to establish psychological safety. The medical-college principal, hospital superintendent, and heads of departments should perform regular safety walk-arounds with </w:t>
      </w:r>
      <w:r w:rsidRPr="00AA604D">
        <w:rPr>
          <w:rFonts w:ascii="Arial" w:hAnsi="Arial" w:cs="Arial"/>
          <w:sz w:val="22"/>
          <w:szCs w:val="22"/>
        </w:rPr>
        <w:lastRenderedPageBreak/>
        <w:t xml:space="preserve">particular focus on patient identification processes and </w:t>
      </w:r>
      <w:proofErr w:type="spellStart"/>
      <w:r w:rsidRPr="00AA604D">
        <w:rPr>
          <w:rFonts w:ascii="Arial" w:hAnsi="Arial" w:cs="Arial"/>
          <w:sz w:val="22"/>
          <w:szCs w:val="22"/>
        </w:rPr>
        <w:t>theater</w:t>
      </w:r>
      <w:proofErr w:type="spellEnd"/>
      <w:r w:rsidRPr="00AA604D">
        <w:rPr>
          <w:rFonts w:ascii="Arial" w:hAnsi="Arial" w:cs="Arial"/>
          <w:sz w:val="22"/>
          <w:szCs w:val="22"/>
        </w:rPr>
        <w:t xml:space="preserve"> preparation. People who raise concerns or report near misses should be congratulated. Reporting of near-misses needs to be seen as a positive act that contributes to learning and not a negative act of pointing at mistakes. In addition, daily multidisciplinary safety huddles need to be conducted in all areas where surgeries take place. All clinical managers need to have mandatory training on distributed and emotionally intelligent leadership (</w:t>
      </w:r>
      <w:proofErr w:type="spellStart"/>
      <w:r w:rsidRPr="00AA604D">
        <w:rPr>
          <w:rFonts w:ascii="Arial" w:hAnsi="Arial" w:cs="Arial"/>
          <w:sz w:val="22"/>
          <w:szCs w:val="22"/>
        </w:rPr>
        <w:t>Bahadurzada</w:t>
      </w:r>
      <w:proofErr w:type="spellEnd"/>
      <w:r w:rsidRPr="00AA604D">
        <w:rPr>
          <w:rFonts w:ascii="Arial" w:hAnsi="Arial" w:cs="Arial"/>
          <w:sz w:val="22"/>
          <w:szCs w:val="22"/>
        </w:rPr>
        <w:t xml:space="preserve">, Edmondson and </w:t>
      </w:r>
      <w:proofErr w:type="spellStart"/>
      <w:r w:rsidRPr="00AA604D">
        <w:rPr>
          <w:rFonts w:ascii="Arial" w:hAnsi="Arial" w:cs="Arial"/>
          <w:sz w:val="22"/>
          <w:szCs w:val="22"/>
        </w:rPr>
        <w:t>Kerrissey</w:t>
      </w:r>
      <w:proofErr w:type="spellEnd"/>
      <w:r w:rsidRPr="00AA604D">
        <w:rPr>
          <w:rFonts w:ascii="Arial" w:hAnsi="Arial" w:cs="Arial"/>
          <w:sz w:val="22"/>
          <w:szCs w:val="22"/>
        </w:rPr>
        <w:t xml:space="preserve">, 2024; </w:t>
      </w:r>
      <w:proofErr w:type="spellStart"/>
      <w:r w:rsidRPr="00AA604D">
        <w:rPr>
          <w:rFonts w:ascii="Arial" w:hAnsi="Arial" w:cs="Arial"/>
          <w:sz w:val="22"/>
          <w:szCs w:val="22"/>
        </w:rPr>
        <w:t>Curșeu</w:t>
      </w:r>
      <w:proofErr w:type="spellEnd"/>
      <w:r w:rsidRPr="00AA604D">
        <w:rPr>
          <w:rFonts w:ascii="Arial" w:hAnsi="Arial" w:cs="Arial"/>
          <w:sz w:val="22"/>
          <w:szCs w:val="22"/>
        </w:rPr>
        <w:t xml:space="preserve">, van Rijswijk and </w:t>
      </w:r>
      <w:proofErr w:type="spellStart"/>
      <w:r w:rsidRPr="00AA604D">
        <w:rPr>
          <w:rFonts w:ascii="Arial" w:hAnsi="Arial" w:cs="Arial"/>
          <w:sz w:val="22"/>
          <w:szCs w:val="22"/>
        </w:rPr>
        <w:t>Schruijer</w:t>
      </w:r>
      <w:proofErr w:type="spellEnd"/>
      <w:r w:rsidRPr="00AA604D">
        <w:rPr>
          <w:rFonts w:ascii="Arial" w:hAnsi="Arial" w:cs="Arial"/>
          <w:sz w:val="22"/>
          <w:szCs w:val="22"/>
        </w:rPr>
        <w:t>, 2025; Wright, Kernen and Kouevi, 2024; Patole, 2026).</w:t>
      </w:r>
    </w:p>
    <w:p w14:paraId="055653AC" w14:textId="7D04304D" w:rsidR="007A7122" w:rsidRPr="00AA604D" w:rsidRDefault="007A7122" w:rsidP="007A7122">
      <w:pPr>
        <w:spacing w:line="360" w:lineRule="auto"/>
        <w:rPr>
          <w:rFonts w:ascii="Arial" w:hAnsi="Arial" w:cs="Arial"/>
          <w:sz w:val="22"/>
          <w:szCs w:val="22"/>
        </w:rPr>
      </w:pPr>
      <w:r w:rsidRPr="00AA604D">
        <w:rPr>
          <w:rFonts w:ascii="Arial" w:hAnsi="Arial" w:cs="Arial"/>
          <w:sz w:val="22"/>
          <w:szCs w:val="22"/>
        </w:rPr>
        <w:t xml:space="preserve">Third, organizational learning can be enhanced by implementing closed loop audits. Near-miss and incident reporting system, either electronic or paper-based, should be established with a fast feedback loop to allow people to understand the impact of their report. Closed-loop audits of patient-identification and time-out compliance should be performed regularly with baseline measurement, intervention, and re-audit to prove that improvements were achieved. Evidence from recently implemented closed loop audits in various settings shows that this approach leads to increase in compliance with checklists up to 90% from initially low percentage less than 60% (Kamal </w:t>
      </w:r>
      <w:r w:rsidRPr="00AA604D">
        <w:rPr>
          <w:rFonts w:ascii="Arial" w:hAnsi="Arial" w:cs="Arial"/>
          <w:i/>
          <w:iCs/>
          <w:sz w:val="22"/>
          <w:szCs w:val="22"/>
        </w:rPr>
        <w:t>et al</w:t>
      </w:r>
      <w:r w:rsidRPr="00AA604D">
        <w:rPr>
          <w:rFonts w:ascii="Arial" w:hAnsi="Arial" w:cs="Arial"/>
          <w:sz w:val="22"/>
          <w:szCs w:val="22"/>
        </w:rPr>
        <w:t xml:space="preserve">., 2025; Yusuf </w:t>
      </w:r>
      <w:r w:rsidRPr="00AA604D">
        <w:rPr>
          <w:rFonts w:ascii="Arial" w:hAnsi="Arial" w:cs="Arial"/>
          <w:i/>
          <w:iCs/>
          <w:sz w:val="22"/>
          <w:szCs w:val="22"/>
        </w:rPr>
        <w:t>et al</w:t>
      </w:r>
      <w:r w:rsidRPr="00AA604D">
        <w:rPr>
          <w:rFonts w:ascii="Arial" w:hAnsi="Arial" w:cs="Arial"/>
          <w:sz w:val="22"/>
          <w:szCs w:val="22"/>
        </w:rPr>
        <w:t xml:space="preserve">., 2025; </w:t>
      </w:r>
      <w:proofErr w:type="spellStart"/>
      <w:r w:rsidRPr="00AA604D">
        <w:rPr>
          <w:rFonts w:ascii="Arial" w:hAnsi="Arial" w:cs="Arial"/>
          <w:sz w:val="22"/>
          <w:szCs w:val="22"/>
        </w:rPr>
        <w:t>Badasa</w:t>
      </w:r>
      <w:proofErr w:type="spellEnd"/>
      <w:r w:rsidRPr="00AA604D">
        <w:rPr>
          <w:rFonts w:ascii="Arial" w:hAnsi="Arial" w:cs="Arial"/>
          <w:sz w:val="22"/>
          <w:szCs w:val="22"/>
        </w:rPr>
        <w:t xml:space="preserve"> </w:t>
      </w:r>
      <w:r w:rsidRPr="00AA604D">
        <w:rPr>
          <w:rFonts w:ascii="Arial" w:hAnsi="Arial" w:cs="Arial"/>
          <w:i/>
          <w:iCs/>
          <w:sz w:val="22"/>
          <w:szCs w:val="22"/>
        </w:rPr>
        <w:t>et al</w:t>
      </w:r>
      <w:r w:rsidRPr="00AA604D">
        <w:rPr>
          <w:rFonts w:ascii="Arial" w:hAnsi="Arial" w:cs="Arial"/>
          <w:sz w:val="22"/>
          <w:szCs w:val="22"/>
        </w:rPr>
        <w:t xml:space="preserve">., 2025; Yousif </w:t>
      </w:r>
      <w:r w:rsidRPr="00AA604D">
        <w:rPr>
          <w:rFonts w:ascii="Arial" w:hAnsi="Arial" w:cs="Arial"/>
          <w:i/>
          <w:iCs/>
          <w:sz w:val="22"/>
          <w:szCs w:val="22"/>
        </w:rPr>
        <w:t>et al</w:t>
      </w:r>
      <w:r w:rsidRPr="00AA604D">
        <w:rPr>
          <w:rFonts w:ascii="Arial" w:hAnsi="Arial" w:cs="Arial"/>
          <w:sz w:val="22"/>
          <w:szCs w:val="22"/>
        </w:rPr>
        <w:t xml:space="preserve">., 2025; Krstulović </w:t>
      </w:r>
      <w:r w:rsidRPr="00AA604D">
        <w:rPr>
          <w:rFonts w:ascii="Arial" w:hAnsi="Arial" w:cs="Arial"/>
          <w:i/>
          <w:iCs/>
          <w:sz w:val="22"/>
          <w:szCs w:val="22"/>
        </w:rPr>
        <w:t>et al</w:t>
      </w:r>
      <w:r w:rsidRPr="00AA604D">
        <w:rPr>
          <w:rFonts w:ascii="Arial" w:hAnsi="Arial" w:cs="Arial"/>
          <w:sz w:val="22"/>
          <w:szCs w:val="22"/>
        </w:rPr>
        <w:t>., 2025).</w:t>
      </w:r>
    </w:p>
    <w:p w14:paraId="5BD4A18F" w14:textId="0FEECC6F" w:rsidR="007A7122" w:rsidRPr="00AA604D" w:rsidRDefault="007A7122" w:rsidP="007A7122">
      <w:pPr>
        <w:spacing w:line="360" w:lineRule="auto"/>
        <w:rPr>
          <w:rFonts w:ascii="Arial" w:hAnsi="Arial" w:cs="Arial"/>
          <w:sz w:val="22"/>
          <w:szCs w:val="22"/>
        </w:rPr>
      </w:pPr>
      <w:r w:rsidRPr="00AA604D">
        <w:rPr>
          <w:rFonts w:ascii="Arial" w:hAnsi="Arial" w:cs="Arial"/>
          <w:sz w:val="22"/>
          <w:szCs w:val="22"/>
        </w:rPr>
        <w:t xml:space="preserve">Fourth, structural and resource-related factors leading to risk need to be tackled. Ratios of theatre staff and patient flow process need to be reviewed to reduce time pressure that may lead to shortcutting safety procedures. Tools for identification such as wristbands and verification checklists need to be available at all times. The process of identification needs to involve patients and their families as partners from the moment of admission to reinforce two-identifier rule (Najla </w:t>
      </w:r>
      <w:r w:rsidRPr="00AA604D">
        <w:rPr>
          <w:rFonts w:ascii="Arial" w:hAnsi="Arial" w:cs="Arial"/>
          <w:i/>
          <w:iCs/>
          <w:sz w:val="22"/>
          <w:szCs w:val="22"/>
        </w:rPr>
        <w:t>et al</w:t>
      </w:r>
      <w:r w:rsidRPr="00AA604D">
        <w:rPr>
          <w:rFonts w:ascii="Arial" w:hAnsi="Arial" w:cs="Arial"/>
          <w:sz w:val="22"/>
          <w:szCs w:val="22"/>
        </w:rPr>
        <w:t xml:space="preserve">., 2025; </w:t>
      </w:r>
      <w:proofErr w:type="spellStart"/>
      <w:r w:rsidRPr="00AA604D">
        <w:rPr>
          <w:rFonts w:ascii="Arial" w:hAnsi="Arial" w:cs="Arial"/>
          <w:sz w:val="22"/>
          <w:szCs w:val="22"/>
        </w:rPr>
        <w:t>Alrasheeday</w:t>
      </w:r>
      <w:proofErr w:type="spellEnd"/>
      <w:r w:rsidRPr="00AA604D">
        <w:rPr>
          <w:rFonts w:ascii="Arial" w:hAnsi="Arial" w:cs="Arial"/>
          <w:sz w:val="22"/>
          <w:szCs w:val="22"/>
        </w:rPr>
        <w:t xml:space="preserve"> </w:t>
      </w:r>
      <w:r w:rsidRPr="00AA604D">
        <w:rPr>
          <w:rFonts w:ascii="Arial" w:hAnsi="Arial" w:cs="Arial"/>
          <w:i/>
          <w:iCs/>
          <w:sz w:val="22"/>
          <w:szCs w:val="22"/>
        </w:rPr>
        <w:t>et al</w:t>
      </w:r>
      <w:r w:rsidRPr="00AA604D">
        <w:rPr>
          <w:rFonts w:ascii="Arial" w:hAnsi="Arial" w:cs="Arial"/>
          <w:sz w:val="22"/>
          <w:szCs w:val="22"/>
        </w:rPr>
        <w:t>., 2024).</w:t>
      </w:r>
    </w:p>
    <w:p w14:paraId="0746CE02" w14:textId="55969419" w:rsidR="007A7122" w:rsidRPr="00AA604D" w:rsidRDefault="007A7122" w:rsidP="007A7122">
      <w:pPr>
        <w:spacing w:line="360" w:lineRule="auto"/>
        <w:rPr>
          <w:rFonts w:ascii="Arial" w:hAnsi="Arial" w:cs="Arial"/>
          <w:sz w:val="22"/>
          <w:szCs w:val="22"/>
        </w:rPr>
      </w:pPr>
      <w:r w:rsidRPr="00AA604D">
        <w:rPr>
          <w:rFonts w:ascii="Arial" w:hAnsi="Arial" w:cs="Arial"/>
          <w:sz w:val="22"/>
          <w:szCs w:val="22"/>
        </w:rPr>
        <w:t xml:space="preserve">Fifth, continuous improvement and co-production </w:t>
      </w:r>
      <w:proofErr w:type="gramStart"/>
      <w:r w:rsidRPr="00AA604D">
        <w:rPr>
          <w:rFonts w:ascii="Arial" w:hAnsi="Arial" w:cs="Arial"/>
          <w:sz w:val="22"/>
          <w:szCs w:val="22"/>
        </w:rPr>
        <w:t>needs</w:t>
      </w:r>
      <w:proofErr w:type="gramEnd"/>
      <w:r w:rsidRPr="00AA604D">
        <w:rPr>
          <w:rFonts w:ascii="Arial" w:hAnsi="Arial" w:cs="Arial"/>
          <w:sz w:val="22"/>
          <w:szCs w:val="22"/>
        </w:rPr>
        <w:t xml:space="preserve"> to be incorporated into the process of governance. Plan-Do-Study-Act cycle should be applied for the process of patient identification to be improved gradually. The process of workflow redesign needs to involve frontline staff, patients and relatives to ensure that the solution will be effective and acceptable. Patient safety metrics need to be linked to the discussion of departmental performance while purely punitive actions towards those who make errors are avoided (Bowditch </w:t>
      </w:r>
      <w:r w:rsidRPr="00AA604D">
        <w:rPr>
          <w:rFonts w:ascii="Arial" w:hAnsi="Arial" w:cs="Arial"/>
          <w:i/>
          <w:iCs/>
          <w:sz w:val="22"/>
          <w:szCs w:val="22"/>
        </w:rPr>
        <w:t>et al</w:t>
      </w:r>
      <w:r w:rsidRPr="00AA604D">
        <w:rPr>
          <w:rFonts w:ascii="Arial" w:hAnsi="Arial" w:cs="Arial"/>
          <w:sz w:val="22"/>
          <w:szCs w:val="22"/>
        </w:rPr>
        <w:t>., 2026; Atalla, El-Ashry and Sharif, 2025).</w:t>
      </w:r>
    </w:p>
    <w:p w14:paraId="43473EF7" w14:textId="4259DB26" w:rsidR="007A7122" w:rsidRDefault="007A7122" w:rsidP="007A7122">
      <w:pPr>
        <w:spacing w:line="360" w:lineRule="auto"/>
      </w:pPr>
      <w:r w:rsidRPr="00AA604D">
        <w:rPr>
          <w:rFonts w:ascii="Arial" w:hAnsi="Arial" w:cs="Arial"/>
          <w:sz w:val="22"/>
          <w:szCs w:val="22"/>
        </w:rPr>
        <w:t>All the recommendations above are pragmatic and scalable and directly correspond to the factors identified in Rich Picture and analysis of leadership. Implementation of these recommendations needs to be phased starting from the areas of high risk like operating theatres and needs to be visibly supported by senior leadership commitment.</w:t>
      </w:r>
    </w:p>
    <w:p w14:paraId="0B25A394" w14:textId="77777777" w:rsidR="007E0D85" w:rsidRDefault="00AE1BD7" w:rsidP="007A7122">
      <w:pPr>
        <w:pStyle w:val="Heading1"/>
        <w:spacing w:line="360" w:lineRule="auto"/>
      </w:pPr>
      <w:bookmarkStart w:id="7" w:name="_Toc235360999"/>
      <w:r>
        <w:t>4</w:t>
      </w:r>
      <w:r w:rsidRPr="00AA604D">
        <w:rPr>
          <w:rFonts w:ascii="Arial" w:hAnsi="Arial" w:cs="Arial"/>
        </w:rPr>
        <w:t>. Conclusion</w:t>
      </w:r>
      <w:bookmarkEnd w:id="7"/>
    </w:p>
    <w:p w14:paraId="1068C525" w14:textId="544CF214" w:rsidR="007A7122" w:rsidRPr="00AA604D" w:rsidRDefault="007A7122" w:rsidP="007A7122">
      <w:pPr>
        <w:spacing w:line="360" w:lineRule="auto"/>
        <w:rPr>
          <w:rFonts w:ascii="Arial" w:hAnsi="Arial" w:cs="Arial"/>
          <w:sz w:val="22"/>
          <w:szCs w:val="22"/>
        </w:rPr>
      </w:pPr>
      <w:r w:rsidRPr="00AA604D">
        <w:rPr>
          <w:rFonts w:ascii="Arial" w:hAnsi="Arial" w:cs="Arial"/>
          <w:sz w:val="22"/>
          <w:szCs w:val="22"/>
        </w:rPr>
        <w:t xml:space="preserve">As per the above discussion, it can be concluded that the 12 April 2025 incident at Kota Medical College Hospital, where Jagdish Panchal had been anaesthetised and surgically cut because of confusion regarding his name, is one of the most preventable never events that occurred due to poor patient identification, ineffective communication, and leadership problems. Analysis of the problem </w:t>
      </w:r>
      <w:r w:rsidRPr="00AA604D">
        <w:rPr>
          <w:rFonts w:ascii="Arial" w:hAnsi="Arial" w:cs="Arial"/>
          <w:sz w:val="22"/>
          <w:szCs w:val="22"/>
        </w:rPr>
        <w:lastRenderedPageBreak/>
        <w:t>shows that Systems Thinking and the creation of a Rich Picture prove that the error was caused by the combination of technical, process, structural, and socio-cultural flaws within the system.</w:t>
      </w:r>
    </w:p>
    <w:p w14:paraId="1E5FD5D7" w14:textId="77777777" w:rsidR="007A7122" w:rsidRPr="00AA604D" w:rsidRDefault="007A7122" w:rsidP="007A7122">
      <w:pPr>
        <w:spacing w:line="360" w:lineRule="auto"/>
        <w:rPr>
          <w:rFonts w:ascii="Arial" w:hAnsi="Arial" w:cs="Arial"/>
          <w:sz w:val="22"/>
          <w:szCs w:val="22"/>
        </w:rPr>
      </w:pPr>
      <w:r w:rsidRPr="00AA604D">
        <w:rPr>
          <w:rFonts w:ascii="Arial" w:hAnsi="Arial" w:cs="Arial"/>
          <w:sz w:val="22"/>
          <w:szCs w:val="22"/>
        </w:rPr>
        <w:t>First of all, examination of the governance model showed that the hospital used a mixed model that had drawbacks of both centralisation and decentralisation. While there was some form of accountability after the event because of centralised management, this kind of organisation did not provide any guarantees of implementation of safety practices in hospitals locally. At the same time, decentralisation made it impossible to have any standardized procedures, mutual accountability and feedback, which is why practices like name-calling could exist.</w:t>
      </w:r>
    </w:p>
    <w:p w14:paraId="5D9B51D3" w14:textId="77777777" w:rsidR="007A7122" w:rsidRPr="00AA604D" w:rsidRDefault="007A7122" w:rsidP="007A7122">
      <w:pPr>
        <w:spacing w:line="360" w:lineRule="auto"/>
        <w:rPr>
          <w:rFonts w:ascii="Arial" w:hAnsi="Arial" w:cs="Arial"/>
          <w:sz w:val="22"/>
          <w:szCs w:val="22"/>
        </w:rPr>
      </w:pPr>
      <w:r w:rsidRPr="00AA604D">
        <w:rPr>
          <w:rFonts w:ascii="Arial" w:hAnsi="Arial" w:cs="Arial"/>
          <w:sz w:val="22"/>
          <w:szCs w:val="22"/>
        </w:rPr>
        <w:t>Analysis of the leadership style also proves its flaws and demonstrates the drawbacks of reactive and hierarchical types of leadership. Foundational theories of Great Man and Trait Leadership did not give much information about the problem, and Behavioural Theory emphasised a lack of balance between task and people-</w:t>
      </w:r>
      <w:proofErr w:type="spellStart"/>
      <w:r w:rsidRPr="00AA604D">
        <w:rPr>
          <w:rFonts w:ascii="Arial" w:hAnsi="Arial" w:cs="Arial"/>
          <w:sz w:val="22"/>
          <w:szCs w:val="22"/>
        </w:rPr>
        <w:t>orientedness</w:t>
      </w:r>
      <w:proofErr w:type="spellEnd"/>
      <w:r w:rsidRPr="00AA604D">
        <w:rPr>
          <w:rFonts w:ascii="Arial" w:hAnsi="Arial" w:cs="Arial"/>
          <w:sz w:val="22"/>
          <w:szCs w:val="22"/>
        </w:rPr>
        <w:t>. In particular, this theory emphasized high levels of pressure for employees and lack of consideration of patients' vulnerability and nurses' psychological state.</w:t>
      </w:r>
    </w:p>
    <w:p w14:paraId="7FB710B3" w14:textId="77777777" w:rsidR="007A7122" w:rsidRPr="00AA604D" w:rsidRDefault="007A7122" w:rsidP="007A7122">
      <w:pPr>
        <w:spacing w:line="360" w:lineRule="auto"/>
        <w:rPr>
          <w:rFonts w:ascii="Arial" w:hAnsi="Arial" w:cs="Arial"/>
          <w:sz w:val="22"/>
          <w:szCs w:val="22"/>
        </w:rPr>
      </w:pPr>
      <w:r w:rsidRPr="00AA604D">
        <w:rPr>
          <w:rFonts w:ascii="Arial" w:hAnsi="Arial" w:cs="Arial"/>
          <w:sz w:val="22"/>
          <w:szCs w:val="22"/>
        </w:rPr>
        <w:t>Therefore, sustainable improvement cannot be reached just through punishment of people involved in the situation. The need for new policies of patient identification, mandatory structured time-out, closed-loop audit cycle, and leadership that will increase patients' and nurses' psychological safety will be necessary. The recommendations included in this report (two-identifier protocols, safety huddles, leadership development) show the way of organisational improvement.</w:t>
      </w:r>
    </w:p>
    <w:p w14:paraId="409B9279" w14:textId="77777777" w:rsidR="007A7122" w:rsidRPr="00AA604D" w:rsidRDefault="007A7122" w:rsidP="007A7122">
      <w:pPr>
        <w:spacing w:before="0" w:after="0" w:line="360" w:lineRule="auto"/>
        <w:jc w:val="left"/>
        <w:rPr>
          <w:rFonts w:ascii="Arial" w:hAnsi="Arial" w:cs="Arial"/>
          <w:sz w:val="22"/>
          <w:szCs w:val="22"/>
        </w:rPr>
      </w:pPr>
      <w:r w:rsidRPr="00AA604D">
        <w:rPr>
          <w:rFonts w:ascii="Arial" w:hAnsi="Arial" w:cs="Arial"/>
          <w:sz w:val="22"/>
          <w:szCs w:val="22"/>
        </w:rPr>
        <w:br w:type="page"/>
      </w:r>
    </w:p>
    <w:p w14:paraId="2F8EDBC5" w14:textId="2D08AB2C" w:rsidR="007E0D85" w:rsidRPr="00AA604D" w:rsidRDefault="00AE1BD7" w:rsidP="007A7122">
      <w:pPr>
        <w:pStyle w:val="Heading1"/>
        <w:rPr>
          <w:rFonts w:ascii="Arial" w:hAnsi="Arial" w:cs="Arial"/>
        </w:rPr>
      </w:pPr>
      <w:bookmarkStart w:id="8" w:name="_Toc235361000"/>
      <w:r w:rsidRPr="00AA604D">
        <w:rPr>
          <w:rFonts w:ascii="Arial" w:hAnsi="Arial" w:cs="Arial"/>
        </w:rPr>
        <w:lastRenderedPageBreak/>
        <w:t>References</w:t>
      </w:r>
      <w:bookmarkEnd w:id="8"/>
    </w:p>
    <w:p w14:paraId="4F2089BF" w14:textId="77777777" w:rsidR="00EB0EB3" w:rsidRPr="00F81F58" w:rsidRDefault="00EB0EB3" w:rsidP="007A7122">
      <w:pPr>
        <w:spacing w:line="360" w:lineRule="auto"/>
      </w:pPr>
      <w:r w:rsidRPr="00F81F58">
        <w:t xml:space="preserve">AHRQ Patient Safety Network (2024 review) ‘Never events’, </w:t>
      </w:r>
      <w:proofErr w:type="spellStart"/>
      <w:r w:rsidRPr="00F81F58">
        <w:rPr>
          <w:i/>
          <w:iCs/>
        </w:rPr>
        <w:t>PSNet</w:t>
      </w:r>
      <w:proofErr w:type="spellEnd"/>
      <w:r w:rsidRPr="00F81F58">
        <w:t xml:space="preserve">. Available at: </w:t>
      </w:r>
      <w:hyperlink r:id="rId9" w:tgtFrame="_blank" w:history="1">
        <w:r w:rsidRPr="00F81F58">
          <w:rPr>
            <w:rStyle w:val="Hyperlink"/>
            <w:lang w:bidi="ar-SA"/>
          </w:rPr>
          <w:t>https://psnet.ahrq.gov/primer/never-events</w:t>
        </w:r>
      </w:hyperlink>
      <w:r w:rsidRPr="00F81F58">
        <w:t xml:space="preserve"> (Accessed: 19 July 2026). </w:t>
      </w:r>
    </w:p>
    <w:p w14:paraId="2E5134F0" w14:textId="77777777" w:rsidR="00EB0EB3" w:rsidRPr="00627AFD" w:rsidRDefault="00EB0EB3" w:rsidP="007A7122">
      <w:pPr>
        <w:spacing w:line="360" w:lineRule="auto"/>
      </w:pPr>
      <w:proofErr w:type="spellStart"/>
      <w:r w:rsidRPr="00627AFD">
        <w:t>Alrasheeday</w:t>
      </w:r>
      <w:proofErr w:type="spellEnd"/>
      <w:r w:rsidRPr="00627AFD">
        <w:t xml:space="preserve">, A.M., Alshammari, B., </w:t>
      </w:r>
      <w:proofErr w:type="spellStart"/>
      <w:r w:rsidRPr="00627AFD">
        <w:t>Alkubati</w:t>
      </w:r>
      <w:proofErr w:type="spellEnd"/>
      <w:r w:rsidRPr="00627AFD">
        <w:t xml:space="preserve">, S.A., Pasay-an, E., Alshammari, F. and Alshammari, M. (2024) ‘Nurses’ perceptions of patient safety culture and adverse events in Hail City, Saudi Arabia: a cross-sectional approach to improving healthcare safety’, </w:t>
      </w:r>
      <w:r w:rsidRPr="00627AFD">
        <w:rPr>
          <w:i/>
          <w:iCs/>
        </w:rPr>
        <w:t>BMJ Open</w:t>
      </w:r>
      <w:r w:rsidRPr="00627AFD">
        <w:t xml:space="preserve">, 14(9), e084741. Available at: </w:t>
      </w:r>
      <w:hyperlink r:id="rId10" w:tgtFrame="_blank" w:history="1">
        <w:r w:rsidRPr="00627AFD">
          <w:rPr>
            <w:rStyle w:val="Hyperlink"/>
            <w:lang w:bidi="ar-SA"/>
          </w:rPr>
          <w:t>https://bmjopen.bmj.com/content/14/9/e084741</w:t>
        </w:r>
      </w:hyperlink>
      <w:r w:rsidRPr="00627AFD">
        <w:t xml:space="preserve"> (Accessed: 19 July 2026). </w:t>
      </w:r>
    </w:p>
    <w:p w14:paraId="7C6898C6" w14:textId="77777777" w:rsidR="00EB0EB3" w:rsidRPr="00627AFD" w:rsidRDefault="00EB0EB3" w:rsidP="007A7122">
      <w:pPr>
        <w:spacing w:line="360" w:lineRule="auto"/>
      </w:pPr>
      <w:r w:rsidRPr="00627AFD">
        <w:t>Alshammari, M.S., Tyerman, J., Beogo, I. and Phillips, J.C., 2026. Nurses’ perceptions of patient safety culture measured by the Hospital Survey on Patient Safety Culture in the Gulf Cooperation Council region: A systematic review. </w:t>
      </w:r>
      <w:r w:rsidRPr="00627AFD">
        <w:rPr>
          <w:i/>
          <w:iCs/>
        </w:rPr>
        <w:t>International Journal of Nursing Studies Advances</w:t>
      </w:r>
      <w:r w:rsidRPr="00627AFD">
        <w:t>, </w:t>
      </w:r>
      <w:r w:rsidRPr="00627AFD">
        <w:rPr>
          <w:i/>
          <w:iCs/>
        </w:rPr>
        <w:t>10</w:t>
      </w:r>
      <w:r w:rsidRPr="00627AFD">
        <w:t>, p.100512.</w:t>
      </w:r>
      <w:r>
        <w:t xml:space="preserve"> </w:t>
      </w:r>
      <w:r w:rsidRPr="00627AFD">
        <w:t xml:space="preserve">Available at: </w:t>
      </w:r>
      <w:hyperlink r:id="rId11" w:tgtFrame="_blank" w:history="1">
        <w:r w:rsidRPr="00627AFD">
          <w:rPr>
            <w:rStyle w:val="Hyperlink"/>
            <w:lang w:bidi="ar-SA"/>
          </w:rPr>
          <w:t>https://pmc.ncbi.nlm.nih.gov/articles/PMC12969805/</w:t>
        </w:r>
      </w:hyperlink>
      <w:r w:rsidRPr="00627AFD">
        <w:t xml:space="preserve"> (Accessed: 19 July 2026). </w:t>
      </w:r>
    </w:p>
    <w:p w14:paraId="53B9EFF8" w14:textId="77777777" w:rsidR="00EB0EB3" w:rsidRPr="00F81F58" w:rsidRDefault="00EB0EB3" w:rsidP="007A7122">
      <w:pPr>
        <w:spacing w:line="360" w:lineRule="auto"/>
      </w:pPr>
      <w:r w:rsidRPr="00F81F58">
        <w:t xml:space="preserve">Atalla, A.D.G., El-Ashry, A.M. and Sharif, L.S. (2025) ‘Exploring the hidden synergy between system thinking and patient safety competencies among critical care nurses: a cross-sectional study’, </w:t>
      </w:r>
      <w:r w:rsidRPr="00F81F58">
        <w:rPr>
          <w:i/>
          <w:iCs/>
        </w:rPr>
        <w:t>BMC Nursing</w:t>
      </w:r>
      <w:r w:rsidRPr="00F81F58">
        <w:t xml:space="preserve">, 24, article 114. Available at: </w:t>
      </w:r>
      <w:hyperlink r:id="rId12" w:tgtFrame="_blank" w:history="1">
        <w:r w:rsidRPr="00F81F58">
          <w:rPr>
            <w:rStyle w:val="Hyperlink"/>
            <w:lang w:bidi="ar-SA"/>
          </w:rPr>
          <w:t>https://link.springer.com/article/10.1186/s12912-025-02717-6</w:t>
        </w:r>
      </w:hyperlink>
      <w:r w:rsidRPr="00F81F58">
        <w:t xml:space="preserve"> (Accessed: 19 July 2026). </w:t>
      </w:r>
    </w:p>
    <w:p w14:paraId="1F37E9AB" w14:textId="3090838E" w:rsidR="00EB0EB3" w:rsidRPr="009642B2" w:rsidRDefault="00EB0EB3" w:rsidP="007A7122">
      <w:pPr>
        <w:spacing w:line="360" w:lineRule="auto"/>
      </w:pPr>
      <w:proofErr w:type="spellStart"/>
      <w:r w:rsidRPr="009642B2">
        <w:t>Badasa</w:t>
      </w:r>
      <w:proofErr w:type="spellEnd"/>
      <w:r w:rsidRPr="009642B2">
        <w:t xml:space="preserve">, K., Abera, A., Teshome, M. </w:t>
      </w:r>
      <w:r w:rsidR="007A7122" w:rsidRPr="007A7122">
        <w:rPr>
          <w:i/>
          <w:iCs/>
        </w:rPr>
        <w:t>et al</w:t>
      </w:r>
      <w:r w:rsidRPr="009642B2">
        <w:t xml:space="preserve">. (2025) ‘Improving utilisation of the WHO surgical safety checklist at </w:t>
      </w:r>
      <w:proofErr w:type="spellStart"/>
      <w:r w:rsidRPr="009642B2">
        <w:t>Wollega</w:t>
      </w:r>
      <w:proofErr w:type="spellEnd"/>
      <w:r w:rsidRPr="009642B2">
        <w:t xml:space="preserve"> University Referral Hospital: a multidimensional quality improvement project’, </w:t>
      </w:r>
      <w:r w:rsidRPr="009642B2">
        <w:rPr>
          <w:i/>
          <w:iCs/>
        </w:rPr>
        <w:t>BMJ Open Quality</w:t>
      </w:r>
      <w:r w:rsidRPr="009642B2">
        <w:t xml:space="preserve">, 14(2), e002599. Available at: </w:t>
      </w:r>
      <w:hyperlink r:id="rId13" w:tgtFrame="_blank" w:history="1">
        <w:r w:rsidRPr="009642B2">
          <w:rPr>
            <w:rStyle w:val="Hyperlink"/>
            <w:lang w:bidi="ar-SA"/>
          </w:rPr>
          <w:t>https://bmjopenquality.bmj.com/content/14/2/e002599</w:t>
        </w:r>
      </w:hyperlink>
      <w:r w:rsidRPr="009642B2">
        <w:t xml:space="preserve"> (Accessed: 19 July 2026). </w:t>
      </w:r>
    </w:p>
    <w:p w14:paraId="3F0C002A" w14:textId="77777777" w:rsidR="00EB0EB3" w:rsidRPr="00F81F58" w:rsidRDefault="00EB0EB3" w:rsidP="007A7122">
      <w:pPr>
        <w:spacing w:line="360" w:lineRule="auto"/>
      </w:pPr>
      <w:proofErr w:type="spellStart"/>
      <w:r w:rsidRPr="00F81F58">
        <w:t>Bahadurzada</w:t>
      </w:r>
      <w:proofErr w:type="spellEnd"/>
      <w:r w:rsidRPr="00F81F58">
        <w:t xml:space="preserve">, H., Edmondson, A. and </w:t>
      </w:r>
      <w:proofErr w:type="spellStart"/>
      <w:r w:rsidRPr="00F81F58">
        <w:t>Kerrissey</w:t>
      </w:r>
      <w:proofErr w:type="spellEnd"/>
      <w:r w:rsidRPr="00F81F58">
        <w:t xml:space="preserve">, M. (2024) ‘Psychological safety as an enduring resource amid constraints’, </w:t>
      </w:r>
      <w:r w:rsidRPr="00F81F58">
        <w:rPr>
          <w:i/>
          <w:iCs/>
        </w:rPr>
        <w:t>International Journal of Public Health</w:t>
      </w:r>
      <w:r w:rsidRPr="00F81F58">
        <w:t xml:space="preserve">, 69, article 1607332. Available at: </w:t>
      </w:r>
      <w:hyperlink r:id="rId14" w:tgtFrame="_blank" w:history="1">
        <w:r w:rsidRPr="00F81F58">
          <w:rPr>
            <w:rStyle w:val="Hyperlink"/>
            <w:lang w:bidi="ar-SA"/>
          </w:rPr>
          <w:t>https://www.ssph-journal.org/journals/international-journal-of-public-health/articles/10.3389/ijph.2024.1607332/full</w:t>
        </w:r>
      </w:hyperlink>
      <w:r w:rsidRPr="00F81F58">
        <w:t xml:space="preserve"> (Accessed: 19 July 2026). </w:t>
      </w:r>
    </w:p>
    <w:p w14:paraId="4A6F2A31" w14:textId="77777777" w:rsidR="00EB0EB3" w:rsidRPr="00F81F58" w:rsidRDefault="00EB0EB3" w:rsidP="007A7122">
      <w:pPr>
        <w:spacing w:line="360" w:lineRule="auto"/>
      </w:pPr>
      <w:r w:rsidRPr="00F81F58">
        <w:t xml:space="preserve">Bowditch, L., Molloy, C., King, B., Abedi, M., Jackson, S., Bierbaum, M., Yu, Y., Raggett, L., Salmon, P., Braithwaite, J. </w:t>
      </w:r>
      <w:r>
        <w:t>&amp;</w:t>
      </w:r>
      <w:r w:rsidRPr="00F81F58">
        <w:t xml:space="preserve"> Westbrook, J.I. </w:t>
      </w:r>
      <w:r>
        <w:t>(</w:t>
      </w:r>
      <w:r w:rsidRPr="00F81F58">
        <w:t>2026</w:t>
      </w:r>
      <w:r>
        <w:t>)</w:t>
      </w:r>
      <w:r w:rsidRPr="00F81F58">
        <w:t xml:space="preserve">. </w:t>
      </w:r>
      <w:r>
        <w:t>‘</w:t>
      </w:r>
      <w:r w:rsidRPr="00F81F58">
        <w:t>Do patient safety incident investigations align with systems thinking? An analysis of contributing factors and recommendations</w:t>
      </w:r>
      <w:proofErr w:type="gramStart"/>
      <w:r>
        <w:t xml:space="preserve">’, </w:t>
      </w:r>
      <w:r w:rsidRPr="00F81F58">
        <w:t> </w:t>
      </w:r>
      <w:r w:rsidRPr="00F81F58">
        <w:rPr>
          <w:i/>
          <w:iCs/>
        </w:rPr>
        <w:t>BMJ</w:t>
      </w:r>
      <w:proofErr w:type="gramEnd"/>
      <w:r w:rsidRPr="00F81F58">
        <w:rPr>
          <w:i/>
          <w:iCs/>
        </w:rPr>
        <w:t xml:space="preserve"> Quality &amp; Safety</w:t>
      </w:r>
      <w:r w:rsidRPr="00F81F58">
        <w:t>, </w:t>
      </w:r>
      <w:r w:rsidRPr="00F81F58">
        <w:rPr>
          <w:i/>
          <w:iCs/>
        </w:rPr>
        <w:t>35</w:t>
      </w:r>
      <w:r w:rsidRPr="00F81F58">
        <w:t>(7), pp.443-455.</w:t>
      </w:r>
      <w:r>
        <w:t xml:space="preserve"> </w:t>
      </w:r>
      <w:r w:rsidRPr="00F81F58">
        <w:t xml:space="preserve">Available at: </w:t>
      </w:r>
      <w:hyperlink r:id="rId15" w:history="1">
        <w:r w:rsidRPr="00662F69">
          <w:rPr>
            <w:rStyle w:val="Hyperlink"/>
          </w:rPr>
          <w:t>https://qualitysafety.bmj.com/content/qhc/35/7/443.full.pdf</w:t>
        </w:r>
      </w:hyperlink>
      <w:r>
        <w:t xml:space="preserve"> </w:t>
      </w:r>
      <w:r w:rsidRPr="00F81F58">
        <w:t xml:space="preserve">(Accessed: 19 July 2026). </w:t>
      </w:r>
    </w:p>
    <w:p w14:paraId="25B278F6" w14:textId="77777777" w:rsidR="00EB0EB3" w:rsidRPr="009642B2" w:rsidRDefault="00EB0EB3" w:rsidP="007A7122">
      <w:pPr>
        <w:spacing w:line="360" w:lineRule="auto"/>
      </w:pPr>
      <w:proofErr w:type="spellStart"/>
      <w:r w:rsidRPr="009642B2">
        <w:t>Curșeu</w:t>
      </w:r>
      <w:proofErr w:type="spellEnd"/>
      <w:r w:rsidRPr="009642B2">
        <w:t xml:space="preserve">, P.L., van Rijswijk, J. and </w:t>
      </w:r>
      <w:proofErr w:type="spellStart"/>
      <w:r w:rsidRPr="009642B2">
        <w:t>Schruijer</w:t>
      </w:r>
      <w:proofErr w:type="spellEnd"/>
      <w:r w:rsidRPr="009642B2">
        <w:t xml:space="preserve">, S.G.L. (2025) ‘Collaborative and shared leadership dynamics in healthcare action teams: a systematic literature review’, </w:t>
      </w:r>
      <w:r w:rsidRPr="009642B2">
        <w:rPr>
          <w:i/>
          <w:iCs/>
        </w:rPr>
        <w:t>Journal of Healthcare Leadership</w:t>
      </w:r>
      <w:r w:rsidRPr="009642B2">
        <w:t xml:space="preserve">, 17, pp. 877–899. Available at: </w:t>
      </w:r>
      <w:hyperlink r:id="rId16" w:tgtFrame="_blank" w:history="1">
        <w:r w:rsidRPr="009642B2">
          <w:rPr>
            <w:rStyle w:val="Hyperlink"/>
            <w:lang w:bidi="ar-SA"/>
          </w:rPr>
          <w:t>https://www.tandfonline.com/doi/full/10.2147/JHL.S520534</w:t>
        </w:r>
      </w:hyperlink>
      <w:r w:rsidRPr="009642B2">
        <w:t xml:space="preserve"> (Accessed: 19 July 2026). </w:t>
      </w:r>
    </w:p>
    <w:p w14:paraId="4AD74311" w14:textId="152FAF70" w:rsidR="00EB0EB3" w:rsidRPr="009642B2" w:rsidRDefault="00EB0EB3" w:rsidP="007A7122">
      <w:pPr>
        <w:spacing w:line="360" w:lineRule="auto"/>
      </w:pPr>
      <w:r w:rsidRPr="009642B2">
        <w:lastRenderedPageBreak/>
        <w:t xml:space="preserve">Habtie, T.E., Feleke, S.F., Tadesse, A.W. </w:t>
      </w:r>
      <w:r w:rsidR="007A7122" w:rsidRPr="007A7122">
        <w:rPr>
          <w:i/>
          <w:iCs/>
        </w:rPr>
        <w:t>et al</w:t>
      </w:r>
      <w:r w:rsidRPr="009642B2">
        <w:t xml:space="preserve">. (2025) ‘Beyond compliance: examining the completeness and determinants of WHO Surgical Safety Checklist utilisation – a systematic review and meta-analysis’, </w:t>
      </w:r>
      <w:r w:rsidRPr="009642B2">
        <w:rPr>
          <w:i/>
          <w:iCs/>
        </w:rPr>
        <w:t>BMC Health Services Research</w:t>
      </w:r>
      <w:r w:rsidRPr="009642B2">
        <w:t xml:space="preserve">, 25, article 569. Available at: </w:t>
      </w:r>
      <w:hyperlink r:id="rId17" w:tgtFrame="_blank" w:history="1">
        <w:r w:rsidRPr="009642B2">
          <w:rPr>
            <w:rStyle w:val="Hyperlink"/>
            <w:lang w:bidi="ar-SA"/>
          </w:rPr>
          <w:t>https://link.springer.com/article/10.1186/s12913-025-12569-0</w:t>
        </w:r>
      </w:hyperlink>
      <w:r w:rsidRPr="009642B2">
        <w:t xml:space="preserve"> (Accessed: 19 July 2026). </w:t>
      </w:r>
    </w:p>
    <w:p w14:paraId="3F34CAE0" w14:textId="3F38D462" w:rsidR="00EB0EB3" w:rsidRPr="00627AFD" w:rsidRDefault="00EB0EB3" w:rsidP="007A7122">
      <w:pPr>
        <w:spacing w:line="360" w:lineRule="auto"/>
      </w:pPr>
      <w:r w:rsidRPr="00627AFD">
        <w:t xml:space="preserve">Hajjaj, O.I., Zaslow, J., Sherif, R.E. </w:t>
      </w:r>
      <w:r w:rsidR="007A7122" w:rsidRPr="007A7122">
        <w:rPr>
          <w:i/>
          <w:iCs/>
        </w:rPr>
        <w:t>et al</w:t>
      </w:r>
      <w:r w:rsidRPr="00627AFD">
        <w:t xml:space="preserve">. (2025) ‘Wrong-site, wrong-procedure, and retained foreign object events in out-of-hospital settings: analysis of closed medico-legal complaints in Canada (2012–2021)’, </w:t>
      </w:r>
      <w:r w:rsidRPr="00627AFD">
        <w:rPr>
          <w:i/>
          <w:iCs/>
        </w:rPr>
        <w:t>Patient Safety in Surgery</w:t>
      </w:r>
      <w:r w:rsidRPr="00627AFD">
        <w:t xml:space="preserve">, 19, article 11. Available at: </w:t>
      </w:r>
      <w:hyperlink r:id="rId18" w:tgtFrame="_blank" w:history="1">
        <w:r w:rsidRPr="00627AFD">
          <w:rPr>
            <w:rStyle w:val="Hyperlink"/>
            <w:lang w:bidi="ar-SA"/>
          </w:rPr>
          <w:t>https://link.springer.com/article/10.1186/s13037-025-00432-4</w:t>
        </w:r>
      </w:hyperlink>
      <w:r w:rsidRPr="00627AFD">
        <w:t xml:space="preserve"> (Accessed: 19 July 2026). </w:t>
      </w:r>
    </w:p>
    <w:p w14:paraId="6757DC33" w14:textId="77777777" w:rsidR="00EB0EB3" w:rsidRPr="00627AFD" w:rsidRDefault="00EB0EB3" w:rsidP="007A7122">
      <w:pPr>
        <w:spacing w:line="360" w:lineRule="auto"/>
      </w:pPr>
      <w:r w:rsidRPr="00627AFD">
        <w:t xml:space="preserve">Jacobs, L.M. Jr. (2024) ‘Wrong surgery, retention of foreign object top 2023 sentinel event list’, </w:t>
      </w:r>
      <w:r w:rsidRPr="00627AFD">
        <w:rPr>
          <w:i/>
          <w:iCs/>
        </w:rPr>
        <w:t>Bulletin of the American College of Surgeons</w:t>
      </w:r>
      <w:r w:rsidRPr="00627AFD">
        <w:t xml:space="preserve">, 109(7). Available at: </w:t>
      </w:r>
      <w:hyperlink r:id="rId19" w:tgtFrame="_blank" w:history="1">
        <w:r w:rsidRPr="00627AFD">
          <w:rPr>
            <w:rStyle w:val="Hyperlink"/>
            <w:lang w:bidi="ar-SA"/>
          </w:rPr>
          <w:t>https://www.facs.org/for-medical-professionals/news-publications/news-and-articles/bulletin/2024/julyaugust-2024-volume-109-issue-7/wrong-surgery-retention-of-foreign-object-top-2023-sentinel-event-list/</w:t>
        </w:r>
      </w:hyperlink>
      <w:r w:rsidRPr="00627AFD">
        <w:t xml:space="preserve"> (Accessed: 19 July 2026). </w:t>
      </w:r>
    </w:p>
    <w:p w14:paraId="30A76ECA" w14:textId="77777777" w:rsidR="00EB0EB3" w:rsidRDefault="00EB0EB3" w:rsidP="007A7122">
      <w:pPr>
        <w:spacing w:line="360" w:lineRule="auto"/>
      </w:pPr>
      <w:r w:rsidRPr="00627AFD">
        <w:rPr>
          <w:lang w:bidi="ar-SA"/>
        </w:rPr>
        <w:t xml:space="preserve">Jacobs, L.M. Jr. (2024) ‘Wrong surgery, retention of foreign object top 2023 sentinel event list’, Bulletin of the American College of Surgeons, 109(7). Available at: </w:t>
      </w:r>
      <w:hyperlink r:id="rId20" w:history="1">
        <w:r w:rsidRPr="00662F69">
          <w:rPr>
            <w:rStyle w:val="Hyperlink"/>
            <w:lang w:bidi="ar-SA"/>
          </w:rPr>
          <w:t>https://www.facs.org/for-medical-professionals/news-publications/news-and-articles/bulletin/2024/julyaugust-2024-volume-109-issue-7/wrong-surgery-retention-of-foreign-object-top-2023-sentinel-event-list/</w:t>
        </w:r>
      </w:hyperlink>
      <w:r>
        <w:t xml:space="preserve"> </w:t>
      </w:r>
      <w:r w:rsidRPr="00627AFD">
        <w:rPr>
          <w:lang w:bidi="ar-SA"/>
        </w:rPr>
        <w:t xml:space="preserve"> (Accessed: 19 July 2026).</w:t>
      </w:r>
    </w:p>
    <w:p w14:paraId="22520231" w14:textId="4F35129C" w:rsidR="00EB0EB3" w:rsidRPr="009642B2" w:rsidRDefault="00EB0EB3" w:rsidP="007A7122">
      <w:pPr>
        <w:spacing w:line="360" w:lineRule="auto"/>
      </w:pPr>
      <w:r w:rsidRPr="009642B2">
        <w:t xml:space="preserve">Kamal, M.T., Khan, A., Siddiqui, A. </w:t>
      </w:r>
      <w:r w:rsidR="007A7122" w:rsidRPr="007A7122">
        <w:rPr>
          <w:i/>
          <w:iCs/>
        </w:rPr>
        <w:t>et al</w:t>
      </w:r>
      <w:r w:rsidRPr="009642B2">
        <w:t xml:space="preserve">. (2025) ‘Ensuring safe surgery: a closed-loop audit of the WHO Surgical Safety Checklist practices’, </w:t>
      </w:r>
      <w:proofErr w:type="spellStart"/>
      <w:r w:rsidRPr="009642B2">
        <w:rPr>
          <w:i/>
          <w:iCs/>
        </w:rPr>
        <w:t>Cureus</w:t>
      </w:r>
      <w:proofErr w:type="spellEnd"/>
      <w:r w:rsidRPr="009642B2">
        <w:t xml:space="preserve">, 17(6). Available at: </w:t>
      </w:r>
      <w:hyperlink r:id="rId21" w:tgtFrame="_blank" w:history="1">
        <w:r w:rsidRPr="009642B2">
          <w:rPr>
            <w:rStyle w:val="Hyperlink"/>
            <w:lang w:bidi="ar-SA"/>
          </w:rPr>
          <w:t>https://www.cureus.com/articles/376728-ensuring-safe-surgery-a-closed-loop-audit-of-the-who-surgical-safety-checklist-practices</w:t>
        </w:r>
      </w:hyperlink>
      <w:r w:rsidRPr="009642B2">
        <w:t xml:space="preserve"> (Accessed: 19 July 2026). </w:t>
      </w:r>
    </w:p>
    <w:p w14:paraId="3F2ADE3A" w14:textId="77777777" w:rsidR="00EB0EB3" w:rsidRPr="009642B2" w:rsidRDefault="00EB0EB3" w:rsidP="007A7122">
      <w:pPr>
        <w:spacing w:line="360" w:lineRule="auto"/>
      </w:pPr>
      <w:r w:rsidRPr="009642B2">
        <w:t xml:space="preserve">Krstulović, J., </w:t>
      </w:r>
      <w:proofErr w:type="spellStart"/>
      <w:r w:rsidRPr="009642B2">
        <w:t>Hrgović</w:t>
      </w:r>
      <w:proofErr w:type="spellEnd"/>
      <w:r w:rsidRPr="009642B2">
        <w:t xml:space="preserve">, Z., Krešo, A., </w:t>
      </w:r>
      <w:proofErr w:type="spellStart"/>
      <w:r w:rsidRPr="009642B2">
        <w:t>Tavra</w:t>
      </w:r>
      <w:proofErr w:type="spellEnd"/>
      <w:r w:rsidRPr="009642B2">
        <w:t>, A., Znaor, L. and Marušić, A., 2025, August. Interventions to improve compliance to surgical safety checklist use: before-and-after study at a tertiary public hospital in Croatia. In </w:t>
      </w:r>
      <w:r w:rsidRPr="009642B2">
        <w:rPr>
          <w:i/>
          <w:iCs/>
        </w:rPr>
        <w:t>Healthcare</w:t>
      </w:r>
      <w:r w:rsidRPr="009642B2">
        <w:t> (Vol. 13, No. 16, p. 1959). MDPI.</w:t>
      </w:r>
      <w:r>
        <w:t xml:space="preserve"> </w:t>
      </w:r>
      <w:r w:rsidRPr="009642B2">
        <w:t xml:space="preserve">Available at: </w:t>
      </w:r>
      <w:hyperlink r:id="rId22" w:tgtFrame="_blank" w:history="1">
        <w:r w:rsidRPr="009642B2">
          <w:rPr>
            <w:rStyle w:val="Hyperlink"/>
            <w:lang w:bidi="ar-SA"/>
          </w:rPr>
          <w:t>https://pmc.ncbi.nlm.nih.gov/articles/PMC12385942/</w:t>
        </w:r>
      </w:hyperlink>
      <w:r w:rsidRPr="009642B2">
        <w:t xml:space="preserve"> (Accessed: 19 July 2026). </w:t>
      </w:r>
    </w:p>
    <w:p w14:paraId="6A9C3B66" w14:textId="77777777" w:rsidR="00EB0EB3" w:rsidRPr="00F81F58" w:rsidRDefault="00EB0EB3" w:rsidP="007A7122">
      <w:pPr>
        <w:spacing w:line="360" w:lineRule="auto"/>
      </w:pPr>
      <w:r w:rsidRPr="00F81F58">
        <w:t xml:space="preserve">Kumah, A. (2025) ‘Poor quality care in healthcare settings: an overlooked epidemic’, </w:t>
      </w:r>
      <w:r w:rsidRPr="00F81F58">
        <w:rPr>
          <w:i/>
          <w:iCs/>
        </w:rPr>
        <w:t>Frontiers in Public Health</w:t>
      </w:r>
      <w:r w:rsidRPr="00F81F58">
        <w:t xml:space="preserve">, 13, article 1504172. Available at: </w:t>
      </w:r>
      <w:hyperlink r:id="rId23" w:tgtFrame="_blank" w:history="1">
        <w:r w:rsidRPr="00F81F58">
          <w:rPr>
            <w:rStyle w:val="Hyperlink"/>
            <w:lang w:bidi="ar-SA"/>
          </w:rPr>
          <w:t>https://www.frontiersin.org/journals/public-health/articles/10.3389/fpubh.2025.1504172/full</w:t>
        </w:r>
      </w:hyperlink>
      <w:r w:rsidRPr="00F81F58">
        <w:t xml:space="preserve"> (Accessed: 19 July 2026). </w:t>
      </w:r>
    </w:p>
    <w:p w14:paraId="069F9A37" w14:textId="77777777" w:rsidR="00EB0EB3" w:rsidRPr="00627AFD" w:rsidRDefault="00EB0EB3" w:rsidP="007A7122">
      <w:pPr>
        <w:spacing w:line="360" w:lineRule="auto"/>
      </w:pPr>
      <w:r w:rsidRPr="00627AFD">
        <w:t xml:space="preserve">Najla, S., Yuswardi, Jannah, N., </w:t>
      </w:r>
      <w:proofErr w:type="spellStart"/>
      <w:r w:rsidRPr="00627AFD">
        <w:t>Mayasari</w:t>
      </w:r>
      <w:proofErr w:type="spellEnd"/>
      <w:r w:rsidRPr="00627AFD">
        <w:t xml:space="preserve">, P. and Mulyadi (2025) ‘Ensuring patient safety in inpatient ward: a case study in identifying patient correctly among nurses’, </w:t>
      </w:r>
      <w:r w:rsidRPr="00627AFD">
        <w:rPr>
          <w:i/>
          <w:iCs/>
        </w:rPr>
        <w:t>Galore International Journal of Health Sciences and Research</w:t>
      </w:r>
      <w:r w:rsidRPr="00627AFD">
        <w:t xml:space="preserve">, 10(1). Available at: </w:t>
      </w:r>
      <w:hyperlink r:id="rId24" w:tgtFrame="_blank" w:history="1">
        <w:r w:rsidRPr="00627AFD">
          <w:rPr>
            <w:rStyle w:val="Hyperlink"/>
            <w:lang w:bidi="ar-SA"/>
          </w:rPr>
          <w:t>https://www.researchgate.net/publication/387672088_Ensuring_Patient_Safety_in_Inpatient_Ward_A_Case_Study_in_Identifying_Patient_Correctly_among_Nurses</w:t>
        </w:r>
      </w:hyperlink>
      <w:r w:rsidRPr="00627AFD">
        <w:t xml:space="preserve"> (Accessed: 19 July 2026). </w:t>
      </w:r>
    </w:p>
    <w:p w14:paraId="33EBE182" w14:textId="77777777" w:rsidR="00EB0EB3" w:rsidRDefault="00EB0EB3" w:rsidP="007A7122">
      <w:pPr>
        <w:spacing w:line="360" w:lineRule="auto"/>
      </w:pPr>
      <w:r w:rsidRPr="00F81F58">
        <w:t xml:space="preserve">Patole, S. (2026, April). </w:t>
      </w:r>
      <w:r>
        <w:t>‘</w:t>
      </w:r>
      <w:r w:rsidRPr="00F81F58">
        <w:t>Psychological safety in healthcare–helping everyone to speak up</w:t>
      </w:r>
      <w:r>
        <w:t>’</w:t>
      </w:r>
      <w:r w:rsidRPr="00F81F58">
        <w:t>. In </w:t>
      </w:r>
      <w:r w:rsidRPr="00F81F58">
        <w:rPr>
          <w:i/>
          <w:iCs/>
        </w:rPr>
        <w:t xml:space="preserve">Seminars in </w:t>
      </w:r>
      <w:proofErr w:type="spellStart"/>
      <w:r w:rsidRPr="00F81F58">
        <w:rPr>
          <w:i/>
          <w:iCs/>
        </w:rPr>
        <w:t>Fetal</w:t>
      </w:r>
      <w:proofErr w:type="spellEnd"/>
      <w:r w:rsidRPr="00F81F58">
        <w:rPr>
          <w:i/>
          <w:iCs/>
        </w:rPr>
        <w:t xml:space="preserve"> and Neonatal Medicine</w:t>
      </w:r>
      <w:r w:rsidRPr="00F81F58">
        <w:t> (p. 101738). WB Saunders.</w:t>
      </w:r>
      <w:r>
        <w:t xml:space="preserve"> </w:t>
      </w:r>
      <w:r w:rsidRPr="00F81F58">
        <w:t xml:space="preserve">Available at: </w:t>
      </w:r>
      <w:hyperlink r:id="rId25" w:tgtFrame="_blank" w:history="1">
        <w:r w:rsidRPr="00F81F58">
          <w:rPr>
            <w:rStyle w:val="Hyperlink"/>
            <w:lang w:bidi="ar-SA"/>
          </w:rPr>
          <w:t>https://www.sciencedirect.com/science/article/abs/pii/S1744165X26000405</w:t>
        </w:r>
      </w:hyperlink>
      <w:r w:rsidRPr="00F81F58">
        <w:t xml:space="preserve"> (Accessed: 19 July 2026).</w:t>
      </w:r>
    </w:p>
    <w:p w14:paraId="7B371489" w14:textId="77777777" w:rsidR="00EB0EB3" w:rsidRDefault="00EB0EB3" w:rsidP="007A7122">
      <w:pPr>
        <w:spacing w:line="360" w:lineRule="auto"/>
      </w:pPr>
      <w:r w:rsidRPr="00627AFD">
        <w:t>Rigamonti, D., Rigamonti, K.H. and Rigamonti, A.S., 2025. Retained foreign object signals a dangerous atmosphere in the operating room. </w:t>
      </w:r>
      <w:proofErr w:type="gramStart"/>
      <w:r w:rsidRPr="00627AFD">
        <w:rPr>
          <w:i/>
          <w:iCs/>
        </w:rPr>
        <w:t>Cureus.[</w:t>
      </w:r>
      <w:proofErr w:type="gramEnd"/>
      <w:r w:rsidRPr="00627AFD">
        <w:rPr>
          <w:i/>
          <w:iCs/>
        </w:rPr>
        <w:t>Internet]</w:t>
      </w:r>
      <w:r w:rsidRPr="00627AFD">
        <w:t>, </w:t>
      </w:r>
      <w:r w:rsidRPr="00627AFD">
        <w:rPr>
          <w:i/>
          <w:iCs/>
        </w:rPr>
        <w:t>9</w:t>
      </w:r>
      <w:r w:rsidRPr="00627AFD">
        <w:t>(17), p.3.</w:t>
      </w:r>
      <w:r>
        <w:t xml:space="preserve"> </w:t>
      </w:r>
      <w:r w:rsidRPr="00627AFD">
        <w:t xml:space="preserve">Available at: </w:t>
      </w:r>
      <w:hyperlink r:id="rId26" w:tgtFrame="_blank" w:history="1">
        <w:r w:rsidRPr="00627AFD">
          <w:rPr>
            <w:rStyle w:val="Hyperlink"/>
            <w:lang w:bidi="ar-SA"/>
          </w:rPr>
          <w:t>https://pmc.ncbi.nlm.nih.gov/articles/PMC11978358/</w:t>
        </w:r>
      </w:hyperlink>
      <w:r w:rsidRPr="00627AFD">
        <w:t xml:space="preserve"> (Accessed: 19 July 2026). </w:t>
      </w:r>
    </w:p>
    <w:p w14:paraId="0B1BC395" w14:textId="77777777" w:rsidR="00EB0EB3" w:rsidRPr="00F81F58" w:rsidRDefault="00EB0EB3" w:rsidP="007A7122">
      <w:pPr>
        <w:spacing w:line="360" w:lineRule="auto"/>
      </w:pPr>
      <w:r w:rsidRPr="00F81F58">
        <w:t xml:space="preserve">Shetty, N. (2022) ‘Patient safety – are we doing enough?’, </w:t>
      </w:r>
      <w:r w:rsidRPr="00F81F58">
        <w:rPr>
          <w:i/>
          <w:iCs/>
        </w:rPr>
        <w:t>Archives of Medicine and Health Sciences</w:t>
      </w:r>
      <w:r w:rsidRPr="00F81F58">
        <w:t xml:space="preserve">, 10(2), pp. 157–159. Available at: </w:t>
      </w:r>
      <w:hyperlink r:id="rId27" w:tgtFrame="_blank" w:history="1">
        <w:r w:rsidRPr="00F81F58">
          <w:rPr>
            <w:rStyle w:val="Hyperlink"/>
            <w:lang w:bidi="ar-SA"/>
          </w:rPr>
          <w:t>https://journals.lww.com/armh/fulltext/2022/10020/patient_safety___are_we_doing_enough_.3.aspx</w:t>
        </w:r>
      </w:hyperlink>
      <w:r w:rsidRPr="00F81F58">
        <w:t xml:space="preserve"> (Accessed: 19 July 2026). </w:t>
      </w:r>
    </w:p>
    <w:p w14:paraId="432AEFB0" w14:textId="77777777" w:rsidR="00EB0EB3" w:rsidRPr="00F81F58" w:rsidRDefault="00EB0EB3" w:rsidP="007A7122">
      <w:pPr>
        <w:spacing w:line="360" w:lineRule="auto"/>
      </w:pPr>
      <w:r w:rsidRPr="00F81F58">
        <w:t xml:space="preserve">Taylor, M. A., Quesenberry, M., </w:t>
      </w:r>
      <w:r>
        <w:t>and</w:t>
      </w:r>
      <w:r w:rsidRPr="00F81F58">
        <w:t xml:space="preserve"> </w:t>
      </w:r>
      <w:proofErr w:type="spellStart"/>
      <w:r w:rsidRPr="00F81F58">
        <w:t>Yonash</w:t>
      </w:r>
      <w:proofErr w:type="spellEnd"/>
      <w:r w:rsidRPr="00F81F58">
        <w:t xml:space="preserve">, R. (2026). </w:t>
      </w:r>
      <w:r>
        <w:t>‘</w:t>
      </w:r>
      <w:r w:rsidRPr="00F81F58">
        <w:t>Wrong Site Surgery: A Study of 664 Events From 237 Facilities Across a 10-Year Period</w:t>
      </w:r>
      <w:r>
        <w:t>’,</w:t>
      </w:r>
      <w:r w:rsidRPr="00F81F58">
        <w:t> </w:t>
      </w:r>
      <w:r w:rsidRPr="00F81F58">
        <w:rPr>
          <w:i/>
          <w:iCs/>
        </w:rPr>
        <w:t>PATIENT SAFETY</w:t>
      </w:r>
      <w:r w:rsidRPr="00F81F58">
        <w:t>, </w:t>
      </w:r>
      <w:r w:rsidRPr="00F81F58">
        <w:rPr>
          <w:i/>
          <w:iCs/>
        </w:rPr>
        <w:t>8</w:t>
      </w:r>
      <w:r w:rsidRPr="00F81F58">
        <w:t>(2).</w:t>
      </w:r>
      <w:r>
        <w:t xml:space="preserve"> </w:t>
      </w:r>
      <w:r w:rsidRPr="00F81F58">
        <w:t xml:space="preserve"> Available at: </w:t>
      </w:r>
      <w:hyperlink r:id="rId28" w:history="1">
        <w:r w:rsidRPr="00662F69">
          <w:rPr>
            <w:rStyle w:val="Hyperlink"/>
          </w:rPr>
          <w:t>https://patientsafetyj.com/article/156001.pdf</w:t>
        </w:r>
      </w:hyperlink>
      <w:r>
        <w:t xml:space="preserve"> </w:t>
      </w:r>
      <w:r w:rsidRPr="00F81F58">
        <w:t xml:space="preserve"> (Accessed: 19 July 2026). </w:t>
      </w:r>
    </w:p>
    <w:p w14:paraId="613A147E" w14:textId="77777777" w:rsidR="00EB0EB3" w:rsidRPr="00627AFD" w:rsidRDefault="00EB0EB3" w:rsidP="007A7122">
      <w:pPr>
        <w:spacing w:line="360" w:lineRule="auto"/>
      </w:pPr>
      <w:r w:rsidRPr="00627AFD">
        <w:t xml:space="preserve">Taylor, M.A. and Yonash, R.A. (2024) ‘Risk factors for wrong-site surgery: a study of 1,166 reports of informed consent and schedule errors’, </w:t>
      </w:r>
      <w:r w:rsidRPr="00627AFD">
        <w:rPr>
          <w:i/>
          <w:iCs/>
        </w:rPr>
        <w:t>Patient Safety</w:t>
      </w:r>
      <w:r w:rsidRPr="00627AFD">
        <w:t xml:space="preserve">, 6(1). Available at: </w:t>
      </w:r>
      <w:hyperlink r:id="rId29" w:tgtFrame="_blank" w:history="1">
        <w:r w:rsidRPr="00627AFD">
          <w:rPr>
            <w:rStyle w:val="Hyperlink"/>
            <w:lang w:bidi="ar-SA"/>
          </w:rPr>
          <w:t>https://patientsafetyj.com/article/117084-risk-factors-for-wrong-site-surgery-a-study-of-1-166-reports-of-informed-consent-and-schedule-errors</w:t>
        </w:r>
      </w:hyperlink>
      <w:r w:rsidRPr="00627AFD">
        <w:t xml:space="preserve"> (Accessed: 19 July 2026). </w:t>
      </w:r>
    </w:p>
    <w:p w14:paraId="0C3112A6" w14:textId="77777777" w:rsidR="00EB0EB3" w:rsidRPr="00627AFD" w:rsidRDefault="00EB0EB3" w:rsidP="007A7122">
      <w:pPr>
        <w:spacing w:before="0" w:after="160" w:line="360" w:lineRule="auto"/>
        <w:rPr>
          <w:lang w:bidi="ar-SA"/>
        </w:rPr>
      </w:pPr>
      <w:r w:rsidRPr="00627AFD">
        <w:rPr>
          <w:lang w:bidi="ar-SA"/>
        </w:rPr>
        <w:t xml:space="preserve">The Joint Commission (2024) Sentinel Event Data 2023 Annual Review. Oakbrook Terrace, IL: The Joint Commission. Available at: </w:t>
      </w:r>
      <w:hyperlink r:id="rId30" w:history="1">
        <w:r w:rsidRPr="00662F69">
          <w:rPr>
            <w:rStyle w:val="Hyperlink"/>
            <w:lang w:bidi="ar-SA"/>
          </w:rPr>
          <w:t>https://www.thomaslawoffices.com/wp-content/uploads/2024/11/2024_Sentinel-Event-_Annual-Review_published-2024.pdf</w:t>
        </w:r>
      </w:hyperlink>
      <w:r>
        <w:t xml:space="preserve"> </w:t>
      </w:r>
      <w:r w:rsidRPr="00627AFD">
        <w:rPr>
          <w:lang w:bidi="ar-SA"/>
        </w:rPr>
        <w:t xml:space="preserve"> (Accessed: 19 July 2026).</w:t>
      </w:r>
    </w:p>
    <w:p w14:paraId="51A51ADC" w14:textId="255098F7" w:rsidR="00EB0EB3" w:rsidRPr="00627AFD" w:rsidRDefault="00EB0EB3" w:rsidP="007A7122">
      <w:pPr>
        <w:spacing w:before="0" w:after="160" w:line="360" w:lineRule="auto"/>
        <w:rPr>
          <w:lang w:bidi="ar-SA"/>
        </w:rPr>
      </w:pPr>
      <w:r w:rsidRPr="00627AFD">
        <w:rPr>
          <w:lang w:bidi="ar-SA"/>
        </w:rPr>
        <w:t xml:space="preserve">Vikan, M., </w:t>
      </w:r>
      <w:proofErr w:type="spellStart"/>
      <w:r w:rsidRPr="00627AFD">
        <w:rPr>
          <w:lang w:bidi="ar-SA"/>
        </w:rPr>
        <w:t>Deilkås</w:t>
      </w:r>
      <w:proofErr w:type="spellEnd"/>
      <w:r w:rsidRPr="00627AFD">
        <w:rPr>
          <w:lang w:bidi="ar-SA"/>
        </w:rPr>
        <w:t xml:space="preserve">, E.C., </w:t>
      </w:r>
      <w:proofErr w:type="spellStart"/>
      <w:r w:rsidRPr="00627AFD">
        <w:rPr>
          <w:lang w:bidi="ar-SA"/>
        </w:rPr>
        <w:t>Valeberg</w:t>
      </w:r>
      <w:proofErr w:type="spellEnd"/>
      <w:r w:rsidRPr="00627AFD">
        <w:rPr>
          <w:lang w:bidi="ar-SA"/>
        </w:rPr>
        <w:t xml:space="preserve">, B.T. </w:t>
      </w:r>
      <w:r w:rsidR="007A7122" w:rsidRPr="007A7122">
        <w:rPr>
          <w:i/>
          <w:iCs/>
          <w:lang w:bidi="ar-SA"/>
        </w:rPr>
        <w:t>et al</w:t>
      </w:r>
      <w:r w:rsidRPr="00627AFD">
        <w:rPr>
          <w:lang w:bidi="ar-SA"/>
        </w:rPr>
        <w:t xml:space="preserve">. (2024) ‘The anatomy of safe surgical teams: an interview-based qualitative study among members of surgical teams at tertiary referral hospitals in Norway’, Patient Safety in Surgery, 18, article 9. Available at: </w:t>
      </w:r>
      <w:hyperlink r:id="rId31" w:history="1">
        <w:r w:rsidRPr="00662F69">
          <w:rPr>
            <w:rStyle w:val="Hyperlink"/>
            <w:lang w:bidi="ar-SA"/>
          </w:rPr>
          <w:t>https://link.springer.com/article/10.1186/s13037-024-00389-w</w:t>
        </w:r>
      </w:hyperlink>
      <w:r>
        <w:t xml:space="preserve"> </w:t>
      </w:r>
      <w:r w:rsidRPr="00627AFD">
        <w:rPr>
          <w:lang w:bidi="ar-SA"/>
        </w:rPr>
        <w:t>(Accessed: 19 July 2026).</w:t>
      </w:r>
    </w:p>
    <w:p w14:paraId="4604385F" w14:textId="77777777" w:rsidR="00EB0EB3" w:rsidRPr="00627AFD" w:rsidRDefault="00EB0EB3" w:rsidP="007A7122">
      <w:pPr>
        <w:spacing w:line="360" w:lineRule="auto"/>
      </w:pPr>
      <w:r w:rsidRPr="00627AFD">
        <w:t xml:space="preserve">Weatherford, E., Grauer, A., </w:t>
      </w:r>
      <w:proofErr w:type="spellStart"/>
      <w:r w:rsidRPr="00627AFD">
        <w:t>Sirochinsky</w:t>
      </w:r>
      <w:proofErr w:type="spellEnd"/>
      <w:r w:rsidRPr="00627AFD">
        <w:t xml:space="preserve">, C., Lehman, I.F., Thummala, N., Callahan, M., Sittig, D.F., Singh, H., </w:t>
      </w:r>
      <w:proofErr w:type="spellStart"/>
      <w:r w:rsidRPr="00627AFD">
        <w:t>Salmasian</w:t>
      </w:r>
      <w:proofErr w:type="spellEnd"/>
      <w:r w:rsidRPr="00627AFD">
        <w:t>, H., Jurgens, M. and Adelman, J.S., 2026. Developing updated and new guidance to promote reliable patient identification. </w:t>
      </w:r>
      <w:r w:rsidRPr="00627AFD">
        <w:rPr>
          <w:i/>
          <w:iCs/>
        </w:rPr>
        <w:t>JAMIA open</w:t>
      </w:r>
      <w:r w:rsidRPr="00627AFD">
        <w:t>, </w:t>
      </w:r>
      <w:r w:rsidRPr="00627AFD">
        <w:rPr>
          <w:i/>
          <w:iCs/>
        </w:rPr>
        <w:t>9</w:t>
      </w:r>
      <w:r w:rsidRPr="00627AFD">
        <w:t xml:space="preserve">(1), </w:t>
      </w:r>
      <w:proofErr w:type="gramStart"/>
      <w:r w:rsidRPr="00627AFD">
        <w:t>p.ooaf</w:t>
      </w:r>
      <w:proofErr w:type="gramEnd"/>
      <w:r w:rsidRPr="00627AFD">
        <w:t>160.</w:t>
      </w:r>
      <w:r>
        <w:t xml:space="preserve"> </w:t>
      </w:r>
      <w:r w:rsidRPr="00627AFD">
        <w:t xml:space="preserve">Available at: </w:t>
      </w:r>
      <w:hyperlink r:id="rId32" w:tgtFrame="_blank" w:history="1">
        <w:r w:rsidRPr="00627AFD">
          <w:rPr>
            <w:rStyle w:val="Hyperlink"/>
            <w:lang w:bidi="ar-SA"/>
          </w:rPr>
          <w:t>https://pmc.ncbi.nlm.nih.gov/articles/PMC12772641/</w:t>
        </w:r>
      </w:hyperlink>
      <w:r w:rsidRPr="00627AFD">
        <w:t xml:space="preserve"> (Accessed: 19 July 2026). </w:t>
      </w:r>
    </w:p>
    <w:p w14:paraId="2AF3752C" w14:textId="77777777" w:rsidR="00EB0EB3" w:rsidRPr="00F81F58" w:rsidRDefault="00EB0EB3" w:rsidP="007A7122">
      <w:pPr>
        <w:spacing w:line="360" w:lineRule="auto"/>
      </w:pPr>
      <w:r w:rsidRPr="00F81F58">
        <w:lastRenderedPageBreak/>
        <w:t xml:space="preserve">World Health Organization (2023) </w:t>
      </w:r>
      <w:r w:rsidRPr="00F81F58">
        <w:rPr>
          <w:i/>
          <w:iCs/>
        </w:rPr>
        <w:t>Patient safety</w:t>
      </w:r>
      <w:r w:rsidRPr="00F81F58">
        <w:t xml:space="preserve"> (Fact sheet). Geneva: WHO. Available at: </w:t>
      </w:r>
      <w:hyperlink r:id="rId33" w:tgtFrame="_blank" w:history="1">
        <w:r w:rsidRPr="00F81F58">
          <w:rPr>
            <w:rStyle w:val="Hyperlink"/>
            <w:lang w:bidi="ar-SA"/>
          </w:rPr>
          <w:t>https://www.who.int/news-room/fact-sheets/detail/patient-safety</w:t>
        </w:r>
      </w:hyperlink>
      <w:r w:rsidRPr="00F81F58">
        <w:t xml:space="preserve"> (Accessed: 19 July 2026). </w:t>
      </w:r>
    </w:p>
    <w:p w14:paraId="58E2D899" w14:textId="77777777" w:rsidR="00EB0EB3" w:rsidRPr="00F81F58" w:rsidRDefault="00EB0EB3" w:rsidP="007A7122">
      <w:pPr>
        <w:spacing w:line="360" w:lineRule="auto"/>
      </w:pPr>
      <w:r w:rsidRPr="00F81F58">
        <w:t>World Health Organization (</w:t>
      </w:r>
      <w:r>
        <w:t>2026</w:t>
      </w:r>
      <w:r w:rsidRPr="00F81F58">
        <w:t xml:space="preserve">) </w:t>
      </w:r>
      <w:r w:rsidRPr="00F81F58">
        <w:rPr>
          <w:i/>
          <w:iCs/>
        </w:rPr>
        <w:t>Safe surgery: tool and resources – WHO Surgical Safety Checklist</w:t>
      </w:r>
      <w:r w:rsidRPr="00F81F58">
        <w:t xml:space="preserve">. Geneva: WHO. Available at: </w:t>
      </w:r>
      <w:hyperlink r:id="rId34" w:tgtFrame="_blank" w:history="1">
        <w:r w:rsidRPr="00F81F58">
          <w:rPr>
            <w:rStyle w:val="Hyperlink"/>
            <w:lang w:bidi="ar-SA"/>
          </w:rPr>
          <w:t>https://www.who.int/teams/integrated-health-services/patient-safety/research/safe-surgery/tool-and-resources</w:t>
        </w:r>
      </w:hyperlink>
      <w:r w:rsidRPr="00F81F58">
        <w:t xml:space="preserve"> (Accessed: 19 July 2026). </w:t>
      </w:r>
    </w:p>
    <w:p w14:paraId="119C4797" w14:textId="77777777" w:rsidR="00EB0EB3" w:rsidRPr="00627AFD" w:rsidRDefault="00EB0EB3" w:rsidP="007A7122">
      <w:pPr>
        <w:spacing w:before="0" w:after="160" w:line="360" w:lineRule="auto"/>
        <w:rPr>
          <w:lang w:bidi="ar-SA"/>
        </w:rPr>
      </w:pPr>
      <w:r w:rsidRPr="00627AFD">
        <w:rPr>
          <w:lang w:bidi="ar-SA"/>
        </w:rPr>
        <w:t xml:space="preserve">Wright, M.I., Kernen, K. and </w:t>
      </w:r>
      <w:proofErr w:type="spellStart"/>
      <w:r w:rsidRPr="00627AFD">
        <w:rPr>
          <w:lang w:bidi="ar-SA"/>
        </w:rPr>
        <w:t>Kouevi</w:t>
      </w:r>
      <w:proofErr w:type="spellEnd"/>
      <w:r w:rsidRPr="00627AFD">
        <w:rPr>
          <w:lang w:bidi="ar-SA"/>
        </w:rPr>
        <w:t xml:space="preserve">, D. (2024) ‘The art of speaking up: supporting a culture of safety in the OR’, AORN Journal, 120(3), pp. 134–142. Available at: </w:t>
      </w:r>
      <w:hyperlink r:id="rId35" w:history="1">
        <w:r w:rsidRPr="00662F69">
          <w:rPr>
            <w:rStyle w:val="Hyperlink"/>
            <w:lang w:bidi="ar-SA"/>
          </w:rPr>
          <w:t>https://aornjournal.onlinelibrary.wiley.com/doi/10.1002/aorn.14202</w:t>
        </w:r>
      </w:hyperlink>
      <w:r>
        <w:t xml:space="preserve"> </w:t>
      </w:r>
      <w:r w:rsidRPr="00627AFD">
        <w:rPr>
          <w:lang w:bidi="ar-SA"/>
        </w:rPr>
        <w:t xml:space="preserve"> (Accessed: 19 July 2026).</w:t>
      </w:r>
    </w:p>
    <w:p w14:paraId="337335D0" w14:textId="77777777" w:rsidR="00EB0EB3" w:rsidRPr="009642B2" w:rsidRDefault="00EB0EB3" w:rsidP="007A7122">
      <w:pPr>
        <w:spacing w:line="360" w:lineRule="auto"/>
      </w:pPr>
      <w:r w:rsidRPr="009642B2">
        <w:t xml:space="preserve">Yousif, M., Alhadi, I.A.H., Abdalla, E., </w:t>
      </w:r>
      <w:proofErr w:type="spellStart"/>
      <w:r w:rsidRPr="009642B2">
        <w:t>Altayeb</w:t>
      </w:r>
      <w:proofErr w:type="spellEnd"/>
      <w:r w:rsidRPr="009642B2">
        <w:t xml:space="preserve">, H.S.A., Mohamed, I.A.A., </w:t>
      </w:r>
      <w:proofErr w:type="spellStart"/>
      <w:r w:rsidRPr="009642B2">
        <w:t>Elbashier</w:t>
      </w:r>
      <w:proofErr w:type="spellEnd"/>
      <w:r w:rsidRPr="009642B2">
        <w:t xml:space="preserve">, M.E.M., Ahmed, H.B.E., Ziada, M., Hamad, I.H.I., Elnour, M.A.A.E. and Omer, H.F.E., 2025. Improving Compliance </w:t>
      </w:r>
      <w:proofErr w:type="gramStart"/>
      <w:r w:rsidRPr="009642B2">
        <w:t>With</w:t>
      </w:r>
      <w:proofErr w:type="gramEnd"/>
      <w:r w:rsidRPr="009642B2">
        <w:t xml:space="preserve"> the Surgical Safety Checklist: A Quality Improvement Project at </w:t>
      </w:r>
      <w:proofErr w:type="spellStart"/>
      <w:r w:rsidRPr="009642B2">
        <w:t>Almanagil</w:t>
      </w:r>
      <w:proofErr w:type="spellEnd"/>
      <w:r w:rsidRPr="009642B2">
        <w:t xml:space="preserve"> Teaching Hospital, Sudan. </w:t>
      </w:r>
      <w:r w:rsidRPr="009642B2">
        <w:rPr>
          <w:i/>
          <w:iCs/>
        </w:rPr>
        <w:t>Cureus</w:t>
      </w:r>
      <w:r w:rsidRPr="009642B2">
        <w:t>, </w:t>
      </w:r>
      <w:r w:rsidRPr="009642B2">
        <w:rPr>
          <w:i/>
          <w:iCs/>
        </w:rPr>
        <w:t>17</w:t>
      </w:r>
      <w:r w:rsidRPr="009642B2">
        <w:t>(10).</w:t>
      </w:r>
      <w:r>
        <w:t xml:space="preserve"> </w:t>
      </w:r>
      <w:r w:rsidRPr="009642B2">
        <w:t xml:space="preserve">Available at: </w:t>
      </w:r>
      <w:hyperlink r:id="rId36" w:tgtFrame="_blank" w:history="1">
        <w:r w:rsidRPr="009642B2">
          <w:rPr>
            <w:rStyle w:val="Hyperlink"/>
            <w:lang w:bidi="ar-SA"/>
          </w:rPr>
          <w:t>https://pmc.ncbi.nlm.nih.gov/articles/PMC12549014/</w:t>
        </w:r>
      </w:hyperlink>
      <w:r w:rsidRPr="009642B2">
        <w:t xml:space="preserve"> (Accessed: 19 July 2026). </w:t>
      </w:r>
    </w:p>
    <w:p w14:paraId="65E42AC0" w14:textId="77777777" w:rsidR="00EB0EB3" w:rsidRPr="00627AFD" w:rsidRDefault="00EB0EB3" w:rsidP="007A7122">
      <w:pPr>
        <w:spacing w:line="360" w:lineRule="auto"/>
      </w:pPr>
      <w:r w:rsidRPr="009642B2">
        <w:t>Yusuf, F.Y., Hussein, A.M., Elmi, A.H., Mohamed, D.A. and Abdi, A.O., 2025. Improving Surgical Safety in Somalia a Closed-Loop Audit Study of WHO Surgical Safety Checklist Adherence. </w:t>
      </w:r>
      <w:r w:rsidRPr="009642B2">
        <w:rPr>
          <w:i/>
          <w:iCs/>
        </w:rPr>
        <w:t>Risk Management and Healthcare Policy</w:t>
      </w:r>
      <w:r w:rsidRPr="009642B2">
        <w:t>, pp.4003-4010.</w:t>
      </w:r>
      <w:r>
        <w:t xml:space="preserve"> </w:t>
      </w:r>
      <w:r w:rsidRPr="009642B2">
        <w:t xml:space="preserve">Available at: </w:t>
      </w:r>
      <w:hyperlink r:id="rId37" w:tgtFrame="_blank" w:history="1">
        <w:r w:rsidRPr="009642B2">
          <w:rPr>
            <w:rStyle w:val="Hyperlink"/>
            <w:lang w:bidi="ar-SA"/>
          </w:rPr>
          <w:t>https://pubmed.ncbi.nlm.nih.gov/41467101/</w:t>
        </w:r>
      </w:hyperlink>
      <w:r w:rsidRPr="009642B2">
        <w:t xml:space="preserve"> (Accessed: 19 July 2026).</w:t>
      </w:r>
    </w:p>
    <w:p w14:paraId="34395C94" w14:textId="4197203A" w:rsidR="007E0D85" w:rsidRDefault="007E0D85" w:rsidP="007A7122">
      <w:pPr>
        <w:spacing w:line="360" w:lineRule="auto"/>
      </w:pPr>
    </w:p>
    <w:sectPr w:rsidR="007E0D85" w:rsidSect="009337D9">
      <w:headerReference w:type="default" r:id="rId38"/>
      <w:footerReference w:type="default" r:id="rId39"/>
      <w:pgSz w:w="11906" w:h="16838"/>
      <w:pgMar w:top="1134" w:right="1134" w:bottom="1134" w:left="1134"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5AC049" w14:textId="77777777" w:rsidR="00AE1BD7" w:rsidRDefault="00AE1BD7">
      <w:pPr>
        <w:spacing w:before="0" w:after="0"/>
      </w:pPr>
      <w:r>
        <w:separator/>
      </w:r>
    </w:p>
  </w:endnote>
  <w:endnote w:type="continuationSeparator" w:id="0">
    <w:p w14:paraId="5372AFD5" w14:textId="77777777" w:rsidR="00AE1BD7" w:rsidRDefault="00AE1BD7">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85A0B6" w14:textId="77777777" w:rsidR="007E0D85" w:rsidRDefault="00AE1BD7">
    <w:pPr>
      <w:jc w:val="center"/>
    </w:pPr>
    <w:r>
      <w:rPr>
        <w:sz w:val="20"/>
      </w:rPr>
      <w:t xml:space="preserve">Page </w:t>
    </w:r>
    <w:r>
      <w:fldChar w:fldCharType="begin"/>
    </w:r>
    <w:r>
      <w:rPr>
        <w:sz w:val="20"/>
      </w:rPr>
      <w:instrText>PAGE</w:instrText>
    </w:r>
    <w:r>
      <w:fldChar w:fldCharType="separate"/>
    </w:r>
    <w:r w:rsidR="006A3C86">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FAC660" w14:textId="77777777" w:rsidR="00AE1BD7" w:rsidRDefault="00AE1BD7">
      <w:pPr>
        <w:spacing w:before="0" w:after="0"/>
      </w:pPr>
      <w:r>
        <w:separator/>
      </w:r>
    </w:p>
  </w:footnote>
  <w:footnote w:type="continuationSeparator" w:id="0">
    <w:p w14:paraId="40503169" w14:textId="77777777" w:rsidR="00AE1BD7" w:rsidRDefault="00AE1BD7">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C509DB" w14:textId="408E793E" w:rsidR="007E0D85" w:rsidRDefault="007E0D85">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BE6D29"/>
    <w:multiLevelType w:val="hybridMultilevel"/>
    <w:tmpl w:val="071ABF4C"/>
    <w:lvl w:ilvl="0" w:tplc="7966DC14">
      <w:start w:val="1"/>
      <w:numFmt w:val="bullet"/>
      <w:lvlText w:val="●"/>
      <w:lvlJc w:val="left"/>
      <w:pPr>
        <w:ind w:left="720" w:hanging="360"/>
      </w:pPr>
    </w:lvl>
    <w:lvl w:ilvl="1" w:tplc="95928962">
      <w:start w:val="1"/>
      <w:numFmt w:val="bullet"/>
      <w:lvlText w:val="○"/>
      <w:lvlJc w:val="left"/>
      <w:pPr>
        <w:ind w:left="1440" w:hanging="360"/>
      </w:pPr>
    </w:lvl>
    <w:lvl w:ilvl="2" w:tplc="07361E44">
      <w:start w:val="1"/>
      <w:numFmt w:val="bullet"/>
      <w:lvlText w:val="■"/>
      <w:lvlJc w:val="left"/>
      <w:pPr>
        <w:ind w:left="2160" w:hanging="360"/>
      </w:pPr>
    </w:lvl>
    <w:lvl w:ilvl="3" w:tplc="594A038A">
      <w:start w:val="1"/>
      <w:numFmt w:val="bullet"/>
      <w:lvlText w:val="●"/>
      <w:lvlJc w:val="left"/>
      <w:pPr>
        <w:ind w:left="2880" w:hanging="360"/>
      </w:pPr>
    </w:lvl>
    <w:lvl w:ilvl="4" w:tplc="2D50B132">
      <w:start w:val="1"/>
      <w:numFmt w:val="bullet"/>
      <w:lvlText w:val="○"/>
      <w:lvlJc w:val="left"/>
      <w:pPr>
        <w:ind w:left="3600" w:hanging="360"/>
      </w:pPr>
    </w:lvl>
    <w:lvl w:ilvl="5" w:tplc="6310BBF2">
      <w:start w:val="1"/>
      <w:numFmt w:val="bullet"/>
      <w:lvlText w:val="■"/>
      <w:lvlJc w:val="left"/>
      <w:pPr>
        <w:ind w:left="4320" w:hanging="360"/>
      </w:pPr>
    </w:lvl>
    <w:lvl w:ilvl="6" w:tplc="C3922978">
      <w:start w:val="1"/>
      <w:numFmt w:val="bullet"/>
      <w:lvlText w:val="●"/>
      <w:lvlJc w:val="left"/>
      <w:pPr>
        <w:ind w:left="5040" w:hanging="360"/>
      </w:pPr>
    </w:lvl>
    <w:lvl w:ilvl="7" w:tplc="3E5223A8">
      <w:start w:val="1"/>
      <w:numFmt w:val="bullet"/>
      <w:lvlText w:val="●"/>
      <w:lvlJc w:val="left"/>
      <w:pPr>
        <w:ind w:left="5760" w:hanging="360"/>
      </w:pPr>
    </w:lvl>
    <w:lvl w:ilvl="8" w:tplc="4F724AF4">
      <w:start w:val="1"/>
      <w:numFmt w:val="bullet"/>
      <w:lvlText w:val="●"/>
      <w:lvlJc w:val="left"/>
      <w:pPr>
        <w:ind w:left="6480" w:hanging="360"/>
      </w:pPr>
    </w:lvl>
  </w:abstractNum>
  <w:num w:numId="1" w16cid:durableId="45652927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0D85"/>
    <w:rsid w:val="00207320"/>
    <w:rsid w:val="004132F6"/>
    <w:rsid w:val="006A3C86"/>
    <w:rsid w:val="00712A14"/>
    <w:rsid w:val="007A7122"/>
    <w:rsid w:val="007E0D85"/>
    <w:rsid w:val="007F2BD1"/>
    <w:rsid w:val="008F34D7"/>
    <w:rsid w:val="009337D9"/>
    <w:rsid w:val="009C3E5A"/>
    <w:rsid w:val="00A866B4"/>
    <w:rsid w:val="00AA604D"/>
    <w:rsid w:val="00AE1BD7"/>
    <w:rsid w:val="00B8466E"/>
    <w:rsid w:val="00D3635F"/>
    <w:rsid w:val="00EB0EB3"/>
    <w:rsid w:val="00ED2449"/>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BFD57"/>
  <w15:docId w15:val="{46DDE19F-9646-4FE8-B137-FBBF0C651E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3C86"/>
    <w:pPr>
      <w:spacing w:before="120" w:after="120"/>
      <w:jc w:val="both"/>
    </w:pPr>
    <w:rPr>
      <w:sz w:val="24"/>
    </w:rPr>
  </w:style>
  <w:style w:type="paragraph" w:styleId="Heading1">
    <w:name w:val="heading 1"/>
    <w:uiPriority w:val="9"/>
    <w:qFormat/>
    <w:rsid w:val="006A3C86"/>
    <w:pPr>
      <w:spacing w:before="120" w:after="120"/>
      <w:outlineLvl w:val="0"/>
    </w:pPr>
    <w:rPr>
      <w:b/>
      <w:bCs/>
      <w:sz w:val="28"/>
      <w:szCs w:val="28"/>
    </w:rPr>
  </w:style>
  <w:style w:type="paragraph" w:styleId="Heading2">
    <w:name w:val="heading 2"/>
    <w:uiPriority w:val="9"/>
    <w:unhideWhenUsed/>
    <w:qFormat/>
    <w:rsid w:val="006A3C86"/>
    <w:pPr>
      <w:spacing w:before="120" w:after="120"/>
      <w:outlineLvl w:val="1"/>
    </w:pPr>
    <w:rPr>
      <w:b/>
      <w:bCs/>
      <w:sz w:val="26"/>
      <w:szCs w:val="26"/>
    </w:rPr>
  </w:style>
  <w:style w:type="paragraph" w:styleId="Heading3">
    <w:name w:val="heading 3"/>
    <w:uiPriority w:val="9"/>
    <w:semiHidden/>
    <w:unhideWhenUsed/>
    <w:qFormat/>
    <w:rsid w:val="006A3C86"/>
    <w:pPr>
      <w:spacing w:before="120" w:after="120"/>
      <w:outlineLvl w:val="2"/>
    </w:pPr>
    <w:rPr>
      <w:b/>
      <w:bCs/>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EB0EB3"/>
    <w:pPr>
      <w:tabs>
        <w:tab w:val="center" w:pos="4513"/>
        <w:tab w:val="right" w:pos="9026"/>
      </w:tabs>
      <w:spacing w:before="0" w:after="0"/>
    </w:pPr>
  </w:style>
  <w:style w:type="character" w:customStyle="1" w:styleId="HeaderChar">
    <w:name w:val="Header Char"/>
    <w:basedOn w:val="DefaultParagraphFont"/>
    <w:link w:val="Header"/>
    <w:uiPriority w:val="99"/>
    <w:rsid w:val="00EB0EB3"/>
    <w:rPr>
      <w:sz w:val="24"/>
    </w:rPr>
  </w:style>
  <w:style w:type="paragraph" w:styleId="Footer">
    <w:name w:val="footer"/>
    <w:basedOn w:val="Normal"/>
    <w:link w:val="FooterChar"/>
    <w:uiPriority w:val="99"/>
    <w:unhideWhenUsed/>
    <w:rsid w:val="00EB0EB3"/>
    <w:pPr>
      <w:tabs>
        <w:tab w:val="center" w:pos="4513"/>
        <w:tab w:val="right" w:pos="9026"/>
      </w:tabs>
      <w:spacing w:before="0" w:after="0"/>
    </w:pPr>
  </w:style>
  <w:style w:type="character" w:customStyle="1" w:styleId="FooterChar">
    <w:name w:val="Footer Char"/>
    <w:basedOn w:val="DefaultParagraphFont"/>
    <w:link w:val="Footer"/>
    <w:uiPriority w:val="99"/>
    <w:rsid w:val="00EB0EB3"/>
    <w:rPr>
      <w:sz w:val="24"/>
    </w:rPr>
  </w:style>
  <w:style w:type="paragraph" w:styleId="TOCHeading">
    <w:name w:val="TOC Heading"/>
    <w:basedOn w:val="Heading1"/>
    <w:next w:val="Normal"/>
    <w:uiPriority w:val="39"/>
    <w:unhideWhenUsed/>
    <w:qFormat/>
    <w:rsid w:val="007A7122"/>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lang w:val="en-US" w:eastAsia="en-US" w:bidi="ar-SA"/>
    </w:rPr>
  </w:style>
  <w:style w:type="paragraph" w:styleId="TOC1">
    <w:name w:val="toc 1"/>
    <w:basedOn w:val="Normal"/>
    <w:next w:val="Normal"/>
    <w:autoRedefine/>
    <w:uiPriority w:val="39"/>
    <w:unhideWhenUsed/>
    <w:rsid w:val="007A7122"/>
    <w:pPr>
      <w:spacing w:after="100"/>
    </w:pPr>
  </w:style>
  <w:style w:type="paragraph" w:styleId="TOC2">
    <w:name w:val="toc 2"/>
    <w:basedOn w:val="Normal"/>
    <w:next w:val="Normal"/>
    <w:autoRedefine/>
    <w:uiPriority w:val="39"/>
    <w:unhideWhenUsed/>
    <w:rsid w:val="007A712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mjopenquality.bmj.com/content/14/2/e002599" TargetMode="External"/><Relationship Id="rId18" Type="http://schemas.openxmlformats.org/officeDocument/2006/relationships/hyperlink" Target="https://link.springer.com/article/10.1186/s13037-025-00432-4" TargetMode="External"/><Relationship Id="rId26" Type="http://schemas.openxmlformats.org/officeDocument/2006/relationships/hyperlink" Target="https://pmc.ncbi.nlm.nih.gov/articles/PMC11978358/"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cureus.com/articles/376728-ensuring-safe-surgery-a-closed-loop-audit-of-the-who-surgical-safety-checklist-practices" TargetMode="External"/><Relationship Id="rId34" Type="http://schemas.openxmlformats.org/officeDocument/2006/relationships/hyperlink" Target="https://www.who.int/teams/integrated-health-services/patient-safety/research/safe-surgery/tool-and-resources" TargetMode="External"/><Relationship Id="rId7" Type="http://schemas.openxmlformats.org/officeDocument/2006/relationships/endnotes" Target="endnotes.xml"/><Relationship Id="rId12" Type="http://schemas.openxmlformats.org/officeDocument/2006/relationships/hyperlink" Target="https://link.springer.com/article/10.1186/s12912-025-02717-6" TargetMode="External"/><Relationship Id="rId17" Type="http://schemas.openxmlformats.org/officeDocument/2006/relationships/hyperlink" Target="https://link.springer.com/article/10.1186/s12913-025-12569-0" TargetMode="External"/><Relationship Id="rId25" Type="http://schemas.openxmlformats.org/officeDocument/2006/relationships/hyperlink" Target="https://www.sciencedirect.com/science/article/abs/pii/S1744165X26000405" TargetMode="External"/><Relationship Id="rId33" Type="http://schemas.openxmlformats.org/officeDocument/2006/relationships/hyperlink" Target="https://www.who.int/news-room/fact-sheets/detail/patient-safety" TargetMode="External"/><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tandfonline.com/doi/full/10.2147/JHL.S520534" TargetMode="External"/><Relationship Id="rId20" Type="http://schemas.openxmlformats.org/officeDocument/2006/relationships/hyperlink" Target="https://www.facs.org/for-medical-professionals/news-publications/news-and-articles/bulletin/2024/julyaugust-2024-volume-109-issue-7/wrong-surgery-retention-of-foreign-object-top-2023-sentinel-event-list/" TargetMode="External"/><Relationship Id="rId29" Type="http://schemas.openxmlformats.org/officeDocument/2006/relationships/hyperlink" Target="https://patientsafetyj.com/article/117084-risk-factors-for-wrong-site-surgery-a-study-of-1-166-reports-of-informed-consent-and-schedule-error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12969805/" TargetMode="External"/><Relationship Id="rId24" Type="http://schemas.openxmlformats.org/officeDocument/2006/relationships/hyperlink" Target="https://www.researchgate.net/publication/387672088_Ensuring_Patient_Safety_in_Inpatient_Ward_A_Case_Study_in_Identifying_Patient_Correctly_among_Nurses" TargetMode="External"/><Relationship Id="rId32" Type="http://schemas.openxmlformats.org/officeDocument/2006/relationships/hyperlink" Target="https://pmc.ncbi.nlm.nih.gov/articles/PMC12772641/" TargetMode="External"/><Relationship Id="rId37" Type="http://schemas.openxmlformats.org/officeDocument/2006/relationships/hyperlink" Target="https://pubmed.ncbi.nlm.nih.gov/41467101/"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qualitysafety.bmj.com/content/qhc/35/7/443.full.pdf" TargetMode="External"/><Relationship Id="rId23" Type="http://schemas.openxmlformats.org/officeDocument/2006/relationships/hyperlink" Target="https://www.frontiersin.org/journals/public-health/articles/10.3389/fpubh.2025.1504172/full" TargetMode="External"/><Relationship Id="rId28" Type="http://schemas.openxmlformats.org/officeDocument/2006/relationships/hyperlink" Target="https://patientsafetyj.com/article/156001.pdf" TargetMode="External"/><Relationship Id="rId36" Type="http://schemas.openxmlformats.org/officeDocument/2006/relationships/hyperlink" Target="https://pmc.ncbi.nlm.nih.gov/articles/PMC12549014/" TargetMode="External"/><Relationship Id="rId10" Type="http://schemas.openxmlformats.org/officeDocument/2006/relationships/hyperlink" Target="https://bmjopen.bmj.com/content/14/9/e084741" TargetMode="External"/><Relationship Id="rId19" Type="http://schemas.openxmlformats.org/officeDocument/2006/relationships/hyperlink" Target="https://www.facs.org/for-medical-professionals/news-publications/news-and-articles/bulletin/2024/julyaugust-2024-volume-109-issue-7/wrong-surgery-retention-of-foreign-object-top-2023-sentinel-event-list/" TargetMode="External"/><Relationship Id="rId31" Type="http://schemas.openxmlformats.org/officeDocument/2006/relationships/hyperlink" Target="https://link.springer.com/article/10.1186/s13037-024-00389-w" TargetMode="External"/><Relationship Id="rId4" Type="http://schemas.openxmlformats.org/officeDocument/2006/relationships/settings" Target="settings.xml"/><Relationship Id="rId9" Type="http://schemas.openxmlformats.org/officeDocument/2006/relationships/hyperlink" Target="https://psnet.ahrq.gov/primer/never-events" TargetMode="External"/><Relationship Id="rId14" Type="http://schemas.openxmlformats.org/officeDocument/2006/relationships/hyperlink" Target="https://www.ssph-journal.org/journals/international-journal-of-public-health/articles/10.3389/ijph.2024.1607332/full" TargetMode="External"/><Relationship Id="rId22" Type="http://schemas.openxmlformats.org/officeDocument/2006/relationships/hyperlink" Target="https://pmc.ncbi.nlm.nih.gov/articles/PMC12385942/" TargetMode="External"/><Relationship Id="rId27" Type="http://schemas.openxmlformats.org/officeDocument/2006/relationships/hyperlink" Target="https://journals.lww.com/armh/fulltext/2022/10020/patient_safety___are_we_doing_enough_.3.aspx" TargetMode="External"/><Relationship Id="rId30" Type="http://schemas.openxmlformats.org/officeDocument/2006/relationships/hyperlink" Target="https://www.thomaslawoffices.com/wp-content/uploads/2024/11/2024_Sentinel-Event-_Annual-Review_published-2024.pdf" TargetMode="External"/><Relationship Id="rId35" Type="http://schemas.openxmlformats.org/officeDocument/2006/relationships/hyperlink" Target="https://aornjournal.onlinelibrary.wiley.com/doi/10.1002/aorn.142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78ABC1-4606-4277-832B-8036BCEF93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7381</Words>
  <Characters>42075</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Krupakumari Bharatbhai Rathod (2537419)</cp:lastModifiedBy>
  <cp:revision>2</cp:revision>
  <dcterms:created xsi:type="dcterms:W3CDTF">2026-07-26T23:57:00Z</dcterms:created>
  <dcterms:modified xsi:type="dcterms:W3CDTF">2026-07-26T23:57:00Z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06576279-867d-42e7-a23c-0b27da74f9af</vt:lpwstr>
  </property>
</Properties>
</file>