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3FF1" w:rsidRDefault="007932A1" w:rsidP="00927194">
      <w:pPr>
        <w:jc w:val="both"/>
      </w:pPr>
      <w:r>
        <w:t xml:space="preserve">These texts are two extracts from the Domesday Book, a nationwide audit undertaken (and compiled) over a six to twelve month period during 1085 – 1086 </w:t>
      </w:r>
      <w:r w:rsidR="00E1110F">
        <w:t>in order to survey the assets of the relatively new Norman Kingdom of England.</w:t>
      </w:r>
      <w:r w:rsidR="00616298">
        <w:rPr>
          <w:rStyle w:val="FootnoteReference"/>
        </w:rPr>
        <w:footnoteReference w:id="1"/>
      </w:r>
      <w:r w:rsidR="00E1110F">
        <w:t xml:space="preserve"> </w:t>
      </w:r>
      <w:r w:rsidR="00927194">
        <w:t xml:space="preserve"> It is important to note here that this is a compilation of what is essentially a series of regional surveys, and as such is not designed to create or fulfil any particular narrative – but rather to put the assets of those in service to William (such as the Barons) into a format to which they could be measured and therefore analysed.</w:t>
      </w:r>
      <w:r w:rsidR="00616298">
        <w:t xml:space="preserve"> </w:t>
      </w:r>
      <w:r w:rsidR="008C682E">
        <w:t xml:space="preserve"> In order to ensure that</w:t>
      </w:r>
      <w:r w:rsidR="00E53FF1">
        <w:t xml:space="preserve"> </w:t>
      </w:r>
      <w:r w:rsidR="008C682E">
        <w:t>this audit</w:t>
      </w:r>
      <w:r w:rsidR="00E53FF1">
        <w:t xml:space="preserve"> was undertaken with both efficiency and relative</w:t>
      </w:r>
      <w:r w:rsidR="008C682E">
        <w:t xml:space="preserve"> accuracy William had entrusted this responsibility to multiple auditors across the kingdom, to which audits could then be carried out on a regional scale.</w:t>
      </w:r>
      <w:r w:rsidR="006B2565">
        <w:rPr>
          <w:rStyle w:val="FootnoteReference"/>
        </w:rPr>
        <w:footnoteReference w:id="2"/>
      </w:r>
      <w:r w:rsidR="008C682E">
        <w:t xml:space="preserve"> </w:t>
      </w:r>
      <w:r w:rsidR="00E53FF1">
        <w:t xml:space="preserve"> This means, therefore, that the Domesday Book was in fact </w:t>
      </w:r>
      <w:r w:rsidR="000B319B">
        <w:t>assembled</w:t>
      </w:r>
      <w:r w:rsidR="00E53FF1">
        <w:t xml:space="preserve"> from a </w:t>
      </w:r>
      <w:r w:rsidR="007C2EF9">
        <w:t>wide range</w:t>
      </w:r>
      <w:r w:rsidR="00E53FF1">
        <w:t xml:space="preserve"> of sources, and in turn cannot be attributed to a singular author.</w:t>
      </w:r>
      <w:r w:rsidR="007C7492">
        <w:rPr>
          <w:rStyle w:val="FootnoteReference"/>
        </w:rPr>
        <w:footnoteReference w:id="3"/>
      </w:r>
      <w:r w:rsidR="00E53FF1">
        <w:t xml:space="preserve"> </w:t>
      </w:r>
    </w:p>
    <w:p w:rsidR="00E53FF1" w:rsidRDefault="00813EC5" w:rsidP="00927194">
      <w:pPr>
        <w:jc w:val="both"/>
      </w:pPr>
      <w:r>
        <w:t xml:space="preserve">Given that this is the case, discussion turns instead to William, who had commissioned this audit in November or December of 1085 – or rather, his intent as to why he had chosen to do so in the first place. </w:t>
      </w:r>
      <w:r w:rsidR="00907BC1">
        <w:t xml:space="preserve"> Although William’s position on the throne from within England was relatively se</w:t>
      </w:r>
      <w:r w:rsidR="006C0453">
        <w:t xml:space="preserve">cure (seeing as the vast majority of the non-submissive Anglo-Saxons had either been put down or had emigrated elsewhere at this point), he was still at serious risk of being dethroned through invasion by foreign powers, in particular </w:t>
      </w:r>
      <w:r w:rsidR="0089457E">
        <w:t xml:space="preserve">those </w:t>
      </w:r>
      <w:r w:rsidR="006C0453">
        <w:t xml:space="preserve">from Scandinavia </w:t>
      </w:r>
      <w:r w:rsidR="0089457E">
        <w:t>–</w:t>
      </w:r>
      <w:r w:rsidR="00E138CE">
        <w:t xml:space="preserve"> both</w:t>
      </w:r>
      <w:r w:rsidR="0089457E">
        <w:t xml:space="preserve"> Cnut</w:t>
      </w:r>
      <w:r w:rsidR="006C0453">
        <w:t xml:space="preserve"> </w:t>
      </w:r>
      <w:r w:rsidR="00D84278">
        <w:t>IV and</w:t>
      </w:r>
      <w:r w:rsidR="006C0453">
        <w:t xml:space="preserve"> Olaf III </w:t>
      </w:r>
      <w:r w:rsidR="00E138CE">
        <w:t xml:space="preserve">of Denmark and Norway </w:t>
      </w:r>
      <w:r w:rsidR="006C0453">
        <w:t>had intended launch a Norse re-conquest of England respectively.</w:t>
      </w:r>
      <w:r w:rsidR="0089457E">
        <w:rPr>
          <w:rStyle w:val="FootnoteReference"/>
        </w:rPr>
        <w:footnoteReference w:id="4"/>
      </w:r>
      <w:r w:rsidR="0045457F">
        <w:t xml:space="preserve"> </w:t>
      </w:r>
      <w:r w:rsidR="00D84278">
        <w:t xml:space="preserve">William held a crisis synod in November/December 1085 to set up provisions in response to this imminent threat (which ultimately never arose seeing </w:t>
      </w:r>
      <w:r w:rsidR="001D0098">
        <w:t>rebels killed Cnut IV</w:t>
      </w:r>
      <w:r w:rsidR="00D84278">
        <w:t xml:space="preserve"> in 1086, although he had gone as far a</w:t>
      </w:r>
      <w:r w:rsidR="001D0098">
        <w:t>s to assemble a fleet).</w:t>
      </w:r>
      <w:r w:rsidR="0045457F">
        <w:rPr>
          <w:rStyle w:val="FootnoteReference"/>
        </w:rPr>
        <w:footnoteReference w:id="5"/>
      </w:r>
      <w:r w:rsidR="001D0098">
        <w:t xml:space="preserve"> Among</w:t>
      </w:r>
      <w:r w:rsidR="00D84278">
        <w:t xml:space="preserve"> these required an audit as a means of assessing the resources he had at his disposal</w:t>
      </w:r>
      <w:r w:rsidR="00E6104F">
        <w:t xml:space="preserve"> – and those of the Anglo-Norman Barons in service to him. This audit would therefore allow William to make plans that were not only precise, </w:t>
      </w:r>
      <w:r w:rsidR="00C96F0E">
        <w:t>but also</w:t>
      </w:r>
      <w:r w:rsidR="00E6104F">
        <w:t xml:space="preserve"> far more realistic in relation to how he could manage both resources and labour in circumstances of warfare (i.e. invasion). </w:t>
      </w:r>
      <w:r w:rsidR="0089047B">
        <w:rPr>
          <w:rStyle w:val="FootnoteReference"/>
        </w:rPr>
        <w:footnoteReference w:id="6"/>
      </w:r>
      <w:r w:rsidR="0045457F">
        <w:t xml:space="preserve"> </w:t>
      </w:r>
      <w:r w:rsidR="00C94970">
        <w:t xml:space="preserve"> Conversely, an audit of this scale would provide an insight into socio-economic background of the new Anglo-Norman kingdom, and therefore allow one to gain a sense of how this developed in the two decades tha</w:t>
      </w:r>
      <w:r w:rsidR="003F42DD">
        <w:t>t followed the Norman Conquest of England.</w:t>
      </w:r>
      <w:r w:rsidR="00806D4F">
        <w:rPr>
          <w:rStyle w:val="FootnoteReference"/>
        </w:rPr>
        <w:footnoteReference w:id="7"/>
      </w:r>
      <w:r w:rsidR="003F42DD">
        <w:t xml:space="preserve"> </w:t>
      </w:r>
    </w:p>
    <w:p w:rsidR="008C682E" w:rsidRDefault="00BC7435" w:rsidP="00927194">
      <w:pPr>
        <w:jc w:val="both"/>
      </w:pPr>
      <w:r>
        <w:t xml:space="preserve">As mentioned previously, this this text is made up of two extracts from the Domesday Book – to which the first of these are a set of instructions outlining how the tax, and therefore by extension the information, was to be collected. </w:t>
      </w:r>
      <w:r w:rsidR="00E24DAC">
        <w:t xml:space="preserve"> </w:t>
      </w:r>
      <w:r w:rsidR="009235B7">
        <w:t xml:space="preserve">Though the purpose of this extract is that outlined as to how this audit was undertaken (ranging from who carried these investigations out, right down to the assets to be audited) </w:t>
      </w:r>
      <w:r w:rsidR="00AE2DE3">
        <w:t>the overall point here is that it provides an insight into how identities and institutions were</w:t>
      </w:r>
      <w:r w:rsidR="007476F3">
        <w:t xml:space="preserve"> </w:t>
      </w:r>
      <w:r w:rsidR="00D7692A">
        <w:t>shaped by the No</w:t>
      </w:r>
      <w:r w:rsidR="006452F8">
        <w:t>rman Conquest.  An example of this can be observed in how the barons are identified within the audit, specifically the fact that they are to be referred to as “French”, rather than “Norman” or “Anglo-Norman</w:t>
      </w:r>
      <w:r w:rsidR="00F10858">
        <w:t xml:space="preserve">” – or more simply, “English”. </w:t>
      </w:r>
      <w:r w:rsidR="00C031EE">
        <w:t xml:space="preserve"> This co-option of the French identity by the </w:t>
      </w:r>
      <w:r w:rsidR="005B4EE1">
        <w:t>Anglo-</w:t>
      </w:r>
      <w:r w:rsidR="00C031EE">
        <w:t xml:space="preserve">Norman barons clearly shows a </w:t>
      </w:r>
      <w:r w:rsidR="005B4EE1">
        <w:t xml:space="preserve">desire to distance themselves from their Norman roots, and instead integrate themselves into a wider community; or seeing that </w:t>
      </w:r>
      <w:r w:rsidR="005B4EE1">
        <w:lastRenderedPageBreak/>
        <w:t>William, and by extension his barons,</w:t>
      </w:r>
      <w:r w:rsidR="00C031EE">
        <w:t xml:space="preserve"> </w:t>
      </w:r>
      <w:r w:rsidR="005B4EE1">
        <w:t xml:space="preserve">were still vassals of the French crown and had therefore chosen to adopt the identity of their liege-lord. </w:t>
      </w:r>
      <w:r w:rsidR="001920D5">
        <w:t xml:space="preserve"> Conversely, these instructions show a willingness to co-opt and adapt existing socio-economic systems into the framework of a new feudal society – in this case the </w:t>
      </w:r>
      <w:r w:rsidR="001920D5">
        <w:rPr>
          <w:i/>
        </w:rPr>
        <w:t>Geld</w:t>
      </w:r>
      <w:r w:rsidR="001920D5">
        <w:t xml:space="preserve"> system, specifically how it existed in </w:t>
      </w:r>
      <w:r w:rsidR="003F476F">
        <w:t xml:space="preserve">the </w:t>
      </w:r>
      <w:r w:rsidR="001920D5">
        <w:t xml:space="preserve">late Anglo-Saxon period during the reign of Edward the Confessor. </w:t>
      </w:r>
      <w:r w:rsidR="00112E8F">
        <w:t xml:space="preserve">Similar to their Sicilian counterparts (who had inherited existing framework from the Islamic regime) </w:t>
      </w:r>
      <w:r w:rsidR="00E652AD">
        <w:t>the Anglo-Normans chose to adopt the elements that worked well, rather than discard these system</w:t>
      </w:r>
      <w:r w:rsidR="00B07FC6">
        <w:t xml:space="preserve">s entirely for the sake of imposing </w:t>
      </w:r>
      <w:r w:rsidR="00E652AD">
        <w:t>their own – at the risk of it falling apart.</w:t>
      </w:r>
      <w:r w:rsidR="002E6308">
        <w:rPr>
          <w:rStyle w:val="FootnoteReference"/>
        </w:rPr>
        <w:footnoteReference w:id="8"/>
      </w:r>
      <w:r w:rsidR="00E652AD">
        <w:t xml:space="preserve"> </w:t>
      </w:r>
      <w:r w:rsidR="002E6308">
        <w:t xml:space="preserve"> </w:t>
      </w:r>
    </w:p>
    <w:p w:rsidR="00F02A02" w:rsidRDefault="00F02A02" w:rsidP="00927194">
      <w:pPr>
        <w:jc w:val="both"/>
      </w:pPr>
      <w:r>
        <w:t xml:space="preserve">The second extract from this text is an example of an audit that is </w:t>
      </w:r>
      <w:r w:rsidR="00B0775E">
        <w:t>included</w:t>
      </w:r>
      <w:r w:rsidR="00DF0D21">
        <w:t xml:space="preserve"> within the Domesday Book – to which this entry covers the region of Norfolk, specifically the parish of King’s Lynn. </w:t>
      </w:r>
      <w:r w:rsidR="008C2B6C">
        <w:t xml:space="preserve"> Though not mentioned in the version of the text in question the assets that were to be audited were that of Robert Mallet, </w:t>
      </w:r>
      <w:r w:rsidR="001158B7">
        <w:t>2</w:t>
      </w:r>
      <w:r w:rsidR="001158B7" w:rsidRPr="001158B7">
        <w:rPr>
          <w:vertAlign w:val="superscript"/>
        </w:rPr>
        <w:t>nd</w:t>
      </w:r>
      <w:r w:rsidR="001158B7">
        <w:t xml:space="preserve"> </w:t>
      </w:r>
      <w:r w:rsidR="008C2B6C">
        <w:t xml:space="preserve">Lord of the Eye </w:t>
      </w:r>
      <w:r w:rsidR="00D0031C">
        <w:t xml:space="preserve">(d. 1106) </w:t>
      </w:r>
      <w:r w:rsidR="008C2B6C">
        <w:t>– who had inherited the estate (and the assets within it) fro</w:t>
      </w:r>
      <w:r w:rsidR="00373D29">
        <w:t>m his father, William, in 1071.</w:t>
      </w:r>
      <w:r w:rsidR="00373D29">
        <w:rPr>
          <w:rStyle w:val="FootnoteReference"/>
        </w:rPr>
        <w:footnoteReference w:id="9"/>
      </w:r>
      <w:r w:rsidR="0001487A">
        <w:t xml:space="preserve">  There are two elements at play here that are particularly striking, namely the vast amount of both labour and natural resources at his disposal (something to be expected of someone of his status), and more importantly the presence of Anglo-Saxon concepts in terms of how his estate functioned. </w:t>
      </w:r>
      <w:r w:rsidR="00F244FF">
        <w:t xml:space="preserve">Firstly, though Robert was clearly capable of raising a large levy in times of war, the real strength of his estate at Norfolk was the wealth it generated from farming and mining </w:t>
      </w:r>
      <w:r w:rsidR="00223F61">
        <w:t xml:space="preserve">– as shown by the high number of cows, swine, and </w:t>
      </w:r>
      <w:r w:rsidR="00223F61">
        <w:rPr>
          <w:i/>
        </w:rPr>
        <w:t>socmen</w:t>
      </w:r>
      <w:r w:rsidR="00223F61">
        <w:t xml:space="preserve">, plus the large salt-pond at </w:t>
      </w:r>
      <w:r w:rsidR="00223F61" w:rsidRPr="00223F61">
        <w:t>Glorestorp</w:t>
      </w:r>
      <w:r w:rsidR="00223F61">
        <w:t xml:space="preserve">.  These statistics therefore not only meant that Robert would be able to provide plenty of resources in the circumstances of invasion, but could otherwise afford to be taxed at a higher rate </w:t>
      </w:r>
      <w:r w:rsidR="00E02B84">
        <w:t>in comparison to</w:t>
      </w:r>
      <w:r w:rsidR="00010FBF">
        <w:t xml:space="preserve"> the</w:t>
      </w:r>
      <w:r w:rsidR="00E02B84">
        <w:t xml:space="preserve"> lesser barons due to his vast wealth.</w:t>
      </w:r>
      <w:r w:rsidR="00010FBF">
        <w:t xml:space="preserve"> </w:t>
      </w:r>
    </w:p>
    <w:p w:rsidR="009B5563" w:rsidRDefault="009B5563" w:rsidP="00927194">
      <w:pPr>
        <w:jc w:val="both"/>
      </w:pPr>
      <w:r>
        <w:t xml:space="preserve">Secondly, the </w:t>
      </w:r>
      <w:r w:rsidR="00DE44DC">
        <w:t>way as</w:t>
      </w:r>
      <w:r>
        <w:t xml:space="preserve"> to which his estate, </w:t>
      </w:r>
      <w:r w:rsidR="00DE44DC">
        <w:t>and more specifically his manor, existed</w:t>
      </w:r>
      <w:r>
        <w:t xml:space="preserve"> was still relatively Anglo-Saxon</w:t>
      </w:r>
      <w:r w:rsidR="00E8161F">
        <w:t xml:space="preserve"> in nature. An example of this lies within the name of the estate itself – “</w:t>
      </w:r>
      <w:r w:rsidR="00E8161F" w:rsidRPr="00E8161F">
        <w:t>Heuseda</w:t>
      </w:r>
      <w:r w:rsidR="00E8161F">
        <w:t xml:space="preserve">” – a name that generally is not fitting of a Frenchman’s estate, and therefore may have been carried over from when it belonged to an Anglo-Saxon earl before the conquest. </w:t>
      </w:r>
    </w:p>
    <w:p w:rsidR="00552BDD" w:rsidRDefault="00552BDD" w:rsidP="00927194">
      <w:pPr>
        <w:jc w:val="both"/>
      </w:pPr>
    </w:p>
    <w:p w:rsidR="00552BDD" w:rsidRDefault="00552BDD">
      <w:r>
        <w:br w:type="page"/>
      </w:r>
    </w:p>
    <w:p w:rsidR="00552BDD" w:rsidRDefault="00552BDD" w:rsidP="00927194">
      <w:pPr>
        <w:jc w:val="both"/>
        <w:rPr>
          <w:u w:val="single"/>
        </w:rPr>
      </w:pPr>
      <w:r w:rsidRPr="00552BDD">
        <w:rPr>
          <w:u w:val="single"/>
        </w:rPr>
        <w:lastRenderedPageBreak/>
        <w:t>Bibliography</w:t>
      </w:r>
    </w:p>
    <w:p w:rsidR="00552BDD" w:rsidRPr="00552BDD" w:rsidRDefault="00552BDD" w:rsidP="00552BDD">
      <w:pPr>
        <w:jc w:val="both"/>
      </w:pPr>
      <w:r w:rsidRPr="00552BDD">
        <w:t>Boyden, P.B. 1986.</w:t>
      </w:r>
      <w:r w:rsidRPr="00552BDD">
        <w:rPr>
          <w:i/>
          <w:iCs/>
        </w:rPr>
        <w:t> 'The Making of the Domesday Book'</w:t>
      </w:r>
      <w:r w:rsidRPr="00552BDD">
        <w:t xml:space="preserve">, History Today, </w:t>
      </w:r>
      <w:r>
        <w:t>v36 (1).</w:t>
      </w:r>
      <w:bookmarkStart w:id="0" w:name="_GoBack"/>
      <w:bookmarkEnd w:id="0"/>
    </w:p>
    <w:p w:rsidR="00552BDD" w:rsidRPr="00552BDD" w:rsidRDefault="00552BDD" w:rsidP="00552BDD">
      <w:pPr>
        <w:jc w:val="both"/>
      </w:pPr>
      <w:r w:rsidRPr="00552BDD">
        <w:t>C. P. Lewis. 1989.</w:t>
      </w:r>
      <w:r w:rsidRPr="00552BDD">
        <w:rPr>
          <w:i/>
          <w:iCs/>
        </w:rPr>
        <w:t> 'The King and Eye: A Study in Anglo-Norman Politics'</w:t>
      </w:r>
      <w:r w:rsidRPr="00552BDD">
        <w:t xml:space="preserve">, The English Historical Review, </w:t>
      </w:r>
      <w:r>
        <w:t>v</w:t>
      </w:r>
      <w:r w:rsidRPr="00552BDD">
        <w:t>104</w:t>
      </w:r>
      <w:r>
        <w:t xml:space="preserve"> (1).</w:t>
      </w:r>
    </w:p>
    <w:p w:rsidR="00552BDD" w:rsidRPr="00552BDD" w:rsidRDefault="00552BDD" w:rsidP="00552BDD">
      <w:pPr>
        <w:jc w:val="both"/>
      </w:pPr>
      <w:r w:rsidRPr="00552BDD">
        <w:t>Hamshere, J.D. 1987.</w:t>
      </w:r>
      <w:r w:rsidRPr="00552BDD">
        <w:rPr>
          <w:i/>
          <w:iCs/>
        </w:rPr>
        <w:t> 'Domesday Book, Cliometric Analysis and Taxation Assessments'</w:t>
      </w:r>
      <w:r w:rsidRPr="00552BDD">
        <w:t xml:space="preserve">, The Economic History Review, </w:t>
      </w:r>
      <w:r>
        <w:t>v</w:t>
      </w:r>
      <w:r w:rsidRPr="00552BDD">
        <w:t>40</w:t>
      </w:r>
      <w:r>
        <w:t xml:space="preserve"> (2).</w:t>
      </w:r>
    </w:p>
    <w:p w:rsidR="00552BDD" w:rsidRPr="00552BDD" w:rsidRDefault="00552BDD" w:rsidP="00552BDD">
      <w:pPr>
        <w:jc w:val="both"/>
      </w:pPr>
      <w:r w:rsidRPr="00552BDD">
        <w:t>Jones, M.J. 2017.</w:t>
      </w:r>
      <w:r w:rsidRPr="00552BDD">
        <w:rPr>
          <w:i/>
          <w:iCs/>
        </w:rPr>
        <w:t> 'Domesday book: An early fiscal, accounting narrative?'</w:t>
      </w:r>
      <w:r w:rsidRPr="00552BDD">
        <w:t xml:space="preserve">, The British Accounting Review, </w:t>
      </w:r>
      <w:r>
        <w:t>v</w:t>
      </w:r>
      <w:r w:rsidRPr="00552BDD">
        <w:t>49</w:t>
      </w:r>
      <w:r>
        <w:t xml:space="preserve"> (7).</w:t>
      </w:r>
    </w:p>
    <w:p w:rsidR="00552BDD" w:rsidRPr="00552BDD" w:rsidRDefault="00552BDD" w:rsidP="00927194">
      <w:pPr>
        <w:jc w:val="both"/>
        <w:rPr>
          <w:u w:val="single"/>
        </w:rPr>
      </w:pPr>
    </w:p>
    <w:sectPr w:rsidR="00552BDD" w:rsidRPr="00552B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6298" w:rsidRDefault="00616298" w:rsidP="00616298">
      <w:pPr>
        <w:spacing w:after="0" w:line="240" w:lineRule="auto"/>
      </w:pPr>
      <w:r>
        <w:separator/>
      </w:r>
    </w:p>
  </w:endnote>
  <w:endnote w:type="continuationSeparator" w:id="0">
    <w:p w:rsidR="00616298" w:rsidRDefault="00616298" w:rsidP="00616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6298" w:rsidRDefault="00616298" w:rsidP="00616298">
      <w:pPr>
        <w:spacing w:after="0" w:line="240" w:lineRule="auto"/>
      </w:pPr>
      <w:r>
        <w:separator/>
      </w:r>
    </w:p>
  </w:footnote>
  <w:footnote w:type="continuationSeparator" w:id="0">
    <w:p w:rsidR="00616298" w:rsidRDefault="00616298" w:rsidP="00616298">
      <w:pPr>
        <w:spacing w:after="0" w:line="240" w:lineRule="auto"/>
      </w:pPr>
      <w:r>
        <w:continuationSeparator/>
      </w:r>
    </w:p>
  </w:footnote>
  <w:footnote w:id="1">
    <w:p w:rsidR="00616298" w:rsidRDefault="00616298">
      <w:pPr>
        <w:pStyle w:val="FootnoteText"/>
      </w:pPr>
      <w:r>
        <w:rPr>
          <w:rStyle w:val="FootnoteReference"/>
        </w:rPr>
        <w:footnoteRef/>
      </w:r>
      <w:r>
        <w:t xml:space="preserve"> </w:t>
      </w:r>
      <w:r w:rsidRPr="00616298">
        <w:t>Boyden, P.B. 1986.</w:t>
      </w:r>
      <w:r w:rsidRPr="00616298">
        <w:rPr>
          <w:i/>
          <w:iCs/>
        </w:rPr>
        <w:t> 'The Making of the Domesday Book'</w:t>
      </w:r>
      <w:r>
        <w:t>, History Today, v36 (1): pp21</w:t>
      </w:r>
    </w:p>
  </w:footnote>
  <w:footnote w:id="2">
    <w:p w:rsidR="006B2565" w:rsidRDefault="006B2565">
      <w:pPr>
        <w:pStyle w:val="FootnoteText"/>
      </w:pPr>
      <w:r>
        <w:rPr>
          <w:rStyle w:val="FootnoteReference"/>
        </w:rPr>
        <w:footnoteRef/>
      </w:r>
      <w:r>
        <w:t xml:space="preserve"> </w:t>
      </w:r>
      <w:r w:rsidRPr="006B2565">
        <w:t>Hamshere, J.D. 1987.</w:t>
      </w:r>
      <w:r w:rsidRPr="006B2565">
        <w:rPr>
          <w:i/>
          <w:iCs/>
        </w:rPr>
        <w:t> 'Domesday Book, Cliometric Analysis and Taxation Assessments'</w:t>
      </w:r>
      <w:r w:rsidRPr="006B2565">
        <w:t xml:space="preserve">, The Economic History Review, </w:t>
      </w:r>
      <w:r>
        <w:t>v</w:t>
      </w:r>
      <w:r w:rsidRPr="006B2565">
        <w:t>40</w:t>
      </w:r>
      <w:r w:rsidR="0028159F">
        <w:t xml:space="preserve"> </w:t>
      </w:r>
      <w:r>
        <w:t>(2)</w:t>
      </w:r>
      <w:r w:rsidRPr="006B2565">
        <w:t xml:space="preserve">: </w:t>
      </w:r>
      <w:r>
        <w:t>pp</w:t>
      </w:r>
      <w:r w:rsidRPr="006B2565">
        <w:t>262</w:t>
      </w:r>
    </w:p>
  </w:footnote>
  <w:footnote w:id="3">
    <w:p w:rsidR="007C7492" w:rsidRDefault="007C7492">
      <w:pPr>
        <w:pStyle w:val="FootnoteText"/>
      </w:pPr>
      <w:r>
        <w:rPr>
          <w:rStyle w:val="FootnoteReference"/>
        </w:rPr>
        <w:footnoteRef/>
      </w:r>
      <w:r>
        <w:t xml:space="preserve"> Boyden, P.B. 1986, pp21, Hamshere, J.D. 1987, pp262</w:t>
      </w:r>
    </w:p>
  </w:footnote>
  <w:footnote w:id="4">
    <w:p w:rsidR="0089457E" w:rsidRDefault="0089457E">
      <w:pPr>
        <w:pStyle w:val="FootnoteText"/>
      </w:pPr>
      <w:r>
        <w:rPr>
          <w:rStyle w:val="FootnoteReference"/>
        </w:rPr>
        <w:footnoteRef/>
      </w:r>
      <w:r>
        <w:t xml:space="preserve"> </w:t>
      </w:r>
      <w:r w:rsidR="00465AEA">
        <w:t>Boyden, P.B. 1986, pp22</w:t>
      </w:r>
    </w:p>
  </w:footnote>
  <w:footnote w:id="5">
    <w:p w:rsidR="0045457F" w:rsidRDefault="0045457F">
      <w:pPr>
        <w:pStyle w:val="FootnoteText"/>
      </w:pPr>
      <w:r>
        <w:rPr>
          <w:rStyle w:val="FootnoteReference"/>
        </w:rPr>
        <w:footnoteRef/>
      </w:r>
      <w:r>
        <w:t xml:space="preserve"> Boyden, P.B. 1986, pp22</w:t>
      </w:r>
    </w:p>
  </w:footnote>
  <w:footnote w:id="6">
    <w:p w:rsidR="0089047B" w:rsidRDefault="0089047B">
      <w:pPr>
        <w:pStyle w:val="FootnoteText"/>
      </w:pPr>
      <w:r>
        <w:rPr>
          <w:rStyle w:val="FootnoteReference"/>
        </w:rPr>
        <w:footnoteRef/>
      </w:r>
      <w:r>
        <w:t xml:space="preserve"> Boyden, P.B. 1986, pp22</w:t>
      </w:r>
      <w:r w:rsidR="00A01829">
        <w:t xml:space="preserve">, </w:t>
      </w:r>
      <w:r w:rsidR="00A01829" w:rsidRPr="00A01829">
        <w:t>Jones, M.J. 2017.</w:t>
      </w:r>
      <w:r w:rsidR="00A01829" w:rsidRPr="00A01829">
        <w:rPr>
          <w:i/>
          <w:iCs/>
        </w:rPr>
        <w:t> 'Domesday book: An early fiscal, accounting narrative?'</w:t>
      </w:r>
      <w:r w:rsidR="00A01829" w:rsidRPr="00A01829">
        <w:t>, The Bri</w:t>
      </w:r>
      <w:r w:rsidR="00A01829">
        <w:t>tish Accounting Review, v49 (7): pp24</w:t>
      </w:r>
    </w:p>
  </w:footnote>
  <w:footnote w:id="7">
    <w:p w:rsidR="00806D4F" w:rsidRDefault="00806D4F">
      <w:pPr>
        <w:pStyle w:val="FootnoteText"/>
      </w:pPr>
      <w:r>
        <w:rPr>
          <w:rStyle w:val="FootnoteReference"/>
        </w:rPr>
        <w:footnoteRef/>
      </w:r>
      <w:r>
        <w:t xml:space="preserve"> Jones, M.J. 2017, pp25</w:t>
      </w:r>
    </w:p>
  </w:footnote>
  <w:footnote w:id="8">
    <w:p w:rsidR="002E6308" w:rsidRDefault="002E6308">
      <w:pPr>
        <w:pStyle w:val="FootnoteText"/>
      </w:pPr>
      <w:r>
        <w:rPr>
          <w:rStyle w:val="FootnoteReference"/>
        </w:rPr>
        <w:footnoteRef/>
      </w:r>
      <w:r>
        <w:t xml:space="preserve"> Boyd, P.B. 1986, pp23</w:t>
      </w:r>
      <w:r w:rsidR="00972E9E">
        <w:t>, Jones, M.J. 2017, pp12</w:t>
      </w:r>
    </w:p>
  </w:footnote>
  <w:footnote w:id="9">
    <w:p w:rsidR="00373D29" w:rsidRDefault="00373D29">
      <w:pPr>
        <w:pStyle w:val="FootnoteText"/>
      </w:pPr>
      <w:r>
        <w:rPr>
          <w:rStyle w:val="FootnoteReference"/>
        </w:rPr>
        <w:footnoteRef/>
      </w:r>
      <w:r>
        <w:t xml:space="preserve"> </w:t>
      </w:r>
      <w:r w:rsidRPr="00373D29">
        <w:t>C. P. Lewis. 1989.</w:t>
      </w:r>
      <w:r w:rsidRPr="00373D29">
        <w:rPr>
          <w:i/>
          <w:iCs/>
        </w:rPr>
        <w:t> 'The King and Eye: A Study in Anglo-Norman Politics'</w:t>
      </w:r>
      <w:r w:rsidRPr="00373D29">
        <w:t xml:space="preserve">, The English Historical Review, </w:t>
      </w:r>
      <w:r>
        <w:t>v</w:t>
      </w:r>
      <w:r w:rsidRPr="00373D29">
        <w:t>104</w:t>
      </w:r>
      <w:r>
        <w:t xml:space="preserve"> (1)</w:t>
      </w:r>
      <w:r w:rsidRPr="00373D29">
        <w:t xml:space="preserve">: </w:t>
      </w:r>
      <w:r>
        <w:t>pp</w:t>
      </w:r>
      <w:r w:rsidRPr="00373D29">
        <w:t>569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32A1"/>
    <w:rsid w:val="00010FBF"/>
    <w:rsid w:val="0001487A"/>
    <w:rsid w:val="000B319B"/>
    <w:rsid w:val="00112E8F"/>
    <w:rsid w:val="001158B7"/>
    <w:rsid w:val="001920D5"/>
    <w:rsid w:val="001A7EFB"/>
    <w:rsid w:val="001D0098"/>
    <w:rsid w:val="00223F61"/>
    <w:rsid w:val="0028159F"/>
    <w:rsid w:val="002E6308"/>
    <w:rsid w:val="00373D29"/>
    <w:rsid w:val="003F42DD"/>
    <w:rsid w:val="003F476F"/>
    <w:rsid w:val="0045457F"/>
    <w:rsid w:val="00465AEA"/>
    <w:rsid w:val="004F1851"/>
    <w:rsid w:val="004F24A0"/>
    <w:rsid w:val="00552BDD"/>
    <w:rsid w:val="005545C1"/>
    <w:rsid w:val="005648F3"/>
    <w:rsid w:val="005713DF"/>
    <w:rsid w:val="00583640"/>
    <w:rsid w:val="005B1366"/>
    <w:rsid w:val="005B4EE1"/>
    <w:rsid w:val="00616298"/>
    <w:rsid w:val="006452F8"/>
    <w:rsid w:val="00651023"/>
    <w:rsid w:val="006B2565"/>
    <w:rsid w:val="006C0453"/>
    <w:rsid w:val="007476F3"/>
    <w:rsid w:val="007932A1"/>
    <w:rsid w:val="007C2EF9"/>
    <w:rsid w:val="007C7492"/>
    <w:rsid w:val="007E2FFD"/>
    <w:rsid w:val="00806D4F"/>
    <w:rsid w:val="00813EC5"/>
    <w:rsid w:val="0089047B"/>
    <w:rsid w:val="0089457E"/>
    <w:rsid w:val="008C2B6C"/>
    <w:rsid w:val="008C682E"/>
    <w:rsid w:val="00907BC1"/>
    <w:rsid w:val="009235B7"/>
    <w:rsid w:val="00927194"/>
    <w:rsid w:val="00972E9E"/>
    <w:rsid w:val="009B5563"/>
    <w:rsid w:val="009E1BD9"/>
    <w:rsid w:val="00A01829"/>
    <w:rsid w:val="00AE2DE3"/>
    <w:rsid w:val="00B0775E"/>
    <w:rsid w:val="00B07FC6"/>
    <w:rsid w:val="00B45D07"/>
    <w:rsid w:val="00B57BA9"/>
    <w:rsid w:val="00BC7435"/>
    <w:rsid w:val="00C031EE"/>
    <w:rsid w:val="00C23B52"/>
    <w:rsid w:val="00C34489"/>
    <w:rsid w:val="00C94970"/>
    <w:rsid w:val="00C96F0E"/>
    <w:rsid w:val="00D0031C"/>
    <w:rsid w:val="00D7692A"/>
    <w:rsid w:val="00D84278"/>
    <w:rsid w:val="00DE44DC"/>
    <w:rsid w:val="00DF0D21"/>
    <w:rsid w:val="00E02B84"/>
    <w:rsid w:val="00E1110F"/>
    <w:rsid w:val="00E138CE"/>
    <w:rsid w:val="00E24DAC"/>
    <w:rsid w:val="00E53FF1"/>
    <w:rsid w:val="00E6104F"/>
    <w:rsid w:val="00E638B3"/>
    <w:rsid w:val="00E652AD"/>
    <w:rsid w:val="00E8161F"/>
    <w:rsid w:val="00F00662"/>
    <w:rsid w:val="00F02A02"/>
    <w:rsid w:val="00F10858"/>
    <w:rsid w:val="00F244FF"/>
    <w:rsid w:val="00FF2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95A2D"/>
  <w15:docId w15:val="{291CE26E-E3DD-4968-BA89-B21428EA4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62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6298"/>
    <w:rPr>
      <w:sz w:val="20"/>
      <w:szCs w:val="20"/>
    </w:rPr>
  </w:style>
  <w:style w:type="character" w:styleId="FootnoteReference">
    <w:name w:val="footnote reference"/>
    <w:basedOn w:val="DefaultParagraphFont"/>
    <w:uiPriority w:val="99"/>
    <w:semiHidden/>
    <w:unhideWhenUsed/>
    <w:rsid w:val="0061629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6557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A115A5-683E-4535-B969-9149D9C13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3</Pages>
  <Words>931</Words>
  <Characters>5310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Vincent Hingley (1501141)</cp:lastModifiedBy>
  <cp:revision>65</cp:revision>
  <dcterms:created xsi:type="dcterms:W3CDTF">2017-11-21T12:01:00Z</dcterms:created>
  <dcterms:modified xsi:type="dcterms:W3CDTF">2017-11-24T16:00:00Z</dcterms:modified>
</cp:coreProperties>
</file>