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00DA3" w14:textId="77777777" w:rsidR="00D76423" w:rsidRDefault="00D76423" w:rsidP="00852C65">
      <w:pPr>
        <w:spacing w:line="360" w:lineRule="auto"/>
        <w:jc w:val="both"/>
        <w:rPr>
          <w:rStyle w:val="Heading1Char"/>
        </w:rPr>
      </w:pPr>
    </w:p>
    <w:p w14:paraId="4D58291D" w14:textId="77777777" w:rsidR="00D76423" w:rsidRDefault="00D76423" w:rsidP="00656D7B">
      <w:pPr>
        <w:jc w:val="center"/>
        <w:rPr>
          <w:rFonts w:ascii="Arial" w:hAnsi="Arial" w:cs="Arial"/>
          <w:b/>
        </w:rPr>
      </w:pPr>
      <w:r>
        <w:rPr>
          <w:rFonts w:ascii="Arial" w:hAnsi="Arial" w:cs="Arial"/>
          <w:b/>
        </w:rPr>
        <w:t>BMPL4009: Criminal Law</w:t>
      </w:r>
    </w:p>
    <w:p w14:paraId="4A2E23F6" w14:textId="77777777" w:rsidR="00D76423" w:rsidRDefault="00D76423">
      <w:pPr>
        <w:rPr>
          <w:rFonts w:ascii="Arial" w:hAnsi="Arial" w:cs="Arial"/>
          <w:b/>
        </w:rPr>
      </w:pPr>
      <w:r>
        <w:rPr>
          <w:rFonts w:ascii="Arial" w:hAnsi="Arial" w:cs="Arial"/>
          <w:b/>
        </w:rPr>
        <w:br w:type="page"/>
      </w:r>
    </w:p>
    <w:p w14:paraId="672679D1" w14:textId="77777777" w:rsidR="00D76423" w:rsidRDefault="00D76423" w:rsidP="00D76423">
      <w:pPr>
        <w:rPr>
          <w:rFonts w:ascii="Arial" w:hAnsi="Arial" w:cs="Arial"/>
          <w:b/>
        </w:rPr>
      </w:pPr>
    </w:p>
    <w:p w14:paraId="4A1C44E1" w14:textId="77777777" w:rsidR="00D76423" w:rsidRDefault="00D76423" w:rsidP="00D76423">
      <w:pPr>
        <w:rPr>
          <w:rFonts w:ascii="Arial" w:hAnsi="Arial" w:cs="Arial"/>
          <w:b/>
        </w:rPr>
      </w:pPr>
    </w:p>
    <w:sdt>
      <w:sdtPr>
        <w:rPr>
          <w:rFonts w:asciiTheme="minorHAnsi" w:eastAsiaTheme="minorHAnsi" w:hAnsiTheme="minorHAnsi" w:cstheme="minorBidi"/>
          <w:b w:val="0"/>
          <w:bCs w:val="0"/>
          <w:color w:val="auto"/>
          <w:sz w:val="22"/>
          <w:szCs w:val="22"/>
        </w:rPr>
        <w:id w:val="7248017"/>
        <w:docPartObj>
          <w:docPartGallery w:val="Table of Contents"/>
          <w:docPartUnique/>
        </w:docPartObj>
      </w:sdtPr>
      <w:sdtEndPr/>
      <w:sdtContent>
        <w:p w14:paraId="398B528A" w14:textId="77777777" w:rsidR="00D76423" w:rsidRPr="00372F85" w:rsidRDefault="00D76423">
          <w:pPr>
            <w:pStyle w:val="TOCHeading"/>
            <w:rPr>
              <w:rFonts w:ascii="Times New Roman" w:hAnsi="Times New Roman" w:cs="Times New Roman"/>
              <w:sz w:val="24"/>
              <w:szCs w:val="24"/>
            </w:rPr>
          </w:pPr>
          <w:r w:rsidRPr="00372F85">
            <w:rPr>
              <w:rFonts w:ascii="Times New Roman" w:hAnsi="Times New Roman" w:cs="Times New Roman"/>
              <w:sz w:val="24"/>
              <w:szCs w:val="24"/>
            </w:rPr>
            <w:t>Contents</w:t>
          </w:r>
        </w:p>
        <w:p w14:paraId="30EA5A11" w14:textId="77777777" w:rsidR="00656D7B" w:rsidRPr="00372F85" w:rsidRDefault="002F697B">
          <w:pPr>
            <w:pStyle w:val="TOC1"/>
            <w:tabs>
              <w:tab w:val="right" w:leader="dot" w:pos="9350"/>
            </w:tabs>
            <w:rPr>
              <w:rFonts w:ascii="Times New Roman" w:eastAsiaTheme="minorEastAsia" w:hAnsi="Times New Roman" w:cs="Times New Roman"/>
              <w:noProof/>
              <w:sz w:val="24"/>
              <w:szCs w:val="24"/>
            </w:rPr>
          </w:pPr>
          <w:r w:rsidRPr="00372F85">
            <w:rPr>
              <w:rFonts w:ascii="Times New Roman" w:hAnsi="Times New Roman" w:cs="Times New Roman"/>
              <w:sz w:val="24"/>
              <w:szCs w:val="24"/>
            </w:rPr>
            <w:fldChar w:fldCharType="begin"/>
          </w:r>
          <w:r w:rsidR="00D76423" w:rsidRPr="00372F85">
            <w:rPr>
              <w:rFonts w:ascii="Times New Roman" w:hAnsi="Times New Roman" w:cs="Times New Roman"/>
              <w:sz w:val="24"/>
              <w:szCs w:val="24"/>
            </w:rPr>
            <w:instrText xml:space="preserve"> TOC \o "1-3" \h \z \u </w:instrText>
          </w:r>
          <w:r w:rsidRPr="00372F85">
            <w:rPr>
              <w:rFonts w:ascii="Times New Roman" w:hAnsi="Times New Roman" w:cs="Times New Roman"/>
              <w:sz w:val="24"/>
              <w:szCs w:val="24"/>
            </w:rPr>
            <w:fldChar w:fldCharType="separate"/>
          </w:r>
          <w:hyperlink w:anchor="_Toc149258050" w:history="1">
            <w:r w:rsidR="00656D7B" w:rsidRPr="00372F85">
              <w:rPr>
                <w:rStyle w:val="Hyperlink"/>
                <w:rFonts w:ascii="Times New Roman" w:hAnsi="Times New Roman" w:cs="Times New Roman"/>
                <w:noProof/>
                <w:sz w:val="24"/>
                <w:szCs w:val="24"/>
              </w:rPr>
              <w:t>Introduction</w:t>
            </w:r>
            <w:r w:rsidR="00656D7B" w:rsidRPr="00372F85">
              <w:rPr>
                <w:rFonts w:ascii="Times New Roman" w:hAnsi="Times New Roman" w:cs="Times New Roman"/>
                <w:noProof/>
                <w:webHidden/>
                <w:sz w:val="24"/>
                <w:szCs w:val="24"/>
              </w:rPr>
              <w:tab/>
            </w:r>
            <w:r w:rsidRPr="00372F85">
              <w:rPr>
                <w:rFonts w:ascii="Times New Roman" w:hAnsi="Times New Roman" w:cs="Times New Roman"/>
                <w:noProof/>
                <w:webHidden/>
                <w:sz w:val="24"/>
                <w:szCs w:val="24"/>
              </w:rPr>
              <w:fldChar w:fldCharType="begin"/>
            </w:r>
            <w:r w:rsidR="00656D7B" w:rsidRPr="00372F85">
              <w:rPr>
                <w:rFonts w:ascii="Times New Roman" w:hAnsi="Times New Roman" w:cs="Times New Roman"/>
                <w:noProof/>
                <w:webHidden/>
                <w:sz w:val="24"/>
                <w:szCs w:val="24"/>
              </w:rPr>
              <w:instrText xml:space="preserve"> PAGEREF _Toc149258050 \h </w:instrText>
            </w:r>
            <w:r w:rsidRPr="00372F85">
              <w:rPr>
                <w:rFonts w:ascii="Times New Roman" w:hAnsi="Times New Roman" w:cs="Times New Roman"/>
                <w:noProof/>
                <w:webHidden/>
                <w:sz w:val="24"/>
                <w:szCs w:val="24"/>
              </w:rPr>
            </w:r>
            <w:r w:rsidRPr="00372F85">
              <w:rPr>
                <w:rFonts w:ascii="Times New Roman" w:hAnsi="Times New Roman" w:cs="Times New Roman"/>
                <w:noProof/>
                <w:webHidden/>
                <w:sz w:val="24"/>
                <w:szCs w:val="24"/>
              </w:rPr>
              <w:fldChar w:fldCharType="separate"/>
            </w:r>
            <w:r w:rsidR="00656D7B" w:rsidRPr="00372F85">
              <w:rPr>
                <w:rFonts w:ascii="Times New Roman" w:hAnsi="Times New Roman" w:cs="Times New Roman"/>
                <w:noProof/>
                <w:webHidden/>
                <w:sz w:val="24"/>
                <w:szCs w:val="24"/>
              </w:rPr>
              <w:t>3</w:t>
            </w:r>
            <w:r w:rsidRPr="00372F85">
              <w:rPr>
                <w:rFonts w:ascii="Times New Roman" w:hAnsi="Times New Roman" w:cs="Times New Roman"/>
                <w:noProof/>
                <w:webHidden/>
                <w:sz w:val="24"/>
                <w:szCs w:val="24"/>
              </w:rPr>
              <w:fldChar w:fldCharType="end"/>
            </w:r>
          </w:hyperlink>
        </w:p>
        <w:p w14:paraId="298E012A" w14:textId="77777777" w:rsidR="00656D7B" w:rsidRPr="00372F85" w:rsidRDefault="00454ADD">
          <w:pPr>
            <w:pStyle w:val="TOC1"/>
            <w:tabs>
              <w:tab w:val="right" w:leader="dot" w:pos="9350"/>
            </w:tabs>
            <w:rPr>
              <w:rFonts w:ascii="Times New Roman" w:eastAsiaTheme="minorEastAsia" w:hAnsi="Times New Roman" w:cs="Times New Roman"/>
              <w:noProof/>
              <w:sz w:val="24"/>
              <w:szCs w:val="24"/>
            </w:rPr>
          </w:pPr>
          <w:hyperlink w:anchor="_Toc149258051" w:history="1">
            <w:r w:rsidR="00656D7B" w:rsidRPr="00372F85">
              <w:rPr>
                <w:rStyle w:val="Hyperlink"/>
                <w:rFonts w:ascii="Times New Roman" w:hAnsi="Times New Roman" w:cs="Times New Roman"/>
                <w:noProof/>
                <w:sz w:val="24"/>
                <w:szCs w:val="24"/>
              </w:rPr>
              <w:t>Consent in Battery Charges</w:t>
            </w:r>
            <w:r w:rsidR="00656D7B" w:rsidRPr="00372F85">
              <w:rPr>
                <w:rFonts w:ascii="Times New Roman" w:hAnsi="Times New Roman" w:cs="Times New Roman"/>
                <w:noProof/>
                <w:webHidden/>
                <w:sz w:val="24"/>
                <w:szCs w:val="24"/>
              </w:rPr>
              <w:tab/>
            </w:r>
            <w:r w:rsidR="002F697B" w:rsidRPr="00372F85">
              <w:rPr>
                <w:rFonts w:ascii="Times New Roman" w:hAnsi="Times New Roman" w:cs="Times New Roman"/>
                <w:noProof/>
                <w:webHidden/>
                <w:sz w:val="24"/>
                <w:szCs w:val="24"/>
              </w:rPr>
              <w:fldChar w:fldCharType="begin"/>
            </w:r>
            <w:r w:rsidR="00656D7B" w:rsidRPr="00372F85">
              <w:rPr>
                <w:rFonts w:ascii="Times New Roman" w:hAnsi="Times New Roman" w:cs="Times New Roman"/>
                <w:noProof/>
                <w:webHidden/>
                <w:sz w:val="24"/>
                <w:szCs w:val="24"/>
              </w:rPr>
              <w:instrText xml:space="preserve"> PAGEREF _Toc149258051 \h </w:instrText>
            </w:r>
            <w:r w:rsidR="002F697B" w:rsidRPr="00372F85">
              <w:rPr>
                <w:rFonts w:ascii="Times New Roman" w:hAnsi="Times New Roman" w:cs="Times New Roman"/>
                <w:noProof/>
                <w:webHidden/>
                <w:sz w:val="24"/>
                <w:szCs w:val="24"/>
              </w:rPr>
            </w:r>
            <w:r w:rsidR="002F697B" w:rsidRPr="00372F85">
              <w:rPr>
                <w:rFonts w:ascii="Times New Roman" w:hAnsi="Times New Roman" w:cs="Times New Roman"/>
                <w:noProof/>
                <w:webHidden/>
                <w:sz w:val="24"/>
                <w:szCs w:val="24"/>
              </w:rPr>
              <w:fldChar w:fldCharType="separate"/>
            </w:r>
            <w:r w:rsidR="00656D7B" w:rsidRPr="00372F85">
              <w:rPr>
                <w:rFonts w:ascii="Times New Roman" w:hAnsi="Times New Roman" w:cs="Times New Roman"/>
                <w:noProof/>
                <w:webHidden/>
                <w:sz w:val="24"/>
                <w:szCs w:val="24"/>
              </w:rPr>
              <w:t>3</w:t>
            </w:r>
            <w:r w:rsidR="002F697B" w:rsidRPr="00372F85">
              <w:rPr>
                <w:rFonts w:ascii="Times New Roman" w:hAnsi="Times New Roman" w:cs="Times New Roman"/>
                <w:noProof/>
                <w:webHidden/>
                <w:sz w:val="24"/>
                <w:szCs w:val="24"/>
              </w:rPr>
              <w:fldChar w:fldCharType="end"/>
            </w:r>
          </w:hyperlink>
        </w:p>
        <w:p w14:paraId="47CF6A92" w14:textId="77777777" w:rsidR="00656D7B" w:rsidRPr="00372F85" w:rsidRDefault="00454ADD">
          <w:pPr>
            <w:pStyle w:val="TOC1"/>
            <w:tabs>
              <w:tab w:val="right" w:leader="dot" w:pos="9350"/>
            </w:tabs>
            <w:rPr>
              <w:rFonts w:ascii="Times New Roman" w:eastAsiaTheme="minorEastAsia" w:hAnsi="Times New Roman" w:cs="Times New Roman"/>
              <w:noProof/>
              <w:sz w:val="24"/>
              <w:szCs w:val="24"/>
            </w:rPr>
          </w:pPr>
          <w:hyperlink w:anchor="_Toc149258052" w:history="1">
            <w:r w:rsidR="00656D7B" w:rsidRPr="00372F85">
              <w:rPr>
                <w:rStyle w:val="Hyperlink"/>
                <w:rFonts w:ascii="Times New Roman" w:hAnsi="Times New Roman" w:cs="Times New Roman"/>
                <w:noProof/>
                <w:sz w:val="24"/>
                <w:szCs w:val="24"/>
              </w:rPr>
              <w:t>Conclusion</w:t>
            </w:r>
            <w:r w:rsidR="00656D7B" w:rsidRPr="00372F85">
              <w:rPr>
                <w:rFonts w:ascii="Times New Roman" w:hAnsi="Times New Roman" w:cs="Times New Roman"/>
                <w:noProof/>
                <w:webHidden/>
                <w:sz w:val="24"/>
                <w:szCs w:val="24"/>
              </w:rPr>
              <w:tab/>
            </w:r>
            <w:r w:rsidR="002F697B" w:rsidRPr="00372F85">
              <w:rPr>
                <w:rFonts w:ascii="Times New Roman" w:hAnsi="Times New Roman" w:cs="Times New Roman"/>
                <w:noProof/>
                <w:webHidden/>
                <w:sz w:val="24"/>
                <w:szCs w:val="24"/>
              </w:rPr>
              <w:fldChar w:fldCharType="begin"/>
            </w:r>
            <w:r w:rsidR="00656D7B" w:rsidRPr="00372F85">
              <w:rPr>
                <w:rFonts w:ascii="Times New Roman" w:hAnsi="Times New Roman" w:cs="Times New Roman"/>
                <w:noProof/>
                <w:webHidden/>
                <w:sz w:val="24"/>
                <w:szCs w:val="24"/>
              </w:rPr>
              <w:instrText xml:space="preserve"> PAGEREF _Toc149258052 \h </w:instrText>
            </w:r>
            <w:r w:rsidR="002F697B" w:rsidRPr="00372F85">
              <w:rPr>
                <w:rFonts w:ascii="Times New Roman" w:hAnsi="Times New Roman" w:cs="Times New Roman"/>
                <w:noProof/>
                <w:webHidden/>
                <w:sz w:val="24"/>
                <w:szCs w:val="24"/>
              </w:rPr>
            </w:r>
            <w:r w:rsidR="002F697B" w:rsidRPr="00372F85">
              <w:rPr>
                <w:rFonts w:ascii="Times New Roman" w:hAnsi="Times New Roman" w:cs="Times New Roman"/>
                <w:noProof/>
                <w:webHidden/>
                <w:sz w:val="24"/>
                <w:szCs w:val="24"/>
              </w:rPr>
              <w:fldChar w:fldCharType="separate"/>
            </w:r>
            <w:r w:rsidR="00656D7B" w:rsidRPr="00372F85">
              <w:rPr>
                <w:rFonts w:ascii="Times New Roman" w:hAnsi="Times New Roman" w:cs="Times New Roman"/>
                <w:noProof/>
                <w:webHidden/>
                <w:sz w:val="24"/>
                <w:szCs w:val="24"/>
              </w:rPr>
              <w:t>6</w:t>
            </w:r>
            <w:r w:rsidR="002F697B" w:rsidRPr="00372F85">
              <w:rPr>
                <w:rFonts w:ascii="Times New Roman" w:hAnsi="Times New Roman" w:cs="Times New Roman"/>
                <w:noProof/>
                <w:webHidden/>
                <w:sz w:val="24"/>
                <w:szCs w:val="24"/>
              </w:rPr>
              <w:fldChar w:fldCharType="end"/>
            </w:r>
          </w:hyperlink>
        </w:p>
        <w:p w14:paraId="7B38335C" w14:textId="77777777" w:rsidR="00656D7B" w:rsidRPr="00372F85" w:rsidRDefault="00454ADD">
          <w:pPr>
            <w:pStyle w:val="TOC1"/>
            <w:tabs>
              <w:tab w:val="right" w:leader="dot" w:pos="9350"/>
            </w:tabs>
            <w:rPr>
              <w:rFonts w:ascii="Times New Roman" w:eastAsiaTheme="minorEastAsia" w:hAnsi="Times New Roman" w:cs="Times New Roman"/>
              <w:noProof/>
              <w:sz w:val="24"/>
              <w:szCs w:val="24"/>
            </w:rPr>
          </w:pPr>
          <w:hyperlink w:anchor="_Toc149258053" w:history="1">
            <w:r w:rsidR="00656D7B" w:rsidRPr="00372F85">
              <w:rPr>
                <w:rStyle w:val="Hyperlink"/>
                <w:rFonts w:ascii="Times New Roman" w:hAnsi="Times New Roman" w:cs="Times New Roman"/>
                <w:noProof/>
                <w:sz w:val="24"/>
                <w:szCs w:val="24"/>
              </w:rPr>
              <w:t>Bibliography</w:t>
            </w:r>
            <w:r w:rsidR="00656D7B" w:rsidRPr="00372F85">
              <w:rPr>
                <w:rFonts w:ascii="Times New Roman" w:hAnsi="Times New Roman" w:cs="Times New Roman"/>
                <w:noProof/>
                <w:webHidden/>
                <w:sz w:val="24"/>
                <w:szCs w:val="24"/>
              </w:rPr>
              <w:tab/>
            </w:r>
            <w:r w:rsidR="002F697B" w:rsidRPr="00372F85">
              <w:rPr>
                <w:rFonts w:ascii="Times New Roman" w:hAnsi="Times New Roman" w:cs="Times New Roman"/>
                <w:noProof/>
                <w:webHidden/>
                <w:sz w:val="24"/>
                <w:szCs w:val="24"/>
              </w:rPr>
              <w:fldChar w:fldCharType="begin"/>
            </w:r>
            <w:r w:rsidR="00656D7B" w:rsidRPr="00372F85">
              <w:rPr>
                <w:rFonts w:ascii="Times New Roman" w:hAnsi="Times New Roman" w:cs="Times New Roman"/>
                <w:noProof/>
                <w:webHidden/>
                <w:sz w:val="24"/>
                <w:szCs w:val="24"/>
              </w:rPr>
              <w:instrText xml:space="preserve"> PAGEREF _Toc149258053 \h </w:instrText>
            </w:r>
            <w:r w:rsidR="002F697B" w:rsidRPr="00372F85">
              <w:rPr>
                <w:rFonts w:ascii="Times New Roman" w:hAnsi="Times New Roman" w:cs="Times New Roman"/>
                <w:noProof/>
                <w:webHidden/>
                <w:sz w:val="24"/>
                <w:szCs w:val="24"/>
              </w:rPr>
            </w:r>
            <w:r w:rsidR="002F697B" w:rsidRPr="00372F85">
              <w:rPr>
                <w:rFonts w:ascii="Times New Roman" w:hAnsi="Times New Roman" w:cs="Times New Roman"/>
                <w:noProof/>
                <w:webHidden/>
                <w:sz w:val="24"/>
                <w:szCs w:val="24"/>
              </w:rPr>
              <w:fldChar w:fldCharType="separate"/>
            </w:r>
            <w:r w:rsidR="00656D7B" w:rsidRPr="00372F85">
              <w:rPr>
                <w:rFonts w:ascii="Times New Roman" w:hAnsi="Times New Roman" w:cs="Times New Roman"/>
                <w:noProof/>
                <w:webHidden/>
                <w:sz w:val="24"/>
                <w:szCs w:val="24"/>
              </w:rPr>
              <w:t>7</w:t>
            </w:r>
            <w:r w:rsidR="002F697B" w:rsidRPr="00372F85">
              <w:rPr>
                <w:rFonts w:ascii="Times New Roman" w:hAnsi="Times New Roman" w:cs="Times New Roman"/>
                <w:noProof/>
                <w:webHidden/>
                <w:sz w:val="24"/>
                <w:szCs w:val="24"/>
              </w:rPr>
              <w:fldChar w:fldCharType="end"/>
            </w:r>
          </w:hyperlink>
        </w:p>
        <w:p w14:paraId="361745D6" w14:textId="77777777" w:rsidR="00D76423" w:rsidRDefault="002F697B">
          <w:r w:rsidRPr="00372F85">
            <w:rPr>
              <w:rFonts w:ascii="Times New Roman" w:hAnsi="Times New Roman" w:cs="Times New Roman"/>
              <w:sz w:val="24"/>
              <w:szCs w:val="24"/>
            </w:rPr>
            <w:fldChar w:fldCharType="end"/>
          </w:r>
        </w:p>
      </w:sdtContent>
    </w:sdt>
    <w:p w14:paraId="35DEEE7F" w14:textId="77777777" w:rsidR="00D76423" w:rsidRDefault="00D76423" w:rsidP="00D76423">
      <w:pPr>
        <w:rPr>
          <w:rStyle w:val="Heading1Char"/>
        </w:rPr>
      </w:pPr>
    </w:p>
    <w:p w14:paraId="44704A1D" w14:textId="77777777" w:rsidR="00D76423" w:rsidRDefault="00D76423">
      <w:pPr>
        <w:rPr>
          <w:rStyle w:val="Heading1Char"/>
        </w:rPr>
      </w:pPr>
      <w:r>
        <w:rPr>
          <w:rStyle w:val="Heading1Char"/>
        </w:rPr>
        <w:br w:type="page"/>
      </w:r>
    </w:p>
    <w:p w14:paraId="22D81B6B" w14:textId="77777777" w:rsidR="00DD6476" w:rsidRDefault="00DD6476" w:rsidP="00852C65">
      <w:pPr>
        <w:spacing w:line="360" w:lineRule="auto"/>
        <w:jc w:val="both"/>
        <w:rPr>
          <w:rFonts w:ascii="Times New Roman" w:hAnsi="Times New Roman" w:cs="Times New Roman"/>
          <w:sz w:val="24"/>
          <w:szCs w:val="24"/>
        </w:rPr>
      </w:pPr>
      <w:bookmarkStart w:id="0" w:name="_Toc149258050"/>
      <w:r w:rsidRPr="00D76423">
        <w:rPr>
          <w:rStyle w:val="Heading1Char"/>
        </w:rPr>
        <w:lastRenderedPageBreak/>
        <w:t>Introduction</w:t>
      </w:r>
      <w:bookmarkEnd w:id="0"/>
      <w:r>
        <w:rPr>
          <w:rFonts w:ascii="Times New Roman" w:hAnsi="Times New Roman" w:cs="Times New Roman"/>
          <w:sz w:val="24"/>
          <w:szCs w:val="24"/>
        </w:rPr>
        <w:t xml:space="preserve">: </w:t>
      </w:r>
      <w:r w:rsidR="00B37B1C" w:rsidRPr="00B37B1C">
        <w:rPr>
          <w:rFonts w:ascii="Times New Roman" w:hAnsi="Times New Roman" w:cs="Times New Roman"/>
          <w:sz w:val="24"/>
          <w:szCs w:val="24"/>
        </w:rPr>
        <w:t>A person can be prosecuted with battery in the United Kingdom if it is alleged that they used physical force on another individual without obtaining their permission, thereby causing either bodily injury or emotional distress in eithe</w:t>
      </w:r>
      <w:r w:rsidR="00A55306">
        <w:rPr>
          <w:rFonts w:ascii="Times New Roman" w:hAnsi="Times New Roman" w:cs="Times New Roman"/>
          <w:sz w:val="24"/>
          <w:szCs w:val="24"/>
        </w:rPr>
        <w:t>r of the parties involved. Battery</w:t>
      </w:r>
      <w:r w:rsidR="00B37B1C" w:rsidRPr="00B37B1C">
        <w:rPr>
          <w:rFonts w:ascii="Times New Roman" w:hAnsi="Times New Roman" w:cs="Times New Roman"/>
          <w:sz w:val="24"/>
          <w:szCs w:val="24"/>
        </w:rPr>
        <w:t xml:space="preserve"> can manifest itself physically, for example, in the form of a punch, a slap, or a push</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(Herring, 2021)</w:t>
      </w:r>
      <w:r w:rsidR="00B37B1C" w:rsidRPr="00B37B1C">
        <w:rPr>
          <w:rFonts w:ascii="Times New Roman" w:hAnsi="Times New Roman" w:cs="Times New Roman"/>
          <w:sz w:val="24"/>
          <w:szCs w:val="24"/>
        </w:rPr>
        <w:t>.</w:t>
      </w:r>
      <w:r w:rsidR="00A55306">
        <w:rPr>
          <w:rFonts w:ascii="Times New Roman" w:hAnsi="Times New Roman" w:cs="Times New Roman"/>
          <w:sz w:val="24"/>
          <w:szCs w:val="24"/>
        </w:rPr>
        <w:t xml:space="preserve"> In this essay, the principles of consent and its role in battery will be discussed.</w:t>
      </w:r>
    </w:p>
    <w:p w14:paraId="57A0AC64" w14:textId="77777777" w:rsidR="00522E55" w:rsidRDefault="00B37B1C" w:rsidP="00852C65">
      <w:pPr>
        <w:spacing w:line="360" w:lineRule="auto"/>
        <w:jc w:val="both"/>
        <w:rPr>
          <w:rFonts w:ascii="Times New Roman" w:hAnsi="Times New Roman" w:cs="Times New Roman"/>
          <w:sz w:val="24"/>
          <w:szCs w:val="24"/>
        </w:rPr>
      </w:pPr>
      <w:bookmarkStart w:id="1" w:name="_Toc149258051"/>
      <w:r w:rsidRPr="00D76423">
        <w:rPr>
          <w:rStyle w:val="Heading1Char"/>
        </w:rPr>
        <w:t>Consent in Battery Charges</w:t>
      </w:r>
      <w:bookmarkEnd w:id="1"/>
      <w:r>
        <w:rPr>
          <w:rFonts w:ascii="Times New Roman" w:hAnsi="Times New Roman" w:cs="Times New Roman"/>
          <w:sz w:val="24"/>
          <w:szCs w:val="24"/>
        </w:rPr>
        <w:t xml:space="preserve">: </w:t>
      </w:r>
      <w:r w:rsidR="00522E55" w:rsidRPr="00522E55">
        <w:rPr>
          <w:rFonts w:ascii="Times New Roman" w:hAnsi="Times New Roman" w:cs="Times New Roman"/>
          <w:sz w:val="24"/>
          <w:szCs w:val="24"/>
        </w:rPr>
        <w:t>When a person agrees to anything that was suggested to them by another individual, they are said to have given their consent to that activity.</w:t>
      </w:r>
    </w:p>
    <w:p w14:paraId="4A024DF9" w14:textId="77777777" w:rsidR="00103671" w:rsidRPr="00522E55" w:rsidRDefault="00852C65" w:rsidP="00522E55">
      <w:pPr>
        <w:pStyle w:val="ListParagraph"/>
        <w:numPr>
          <w:ilvl w:val="0"/>
          <w:numId w:val="1"/>
        </w:numPr>
        <w:spacing w:line="360" w:lineRule="auto"/>
        <w:jc w:val="both"/>
        <w:rPr>
          <w:rFonts w:ascii="Times New Roman" w:hAnsi="Times New Roman" w:cs="Times New Roman"/>
          <w:sz w:val="24"/>
          <w:szCs w:val="24"/>
        </w:rPr>
      </w:pPr>
      <w:r w:rsidRPr="00522E55">
        <w:rPr>
          <w:rFonts w:ascii="Times New Roman" w:hAnsi="Times New Roman" w:cs="Times New Roman"/>
          <w:sz w:val="24"/>
          <w:szCs w:val="24"/>
        </w:rPr>
        <w:t>D</w:t>
      </w:r>
      <w:r w:rsidR="00103671" w:rsidRPr="00522E55">
        <w:rPr>
          <w:rFonts w:ascii="Times New Roman" w:hAnsi="Times New Roman" w:cs="Times New Roman"/>
          <w:sz w:val="24"/>
          <w:szCs w:val="24"/>
        </w:rPr>
        <w:t>one so voluntarily without any type of duress or deception.</w:t>
      </w:r>
    </w:p>
    <w:p w14:paraId="55761489" w14:textId="77777777" w:rsidR="00103671" w:rsidRPr="00852C65" w:rsidRDefault="00852C65" w:rsidP="00852C65">
      <w:pPr>
        <w:pStyle w:val="ListParagraph"/>
        <w:numPr>
          <w:ilvl w:val="0"/>
          <w:numId w:val="1"/>
        </w:num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In</w:t>
      </w:r>
      <w:r w:rsidR="00103671" w:rsidRPr="00852C65">
        <w:rPr>
          <w:rFonts w:ascii="Times New Roman" w:hAnsi="Times New Roman" w:cs="Times New Roman"/>
          <w:sz w:val="24"/>
          <w:szCs w:val="24"/>
        </w:rPr>
        <w:t xml:space="preserve"> the control of a party that is accountable</w:t>
      </w:r>
    </w:p>
    <w:p w14:paraId="2DFEA5C3" w14:textId="77777777" w:rsidR="00103671" w:rsidRPr="00852C65" w:rsidRDefault="00852C65" w:rsidP="00852C6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Provided by </w:t>
      </w:r>
      <w:r w:rsidR="00103671" w:rsidRPr="00852C65">
        <w:rPr>
          <w:rFonts w:ascii="Times New Roman" w:hAnsi="Times New Roman" w:cs="Times New Roman"/>
          <w:sz w:val="24"/>
          <w:szCs w:val="24"/>
        </w:rPr>
        <w:t>somebody who is completely knowledgeable on the subject being discussed</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(Padfield, 2016)</w:t>
      </w:r>
      <w:r w:rsidR="00103671" w:rsidRPr="00852C65">
        <w:rPr>
          <w:rFonts w:ascii="Times New Roman" w:hAnsi="Times New Roman" w:cs="Times New Roman"/>
          <w:sz w:val="24"/>
          <w:szCs w:val="24"/>
        </w:rPr>
        <w:t>.</w:t>
      </w:r>
    </w:p>
    <w:p w14:paraId="1D29E316"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It is possible to give one's consent either vocally, in writing, or even implicitly. The patient's signature on a consent form does not constitute his or her actual assent to the proposed medical treatment; rather, it serves as proof that consent has been obtained. In other words, the patient's actual assent to the proposed medical treatment is not indicated by the patient's signature on the consent form. One example of providing implied consent is when a person offers up their arm for the purpose of collecting blood samples. Because a patient could argue that they were misunderstood and that they did not intend to offer their consent, it is not always reliable</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(Finch and Fafinski, 2019)</w:t>
      </w:r>
      <w:r w:rsidRPr="00852C65">
        <w:rPr>
          <w:rFonts w:ascii="Times New Roman" w:hAnsi="Times New Roman" w:cs="Times New Roman"/>
          <w:sz w:val="24"/>
          <w:szCs w:val="24"/>
        </w:rPr>
        <w:t>.</w:t>
      </w:r>
    </w:p>
    <w:p w14:paraId="6AF99423"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Under the legislation, individuals who have not reached the age of 18 are regarded to be minors. The Family Law Reform Act of 1969 states that a kid is legally deemed an adult at the age of 16 or 17, at which point they are able to offer informed authorization for medical care and are no longer considered minors. As is the case with giving consent in general, the individual's doctor needs to have faith in the patient's capacity to think things through and make a decision about this particular issue. In addition, it is possible to override a patient's decision to refuse treatment that would sustain their life</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(Elliott and Quinn, 2016)</w:t>
      </w:r>
      <w:r w:rsidRPr="00852C65">
        <w:rPr>
          <w:rFonts w:ascii="Times New Roman" w:hAnsi="Times New Roman" w:cs="Times New Roman"/>
          <w:sz w:val="24"/>
          <w:szCs w:val="24"/>
        </w:rPr>
        <w:t>.</w:t>
      </w:r>
    </w:p>
    <w:p w14:paraId="03B4F80E" w14:textId="77777777" w:rsidR="00375C67"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 xml:space="preserve">There is no universal rule regarding whether or not a kid under the age of 16 possesses the necessary understanding to offer informed. This determination is made on an individual basis. Because of this, it is absolutely essential that they have a solid understanding of not only the </w:t>
      </w:r>
      <w:r w:rsidRPr="00852C65">
        <w:rPr>
          <w:rFonts w:ascii="Times New Roman" w:hAnsi="Times New Roman" w:cs="Times New Roman"/>
          <w:sz w:val="24"/>
          <w:szCs w:val="24"/>
        </w:rPr>
        <w:lastRenderedPageBreak/>
        <w:t>medical aspects, but also the moral and ethical considerations involved. A parent or legal guardian who has parental responsibility can make decisions on behalf of a child who lacks the mental capacity to give informed consent. These decisions, however, can be overturned by a court if it is determined that they are not in the child's best interests. Even if the child does not want to participate in therapy, the consent of the parents is still necessary</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(Herring, 2022)</w:t>
      </w:r>
      <w:r w:rsidRPr="00852C65">
        <w:rPr>
          <w:rFonts w:ascii="Times New Roman" w:hAnsi="Times New Roman" w:cs="Times New Roman"/>
          <w:sz w:val="24"/>
          <w:szCs w:val="24"/>
        </w:rPr>
        <w:t xml:space="preserve">. </w:t>
      </w:r>
    </w:p>
    <w:p w14:paraId="509CF5CB"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The courts have the authority to also provide consent on behalf of a minor when requested. In many instances in which a Jehovah's Witness family refused to provide consent to a life-saving blood transfusion, the court ultimately overruled the child's and the parents' reluctance to give their agreement for the treatment. This occurred both when the child was younger and when the child was older. Before a court will decide against a parent's refusal to give consent for life-saving treatment, a child must meet the criteria established by the Gillick Competence Scale. The courts frequently embrace a paternalistic approach to the "best interests" of juveniles who want to end their lives, even if this may appear contradictory</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(Mclean, 2017)</w:t>
      </w:r>
      <w:r w:rsidRPr="00852C65">
        <w:rPr>
          <w:rFonts w:ascii="Times New Roman" w:hAnsi="Times New Roman" w:cs="Times New Roman"/>
          <w:sz w:val="24"/>
          <w:szCs w:val="24"/>
        </w:rPr>
        <w:t>.</w:t>
      </w:r>
    </w:p>
    <w:p w14:paraId="308E5C3E"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If a person is unable to make a choice for themselves, another person may do so on their behalf if it is in their best interests. When assessing what is in the patient's best interests, it is important to take into account the patient's own beliefs as well as the beliefs of their loved ones; nonetheless, no one is allowed to give authorization for medical treatment on behalf of an adult who lacks capacity. If a patient believes that they will lose the ability to make decisions regarding their own medical treatment in the near future, they have the option of appointing an agent to act on their behalf. In these kinds of situations, the person may have already formally declared their preferences in the eyes of the law by the use of a predetermined decision or the designation of a lasting power of attorney. Both of these legal tools, if they are applicable, are given the appropriate amount of weight when managerial decisions are being made</w:t>
      </w:r>
      <w:r w:rsidR="00F1024F">
        <w:rPr>
          <w:rFonts w:ascii="Times New Roman" w:hAnsi="Times New Roman" w:cs="Times New Roman"/>
          <w:sz w:val="24"/>
          <w:szCs w:val="24"/>
        </w:rPr>
        <w:t xml:space="preserve"> </w:t>
      </w:r>
      <w:r w:rsidR="00F1024F" w:rsidRPr="00F1024F">
        <w:rPr>
          <w:rFonts w:ascii="Times New Roman" w:hAnsi="Times New Roman" w:cs="Times New Roman"/>
          <w:sz w:val="24"/>
          <w:szCs w:val="24"/>
        </w:rPr>
        <w:t>(Burton et al., 2015)</w:t>
      </w:r>
      <w:r w:rsidRPr="00852C65">
        <w:rPr>
          <w:rFonts w:ascii="Times New Roman" w:hAnsi="Times New Roman" w:cs="Times New Roman"/>
          <w:sz w:val="24"/>
          <w:szCs w:val="24"/>
        </w:rPr>
        <w:t>.</w:t>
      </w:r>
    </w:p>
    <w:p w14:paraId="607574CA" w14:textId="77777777" w:rsidR="00FA0A18" w:rsidRDefault="00FA0A18"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Battery, which is a serious violation of the law, refers to any act in which one person uses force against another individual without first obtaining that individual's agreement. The four fundamental elements needed to prove battery are an act, intent, a lack of consent, and a hurt or offence caused by the act. A person commits a battery when they subject another person to an unwanted physical touch in which the other person does not have permission to do so. The only sort of permission that counts is one that has been thoughtfully and voluntarily provided.</w:t>
      </w:r>
      <w:r w:rsidR="00852C65">
        <w:rPr>
          <w:rFonts w:ascii="Times New Roman" w:hAnsi="Times New Roman" w:cs="Times New Roman"/>
          <w:sz w:val="24"/>
          <w:szCs w:val="24"/>
        </w:rPr>
        <w:t xml:space="preserve"> </w:t>
      </w:r>
      <w:r w:rsidRPr="00852C65">
        <w:rPr>
          <w:rFonts w:ascii="Times New Roman" w:hAnsi="Times New Roman" w:cs="Times New Roman"/>
          <w:sz w:val="24"/>
          <w:szCs w:val="24"/>
        </w:rPr>
        <w:t>Once the recipient has shown that they are willing to participate, their participation can be considered voluntary for any and all further contacts</w:t>
      </w:r>
      <w:r w:rsidR="00F1024F">
        <w:rPr>
          <w:rFonts w:ascii="Times New Roman" w:hAnsi="Times New Roman" w:cs="Times New Roman"/>
          <w:sz w:val="24"/>
          <w:szCs w:val="24"/>
        </w:rPr>
        <w:t xml:space="preserve"> </w:t>
      </w:r>
      <w:r w:rsidR="00F1024F" w:rsidRPr="00F1024F">
        <w:rPr>
          <w:rFonts w:ascii="Times New Roman" w:hAnsi="Times New Roman" w:cs="Times New Roman"/>
          <w:sz w:val="24"/>
          <w:szCs w:val="24"/>
        </w:rPr>
        <w:t>(Ashworth and Kelly, 2021)</w:t>
      </w:r>
      <w:r w:rsidRPr="00852C65">
        <w:rPr>
          <w:rFonts w:ascii="Times New Roman" w:hAnsi="Times New Roman" w:cs="Times New Roman"/>
          <w:sz w:val="24"/>
          <w:szCs w:val="24"/>
        </w:rPr>
        <w:t>.</w:t>
      </w:r>
    </w:p>
    <w:p w14:paraId="150E410D" w14:textId="77777777" w:rsidR="00EF4A60" w:rsidRPr="00852C65" w:rsidRDefault="00EF4A60" w:rsidP="00852C65">
      <w:pPr>
        <w:spacing w:line="360" w:lineRule="auto"/>
        <w:jc w:val="both"/>
        <w:rPr>
          <w:rFonts w:ascii="Times New Roman" w:hAnsi="Times New Roman" w:cs="Times New Roman"/>
          <w:sz w:val="24"/>
          <w:szCs w:val="24"/>
        </w:rPr>
      </w:pPr>
      <w:r w:rsidRPr="00EF4A60">
        <w:rPr>
          <w:rFonts w:ascii="Times New Roman" w:hAnsi="Times New Roman" w:cs="Times New Roman"/>
          <w:sz w:val="24"/>
          <w:szCs w:val="24"/>
        </w:rPr>
        <w:lastRenderedPageBreak/>
        <w:t xml:space="preserve">It is the belief of liberal criminal theorists that the foundation of contemporary criminal law is the protection of the autonomy of the individual in his or her decision-making process. As a result of this, a significant number of scholars have developed a nuanced defence of a criminal law that is founded on the autonomy of the individual. These individuals are of the opinion that activity should only be considered unlawful when it infringes upon the rights of individuals. Vera Bergelson's recent work in the field of criminal law has focused on advocating for increased safeguards for the individual liberties of people. Bergelson believes that it is not enough to punish those who interfere with a victim's autonomy in order to </w:t>
      </w:r>
      <w:r>
        <w:rPr>
          <w:rFonts w:ascii="Times New Roman" w:hAnsi="Times New Roman" w:cs="Times New Roman"/>
          <w:sz w:val="24"/>
          <w:szCs w:val="24"/>
        </w:rPr>
        <w:t xml:space="preserve">respect that victim's autonomy </w:t>
      </w:r>
      <w:r w:rsidRPr="00F1024F">
        <w:rPr>
          <w:rFonts w:ascii="Times New Roman" w:hAnsi="Times New Roman" w:cs="Times New Roman"/>
          <w:sz w:val="24"/>
          <w:szCs w:val="24"/>
        </w:rPr>
        <w:t>(Finch and Fafinski, 2019)</w:t>
      </w:r>
      <w:r w:rsidRPr="00852C65">
        <w:rPr>
          <w:rFonts w:ascii="Times New Roman" w:hAnsi="Times New Roman" w:cs="Times New Roman"/>
          <w:sz w:val="24"/>
          <w:szCs w:val="24"/>
        </w:rPr>
        <w:t>.</w:t>
      </w:r>
    </w:p>
    <w:p w14:paraId="5EE25721" w14:textId="77777777" w:rsidR="0044269E" w:rsidRDefault="00FA0A18"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It's possible that a person's consent can't be considered legitimate if they are too mentally handicapped, too young, or under the influence of drugs or alcohol.</w:t>
      </w:r>
      <w:r w:rsidR="00852C65">
        <w:rPr>
          <w:rFonts w:ascii="Times New Roman" w:hAnsi="Times New Roman" w:cs="Times New Roman"/>
          <w:sz w:val="24"/>
          <w:szCs w:val="24"/>
        </w:rPr>
        <w:t xml:space="preserve"> </w:t>
      </w:r>
      <w:r w:rsidRPr="00852C65">
        <w:rPr>
          <w:rFonts w:ascii="Times New Roman" w:hAnsi="Times New Roman" w:cs="Times New Roman"/>
          <w:sz w:val="24"/>
          <w:szCs w:val="24"/>
        </w:rPr>
        <w:t>To determine whether an action constituted battery or whether the contact was permitted by both parties, it is crucial to ascertain whether or not consent was obtained before to the action in question.</w:t>
      </w:r>
      <w:r w:rsidR="00852C65">
        <w:rPr>
          <w:rFonts w:ascii="Times New Roman" w:hAnsi="Times New Roman" w:cs="Times New Roman"/>
          <w:sz w:val="24"/>
          <w:szCs w:val="24"/>
        </w:rPr>
        <w:t xml:space="preserve"> The defendant</w:t>
      </w:r>
      <w:r w:rsidR="00852C65" w:rsidRPr="00852C65">
        <w:rPr>
          <w:rFonts w:ascii="Times New Roman" w:hAnsi="Times New Roman" w:cs="Times New Roman"/>
          <w:sz w:val="24"/>
          <w:szCs w:val="24"/>
        </w:rPr>
        <w:t xml:space="preserve"> is not liable for any wrongdoing that occurred while they were either actively engaged in the activity at question (such as when playing a sport with the defendant) or giving their express or implicit approval to the activity</w:t>
      </w:r>
      <w:r w:rsidR="00F1024F">
        <w:rPr>
          <w:rFonts w:ascii="Times New Roman" w:hAnsi="Times New Roman" w:cs="Times New Roman"/>
          <w:sz w:val="24"/>
          <w:szCs w:val="24"/>
        </w:rPr>
        <w:t xml:space="preserve"> </w:t>
      </w:r>
      <w:r w:rsidR="00F1024F" w:rsidRPr="00F1024F">
        <w:rPr>
          <w:rFonts w:ascii="Times New Roman" w:hAnsi="Times New Roman" w:cs="Times New Roman"/>
          <w:sz w:val="24"/>
          <w:szCs w:val="24"/>
        </w:rPr>
        <w:t>(Child et al., 2022)</w:t>
      </w:r>
      <w:r w:rsidR="00852C65" w:rsidRPr="00852C65">
        <w:rPr>
          <w:rFonts w:ascii="Times New Roman" w:hAnsi="Times New Roman" w:cs="Times New Roman"/>
          <w:sz w:val="24"/>
          <w:szCs w:val="24"/>
        </w:rPr>
        <w:t xml:space="preserve">. </w:t>
      </w:r>
    </w:p>
    <w:p w14:paraId="2C356ACD" w14:textId="77777777" w:rsidR="00852C65" w:rsidRPr="00852C65" w:rsidRDefault="0044269E" w:rsidP="00852C65">
      <w:pPr>
        <w:spacing w:line="360" w:lineRule="auto"/>
        <w:jc w:val="both"/>
        <w:rPr>
          <w:rFonts w:ascii="Times New Roman" w:hAnsi="Times New Roman" w:cs="Times New Roman"/>
          <w:sz w:val="24"/>
          <w:szCs w:val="24"/>
        </w:rPr>
      </w:pPr>
      <w:r w:rsidRPr="0044269E">
        <w:rPr>
          <w:rFonts w:ascii="Times New Roman" w:hAnsi="Times New Roman" w:cs="Times New Roman"/>
          <w:sz w:val="24"/>
          <w:szCs w:val="24"/>
        </w:rPr>
        <w:t>The idea of battery gave rise to the concept of "informed consent" by offering legal recourse for the "nonconsensual, intentional, and offensive touching of another without lawful justification." This is because the idea of battery provided legal recourse for the "nonconsensual, intentional, and offensive touching of another."If a patient does not provide their informed consent, the authorization that they have given to conduct a procedure is considered invalid. For instance, if the patient has not provided their consent, the claim could be seen to be an act of medical battery. On the other hand, it is not considered informed consent for the patient to agree to the operation while being unaware of the potential risks involved. Before any surgical procedure is carried out, it is the exclusive obligation of the attending physician to make the patient aware of any material risks as well a</w:t>
      </w:r>
      <w:r>
        <w:rPr>
          <w:rFonts w:ascii="Times New Roman" w:hAnsi="Times New Roman" w:cs="Times New Roman"/>
          <w:sz w:val="24"/>
          <w:szCs w:val="24"/>
        </w:rPr>
        <w:t>s viable treatment alternatives</w:t>
      </w:r>
      <w:r w:rsidRPr="0044269E">
        <w:rPr>
          <w:rFonts w:ascii="Times New Roman" w:hAnsi="Times New Roman" w:cs="Times New Roman"/>
          <w:sz w:val="24"/>
          <w:szCs w:val="24"/>
        </w:rPr>
        <w:t xml:space="preserve"> </w:t>
      </w:r>
      <w:r w:rsidR="00F1024F" w:rsidRPr="00F1024F">
        <w:rPr>
          <w:rFonts w:ascii="Times New Roman" w:hAnsi="Times New Roman" w:cs="Times New Roman"/>
          <w:sz w:val="24"/>
          <w:szCs w:val="24"/>
        </w:rPr>
        <w:t>(Cross, 2020)</w:t>
      </w:r>
      <w:r w:rsidR="00852C65" w:rsidRPr="00852C65">
        <w:rPr>
          <w:rFonts w:ascii="Times New Roman" w:hAnsi="Times New Roman" w:cs="Times New Roman"/>
          <w:sz w:val="24"/>
          <w:szCs w:val="24"/>
        </w:rPr>
        <w:t>.</w:t>
      </w:r>
    </w:p>
    <w:p w14:paraId="184EFDD6" w14:textId="77777777" w:rsidR="00F1024F" w:rsidRDefault="00852C65"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Because of the singular nature of these requirements, they are only applicable in extraordinary circumstances, the majority of the time being during athletic competition. Participation in a sport like boxing or rugby, for instance, could be construed as tacit consent to the use of physical force. The burden of proof rests squarely on the shoulders of the criminal defendant, who must demonstrate not only that permission was granted but also that the person who granted it had the legal power to do so. It is not sufficient to simply declare that an individual consented to particular actions or conduct in order to use consent as a defense in a criminal court. It is necessary to demonstrate that the subject actually did consen</w:t>
      </w:r>
      <w:r w:rsidR="00F1024F">
        <w:rPr>
          <w:rFonts w:ascii="Times New Roman" w:hAnsi="Times New Roman" w:cs="Times New Roman"/>
          <w:sz w:val="24"/>
          <w:szCs w:val="24"/>
        </w:rPr>
        <w:t xml:space="preserve">t to the activities or conduct </w:t>
      </w:r>
      <w:r w:rsidR="00F1024F" w:rsidRPr="00F1024F">
        <w:rPr>
          <w:rFonts w:ascii="Times New Roman" w:hAnsi="Times New Roman" w:cs="Times New Roman"/>
          <w:sz w:val="24"/>
          <w:szCs w:val="24"/>
        </w:rPr>
        <w:t>(Ashworth and Kelly, 2021)</w:t>
      </w:r>
      <w:r w:rsidRPr="00852C65">
        <w:rPr>
          <w:rFonts w:ascii="Times New Roman" w:hAnsi="Times New Roman" w:cs="Times New Roman"/>
          <w:sz w:val="24"/>
          <w:szCs w:val="24"/>
        </w:rPr>
        <w:t xml:space="preserve">. </w:t>
      </w:r>
    </w:p>
    <w:p w14:paraId="296CB989" w14:textId="77777777" w:rsidR="00852C65" w:rsidRPr="00852C65" w:rsidRDefault="00051695" w:rsidP="00852C65">
      <w:pPr>
        <w:spacing w:line="360" w:lineRule="auto"/>
        <w:jc w:val="both"/>
        <w:rPr>
          <w:rFonts w:ascii="Times New Roman" w:hAnsi="Times New Roman" w:cs="Times New Roman"/>
          <w:sz w:val="24"/>
          <w:szCs w:val="24"/>
        </w:rPr>
      </w:pPr>
      <w:bookmarkStart w:id="2" w:name="_Toc149258052"/>
      <w:r w:rsidRPr="00D76423">
        <w:rPr>
          <w:rStyle w:val="Heading1Char"/>
        </w:rPr>
        <w:t>Conclusion</w:t>
      </w:r>
      <w:bookmarkEnd w:id="2"/>
      <w:r>
        <w:rPr>
          <w:rFonts w:ascii="Times New Roman" w:hAnsi="Times New Roman" w:cs="Times New Roman"/>
          <w:sz w:val="24"/>
          <w:szCs w:val="24"/>
        </w:rPr>
        <w:t xml:space="preserve">: </w:t>
      </w:r>
      <w:r w:rsidR="00D76423" w:rsidRPr="00D76423">
        <w:rPr>
          <w:rFonts w:ascii="Times New Roman" w:hAnsi="Times New Roman" w:cs="Times New Roman"/>
          <w:sz w:val="24"/>
          <w:szCs w:val="24"/>
        </w:rPr>
        <w:t>To put it another way, a battery cannot be crea</w:t>
      </w:r>
      <w:r w:rsidR="00D76423">
        <w:rPr>
          <w:rFonts w:ascii="Times New Roman" w:hAnsi="Times New Roman" w:cs="Times New Roman"/>
          <w:sz w:val="24"/>
          <w:szCs w:val="24"/>
        </w:rPr>
        <w:t>ted unless the individual</w:t>
      </w:r>
      <w:r w:rsidR="00D76423" w:rsidRPr="00D76423">
        <w:rPr>
          <w:rFonts w:ascii="Times New Roman" w:hAnsi="Times New Roman" w:cs="Times New Roman"/>
          <w:sz w:val="24"/>
          <w:szCs w:val="24"/>
        </w:rPr>
        <w:t xml:space="preserve"> come into direct and direct physical touch with one another. In order to be held criminally responsible for battery, an individual must first have the intent to continue doing something that wou</w:t>
      </w:r>
      <w:r w:rsidR="00D76423">
        <w:rPr>
          <w:rFonts w:ascii="Times New Roman" w:hAnsi="Times New Roman" w:cs="Times New Roman"/>
          <w:sz w:val="24"/>
          <w:szCs w:val="24"/>
        </w:rPr>
        <w:t>ld cause harm to another person without their consent.</w:t>
      </w:r>
      <w:r w:rsidR="00D76423" w:rsidRPr="00D76423">
        <w:rPr>
          <w:rFonts w:ascii="Times New Roman" w:hAnsi="Times New Roman" w:cs="Times New Roman"/>
          <w:sz w:val="24"/>
          <w:szCs w:val="24"/>
        </w:rPr>
        <w:t xml:space="preserve"> </w:t>
      </w:r>
    </w:p>
    <w:p w14:paraId="4B16787D" w14:textId="77777777" w:rsidR="00852C65" w:rsidRPr="00852C65" w:rsidRDefault="00852C65" w:rsidP="00852C65">
      <w:pPr>
        <w:spacing w:line="360" w:lineRule="auto"/>
        <w:jc w:val="both"/>
        <w:rPr>
          <w:rFonts w:ascii="Times New Roman" w:hAnsi="Times New Roman" w:cs="Times New Roman"/>
          <w:sz w:val="24"/>
          <w:szCs w:val="24"/>
        </w:rPr>
      </w:pPr>
    </w:p>
    <w:p w14:paraId="38192455" w14:textId="77777777" w:rsidR="00852C65" w:rsidRPr="00852C65" w:rsidRDefault="00852C65" w:rsidP="00852C65">
      <w:pPr>
        <w:spacing w:line="360" w:lineRule="auto"/>
        <w:jc w:val="both"/>
        <w:rPr>
          <w:rFonts w:ascii="Times New Roman" w:hAnsi="Times New Roman" w:cs="Times New Roman"/>
          <w:sz w:val="24"/>
          <w:szCs w:val="24"/>
        </w:rPr>
      </w:pPr>
    </w:p>
    <w:p w14:paraId="3793B150" w14:textId="77777777" w:rsidR="00662CEE" w:rsidRDefault="00662CEE">
      <w:pPr>
        <w:rPr>
          <w:rFonts w:ascii="Times New Roman" w:hAnsi="Times New Roman" w:cs="Times New Roman"/>
          <w:sz w:val="24"/>
          <w:szCs w:val="24"/>
        </w:rPr>
      </w:pPr>
      <w:r>
        <w:rPr>
          <w:rFonts w:ascii="Times New Roman" w:hAnsi="Times New Roman" w:cs="Times New Roman"/>
          <w:sz w:val="24"/>
          <w:szCs w:val="24"/>
        </w:rPr>
        <w:br w:type="page"/>
      </w:r>
    </w:p>
    <w:p w14:paraId="38061B23" w14:textId="77777777" w:rsidR="00AD145F" w:rsidRDefault="00662CEE" w:rsidP="0075322E">
      <w:pPr>
        <w:pStyle w:val="Heading1"/>
      </w:pPr>
      <w:bookmarkStart w:id="3" w:name="_Toc149258053"/>
      <w:r>
        <w:t>Bibliography</w:t>
      </w:r>
      <w:bookmarkEnd w:id="3"/>
    </w:p>
    <w:p w14:paraId="5D4BD5B8" w14:textId="77777777" w:rsidR="0075322E" w:rsidRDefault="0075322E" w:rsidP="0075322E">
      <w:pPr>
        <w:pStyle w:val="NormalWeb"/>
        <w:spacing w:before="0" w:beforeAutospacing="0" w:after="240" w:afterAutospacing="0" w:line="360" w:lineRule="auto"/>
      </w:pPr>
      <w:r>
        <w:t xml:space="preserve">Ashworth, A. and Kelly, R. (2021). </w:t>
      </w:r>
      <w:r>
        <w:rPr>
          <w:i/>
          <w:iCs/>
        </w:rPr>
        <w:t>Sentencing and Criminal Justice</w:t>
      </w:r>
      <w:r>
        <w:t>. Bloomsbury Publishing.</w:t>
      </w:r>
    </w:p>
    <w:p w14:paraId="4152E30A" w14:textId="77777777" w:rsidR="0075322E" w:rsidRDefault="0075322E" w:rsidP="0075322E">
      <w:pPr>
        <w:pStyle w:val="NormalWeb"/>
        <w:spacing w:before="0" w:beforeAutospacing="0" w:after="240" w:afterAutospacing="0" w:line="360" w:lineRule="auto"/>
      </w:pPr>
      <w:r>
        <w:t xml:space="preserve">Burton, M., Cammiss, S., Sanders, A. and Young, R. (2015). </w:t>
      </w:r>
      <w:r>
        <w:rPr>
          <w:i/>
          <w:iCs/>
        </w:rPr>
        <w:t>Sanders &amp; Young’s Criminal Justice.</w:t>
      </w:r>
      <w:r>
        <w:t xml:space="preserve"> Oxford Univ</w:t>
      </w:r>
      <w:r w:rsidR="00DC24D0">
        <w:t>ersity</w:t>
      </w:r>
      <w:r>
        <w:t xml:space="preserve"> P</w:t>
      </w:r>
      <w:r w:rsidR="00DC24D0">
        <w:t>ress</w:t>
      </w:r>
      <w:r>
        <w:t>.</w:t>
      </w:r>
    </w:p>
    <w:p w14:paraId="23DCBF64" w14:textId="77777777" w:rsidR="0075322E" w:rsidRDefault="0075322E" w:rsidP="0075322E">
      <w:pPr>
        <w:pStyle w:val="NormalWeb"/>
        <w:spacing w:before="0" w:beforeAutospacing="0" w:after="240" w:afterAutospacing="0" w:line="360" w:lineRule="auto"/>
      </w:pPr>
      <w:r>
        <w:t xml:space="preserve">Child, J.J., Simester, A.P., Spencer, J.R., Stark, F. and Virgo, G.J. (2022). </w:t>
      </w:r>
      <w:r>
        <w:rPr>
          <w:i/>
          <w:iCs/>
        </w:rPr>
        <w:t>Simester and Sullivan’s Criminal Law</w:t>
      </w:r>
      <w:r>
        <w:t>. Bloomsbury Publishing.</w:t>
      </w:r>
    </w:p>
    <w:p w14:paraId="66A7211D" w14:textId="77777777" w:rsidR="0075322E" w:rsidRDefault="0075322E" w:rsidP="0075322E">
      <w:pPr>
        <w:pStyle w:val="NormalWeb"/>
        <w:spacing w:before="0" w:beforeAutospacing="0" w:after="240" w:afterAutospacing="0" w:line="360" w:lineRule="auto"/>
      </w:pPr>
      <w:r>
        <w:t xml:space="preserve">Cross, N. (2020). </w:t>
      </w:r>
      <w:r>
        <w:rPr>
          <w:i/>
          <w:iCs/>
        </w:rPr>
        <w:t>Criminal Law for Criminologists</w:t>
      </w:r>
      <w:r>
        <w:t>. Routledge.</w:t>
      </w:r>
    </w:p>
    <w:p w14:paraId="34AE41CF" w14:textId="77777777" w:rsidR="0075322E" w:rsidRDefault="0075322E" w:rsidP="0075322E">
      <w:pPr>
        <w:pStyle w:val="NormalWeb"/>
        <w:spacing w:before="0" w:beforeAutospacing="0" w:after="240" w:afterAutospacing="0" w:line="360" w:lineRule="auto"/>
      </w:pPr>
      <w:r>
        <w:t xml:space="preserve">Elliott, C. and Quinn, F. (2016). </w:t>
      </w:r>
      <w:r>
        <w:rPr>
          <w:i/>
          <w:iCs/>
        </w:rPr>
        <w:t>Criminal law</w:t>
      </w:r>
      <w:r>
        <w:t>. Harlow: Pearson.</w:t>
      </w:r>
    </w:p>
    <w:p w14:paraId="1C1F67BC" w14:textId="77777777" w:rsidR="0075322E" w:rsidRDefault="0075322E" w:rsidP="0075322E">
      <w:pPr>
        <w:pStyle w:val="NormalWeb"/>
        <w:spacing w:before="0" w:beforeAutospacing="0" w:after="240" w:afterAutospacing="0" w:line="360" w:lineRule="auto"/>
      </w:pPr>
      <w:r>
        <w:t xml:space="preserve">Finch, E. and Fafinski, S. (2019). </w:t>
      </w:r>
      <w:r>
        <w:rPr>
          <w:i/>
          <w:iCs/>
        </w:rPr>
        <w:t>Criminal law</w:t>
      </w:r>
      <w:r>
        <w:t>. 7th ed. Upper Saddle River: Pearson.</w:t>
      </w:r>
    </w:p>
    <w:p w14:paraId="7BDB6059" w14:textId="77777777" w:rsidR="0075322E" w:rsidRDefault="0075322E" w:rsidP="0075322E">
      <w:pPr>
        <w:pStyle w:val="NormalWeb"/>
        <w:spacing w:before="0" w:beforeAutospacing="0" w:after="240" w:afterAutospacing="0" w:line="360" w:lineRule="auto"/>
      </w:pPr>
      <w:r>
        <w:t xml:space="preserve">Herring, J. (2021). </w:t>
      </w:r>
      <w:r>
        <w:rPr>
          <w:i/>
          <w:iCs/>
        </w:rPr>
        <w:t>Criminal law.</w:t>
      </w:r>
      <w:r>
        <w:t xml:space="preserve"> 12th ed. London: Macmillan Education.</w:t>
      </w:r>
    </w:p>
    <w:p w14:paraId="2A0C3A5B" w14:textId="77777777" w:rsidR="0075322E" w:rsidRDefault="0075322E" w:rsidP="0075322E">
      <w:pPr>
        <w:pStyle w:val="NormalWeb"/>
        <w:spacing w:before="0" w:beforeAutospacing="0" w:after="240" w:afterAutospacing="0" w:line="360" w:lineRule="auto"/>
      </w:pPr>
      <w:r>
        <w:t xml:space="preserve">Herring, J. (2022). </w:t>
      </w:r>
      <w:r>
        <w:rPr>
          <w:i/>
          <w:iCs/>
        </w:rPr>
        <w:t>Medical Law And Ethics.</w:t>
      </w:r>
      <w:r>
        <w:t xml:space="preserve"> S.L.: Oxford Univ</w:t>
      </w:r>
      <w:r w:rsidR="00DC24D0">
        <w:t>ersity</w:t>
      </w:r>
      <w:r>
        <w:t xml:space="preserve"> Press.</w:t>
      </w:r>
    </w:p>
    <w:p w14:paraId="322790D9" w14:textId="77777777" w:rsidR="0075322E" w:rsidRDefault="0075322E" w:rsidP="0075322E">
      <w:pPr>
        <w:pStyle w:val="NormalWeb"/>
        <w:spacing w:before="0" w:beforeAutospacing="0" w:after="240" w:afterAutospacing="0" w:line="360" w:lineRule="auto"/>
      </w:pPr>
      <w:r>
        <w:t xml:space="preserve">Mclean, S. (2017). </w:t>
      </w:r>
      <w:r>
        <w:rPr>
          <w:i/>
          <w:iCs/>
        </w:rPr>
        <w:t>Medical law and ethics.</w:t>
      </w:r>
      <w:r>
        <w:t xml:space="preserve"> Taylor &amp; Francis.</w:t>
      </w:r>
    </w:p>
    <w:p w14:paraId="32EC9BDD" w14:textId="77777777" w:rsidR="0075322E" w:rsidRDefault="0075322E" w:rsidP="0075322E">
      <w:pPr>
        <w:pStyle w:val="NormalWeb"/>
        <w:spacing w:before="0" w:beforeAutospacing="0" w:after="240" w:afterAutospacing="0" w:line="360" w:lineRule="auto"/>
      </w:pPr>
      <w:r>
        <w:t xml:space="preserve">Padfield, N. (2016). </w:t>
      </w:r>
      <w:r>
        <w:rPr>
          <w:i/>
          <w:iCs/>
        </w:rPr>
        <w:t>Criminal Law</w:t>
      </w:r>
      <w:r w:rsidR="00DC24D0">
        <w:t xml:space="preserve">. 10th ed. </w:t>
      </w:r>
      <w:r>
        <w:t>Oxford University Press.</w:t>
      </w:r>
    </w:p>
    <w:p w14:paraId="3A244E9E" w14:textId="77777777" w:rsidR="00662CEE" w:rsidRPr="00852C65" w:rsidRDefault="00662CEE" w:rsidP="00852C65">
      <w:pPr>
        <w:spacing w:line="360" w:lineRule="auto"/>
        <w:jc w:val="both"/>
        <w:rPr>
          <w:rFonts w:ascii="Times New Roman" w:hAnsi="Times New Roman" w:cs="Times New Roman"/>
          <w:sz w:val="24"/>
          <w:szCs w:val="24"/>
        </w:rPr>
      </w:pPr>
    </w:p>
    <w:sectPr w:rsidR="00662CEE" w:rsidRPr="00852C65" w:rsidSect="00AD145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EA84B" w14:textId="77777777" w:rsidR="00183329" w:rsidRDefault="00183329" w:rsidP="00D76423">
      <w:pPr>
        <w:spacing w:after="0" w:line="240" w:lineRule="auto"/>
      </w:pPr>
      <w:r>
        <w:separator/>
      </w:r>
    </w:p>
  </w:endnote>
  <w:endnote w:type="continuationSeparator" w:id="0">
    <w:p w14:paraId="6798AF98" w14:textId="77777777" w:rsidR="00183329" w:rsidRDefault="00183329" w:rsidP="00D76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48016"/>
      <w:docPartObj>
        <w:docPartGallery w:val="Page Numbers (Bottom of Page)"/>
        <w:docPartUnique/>
      </w:docPartObj>
    </w:sdtPr>
    <w:sdtEndPr/>
    <w:sdtContent>
      <w:p w14:paraId="244BEED8" w14:textId="77777777" w:rsidR="00D76423" w:rsidRDefault="00454ADD">
        <w:pPr>
          <w:pStyle w:val="Footer"/>
          <w:jc w:val="center"/>
        </w:pPr>
        <w:r>
          <w:fldChar w:fldCharType="begin"/>
        </w:r>
        <w:r>
          <w:instrText xml:space="preserve"> PAGE   \* MERGEFORMAT </w:instrText>
        </w:r>
        <w:r>
          <w:fldChar w:fldCharType="separate"/>
        </w:r>
        <w:r w:rsidR="00DC24D0">
          <w:rPr>
            <w:noProof/>
          </w:rPr>
          <w:t>7</w:t>
        </w:r>
        <w:r>
          <w:rPr>
            <w:noProof/>
          </w:rPr>
          <w:fldChar w:fldCharType="end"/>
        </w:r>
      </w:p>
    </w:sdtContent>
  </w:sdt>
  <w:p w14:paraId="10169B94" w14:textId="77777777" w:rsidR="00D76423" w:rsidRDefault="00D76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6D9BA" w14:textId="77777777" w:rsidR="00183329" w:rsidRDefault="00183329" w:rsidP="00D76423">
      <w:pPr>
        <w:spacing w:after="0" w:line="240" w:lineRule="auto"/>
      </w:pPr>
      <w:r>
        <w:separator/>
      </w:r>
    </w:p>
  </w:footnote>
  <w:footnote w:type="continuationSeparator" w:id="0">
    <w:p w14:paraId="17383BAC" w14:textId="77777777" w:rsidR="00183329" w:rsidRDefault="00183329" w:rsidP="00D764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4207F0"/>
    <w:multiLevelType w:val="hybridMultilevel"/>
    <w:tmpl w:val="8A7E9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7516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671"/>
    <w:rsid w:val="00051695"/>
    <w:rsid w:val="00103671"/>
    <w:rsid w:val="00183329"/>
    <w:rsid w:val="00214F28"/>
    <w:rsid w:val="0026731C"/>
    <w:rsid w:val="002F697B"/>
    <w:rsid w:val="00372F85"/>
    <w:rsid w:val="00375C67"/>
    <w:rsid w:val="0044269E"/>
    <w:rsid w:val="00454ADD"/>
    <w:rsid w:val="00522E55"/>
    <w:rsid w:val="00656D7B"/>
    <w:rsid w:val="00662CEE"/>
    <w:rsid w:val="0075322E"/>
    <w:rsid w:val="00852C65"/>
    <w:rsid w:val="009C5D20"/>
    <w:rsid w:val="00A12B8B"/>
    <w:rsid w:val="00A55306"/>
    <w:rsid w:val="00A86EB0"/>
    <w:rsid w:val="00AD145F"/>
    <w:rsid w:val="00B37B1C"/>
    <w:rsid w:val="00D76423"/>
    <w:rsid w:val="00DC24D0"/>
    <w:rsid w:val="00DD6476"/>
    <w:rsid w:val="00EF4A60"/>
    <w:rsid w:val="00F1024F"/>
    <w:rsid w:val="00FA0A18"/>
    <w:rsid w:val="00FB24D2"/>
    <w:rsid w:val="00FC64C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813F2"/>
  <w15:docId w15:val="{7CFE985D-1992-6F44-96DB-BAB1AE9F9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45F"/>
  </w:style>
  <w:style w:type="paragraph" w:styleId="Heading1">
    <w:name w:val="heading 1"/>
    <w:basedOn w:val="Normal"/>
    <w:next w:val="Normal"/>
    <w:link w:val="Heading1Char"/>
    <w:uiPriority w:val="9"/>
    <w:qFormat/>
    <w:rsid w:val="00D764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2C65"/>
    <w:pPr>
      <w:ind w:left="720"/>
      <w:contextualSpacing/>
    </w:pPr>
  </w:style>
  <w:style w:type="character" w:customStyle="1" w:styleId="Heading1Char">
    <w:name w:val="Heading 1 Char"/>
    <w:basedOn w:val="DefaultParagraphFont"/>
    <w:link w:val="Heading1"/>
    <w:uiPriority w:val="9"/>
    <w:rsid w:val="00D7642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D7642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76423"/>
  </w:style>
  <w:style w:type="paragraph" w:styleId="Footer">
    <w:name w:val="footer"/>
    <w:basedOn w:val="Normal"/>
    <w:link w:val="FooterChar"/>
    <w:uiPriority w:val="99"/>
    <w:unhideWhenUsed/>
    <w:rsid w:val="00D764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6423"/>
  </w:style>
  <w:style w:type="paragraph" w:styleId="TOCHeading">
    <w:name w:val="TOC Heading"/>
    <w:basedOn w:val="Heading1"/>
    <w:next w:val="Normal"/>
    <w:uiPriority w:val="39"/>
    <w:semiHidden/>
    <w:unhideWhenUsed/>
    <w:qFormat/>
    <w:rsid w:val="00D76423"/>
    <w:pPr>
      <w:outlineLvl w:val="9"/>
    </w:pPr>
  </w:style>
  <w:style w:type="paragraph" w:styleId="TOC1">
    <w:name w:val="toc 1"/>
    <w:basedOn w:val="Normal"/>
    <w:next w:val="Normal"/>
    <w:autoRedefine/>
    <w:uiPriority w:val="39"/>
    <w:unhideWhenUsed/>
    <w:rsid w:val="00D76423"/>
    <w:pPr>
      <w:spacing w:after="100"/>
    </w:pPr>
  </w:style>
  <w:style w:type="character" w:styleId="Hyperlink">
    <w:name w:val="Hyperlink"/>
    <w:basedOn w:val="DefaultParagraphFont"/>
    <w:uiPriority w:val="99"/>
    <w:unhideWhenUsed/>
    <w:rsid w:val="00D76423"/>
    <w:rPr>
      <w:color w:val="0000FF" w:themeColor="hyperlink"/>
      <w:u w:val="single"/>
    </w:rPr>
  </w:style>
  <w:style w:type="paragraph" w:styleId="BalloonText">
    <w:name w:val="Balloon Text"/>
    <w:basedOn w:val="Normal"/>
    <w:link w:val="BalloonTextChar"/>
    <w:uiPriority w:val="99"/>
    <w:semiHidden/>
    <w:unhideWhenUsed/>
    <w:rsid w:val="00D764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423"/>
    <w:rPr>
      <w:rFonts w:ascii="Tahoma" w:hAnsi="Tahoma" w:cs="Tahoma"/>
      <w:sz w:val="16"/>
      <w:szCs w:val="16"/>
    </w:rPr>
  </w:style>
  <w:style w:type="paragraph" w:styleId="NormalWeb">
    <w:name w:val="Normal (Web)"/>
    <w:basedOn w:val="Normal"/>
    <w:uiPriority w:val="99"/>
    <w:semiHidden/>
    <w:unhideWhenUsed/>
    <w:rsid w:val="0075322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026385">
      <w:bodyDiv w:val="1"/>
      <w:marLeft w:val="0"/>
      <w:marRight w:val="0"/>
      <w:marTop w:val="0"/>
      <w:marBottom w:val="0"/>
      <w:divBdr>
        <w:top w:val="none" w:sz="0" w:space="0" w:color="auto"/>
        <w:left w:val="none" w:sz="0" w:space="0" w:color="auto"/>
        <w:bottom w:val="none" w:sz="0" w:space="0" w:color="auto"/>
        <w:right w:val="none" w:sz="0" w:space="0" w:color="auto"/>
      </w:divBdr>
      <w:divsChild>
        <w:div w:id="16362548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5CC359-E90A-432B-B8F6-4D7EF255CE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1514</Words>
  <Characters>8635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10129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Galina Zasheva</cp:lastModifiedBy>
  <cp:revision>2</cp:revision>
  <dcterms:created xsi:type="dcterms:W3CDTF">2023-11-10T14:58:00Z</dcterms:created>
  <dcterms:modified xsi:type="dcterms:W3CDTF">2023-11-10T14:58:00Z</dcterms:modified>
  <cp:category/>
</cp:coreProperties>
</file>