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00A71F" w14:textId="3B8C648E" w:rsidR="00713D6D" w:rsidRPr="00713D6D" w:rsidRDefault="007C45F9" w:rsidP="00713D6D">
      <w:r w:rsidRPr="006416DE">
        <w:rPr>
          <w:b/>
          <w:bCs/>
        </w:rPr>
        <w:t>BA Leadership and Management Skills for the Workplace</w:t>
      </w:r>
      <w:r w:rsidRPr="006416DE">
        <w:br/>
      </w:r>
      <w:r w:rsidRPr="006416DE">
        <w:rPr>
          <w:b/>
          <w:bCs/>
        </w:rPr>
        <w:t xml:space="preserve">Module: </w:t>
      </w:r>
      <w:r w:rsidRPr="007C45F9">
        <w:rPr>
          <w:b/>
          <w:bCs/>
        </w:rPr>
        <w:t>Understanding and Engaging Stakeholders</w:t>
      </w:r>
      <w:r w:rsidRPr="007C45F9">
        <w:rPr>
          <w:rFonts w:ascii="Arial" w:hAnsi="Arial" w:cs="Arial"/>
          <w:b/>
          <w:bCs/>
        </w:rPr>
        <w:t> </w:t>
      </w:r>
      <w:r>
        <w:rPr>
          <w:b/>
          <w:bCs/>
        </w:rPr>
        <w:t>(LCLM5001)</w:t>
      </w:r>
      <w:r w:rsidRPr="006416DE">
        <w:br/>
      </w:r>
      <w:r w:rsidRPr="006416DE">
        <w:rPr>
          <w:b/>
          <w:bCs/>
        </w:rPr>
        <w:t xml:space="preserve">Assignment: </w:t>
      </w:r>
      <w:r w:rsidRPr="007C45F9">
        <w:rPr>
          <w:b/>
          <w:bCs/>
        </w:rPr>
        <w:t>Understanding the importance of Stakeholder Engagement in successful commencement and completion of project. </w:t>
      </w:r>
      <w:r w:rsidRPr="006416DE">
        <w:br/>
      </w:r>
      <w:r>
        <w:rPr>
          <w:b/>
          <w:bCs/>
        </w:rPr>
        <w:t>Student name: Toni Ognyanov</w:t>
      </w:r>
      <w:r>
        <w:rPr>
          <w:b/>
          <w:bCs/>
        </w:rPr>
        <w:br/>
        <w:t>Student number: 2407597</w:t>
      </w:r>
      <w:r w:rsidRPr="006416DE">
        <w:br/>
      </w:r>
      <w:r w:rsidRPr="006416DE">
        <w:rPr>
          <w:b/>
          <w:bCs/>
        </w:rPr>
        <w:t xml:space="preserve">Lecturer: </w:t>
      </w:r>
      <w:r>
        <w:rPr>
          <w:b/>
          <w:bCs/>
        </w:rPr>
        <w:t>Eric Osei</w:t>
      </w:r>
      <w:r w:rsidRPr="006416DE">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sidR="00713D6D" w:rsidRPr="00713D6D">
        <w:rPr>
          <w:rFonts w:ascii="Arial" w:hAnsi="Arial" w:cs="Arial"/>
          <w:b/>
          <w:bCs/>
          <w:sz w:val="22"/>
          <w:szCs w:val="22"/>
        </w:rPr>
        <w:t>Executive Summary</w:t>
      </w:r>
      <w:r w:rsidR="00713D6D" w:rsidRPr="00713D6D">
        <w:rPr>
          <w:rFonts w:ascii="Arial" w:hAnsi="Arial" w:cs="Arial"/>
          <w:sz w:val="22"/>
          <w:szCs w:val="22"/>
        </w:rPr>
        <w:br/>
        <w:t>This report investigates the importance of stakeholder engagement in the successful commencement and completion of a project within a healthcare services organisation, NHS HealthTech Solutions. The company plans to launch a new wearable health device designed to track heart rate, oxygen saturation, and sleep patterns. The product is scheduled for launch in six months, requiring coordinated efforts across multiple internal and external stakeholders.</w:t>
      </w:r>
    </w:p>
    <w:p w14:paraId="31181D84" w14:textId="77777777" w:rsidR="00713D6D" w:rsidRPr="00713D6D" w:rsidRDefault="00713D6D" w:rsidP="00713D6D">
      <w:pPr>
        <w:rPr>
          <w:rFonts w:ascii="Arial" w:hAnsi="Arial" w:cs="Arial"/>
          <w:sz w:val="22"/>
          <w:szCs w:val="22"/>
        </w:rPr>
      </w:pPr>
      <w:r w:rsidRPr="00713D6D">
        <w:rPr>
          <w:rFonts w:ascii="Arial" w:hAnsi="Arial" w:cs="Arial"/>
          <w:sz w:val="22"/>
          <w:szCs w:val="22"/>
        </w:rPr>
        <w:t>The report evaluates the company using SWOT analysis, identifying strengths such as strong R&amp;D capability, and weaknesses including limited consumer awareness of new devices. Opportunities include increasing demand for remote health monitoring, while threats involve regulatory compliance challenges and competitor activity.</w:t>
      </w:r>
    </w:p>
    <w:p w14:paraId="05310ED9" w14:textId="77777777" w:rsidR="00713D6D" w:rsidRPr="00713D6D" w:rsidRDefault="00713D6D" w:rsidP="00713D6D">
      <w:pPr>
        <w:rPr>
          <w:rFonts w:ascii="Arial" w:hAnsi="Arial" w:cs="Arial"/>
          <w:sz w:val="22"/>
          <w:szCs w:val="22"/>
        </w:rPr>
      </w:pPr>
      <w:r w:rsidRPr="00713D6D">
        <w:rPr>
          <w:rFonts w:ascii="Arial" w:hAnsi="Arial" w:cs="Arial"/>
          <w:sz w:val="22"/>
          <w:szCs w:val="22"/>
        </w:rPr>
        <w:t>Key internal stakeholders include the product development team, marketing and sales departments, quality assurance, and executive management, while external stakeholders encompass regulatory bodies, healthcare professionals, suppliers, and potential consumers. Roles, responsibilities, and expected contributions of these stakeholders are discussed, along with potential challenges in engagement.</w:t>
      </w:r>
    </w:p>
    <w:p w14:paraId="46134FA8" w14:textId="77777777" w:rsidR="00713D6D" w:rsidRPr="00713D6D" w:rsidRDefault="00713D6D" w:rsidP="00713D6D">
      <w:pPr>
        <w:rPr>
          <w:rFonts w:ascii="Arial" w:hAnsi="Arial" w:cs="Arial"/>
          <w:sz w:val="22"/>
          <w:szCs w:val="22"/>
        </w:rPr>
      </w:pPr>
      <w:r w:rsidRPr="00713D6D">
        <w:rPr>
          <w:rFonts w:ascii="Arial" w:hAnsi="Arial" w:cs="Arial"/>
          <w:sz w:val="22"/>
          <w:szCs w:val="22"/>
        </w:rPr>
        <w:t>Frameworks and models such as the stakeholder matrix, RACI matrix, communication plan, and engagement plan are applied to establish mechanisms for stakeholder involvement. The report details a stakeholder engagement process integrating the Four Cs—communication, coordination, cooperation, and collaboration—to manage conflicts and ensure alignment with project goals.</w:t>
      </w:r>
    </w:p>
    <w:p w14:paraId="6DE3BC0A" w14:textId="77777777" w:rsidR="00713D6D" w:rsidRPr="00713D6D" w:rsidRDefault="00713D6D" w:rsidP="00713D6D">
      <w:pPr>
        <w:rPr>
          <w:rFonts w:ascii="Arial" w:hAnsi="Arial" w:cs="Arial"/>
          <w:sz w:val="22"/>
          <w:szCs w:val="22"/>
        </w:rPr>
      </w:pPr>
      <w:r w:rsidRPr="00713D6D">
        <w:rPr>
          <w:rFonts w:ascii="Arial" w:hAnsi="Arial" w:cs="Arial"/>
          <w:sz w:val="22"/>
          <w:szCs w:val="22"/>
        </w:rPr>
        <w:t>Finally, the report evaluates the impact of stakeholder engagement on business performance, demonstrating how effective collaboration contributes to timely project delivery, enhanced product quality, and improved organisational reputation. Recommendations are provided to further enhance stakeholder engagement in future projects.</w:t>
      </w:r>
    </w:p>
    <w:p w14:paraId="54B1CDEF" w14:textId="70E35877" w:rsidR="00713D6D" w:rsidRPr="00713D6D" w:rsidRDefault="00713D6D" w:rsidP="00713D6D">
      <w:pPr>
        <w:rPr>
          <w:rFonts w:ascii="Arial" w:hAnsi="Arial" w:cs="Arial"/>
          <w:sz w:val="22"/>
          <w:szCs w:val="22"/>
        </w:rPr>
      </w:pPr>
    </w:p>
    <w:p w14:paraId="44361EDE" w14:textId="77777777" w:rsidR="00713D6D" w:rsidRPr="00713D6D" w:rsidRDefault="00713D6D" w:rsidP="00713D6D">
      <w:pPr>
        <w:rPr>
          <w:rFonts w:ascii="Arial" w:hAnsi="Arial" w:cs="Arial"/>
          <w:sz w:val="22"/>
          <w:szCs w:val="22"/>
        </w:rPr>
      </w:pPr>
      <w:r w:rsidRPr="00713D6D">
        <w:rPr>
          <w:rFonts w:ascii="Arial" w:hAnsi="Arial" w:cs="Arial"/>
          <w:b/>
          <w:bCs/>
          <w:sz w:val="22"/>
          <w:szCs w:val="22"/>
        </w:rPr>
        <w:t>Introduction</w:t>
      </w:r>
      <w:r w:rsidRPr="00713D6D">
        <w:rPr>
          <w:rFonts w:ascii="Arial" w:hAnsi="Arial" w:cs="Arial"/>
          <w:sz w:val="22"/>
          <w:szCs w:val="22"/>
        </w:rPr>
        <w:br/>
        <w:t xml:space="preserve">NHS HealthTech Solutions is a UK-based healthcare technology company specialising in digital health innovations aimed at improving patient outcomes and supporting clinical decision-making. Established in 2010, the company operates primarily from its headquarters in London, with regional offices across the UK. Its operational activities include research and development (R&amp;D) of wearable devices, software applications for health monitoring, and partnerships with healthcare providers to integrate technology into patient care pathways. </w:t>
      </w:r>
      <w:r w:rsidRPr="00713D6D">
        <w:rPr>
          <w:rFonts w:ascii="Arial" w:hAnsi="Arial" w:cs="Arial"/>
          <w:sz w:val="22"/>
          <w:szCs w:val="22"/>
        </w:rPr>
        <w:lastRenderedPageBreak/>
        <w:t>The company employs over 500 staff, including engineers, software developers, project managers, and healthcare specialists, and maintains collaborations with suppliers, regulatory bodies, and research institutions.</w:t>
      </w:r>
    </w:p>
    <w:p w14:paraId="6B4B0AB4" w14:textId="77777777" w:rsidR="00713D6D" w:rsidRPr="00713D6D" w:rsidRDefault="00713D6D" w:rsidP="00713D6D">
      <w:pPr>
        <w:rPr>
          <w:rFonts w:ascii="Arial" w:hAnsi="Arial" w:cs="Arial"/>
          <w:sz w:val="22"/>
          <w:szCs w:val="22"/>
        </w:rPr>
      </w:pPr>
      <w:r w:rsidRPr="00713D6D">
        <w:rPr>
          <w:rFonts w:ascii="Arial" w:hAnsi="Arial" w:cs="Arial"/>
          <w:sz w:val="22"/>
          <w:szCs w:val="22"/>
        </w:rPr>
        <w:t>The company is currently developing a wearable health device capable of tracking heart rate, oxygen saturation, and sleep patterns. This device is intended to enhance patient monitoring both in clinical settings and for home use, aligning with NHS initiatives to promote preventive care and digital health solutions. The product development process is complex, requiring the integration of software, hardware, regulatory compliance, and user experience design. Launching the device within the planned six-month timeframe demands careful coordination and engagement with multiple stakeholders to ensure project success.</w:t>
      </w:r>
    </w:p>
    <w:p w14:paraId="38E69659" w14:textId="77777777" w:rsidR="00713D6D" w:rsidRPr="00713D6D" w:rsidRDefault="00713D6D" w:rsidP="00713D6D">
      <w:pPr>
        <w:rPr>
          <w:rFonts w:ascii="Arial" w:hAnsi="Arial" w:cs="Arial"/>
          <w:sz w:val="22"/>
          <w:szCs w:val="22"/>
        </w:rPr>
      </w:pPr>
      <w:r w:rsidRPr="00713D6D">
        <w:rPr>
          <w:rFonts w:ascii="Arial" w:hAnsi="Arial" w:cs="Arial"/>
          <w:sz w:val="22"/>
          <w:szCs w:val="22"/>
        </w:rPr>
        <w:t>The primary objective of this report is to analyse the stakeholder engagement strategies necessary for the successful launch of the wearable device. Effective stakeholder engagement is crucial to the project’s success, as it allows the project manager to secure commitment, align expectations, manage risks, and harness the expertise and resources of both internal and external stakeholders. By systematically engaging stakeholders, the organisation can achieve timely delivery, meet regulatory requirements, and deliver a product that satisfies market demand while enhancing patient care.</w:t>
      </w:r>
    </w:p>
    <w:p w14:paraId="0122B106" w14:textId="77777777" w:rsidR="00713D6D" w:rsidRPr="00713D6D" w:rsidRDefault="00713D6D" w:rsidP="00713D6D">
      <w:pPr>
        <w:rPr>
          <w:rFonts w:ascii="Arial" w:hAnsi="Arial" w:cs="Arial"/>
          <w:sz w:val="22"/>
          <w:szCs w:val="22"/>
        </w:rPr>
      </w:pPr>
      <w:r w:rsidRPr="00713D6D">
        <w:rPr>
          <w:rFonts w:ascii="Arial" w:hAnsi="Arial" w:cs="Arial"/>
          <w:sz w:val="22"/>
          <w:szCs w:val="22"/>
        </w:rPr>
        <w:t>Stakeholder engagement is increasingly recognised as a critical success factor in project management. According to Ashcroft (2017), fostering strong relationships with stakeholders enables organisations to leverage their knowledge, networks, and influence, which in turn contributes to the overall success of projects. Similarly, Christopher, Payne, and Ballantyne (2013) emphasise the value of relationship marketing in creating stakeholder value, highlighting the importance of consistent communication, trust, and collaboration. These principles underpin the engagement strategies applied in this project.</w:t>
      </w:r>
    </w:p>
    <w:p w14:paraId="2AEDDABE" w14:textId="77777777" w:rsidR="00713D6D" w:rsidRPr="00713D6D" w:rsidRDefault="00713D6D" w:rsidP="00713D6D">
      <w:pPr>
        <w:rPr>
          <w:rFonts w:ascii="Arial" w:hAnsi="Arial" w:cs="Arial"/>
          <w:sz w:val="22"/>
          <w:szCs w:val="22"/>
        </w:rPr>
      </w:pPr>
      <w:r w:rsidRPr="00713D6D">
        <w:rPr>
          <w:rFonts w:ascii="Arial" w:hAnsi="Arial" w:cs="Arial"/>
          <w:sz w:val="22"/>
          <w:szCs w:val="22"/>
        </w:rPr>
        <w:t>The report proceeds by first providing a situational analysis of NHS HealthTech Solutions, identifying strengths, weaknesses, opportunities, and threats associated with the wearable device project. Following this, key internal and external stakeholders are identified, and their roles, responsibilities, benefits, and potential challenges are discussed. Frameworks and models for stakeholder engagement are then applied to outline mechanisms for structured engagement. The report also details the project manager’s approach to engaging stakeholders, including conflict management using the Four Cs model: communication, coordination, cooperation, and collaboration. Finally, the report evaluates the impact of stakeholder engagement on business performance and provides recommendations for future projects.</w:t>
      </w:r>
    </w:p>
    <w:p w14:paraId="01ED8145" w14:textId="5CC5CA96" w:rsidR="00713D6D" w:rsidRPr="00713D6D" w:rsidRDefault="00713D6D" w:rsidP="00713D6D">
      <w:pPr>
        <w:rPr>
          <w:rFonts w:ascii="Arial" w:hAnsi="Arial" w:cs="Arial"/>
          <w:sz w:val="22"/>
          <w:szCs w:val="22"/>
        </w:rPr>
      </w:pPr>
    </w:p>
    <w:p w14:paraId="0F84F5AB" w14:textId="77777777" w:rsidR="00713D6D" w:rsidRPr="00713D6D" w:rsidRDefault="00713D6D" w:rsidP="00713D6D">
      <w:pPr>
        <w:rPr>
          <w:rFonts w:ascii="Arial" w:hAnsi="Arial" w:cs="Arial"/>
          <w:sz w:val="22"/>
          <w:szCs w:val="22"/>
        </w:rPr>
      </w:pPr>
      <w:r w:rsidRPr="00713D6D">
        <w:rPr>
          <w:rFonts w:ascii="Arial" w:hAnsi="Arial" w:cs="Arial"/>
          <w:b/>
          <w:bCs/>
          <w:sz w:val="22"/>
          <w:szCs w:val="22"/>
        </w:rPr>
        <w:t>Company Overview</w:t>
      </w:r>
      <w:r w:rsidRPr="00713D6D">
        <w:rPr>
          <w:rFonts w:ascii="Arial" w:hAnsi="Arial" w:cs="Arial"/>
          <w:sz w:val="22"/>
          <w:szCs w:val="22"/>
        </w:rPr>
        <w:br/>
        <w:t>NHS HealthTech Solutions has positioned itself as a leading innovator in digital health technologies. Its core business activities revolve around developing devices and software that improve healthcare delivery and patient outcomes. The company’s wearable device project exemplifies its commitment to addressing emerging healthcare challenges through technology.</w:t>
      </w:r>
    </w:p>
    <w:p w14:paraId="7AD168CA" w14:textId="77777777" w:rsidR="00713D6D" w:rsidRPr="00713D6D" w:rsidRDefault="00713D6D" w:rsidP="00713D6D">
      <w:pPr>
        <w:rPr>
          <w:rFonts w:ascii="Arial" w:hAnsi="Arial" w:cs="Arial"/>
          <w:sz w:val="22"/>
          <w:szCs w:val="22"/>
        </w:rPr>
      </w:pPr>
      <w:r w:rsidRPr="00713D6D">
        <w:rPr>
          <w:rFonts w:ascii="Arial" w:hAnsi="Arial" w:cs="Arial"/>
          <w:sz w:val="22"/>
          <w:szCs w:val="22"/>
        </w:rPr>
        <w:t>The organisational structure is designed to support cross-functional collaboration. Key departments include:</w:t>
      </w:r>
    </w:p>
    <w:p w14:paraId="4EAE0767" w14:textId="77777777" w:rsidR="00713D6D" w:rsidRPr="00713D6D" w:rsidRDefault="00713D6D" w:rsidP="00713D6D">
      <w:pPr>
        <w:numPr>
          <w:ilvl w:val="0"/>
          <w:numId w:val="1"/>
        </w:numPr>
        <w:rPr>
          <w:rFonts w:ascii="Arial" w:hAnsi="Arial" w:cs="Arial"/>
          <w:sz w:val="22"/>
          <w:szCs w:val="22"/>
        </w:rPr>
      </w:pPr>
      <w:r w:rsidRPr="00713D6D">
        <w:rPr>
          <w:rFonts w:ascii="Arial" w:hAnsi="Arial" w:cs="Arial"/>
          <w:b/>
          <w:bCs/>
          <w:sz w:val="22"/>
          <w:szCs w:val="22"/>
        </w:rPr>
        <w:lastRenderedPageBreak/>
        <w:t>Research and Development (R&amp;D):</w:t>
      </w:r>
      <w:r w:rsidRPr="00713D6D">
        <w:rPr>
          <w:rFonts w:ascii="Arial" w:hAnsi="Arial" w:cs="Arial"/>
          <w:sz w:val="22"/>
          <w:szCs w:val="22"/>
        </w:rPr>
        <w:t xml:space="preserve"> Focuses on designing and testing new health technologies.</w:t>
      </w:r>
    </w:p>
    <w:p w14:paraId="055EDFF3" w14:textId="77777777" w:rsidR="00713D6D" w:rsidRPr="00713D6D" w:rsidRDefault="00713D6D" w:rsidP="00713D6D">
      <w:pPr>
        <w:numPr>
          <w:ilvl w:val="0"/>
          <w:numId w:val="1"/>
        </w:numPr>
        <w:rPr>
          <w:rFonts w:ascii="Arial" w:hAnsi="Arial" w:cs="Arial"/>
          <w:sz w:val="22"/>
          <w:szCs w:val="22"/>
        </w:rPr>
      </w:pPr>
      <w:r w:rsidRPr="00713D6D">
        <w:rPr>
          <w:rFonts w:ascii="Arial" w:hAnsi="Arial" w:cs="Arial"/>
          <w:b/>
          <w:bCs/>
          <w:sz w:val="22"/>
          <w:szCs w:val="22"/>
        </w:rPr>
        <w:t>Product Development:</w:t>
      </w:r>
      <w:r w:rsidRPr="00713D6D">
        <w:rPr>
          <w:rFonts w:ascii="Arial" w:hAnsi="Arial" w:cs="Arial"/>
          <w:sz w:val="22"/>
          <w:szCs w:val="22"/>
        </w:rPr>
        <w:t xml:space="preserve"> Responsible for translating research into viable products, integrating hardware and software components.</w:t>
      </w:r>
    </w:p>
    <w:p w14:paraId="23C2257A" w14:textId="77777777" w:rsidR="00713D6D" w:rsidRPr="00713D6D" w:rsidRDefault="00713D6D" w:rsidP="00713D6D">
      <w:pPr>
        <w:numPr>
          <w:ilvl w:val="0"/>
          <w:numId w:val="1"/>
        </w:numPr>
        <w:rPr>
          <w:rFonts w:ascii="Arial" w:hAnsi="Arial" w:cs="Arial"/>
          <w:sz w:val="22"/>
          <w:szCs w:val="22"/>
        </w:rPr>
      </w:pPr>
      <w:r w:rsidRPr="00713D6D">
        <w:rPr>
          <w:rFonts w:ascii="Arial" w:hAnsi="Arial" w:cs="Arial"/>
          <w:b/>
          <w:bCs/>
          <w:sz w:val="22"/>
          <w:szCs w:val="22"/>
        </w:rPr>
        <w:t>Marketing and Sales:</w:t>
      </w:r>
      <w:r w:rsidRPr="00713D6D">
        <w:rPr>
          <w:rFonts w:ascii="Arial" w:hAnsi="Arial" w:cs="Arial"/>
          <w:sz w:val="22"/>
          <w:szCs w:val="22"/>
        </w:rPr>
        <w:t xml:space="preserve"> Manages product promotion, market analysis, and customer engagement strategies.</w:t>
      </w:r>
    </w:p>
    <w:p w14:paraId="6A2475A3" w14:textId="77777777" w:rsidR="00713D6D" w:rsidRPr="00713D6D" w:rsidRDefault="00713D6D" w:rsidP="00713D6D">
      <w:pPr>
        <w:numPr>
          <w:ilvl w:val="0"/>
          <w:numId w:val="1"/>
        </w:numPr>
        <w:rPr>
          <w:rFonts w:ascii="Arial" w:hAnsi="Arial" w:cs="Arial"/>
          <w:sz w:val="22"/>
          <w:szCs w:val="22"/>
        </w:rPr>
      </w:pPr>
      <w:r w:rsidRPr="00713D6D">
        <w:rPr>
          <w:rFonts w:ascii="Arial" w:hAnsi="Arial" w:cs="Arial"/>
          <w:b/>
          <w:bCs/>
          <w:sz w:val="22"/>
          <w:szCs w:val="22"/>
        </w:rPr>
        <w:t>Quality Assurance and Regulatory Compliance:</w:t>
      </w:r>
      <w:r w:rsidRPr="00713D6D">
        <w:rPr>
          <w:rFonts w:ascii="Arial" w:hAnsi="Arial" w:cs="Arial"/>
          <w:sz w:val="22"/>
          <w:szCs w:val="22"/>
        </w:rPr>
        <w:t xml:space="preserve"> Ensures products meet national and international health standards, including ISO 13485 and MHRA regulations.</w:t>
      </w:r>
    </w:p>
    <w:p w14:paraId="13C1D086" w14:textId="77777777" w:rsidR="00713D6D" w:rsidRPr="00713D6D" w:rsidRDefault="00713D6D" w:rsidP="00713D6D">
      <w:pPr>
        <w:numPr>
          <w:ilvl w:val="0"/>
          <w:numId w:val="1"/>
        </w:numPr>
        <w:rPr>
          <w:rFonts w:ascii="Arial" w:hAnsi="Arial" w:cs="Arial"/>
          <w:sz w:val="22"/>
          <w:szCs w:val="22"/>
        </w:rPr>
      </w:pPr>
      <w:r w:rsidRPr="00713D6D">
        <w:rPr>
          <w:rFonts w:ascii="Arial" w:hAnsi="Arial" w:cs="Arial"/>
          <w:b/>
          <w:bCs/>
          <w:sz w:val="22"/>
          <w:szCs w:val="22"/>
        </w:rPr>
        <w:t>Executive Management:</w:t>
      </w:r>
      <w:r w:rsidRPr="00713D6D">
        <w:rPr>
          <w:rFonts w:ascii="Arial" w:hAnsi="Arial" w:cs="Arial"/>
          <w:sz w:val="22"/>
          <w:szCs w:val="22"/>
        </w:rPr>
        <w:t xml:space="preserve"> Provides strategic oversight, approves project budgets, and allocates resources.</w:t>
      </w:r>
    </w:p>
    <w:p w14:paraId="0D696426" w14:textId="77777777" w:rsidR="00713D6D" w:rsidRPr="00713D6D" w:rsidRDefault="00713D6D" w:rsidP="00713D6D">
      <w:pPr>
        <w:rPr>
          <w:rFonts w:ascii="Arial" w:hAnsi="Arial" w:cs="Arial"/>
          <w:sz w:val="22"/>
          <w:szCs w:val="22"/>
        </w:rPr>
      </w:pPr>
      <w:r w:rsidRPr="00713D6D">
        <w:rPr>
          <w:rFonts w:ascii="Arial" w:hAnsi="Arial" w:cs="Arial"/>
          <w:sz w:val="22"/>
          <w:szCs w:val="22"/>
        </w:rPr>
        <w:t>NHS HealthTech Solutions is committed to stakeholder-centric practices, recognising that engaging both internal and external stakeholders is essential for successful innovation. Internal stakeholders contribute technical expertise, operational insights, and strategic direction, while external stakeholders provide regulatory guidance, supply chain support, and market insights.</w:t>
      </w:r>
    </w:p>
    <w:p w14:paraId="1F33B383" w14:textId="77777777" w:rsidR="00713D6D" w:rsidRPr="00713D6D" w:rsidRDefault="00713D6D" w:rsidP="00713D6D">
      <w:pPr>
        <w:rPr>
          <w:rFonts w:ascii="Arial" w:hAnsi="Arial" w:cs="Arial"/>
          <w:sz w:val="22"/>
          <w:szCs w:val="22"/>
        </w:rPr>
      </w:pPr>
      <w:r w:rsidRPr="00713D6D">
        <w:rPr>
          <w:rFonts w:ascii="Arial" w:hAnsi="Arial" w:cs="Arial"/>
          <w:sz w:val="22"/>
          <w:szCs w:val="22"/>
        </w:rPr>
        <w:t>The wearable device project is strategically aligned with the company’s objectives to expand its digital health portfolio, enhance patient outcomes, and support NHS initiatives for remote monitoring and preventive care. The project’s success depends not only on technical development but also on effective coordination among diverse stakeholders, each of whom has unique expectations, interests, and influence.</w:t>
      </w:r>
    </w:p>
    <w:p w14:paraId="1257FA33" w14:textId="77777777" w:rsidR="00713D6D" w:rsidRPr="00713D6D" w:rsidRDefault="00713D6D" w:rsidP="00713D6D">
      <w:pPr>
        <w:rPr>
          <w:rFonts w:ascii="Arial" w:hAnsi="Arial" w:cs="Arial"/>
          <w:sz w:val="22"/>
          <w:szCs w:val="22"/>
        </w:rPr>
      </w:pPr>
      <w:r w:rsidRPr="00713D6D">
        <w:rPr>
          <w:rFonts w:ascii="Arial" w:hAnsi="Arial" w:cs="Arial"/>
          <w:b/>
          <w:bCs/>
          <w:sz w:val="22"/>
          <w:szCs w:val="22"/>
        </w:rPr>
        <w:t>Situational Analysis</w:t>
      </w:r>
    </w:p>
    <w:p w14:paraId="5426359E" w14:textId="77777777" w:rsidR="00713D6D" w:rsidRPr="00713D6D" w:rsidRDefault="00713D6D" w:rsidP="00713D6D">
      <w:pPr>
        <w:rPr>
          <w:rFonts w:ascii="Arial" w:hAnsi="Arial" w:cs="Arial"/>
          <w:sz w:val="22"/>
          <w:szCs w:val="22"/>
        </w:rPr>
      </w:pPr>
      <w:r w:rsidRPr="00713D6D">
        <w:rPr>
          <w:rFonts w:ascii="Arial" w:hAnsi="Arial" w:cs="Arial"/>
          <w:sz w:val="22"/>
          <w:szCs w:val="22"/>
        </w:rPr>
        <w:t xml:space="preserve">To understand the context of the wearable device project, NHS HealthTech Solutions can be evaluated using </w:t>
      </w:r>
      <w:r w:rsidRPr="00713D6D">
        <w:rPr>
          <w:rFonts w:ascii="Arial" w:hAnsi="Arial" w:cs="Arial"/>
          <w:b/>
          <w:bCs/>
          <w:sz w:val="22"/>
          <w:szCs w:val="22"/>
        </w:rPr>
        <w:t>SWOT analysis</w:t>
      </w:r>
      <w:r w:rsidRPr="00713D6D">
        <w:rPr>
          <w:rFonts w:ascii="Arial" w:hAnsi="Arial" w:cs="Arial"/>
          <w:sz w:val="22"/>
          <w:szCs w:val="22"/>
        </w:rPr>
        <w:t xml:space="preserve">, </w:t>
      </w:r>
      <w:r w:rsidRPr="00713D6D">
        <w:rPr>
          <w:rFonts w:ascii="Arial" w:hAnsi="Arial" w:cs="Arial"/>
          <w:b/>
          <w:bCs/>
          <w:sz w:val="22"/>
          <w:szCs w:val="22"/>
        </w:rPr>
        <w:t>PESTLE analysis</w:t>
      </w:r>
      <w:r w:rsidRPr="00713D6D">
        <w:rPr>
          <w:rFonts w:ascii="Arial" w:hAnsi="Arial" w:cs="Arial"/>
          <w:sz w:val="22"/>
          <w:szCs w:val="22"/>
        </w:rPr>
        <w:t xml:space="preserve">, and </w:t>
      </w:r>
      <w:r w:rsidRPr="00713D6D">
        <w:rPr>
          <w:rFonts w:ascii="Arial" w:hAnsi="Arial" w:cs="Arial"/>
          <w:b/>
          <w:bCs/>
          <w:sz w:val="22"/>
          <w:szCs w:val="22"/>
        </w:rPr>
        <w:t>SMART objectives</w:t>
      </w:r>
      <w:r w:rsidRPr="00713D6D">
        <w:rPr>
          <w:rFonts w:ascii="Arial" w:hAnsi="Arial" w:cs="Arial"/>
          <w:sz w:val="22"/>
          <w:szCs w:val="22"/>
        </w:rPr>
        <w:t xml:space="preserve"> to ensure alignment with organisational strategy and project goals.</w:t>
      </w:r>
    </w:p>
    <w:p w14:paraId="58E3C5FD" w14:textId="77777777" w:rsidR="00713D6D" w:rsidRPr="00713D6D" w:rsidRDefault="00713D6D" w:rsidP="00713D6D">
      <w:pPr>
        <w:rPr>
          <w:rFonts w:ascii="Arial" w:hAnsi="Arial" w:cs="Arial"/>
          <w:sz w:val="22"/>
          <w:szCs w:val="22"/>
        </w:rPr>
      </w:pPr>
      <w:r w:rsidRPr="00713D6D">
        <w:rPr>
          <w:rFonts w:ascii="Arial" w:hAnsi="Arial" w:cs="Arial"/>
          <w:b/>
          <w:bCs/>
          <w:sz w:val="22"/>
          <w:szCs w:val="22"/>
        </w:rPr>
        <w:t>SWOT Analysis</w:t>
      </w:r>
    </w:p>
    <w:p w14:paraId="352F61B6" w14:textId="77777777" w:rsidR="00713D6D" w:rsidRPr="00713D6D" w:rsidRDefault="00713D6D" w:rsidP="00713D6D">
      <w:pPr>
        <w:numPr>
          <w:ilvl w:val="0"/>
          <w:numId w:val="2"/>
        </w:numPr>
        <w:rPr>
          <w:rFonts w:ascii="Arial" w:hAnsi="Arial" w:cs="Arial"/>
          <w:sz w:val="22"/>
          <w:szCs w:val="22"/>
        </w:rPr>
      </w:pPr>
      <w:r w:rsidRPr="00713D6D">
        <w:rPr>
          <w:rFonts w:ascii="Arial" w:hAnsi="Arial" w:cs="Arial"/>
          <w:b/>
          <w:bCs/>
          <w:sz w:val="22"/>
          <w:szCs w:val="22"/>
        </w:rPr>
        <w:t>Strengths:</w:t>
      </w:r>
      <w:r w:rsidRPr="00713D6D">
        <w:rPr>
          <w:rFonts w:ascii="Arial" w:hAnsi="Arial" w:cs="Arial"/>
          <w:sz w:val="22"/>
          <w:szCs w:val="22"/>
        </w:rPr>
        <w:t xml:space="preserve"> NHS HealthTech Solutions has strong internal capabilities in research and development, with a dedicated team of engineers, software developers, and healthcare specialists. This expertise allows the company to design advanced wearable health devices that integrate sophisticated monitoring features. Additionally, the company has established relationships with healthcare providers and regulatory bodies, which facilitate smoother regulatory approvals and adoption of new technologies.</w:t>
      </w:r>
    </w:p>
    <w:p w14:paraId="75C4650C" w14:textId="77777777" w:rsidR="00713D6D" w:rsidRPr="00713D6D" w:rsidRDefault="00713D6D" w:rsidP="00713D6D">
      <w:pPr>
        <w:numPr>
          <w:ilvl w:val="0"/>
          <w:numId w:val="2"/>
        </w:numPr>
        <w:rPr>
          <w:rFonts w:ascii="Arial" w:hAnsi="Arial" w:cs="Arial"/>
          <w:sz w:val="22"/>
          <w:szCs w:val="22"/>
        </w:rPr>
      </w:pPr>
      <w:r w:rsidRPr="00713D6D">
        <w:rPr>
          <w:rFonts w:ascii="Arial" w:hAnsi="Arial" w:cs="Arial"/>
          <w:b/>
          <w:bCs/>
          <w:sz w:val="22"/>
          <w:szCs w:val="22"/>
        </w:rPr>
        <w:t>Weaknesses:</w:t>
      </w:r>
      <w:r w:rsidRPr="00713D6D">
        <w:rPr>
          <w:rFonts w:ascii="Arial" w:hAnsi="Arial" w:cs="Arial"/>
          <w:sz w:val="22"/>
          <w:szCs w:val="22"/>
        </w:rPr>
        <w:t xml:space="preserve"> One of the main weaknesses is the relatively low brand awareness among potential consumer markets outside clinical settings. While NHS associations give credibility, the company faces challenges in reaching private consumers who may not be aware of its products. Another weakness is the potential dependency on third-party suppliers for components, which can lead to delays in production if supply chain issues arise.</w:t>
      </w:r>
    </w:p>
    <w:p w14:paraId="0A6566B6" w14:textId="77777777" w:rsidR="00713D6D" w:rsidRPr="00713D6D" w:rsidRDefault="00713D6D" w:rsidP="00713D6D">
      <w:pPr>
        <w:numPr>
          <w:ilvl w:val="0"/>
          <w:numId w:val="2"/>
        </w:numPr>
        <w:rPr>
          <w:rFonts w:ascii="Arial" w:hAnsi="Arial" w:cs="Arial"/>
          <w:sz w:val="22"/>
          <w:szCs w:val="22"/>
        </w:rPr>
      </w:pPr>
      <w:r w:rsidRPr="00713D6D">
        <w:rPr>
          <w:rFonts w:ascii="Arial" w:hAnsi="Arial" w:cs="Arial"/>
          <w:b/>
          <w:bCs/>
          <w:sz w:val="22"/>
          <w:szCs w:val="22"/>
        </w:rPr>
        <w:t>Opportunities:</w:t>
      </w:r>
      <w:r w:rsidRPr="00713D6D">
        <w:rPr>
          <w:rFonts w:ascii="Arial" w:hAnsi="Arial" w:cs="Arial"/>
          <w:sz w:val="22"/>
          <w:szCs w:val="22"/>
        </w:rPr>
        <w:t xml:space="preserve"> The wearable health device market is growing rapidly, driven by increasing consumer interest in preventive healthcare, chronic disease management, and home-based monitoring solutions. Government initiatives promoting digital health </w:t>
      </w:r>
      <w:r w:rsidRPr="00713D6D">
        <w:rPr>
          <w:rFonts w:ascii="Arial" w:hAnsi="Arial" w:cs="Arial"/>
          <w:sz w:val="22"/>
          <w:szCs w:val="22"/>
        </w:rPr>
        <w:lastRenderedPageBreak/>
        <w:t>and telemedicine also provide opportunities for partnerships and funding. There is potential for collaboration with mobile app developers to enhance data analytics and user engagement.</w:t>
      </w:r>
    </w:p>
    <w:p w14:paraId="6F221693" w14:textId="77777777" w:rsidR="00713D6D" w:rsidRPr="00713D6D" w:rsidRDefault="00713D6D" w:rsidP="00713D6D">
      <w:pPr>
        <w:numPr>
          <w:ilvl w:val="0"/>
          <w:numId w:val="2"/>
        </w:numPr>
        <w:rPr>
          <w:rFonts w:ascii="Arial" w:hAnsi="Arial" w:cs="Arial"/>
          <w:sz w:val="22"/>
          <w:szCs w:val="22"/>
        </w:rPr>
      </w:pPr>
      <w:r w:rsidRPr="00713D6D">
        <w:rPr>
          <w:rFonts w:ascii="Arial" w:hAnsi="Arial" w:cs="Arial"/>
          <w:b/>
          <w:bCs/>
          <w:sz w:val="22"/>
          <w:szCs w:val="22"/>
        </w:rPr>
        <w:t>Threats:</w:t>
      </w:r>
      <w:r w:rsidRPr="00713D6D">
        <w:rPr>
          <w:rFonts w:ascii="Arial" w:hAnsi="Arial" w:cs="Arial"/>
          <w:sz w:val="22"/>
          <w:szCs w:val="22"/>
        </w:rPr>
        <w:t xml:space="preserve"> The regulatory landscape is complex, with stringent requirements from the Medicines and Healthcare products Regulatory Agency (MHRA) and European Medical Device Regulations. Non-compliance could result in project delays or product recalls. Furthermore, competition from established wearable brands such as Fitbit, Apple, and Garmin is significant, which may affect market penetration and profitability.</w:t>
      </w:r>
    </w:p>
    <w:p w14:paraId="09C90A07" w14:textId="77777777" w:rsidR="00713D6D" w:rsidRPr="00713D6D" w:rsidRDefault="00713D6D" w:rsidP="00713D6D">
      <w:pPr>
        <w:rPr>
          <w:rFonts w:ascii="Arial" w:hAnsi="Arial" w:cs="Arial"/>
          <w:sz w:val="22"/>
          <w:szCs w:val="22"/>
        </w:rPr>
      </w:pPr>
      <w:r w:rsidRPr="00713D6D">
        <w:rPr>
          <w:rFonts w:ascii="Arial" w:hAnsi="Arial" w:cs="Arial"/>
          <w:b/>
          <w:bCs/>
          <w:sz w:val="22"/>
          <w:szCs w:val="22"/>
        </w:rPr>
        <w:t>PESTLE Analysis</w:t>
      </w:r>
    </w:p>
    <w:p w14:paraId="00927581" w14:textId="77777777" w:rsidR="00713D6D" w:rsidRPr="00713D6D" w:rsidRDefault="00713D6D" w:rsidP="00713D6D">
      <w:pPr>
        <w:numPr>
          <w:ilvl w:val="0"/>
          <w:numId w:val="3"/>
        </w:numPr>
        <w:rPr>
          <w:rFonts w:ascii="Arial" w:hAnsi="Arial" w:cs="Arial"/>
          <w:sz w:val="22"/>
          <w:szCs w:val="22"/>
        </w:rPr>
      </w:pPr>
      <w:r w:rsidRPr="00713D6D">
        <w:rPr>
          <w:rFonts w:ascii="Arial" w:hAnsi="Arial" w:cs="Arial"/>
          <w:b/>
          <w:bCs/>
          <w:sz w:val="22"/>
          <w:szCs w:val="22"/>
        </w:rPr>
        <w:t>Political:</w:t>
      </w:r>
      <w:r w:rsidRPr="00713D6D">
        <w:rPr>
          <w:rFonts w:ascii="Arial" w:hAnsi="Arial" w:cs="Arial"/>
          <w:sz w:val="22"/>
          <w:szCs w:val="22"/>
        </w:rPr>
        <w:t xml:space="preserve"> Government policies supporting NHS digital transformation and preventive healthcare create a favourable environment for innovation. However, potential changes in health policies or funding allocations may impact project priorities.</w:t>
      </w:r>
    </w:p>
    <w:p w14:paraId="0DB289DE" w14:textId="77777777" w:rsidR="00713D6D" w:rsidRPr="00713D6D" w:rsidRDefault="00713D6D" w:rsidP="00713D6D">
      <w:pPr>
        <w:numPr>
          <w:ilvl w:val="0"/>
          <w:numId w:val="3"/>
        </w:numPr>
        <w:rPr>
          <w:rFonts w:ascii="Arial" w:hAnsi="Arial" w:cs="Arial"/>
          <w:sz w:val="22"/>
          <w:szCs w:val="22"/>
        </w:rPr>
      </w:pPr>
      <w:r w:rsidRPr="00713D6D">
        <w:rPr>
          <w:rFonts w:ascii="Arial" w:hAnsi="Arial" w:cs="Arial"/>
          <w:b/>
          <w:bCs/>
          <w:sz w:val="22"/>
          <w:szCs w:val="22"/>
        </w:rPr>
        <w:t>Economic:</w:t>
      </w:r>
      <w:r w:rsidRPr="00713D6D">
        <w:rPr>
          <w:rFonts w:ascii="Arial" w:hAnsi="Arial" w:cs="Arial"/>
          <w:sz w:val="22"/>
          <w:szCs w:val="22"/>
        </w:rPr>
        <w:t xml:space="preserve"> Economic fluctuations and budgetary constraints within the NHS could influence adoption rates. Conversely, increasing disposable income among consumers supports the market for wearable health devices.</w:t>
      </w:r>
    </w:p>
    <w:p w14:paraId="155FBF60" w14:textId="77777777" w:rsidR="00713D6D" w:rsidRPr="00713D6D" w:rsidRDefault="00713D6D" w:rsidP="00713D6D">
      <w:pPr>
        <w:numPr>
          <w:ilvl w:val="0"/>
          <w:numId w:val="3"/>
        </w:numPr>
        <w:rPr>
          <w:rFonts w:ascii="Arial" w:hAnsi="Arial" w:cs="Arial"/>
          <w:sz w:val="22"/>
          <w:szCs w:val="22"/>
        </w:rPr>
      </w:pPr>
      <w:r w:rsidRPr="00713D6D">
        <w:rPr>
          <w:rFonts w:ascii="Arial" w:hAnsi="Arial" w:cs="Arial"/>
          <w:b/>
          <w:bCs/>
          <w:sz w:val="22"/>
          <w:szCs w:val="22"/>
        </w:rPr>
        <w:t>Social:</w:t>
      </w:r>
      <w:r w:rsidRPr="00713D6D">
        <w:rPr>
          <w:rFonts w:ascii="Arial" w:hAnsi="Arial" w:cs="Arial"/>
          <w:sz w:val="22"/>
          <w:szCs w:val="22"/>
        </w:rPr>
        <w:t xml:space="preserve"> Growing awareness of personal health and wellbeing drives demand for wearable monitoring devices. There is also increasing consumer expectation for data privacy and transparency regarding health information.</w:t>
      </w:r>
    </w:p>
    <w:p w14:paraId="153D8DEC" w14:textId="77777777" w:rsidR="00713D6D" w:rsidRPr="00713D6D" w:rsidRDefault="00713D6D" w:rsidP="00713D6D">
      <w:pPr>
        <w:numPr>
          <w:ilvl w:val="0"/>
          <w:numId w:val="3"/>
        </w:numPr>
        <w:rPr>
          <w:rFonts w:ascii="Arial" w:hAnsi="Arial" w:cs="Arial"/>
          <w:sz w:val="22"/>
          <w:szCs w:val="22"/>
        </w:rPr>
      </w:pPr>
      <w:r w:rsidRPr="00713D6D">
        <w:rPr>
          <w:rFonts w:ascii="Arial" w:hAnsi="Arial" w:cs="Arial"/>
          <w:b/>
          <w:bCs/>
          <w:sz w:val="22"/>
          <w:szCs w:val="22"/>
        </w:rPr>
        <w:t>Technological:</w:t>
      </w:r>
      <w:r w:rsidRPr="00713D6D">
        <w:rPr>
          <w:rFonts w:ascii="Arial" w:hAnsi="Arial" w:cs="Arial"/>
          <w:sz w:val="22"/>
          <w:szCs w:val="22"/>
        </w:rPr>
        <w:t xml:space="preserve"> Rapid advancements in sensor technology, mobile integration, and cloud data analytics enable the development of sophisticated wearable devices. However, keeping up with these innovations requires continual investment in R&amp;D.</w:t>
      </w:r>
    </w:p>
    <w:p w14:paraId="757A4FDD" w14:textId="77777777" w:rsidR="00713D6D" w:rsidRPr="00713D6D" w:rsidRDefault="00713D6D" w:rsidP="00713D6D">
      <w:pPr>
        <w:numPr>
          <w:ilvl w:val="0"/>
          <w:numId w:val="3"/>
        </w:numPr>
        <w:rPr>
          <w:rFonts w:ascii="Arial" w:hAnsi="Arial" w:cs="Arial"/>
          <w:sz w:val="22"/>
          <w:szCs w:val="22"/>
        </w:rPr>
      </w:pPr>
      <w:r w:rsidRPr="00713D6D">
        <w:rPr>
          <w:rFonts w:ascii="Arial" w:hAnsi="Arial" w:cs="Arial"/>
          <w:b/>
          <w:bCs/>
          <w:sz w:val="22"/>
          <w:szCs w:val="22"/>
        </w:rPr>
        <w:t>Legal:</w:t>
      </w:r>
      <w:r w:rsidRPr="00713D6D">
        <w:rPr>
          <w:rFonts w:ascii="Arial" w:hAnsi="Arial" w:cs="Arial"/>
          <w:sz w:val="22"/>
          <w:szCs w:val="22"/>
        </w:rPr>
        <w:t xml:space="preserve"> Compliance with GDPR and medical device regulations is mandatory. Failure to adhere to legal requirements can lead to financial penalties, reputational damage, or delayed product launch.</w:t>
      </w:r>
    </w:p>
    <w:p w14:paraId="7056D186" w14:textId="77777777" w:rsidR="00713D6D" w:rsidRPr="00713D6D" w:rsidRDefault="00713D6D" w:rsidP="00713D6D">
      <w:pPr>
        <w:numPr>
          <w:ilvl w:val="0"/>
          <w:numId w:val="3"/>
        </w:numPr>
        <w:rPr>
          <w:rFonts w:ascii="Arial" w:hAnsi="Arial" w:cs="Arial"/>
          <w:sz w:val="22"/>
          <w:szCs w:val="22"/>
        </w:rPr>
      </w:pPr>
      <w:r w:rsidRPr="00713D6D">
        <w:rPr>
          <w:rFonts w:ascii="Arial" w:hAnsi="Arial" w:cs="Arial"/>
          <w:b/>
          <w:bCs/>
          <w:sz w:val="22"/>
          <w:szCs w:val="22"/>
        </w:rPr>
        <w:t>Environmental:</w:t>
      </w:r>
      <w:r w:rsidRPr="00713D6D">
        <w:rPr>
          <w:rFonts w:ascii="Arial" w:hAnsi="Arial" w:cs="Arial"/>
          <w:sz w:val="22"/>
          <w:szCs w:val="22"/>
        </w:rPr>
        <w:t xml:space="preserve"> Sustainable sourcing of materials and environmentally friendly manufacturing practices are increasingly expected by stakeholders, particularly NHS procurement policies and eco-conscious consumers.</w:t>
      </w:r>
    </w:p>
    <w:p w14:paraId="4DB0EA0E" w14:textId="77777777" w:rsidR="00713D6D" w:rsidRPr="00713D6D" w:rsidRDefault="00713D6D" w:rsidP="00713D6D">
      <w:pPr>
        <w:rPr>
          <w:rFonts w:ascii="Arial" w:hAnsi="Arial" w:cs="Arial"/>
          <w:sz w:val="22"/>
          <w:szCs w:val="22"/>
        </w:rPr>
      </w:pPr>
      <w:r w:rsidRPr="00713D6D">
        <w:rPr>
          <w:rFonts w:ascii="Arial" w:hAnsi="Arial" w:cs="Arial"/>
          <w:b/>
          <w:bCs/>
          <w:sz w:val="22"/>
          <w:szCs w:val="22"/>
        </w:rPr>
        <w:t>SMART Objectives</w:t>
      </w:r>
    </w:p>
    <w:p w14:paraId="170FF5FA" w14:textId="77777777" w:rsidR="00713D6D" w:rsidRPr="00713D6D" w:rsidRDefault="00713D6D" w:rsidP="00713D6D">
      <w:pPr>
        <w:rPr>
          <w:rFonts w:ascii="Arial" w:hAnsi="Arial" w:cs="Arial"/>
          <w:sz w:val="22"/>
          <w:szCs w:val="22"/>
        </w:rPr>
      </w:pPr>
      <w:r w:rsidRPr="00713D6D">
        <w:rPr>
          <w:rFonts w:ascii="Arial" w:hAnsi="Arial" w:cs="Arial"/>
          <w:sz w:val="22"/>
          <w:szCs w:val="22"/>
        </w:rPr>
        <w:t xml:space="preserve">To ensure measurable progress for the wearable device project, the following </w:t>
      </w:r>
      <w:r w:rsidRPr="00713D6D">
        <w:rPr>
          <w:rFonts w:ascii="Arial" w:hAnsi="Arial" w:cs="Arial"/>
          <w:b/>
          <w:bCs/>
          <w:sz w:val="22"/>
          <w:szCs w:val="22"/>
        </w:rPr>
        <w:t>SMART objectives</w:t>
      </w:r>
      <w:r w:rsidRPr="00713D6D">
        <w:rPr>
          <w:rFonts w:ascii="Arial" w:hAnsi="Arial" w:cs="Arial"/>
          <w:sz w:val="22"/>
          <w:szCs w:val="22"/>
        </w:rPr>
        <w:t xml:space="preserve"> are proposed:</w:t>
      </w:r>
    </w:p>
    <w:p w14:paraId="5A5C37F5" w14:textId="77777777" w:rsidR="00713D6D" w:rsidRPr="00713D6D" w:rsidRDefault="00713D6D" w:rsidP="00713D6D">
      <w:pPr>
        <w:numPr>
          <w:ilvl w:val="0"/>
          <w:numId w:val="4"/>
        </w:numPr>
        <w:rPr>
          <w:rFonts w:ascii="Arial" w:hAnsi="Arial" w:cs="Arial"/>
          <w:sz w:val="22"/>
          <w:szCs w:val="22"/>
        </w:rPr>
      </w:pPr>
      <w:r w:rsidRPr="00713D6D">
        <w:rPr>
          <w:rFonts w:ascii="Arial" w:hAnsi="Arial" w:cs="Arial"/>
          <w:b/>
          <w:bCs/>
          <w:sz w:val="22"/>
          <w:szCs w:val="22"/>
        </w:rPr>
        <w:t>Specific:</w:t>
      </w:r>
      <w:r w:rsidRPr="00713D6D">
        <w:rPr>
          <w:rFonts w:ascii="Arial" w:hAnsi="Arial" w:cs="Arial"/>
          <w:sz w:val="22"/>
          <w:szCs w:val="22"/>
        </w:rPr>
        <w:t xml:space="preserve"> Launch a wearable device capable of monitoring heart rate, oxygen saturation, and sleep patterns for NHS and private consumers within six months.</w:t>
      </w:r>
    </w:p>
    <w:p w14:paraId="1EDB9E6D" w14:textId="77777777" w:rsidR="00713D6D" w:rsidRPr="00713D6D" w:rsidRDefault="00713D6D" w:rsidP="00713D6D">
      <w:pPr>
        <w:numPr>
          <w:ilvl w:val="0"/>
          <w:numId w:val="4"/>
        </w:numPr>
        <w:rPr>
          <w:rFonts w:ascii="Arial" w:hAnsi="Arial" w:cs="Arial"/>
          <w:sz w:val="22"/>
          <w:szCs w:val="22"/>
        </w:rPr>
      </w:pPr>
      <w:r w:rsidRPr="00713D6D">
        <w:rPr>
          <w:rFonts w:ascii="Arial" w:hAnsi="Arial" w:cs="Arial"/>
          <w:b/>
          <w:bCs/>
          <w:sz w:val="22"/>
          <w:szCs w:val="22"/>
        </w:rPr>
        <w:t>Measurable:</w:t>
      </w:r>
      <w:r w:rsidRPr="00713D6D">
        <w:rPr>
          <w:rFonts w:ascii="Arial" w:hAnsi="Arial" w:cs="Arial"/>
          <w:sz w:val="22"/>
          <w:szCs w:val="22"/>
        </w:rPr>
        <w:t xml:space="preserve"> Achieve regulatory approval and complete 100% of R&amp;D testing milestones within the project timeline.</w:t>
      </w:r>
    </w:p>
    <w:p w14:paraId="6A598F11" w14:textId="77777777" w:rsidR="00713D6D" w:rsidRPr="00713D6D" w:rsidRDefault="00713D6D" w:rsidP="00713D6D">
      <w:pPr>
        <w:numPr>
          <w:ilvl w:val="0"/>
          <w:numId w:val="4"/>
        </w:numPr>
        <w:rPr>
          <w:rFonts w:ascii="Arial" w:hAnsi="Arial" w:cs="Arial"/>
          <w:sz w:val="22"/>
          <w:szCs w:val="22"/>
        </w:rPr>
      </w:pPr>
      <w:r w:rsidRPr="00713D6D">
        <w:rPr>
          <w:rFonts w:ascii="Arial" w:hAnsi="Arial" w:cs="Arial"/>
          <w:b/>
          <w:bCs/>
          <w:sz w:val="22"/>
          <w:szCs w:val="22"/>
        </w:rPr>
        <w:t>Achievable:</w:t>
      </w:r>
      <w:r w:rsidRPr="00713D6D">
        <w:rPr>
          <w:rFonts w:ascii="Arial" w:hAnsi="Arial" w:cs="Arial"/>
          <w:sz w:val="22"/>
          <w:szCs w:val="22"/>
        </w:rPr>
        <w:t xml:space="preserve"> Allocate a dedicated cross-functional team with clear responsibilities and sufficient budget to meet development and marketing requirements.</w:t>
      </w:r>
    </w:p>
    <w:p w14:paraId="08D2665B" w14:textId="77777777" w:rsidR="00713D6D" w:rsidRPr="00713D6D" w:rsidRDefault="00713D6D" w:rsidP="00713D6D">
      <w:pPr>
        <w:numPr>
          <w:ilvl w:val="0"/>
          <w:numId w:val="4"/>
        </w:numPr>
        <w:rPr>
          <w:rFonts w:ascii="Arial" w:hAnsi="Arial" w:cs="Arial"/>
          <w:sz w:val="22"/>
          <w:szCs w:val="22"/>
        </w:rPr>
      </w:pPr>
      <w:r w:rsidRPr="00713D6D">
        <w:rPr>
          <w:rFonts w:ascii="Arial" w:hAnsi="Arial" w:cs="Arial"/>
          <w:b/>
          <w:bCs/>
          <w:sz w:val="22"/>
          <w:szCs w:val="22"/>
        </w:rPr>
        <w:t>Relevant:</w:t>
      </w:r>
      <w:r w:rsidRPr="00713D6D">
        <w:rPr>
          <w:rFonts w:ascii="Arial" w:hAnsi="Arial" w:cs="Arial"/>
          <w:sz w:val="22"/>
          <w:szCs w:val="22"/>
        </w:rPr>
        <w:t xml:space="preserve"> Align the project with NHS digital health initiatives, addressing remote monitoring and preventive healthcare needs.</w:t>
      </w:r>
    </w:p>
    <w:p w14:paraId="0AAD691C" w14:textId="77777777" w:rsidR="00713D6D" w:rsidRPr="00713D6D" w:rsidRDefault="00713D6D" w:rsidP="00713D6D">
      <w:pPr>
        <w:numPr>
          <w:ilvl w:val="0"/>
          <w:numId w:val="4"/>
        </w:numPr>
        <w:rPr>
          <w:rFonts w:ascii="Arial" w:hAnsi="Arial" w:cs="Arial"/>
          <w:sz w:val="22"/>
          <w:szCs w:val="22"/>
        </w:rPr>
      </w:pPr>
      <w:r w:rsidRPr="00713D6D">
        <w:rPr>
          <w:rFonts w:ascii="Arial" w:hAnsi="Arial" w:cs="Arial"/>
          <w:b/>
          <w:bCs/>
          <w:sz w:val="22"/>
          <w:szCs w:val="22"/>
        </w:rPr>
        <w:lastRenderedPageBreak/>
        <w:t>Time-bound:</w:t>
      </w:r>
      <w:r w:rsidRPr="00713D6D">
        <w:rPr>
          <w:rFonts w:ascii="Arial" w:hAnsi="Arial" w:cs="Arial"/>
          <w:sz w:val="22"/>
          <w:szCs w:val="22"/>
        </w:rPr>
        <w:t xml:space="preserve"> Complete the project within a six-month period, ensuring readiness for commercial release and marketing campaigns.</w:t>
      </w:r>
    </w:p>
    <w:p w14:paraId="39A6058E" w14:textId="2AF9B1FD" w:rsidR="00713D6D" w:rsidRPr="00713D6D" w:rsidRDefault="00713D6D" w:rsidP="00713D6D">
      <w:pPr>
        <w:rPr>
          <w:rFonts w:ascii="Arial" w:hAnsi="Arial" w:cs="Arial"/>
          <w:sz w:val="22"/>
          <w:szCs w:val="22"/>
        </w:rPr>
      </w:pPr>
    </w:p>
    <w:p w14:paraId="312FDCC6" w14:textId="77777777" w:rsidR="00713D6D" w:rsidRPr="00713D6D" w:rsidRDefault="00713D6D" w:rsidP="00713D6D">
      <w:pPr>
        <w:rPr>
          <w:rFonts w:ascii="Arial" w:hAnsi="Arial" w:cs="Arial"/>
          <w:sz w:val="22"/>
          <w:szCs w:val="22"/>
        </w:rPr>
      </w:pPr>
      <w:r w:rsidRPr="00713D6D">
        <w:rPr>
          <w:rFonts w:ascii="Arial" w:hAnsi="Arial" w:cs="Arial"/>
          <w:b/>
          <w:bCs/>
          <w:sz w:val="22"/>
          <w:szCs w:val="22"/>
        </w:rPr>
        <w:t>Stakeholder Identification</w:t>
      </w:r>
    </w:p>
    <w:p w14:paraId="143556A6" w14:textId="77777777" w:rsidR="00713D6D" w:rsidRPr="00713D6D" w:rsidRDefault="00713D6D" w:rsidP="00713D6D">
      <w:pPr>
        <w:rPr>
          <w:rFonts w:ascii="Arial" w:hAnsi="Arial" w:cs="Arial"/>
          <w:sz w:val="22"/>
          <w:szCs w:val="22"/>
        </w:rPr>
      </w:pPr>
      <w:r w:rsidRPr="00713D6D">
        <w:rPr>
          <w:rFonts w:ascii="Arial" w:hAnsi="Arial" w:cs="Arial"/>
          <w:sz w:val="22"/>
          <w:szCs w:val="22"/>
        </w:rPr>
        <w:t xml:space="preserve">Effective stakeholder engagement begins with identifying key stakeholders who influence or are affected by the project. Stakeholders can be categorised as </w:t>
      </w:r>
      <w:r w:rsidRPr="00713D6D">
        <w:rPr>
          <w:rFonts w:ascii="Arial" w:hAnsi="Arial" w:cs="Arial"/>
          <w:b/>
          <w:bCs/>
          <w:sz w:val="22"/>
          <w:szCs w:val="22"/>
        </w:rPr>
        <w:t>internal</w:t>
      </w:r>
      <w:r w:rsidRPr="00713D6D">
        <w:rPr>
          <w:rFonts w:ascii="Arial" w:hAnsi="Arial" w:cs="Arial"/>
          <w:sz w:val="22"/>
          <w:szCs w:val="22"/>
        </w:rPr>
        <w:t xml:space="preserve"> and </w:t>
      </w:r>
      <w:r w:rsidRPr="00713D6D">
        <w:rPr>
          <w:rFonts w:ascii="Arial" w:hAnsi="Arial" w:cs="Arial"/>
          <w:b/>
          <w:bCs/>
          <w:sz w:val="22"/>
          <w:szCs w:val="22"/>
        </w:rPr>
        <w:t>external</w:t>
      </w:r>
      <w:r w:rsidRPr="00713D6D">
        <w:rPr>
          <w:rFonts w:ascii="Arial" w:hAnsi="Arial" w:cs="Arial"/>
          <w:sz w:val="22"/>
          <w:szCs w:val="22"/>
        </w:rPr>
        <w:t>.</w:t>
      </w:r>
    </w:p>
    <w:p w14:paraId="5D49D30E" w14:textId="77777777" w:rsidR="00713D6D" w:rsidRPr="00713D6D" w:rsidRDefault="00713D6D" w:rsidP="00713D6D">
      <w:pPr>
        <w:rPr>
          <w:rFonts w:ascii="Arial" w:hAnsi="Arial" w:cs="Arial"/>
          <w:sz w:val="22"/>
          <w:szCs w:val="22"/>
        </w:rPr>
      </w:pPr>
      <w:r w:rsidRPr="00713D6D">
        <w:rPr>
          <w:rFonts w:ascii="Arial" w:hAnsi="Arial" w:cs="Arial"/>
          <w:b/>
          <w:bCs/>
          <w:sz w:val="22"/>
          <w:szCs w:val="22"/>
        </w:rPr>
        <w:t>Internal Stakeholders</w:t>
      </w:r>
    </w:p>
    <w:p w14:paraId="74329520" w14:textId="77777777" w:rsidR="00713D6D" w:rsidRPr="00713D6D" w:rsidRDefault="00713D6D" w:rsidP="00713D6D">
      <w:pPr>
        <w:numPr>
          <w:ilvl w:val="0"/>
          <w:numId w:val="5"/>
        </w:numPr>
        <w:rPr>
          <w:rFonts w:ascii="Arial" w:hAnsi="Arial" w:cs="Arial"/>
          <w:sz w:val="22"/>
          <w:szCs w:val="22"/>
        </w:rPr>
      </w:pPr>
      <w:r w:rsidRPr="00713D6D">
        <w:rPr>
          <w:rFonts w:ascii="Arial" w:hAnsi="Arial" w:cs="Arial"/>
          <w:b/>
          <w:bCs/>
          <w:sz w:val="22"/>
          <w:szCs w:val="22"/>
        </w:rPr>
        <w:t>Project Manager (You):</w:t>
      </w:r>
      <w:r w:rsidRPr="00713D6D">
        <w:rPr>
          <w:rFonts w:ascii="Arial" w:hAnsi="Arial" w:cs="Arial"/>
          <w:sz w:val="22"/>
          <w:szCs w:val="22"/>
        </w:rPr>
        <w:t xml:space="preserve"> Responsible for overall project delivery, stakeholder coordination, risk management, and maintaining timelines. The project manager ensures all teams collaborate effectively to meet objectives.</w:t>
      </w:r>
    </w:p>
    <w:p w14:paraId="538FF30C" w14:textId="77777777" w:rsidR="00713D6D" w:rsidRPr="00713D6D" w:rsidRDefault="00713D6D" w:rsidP="00713D6D">
      <w:pPr>
        <w:numPr>
          <w:ilvl w:val="0"/>
          <w:numId w:val="5"/>
        </w:numPr>
        <w:rPr>
          <w:rFonts w:ascii="Arial" w:hAnsi="Arial" w:cs="Arial"/>
          <w:sz w:val="22"/>
          <w:szCs w:val="22"/>
        </w:rPr>
      </w:pPr>
      <w:r w:rsidRPr="00713D6D">
        <w:rPr>
          <w:rFonts w:ascii="Arial" w:hAnsi="Arial" w:cs="Arial"/>
          <w:b/>
          <w:bCs/>
          <w:sz w:val="22"/>
          <w:szCs w:val="22"/>
        </w:rPr>
        <w:t>Product Development Team:</w:t>
      </w:r>
      <w:r w:rsidRPr="00713D6D">
        <w:rPr>
          <w:rFonts w:ascii="Arial" w:hAnsi="Arial" w:cs="Arial"/>
          <w:sz w:val="22"/>
          <w:szCs w:val="22"/>
        </w:rPr>
        <w:t xml:space="preserve"> Engineers, software developers, and designers who develop and test the wearable device. They provide technical expertise and feedback to improve product functionality.</w:t>
      </w:r>
    </w:p>
    <w:p w14:paraId="546BE81A" w14:textId="77777777" w:rsidR="00713D6D" w:rsidRPr="00713D6D" w:rsidRDefault="00713D6D" w:rsidP="00713D6D">
      <w:pPr>
        <w:numPr>
          <w:ilvl w:val="0"/>
          <w:numId w:val="5"/>
        </w:numPr>
        <w:rPr>
          <w:rFonts w:ascii="Arial" w:hAnsi="Arial" w:cs="Arial"/>
          <w:sz w:val="22"/>
          <w:szCs w:val="22"/>
        </w:rPr>
      </w:pPr>
      <w:r w:rsidRPr="00713D6D">
        <w:rPr>
          <w:rFonts w:ascii="Arial" w:hAnsi="Arial" w:cs="Arial"/>
          <w:b/>
          <w:bCs/>
          <w:sz w:val="22"/>
          <w:szCs w:val="22"/>
        </w:rPr>
        <w:t>Marketing Department:</w:t>
      </w:r>
      <w:r w:rsidRPr="00713D6D">
        <w:rPr>
          <w:rFonts w:ascii="Arial" w:hAnsi="Arial" w:cs="Arial"/>
          <w:sz w:val="22"/>
          <w:szCs w:val="22"/>
        </w:rPr>
        <w:t xml:space="preserve"> Plans and executes promotional campaigns, conducts market research, and defines positioning strategies for both NHS and consumer markets.</w:t>
      </w:r>
    </w:p>
    <w:p w14:paraId="4AB417FE" w14:textId="77777777" w:rsidR="00713D6D" w:rsidRPr="00713D6D" w:rsidRDefault="00713D6D" w:rsidP="00713D6D">
      <w:pPr>
        <w:numPr>
          <w:ilvl w:val="0"/>
          <w:numId w:val="5"/>
        </w:numPr>
        <w:rPr>
          <w:rFonts w:ascii="Arial" w:hAnsi="Arial" w:cs="Arial"/>
          <w:sz w:val="22"/>
          <w:szCs w:val="22"/>
        </w:rPr>
      </w:pPr>
      <w:r w:rsidRPr="00713D6D">
        <w:rPr>
          <w:rFonts w:ascii="Arial" w:hAnsi="Arial" w:cs="Arial"/>
          <w:b/>
          <w:bCs/>
          <w:sz w:val="22"/>
          <w:szCs w:val="22"/>
        </w:rPr>
        <w:t>Sales Department:</w:t>
      </w:r>
      <w:r w:rsidRPr="00713D6D">
        <w:rPr>
          <w:rFonts w:ascii="Arial" w:hAnsi="Arial" w:cs="Arial"/>
          <w:sz w:val="22"/>
          <w:szCs w:val="22"/>
        </w:rPr>
        <w:t xml:space="preserve"> Develops distribution channels, manages relationships with NHS procurement teams and retailers, and ensures products reach the target market efficiently.</w:t>
      </w:r>
    </w:p>
    <w:p w14:paraId="7A095059" w14:textId="77777777" w:rsidR="00713D6D" w:rsidRPr="00713D6D" w:rsidRDefault="00713D6D" w:rsidP="00713D6D">
      <w:pPr>
        <w:numPr>
          <w:ilvl w:val="0"/>
          <w:numId w:val="5"/>
        </w:numPr>
        <w:rPr>
          <w:rFonts w:ascii="Arial" w:hAnsi="Arial" w:cs="Arial"/>
          <w:sz w:val="22"/>
          <w:szCs w:val="22"/>
        </w:rPr>
      </w:pPr>
      <w:r w:rsidRPr="00713D6D">
        <w:rPr>
          <w:rFonts w:ascii="Arial" w:hAnsi="Arial" w:cs="Arial"/>
          <w:b/>
          <w:bCs/>
          <w:sz w:val="22"/>
          <w:szCs w:val="22"/>
        </w:rPr>
        <w:t>Quality Assurance and Regulatory Compliance:</w:t>
      </w:r>
      <w:r w:rsidRPr="00713D6D">
        <w:rPr>
          <w:rFonts w:ascii="Arial" w:hAnsi="Arial" w:cs="Arial"/>
          <w:sz w:val="22"/>
          <w:szCs w:val="22"/>
        </w:rPr>
        <w:t xml:space="preserve"> Ensures that the device meets safety and legal requirements, including MHRA approval, ISO certifications, and GDPR compliance.</w:t>
      </w:r>
    </w:p>
    <w:p w14:paraId="525C67CF" w14:textId="77777777" w:rsidR="00713D6D" w:rsidRPr="00713D6D" w:rsidRDefault="00713D6D" w:rsidP="00713D6D">
      <w:pPr>
        <w:numPr>
          <w:ilvl w:val="0"/>
          <w:numId w:val="5"/>
        </w:numPr>
        <w:rPr>
          <w:rFonts w:ascii="Arial" w:hAnsi="Arial" w:cs="Arial"/>
          <w:sz w:val="22"/>
          <w:szCs w:val="22"/>
        </w:rPr>
      </w:pPr>
      <w:r w:rsidRPr="00713D6D">
        <w:rPr>
          <w:rFonts w:ascii="Arial" w:hAnsi="Arial" w:cs="Arial"/>
          <w:b/>
          <w:bCs/>
          <w:sz w:val="22"/>
          <w:szCs w:val="22"/>
        </w:rPr>
        <w:t>Executive Management:</w:t>
      </w:r>
      <w:r w:rsidRPr="00713D6D">
        <w:rPr>
          <w:rFonts w:ascii="Arial" w:hAnsi="Arial" w:cs="Arial"/>
          <w:sz w:val="22"/>
          <w:szCs w:val="22"/>
        </w:rPr>
        <w:t xml:space="preserve"> Provides strategic direction, approves budgets, allocates resources, and monitors project performance against organisational goals.</w:t>
      </w:r>
    </w:p>
    <w:p w14:paraId="3E07453E" w14:textId="77777777" w:rsidR="00713D6D" w:rsidRPr="00713D6D" w:rsidRDefault="00713D6D" w:rsidP="00713D6D">
      <w:pPr>
        <w:rPr>
          <w:rFonts w:ascii="Arial" w:hAnsi="Arial" w:cs="Arial"/>
          <w:sz w:val="22"/>
          <w:szCs w:val="22"/>
        </w:rPr>
      </w:pPr>
      <w:r w:rsidRPr="00713D6D">
        <w:rPr>
          <w:rFonts w:ascii="Arial" w:hAnsi="Arial" w:cs="Arial"/>
          <w:b/>
          <w:bCs/>
          <w:sz w:val="22"/>
          <w:szCs w:val="22"/>
        </w:rPr>
        <w:t>External Stakeholders</w:t>
      </w:r>
    </w:p>
    <w:p w14:paraId="37F83B95" w14:textId="77777777" w:rsidR="00713D6D" w:rsidRPr="00713D6D" w:rsidRDefault="00713D6D" w:rsidP="00713D6D">
      <w:pPr>
        <w:numPr>
          <w:ilvl w:val="0"/>
          <w:numId w:val="6"/>
        </w:numPr>
        <w:rPr>
          <w:rFonts w:ascii="Arial" w:hAnsi="Arial" w:cs="Arial"/>
          <w:sz w:val="22"/>
          <w:szCs w:val="22"/>
        </w:rPr>
      </w:pPr>
      <w:r w:rsidRPr="00713D6D">
        <w:rPr>
          <w:rFonts w:ascii="Arial" w:hAnsi="Arial" w:cs="Arial"/>
          <w:b/>
          <w:bCs/>
          <w:sz w:val="22"/>
          <w:szCs w:val="22"/>
        </w:rPr>
        <w:t>Regulatory Bodies:</w:t>
      </w:r>
      <w:r w:rsidRPr="00713D6D">
        <w:rPr>
          <w:rFonts w:ascii="Arial" w:hAnsi="Arial" w:cs="Arial"/>
          <w:sz w:val="22"/>
          <w:szCs w:val="22"/>
        </w:rPr>
        <w:t xml:space="preserve"> Include MHRA and NHS regulatory teams responsible for approving the device. Their input ensures legal compliance and market readiness.</w:t>
      </w:r>
    </w:p>
    <w:p w14:paraId="491297B9" w14:textId="77777777" w:rsidR="00713D6D" w:rsidRPr="00713D6D" w:rsidRDefault="00713D6D" w:rsidP="00713D6D">
      <w:pPr>
        <w:numPr>
          <w:ilvl w:val="0"/>
          <w:numId w:val="6"/>
        </w:numPr>
        <w:rPr>
          <w:rFonts w:ascii="Arial" w:hAnsi="Arial" w:cs="Arial"/>
          <w:sz w:val="22"/>
          <w:szCs w:val="22"/>
        </w:rPr>
      </w:pPr>
      <w:r w:rsidRPr="00713D6D">
        <w:rPr>
          <w:rFonts w:ascii="Arial" w:hAnsi="Arial" w:cs="Arial"/>
          <w:b/>
          <w:bCs/>
          <w:sz w:val="22"/>
          <w:szCs w:val="22"/>
        </w:rPr>
        <w:t>Suppliers and Manufacturers:</w:t>
      </w:r>
      <w:r w:rsidRPr="00713D6D">
        <w:rPr>
          <w:rFonts w:ascii="Arial" w:hAnsi="Arial" w:cs="Arial"/>
          <w:sz w:val="22"/>
          <w:szCs w:val="22"/>
        </w:rPr>
        <w:t xml:space="preserve"> Provide critical components and materials. Timely and quality delivery is essential to prevent production delays.</w:t>
      </w:r>
    </w:p>
    <w:p w14:paraId="695370D1" w14:textId="77777777" w:rsidR="00713D6D" w:rsidRPr="00713D6D" w:rsidRDefault="00713D6D" w:rsidP="00713D6D">
      <w:pPr>
        <w:numPr>
          <w:ilvl w:val="0"/>
          <w:numId w:val="6"/>
        </w:numPr>
        <w:rPr>
          <w:rFonts w:ascii="Arial" w:hAnsi="Arial" w:cs="Arial"/>
          <w:sz w:val="22"/>
          <w:szCs w:val="22"/>
        </w:rPr>
      </w:pPr>
      <w:r w:rsidRPr="00713D6D">
        <w:rPr>
          <w:rFonts w:ascii="Arial" w:hAnsi="Arial" w:cs="Arial"/>
          <w:b/>
          <w:bCs/>
          <w:sz w:val="22"/>
          <w:szCs w:val="22"/>
        </w:rPr>
        <w:t>Healthcare Professionals:</w:t>
      </w:r>
      <w:r w:rsidRPr="00713D6D">
        <w:rPr>
          <w:rFonts w:ascii="Arial" w:hAnsi="Arial" w:cs="Arial"/>
          <w:sz w:val="22"/>
          <w:szCs w:val="22"/>
        </w:rPr>
        <w:t xml:space="preserve"> Nurses, physicians, and allied health staff who will use or recommend the device. Their feedback ensures usability and patient safety.</w:t>
      </w:r>
    </w:p>
    <w:p w14:paraId="411BEF3F" w14:textId="77777777" w:rsidR="00713D6D" w:rsidRPr="00713D6D" w:rsidRDefault="00713D6D" w:rsidP="00713D6D">
      <w:pPr>
        <w:numPr>
          <w:ilvl w:val="0"/>
          <w:numId w:val="6"/>
        </w:numPr>
        <w:rPr>
          <w:rFonts w:ascii="Arial" w:hAnsi="Arial" w:cs="Arial"/>
          <w:sz w:val="22"/>
          <w:szCs w:val="22"/>
        </w:rPr>
      </w:pPr>
      <w:r w:rsidRPr="00713D6D">
        <w:rPr>
          <w:rFonts w:ascii="Arial" w:hAnsi="Arial" w:cs="Arial"/>
          <w:b/>
          <w:bCs/>
          <w:sz w:val="22"/>
          <w:szCs w:val="22"/>
        </w:rPr>
        <w:t>Consumers:</w:t>
      </w:r>
      <w:r w:rsidRPr="00713D6D">
        <w:rPr>
          <w:rFonts w:ascii="Arial" w:hAnsi="Arial" w:cs="Arial"/>
          <w:sz w:val="22"/>
          <w:szCs w:val="22"/>
        </w:rPr>
        <w:t xml:space="preserve"> Patients, health-conscious individuals, and NHS users who will adopt the wearable device. Consumer engagement ensures the product meets market needs and expectations.</w:t>
      </w:r>
    </w:p>
    <w:p w14:paraId="67B61E40" w14:textId="77777777" w:rsidR="00713D6D" w:rsidRPr="00713D6D" w:rsidRDefault="00713D6D" w:rsidP="00713D6D">
      <w:pPr>
        <w:numPr>
          <w:ilvl w:val="0"/>
          <w:numId w:val="6"/>
        </w:numPr>
        <w:rPr>
          <w:rFonts w:ascii="Arial" w:hAnsi="Arial" w:cs="Arial"/>
          <w:sz w:val="22"/>
          <w:szCs w:val="22"/>
        </w:rPr>
      </w:pPr>
      <w:r w:rsidRPr="00713D6D">
        <w:rPr>
          <w:rFonts w:ascii="Arial" w:hAnsi="Arial" w:cs="Arial"/>
          <w:b/>
          <w:bCs/>
          <w:sz w:val="22"/>
          <w:szCs w:val="22"/>
        </w:rPr>
        <w:t>Investors or Funding Agencies:</w:t>
      </w:r>
      <w:r w:rsidRPr="00713D6D">
        <w:rPr>
          <w:rFonts w:ascii="Arial" w:hAnsi="Arial" w:cs="Arial"/>
          <w:sz w:val="22"/>
          <w:szCs w:val="22"/>
        </w:rPr>
        <w:t xml:space="preserve"> Provide financial resources and expect project success, ROI, and timely delivery of a marketable product.</w:t>
      </w:r>
    </w:p>
    <w:p w14:paraId="50B35956" w14:textId="482DF40D" w:rsidR="00713D6D" w:rsidRPr="00713D6D" w:rsidRDefault="00713D6D" w:rsidP="00713D6D">
      <w:pPr>
        <w:rPr>
          <w:rFonts w:ascii="Arial" w:hAnsi="Arial" w:cs="Arial"/>
          <w:sz w:val="22"/>
          <w:szCs w:val="22"/>
        </w:rPr>
      </w:pPr>
    </w:p>
    <w:p w14:paraId="0B771B27" w14:textId="77777777" w:rsidR="00713D6D" w:rsidRPr="00713D6D" w:rsidRDefault="00713D6D" w:rsidP="00713D6D">
      <w:pPr>
        <w:rPr>
          <w:rFonts w:ascii="Arial" w:hAnsi="Arial" w:cs="Arial"/>
          <w:sz w:val="22"/>
          <w:szCs w:val="22"/>
        </w:rPr>
      </w:pPr>
      <w:r w:rsidRPr="00713D6D">
        <w:rPr>
          <w:rFonts w:ascii="Arial" w:hAnsi="Arial" w:cs="Arial"/>
          <w:b/>
          <w:bCs/>
          <w:sz w:val="22"/>
          <w:szCs w:val="22"/>
        </w:rPr>
        <w:lastRenderedPageBreak/>
        <w:t>Roles, Responsibilities, and Importance of Stakeholders</w:t>
      </w:r>
    </w:p>
    <w:p w14:paraId="735951A6" w14:textId="77777777" w:rsidR="00713D6D" w:rsidRPr="00713D6D" w:rsidRDefault="00713D6D" w:rsidP="00713D6D">
      <w:pPr>
        <w:rPr>
          <w:rFonts w:ascii="Arial" w:hAnsi="Arial" w:cs="Arial"/>
          <w:sz w:val="22"/>
          <w:szCs w:val="22"/>
        </w:rPr>
      </w:pPr>
      <w:r w:rsidRPr="00713D6D">
        <w:rPr>
          <w:rFonts w:ascii="Arial" w:hAnsi="Arial" w:cs="Arial"/>
          <w:sz w:val="22"/>
          <w:szCs w:val="22"/>
        </w:rPr>
        <w:t>Each stakeholder plays a unique role in ensuring project success:</w:t>
      </w:r>
    </w:p>
    <w:p w14:paraId="449E4D22" w14:textId="77777777" w:rsidR="00713D6D" w:rsidRPr="00713D6D" w:rsidRDefault="00713D6D" w:rsidP="00713D6D">
      <w:pPr>
        <w:numPr>
          <w:ilvl w:val="0"/>
          <w:numId w:val="7"/>
        </w:numPr>
        <w:rPr>
          <w:rFonts w:ascii="Arial" w:hAnsi="Arial" w:cs="Arial"/>
          <w:sz w:val="22"/>
          <w:szCs w:val="22"/>
        </w:rPr>
      </w:pPr>
      <w:r w:rsidRPr="00713D6D">
        <w:rPr>
          <w:rFonts w:ascii="Arial" w:hAnsi="Arial" w:cs="Arial"/>
          <w:b/>
          <w:bCs/>
          <w:sz w:val="22"/>
          <w:szCs w:val="22"/>
        </w:rPr>
        <w:t>Project Manager:</w:t>
      </w:r>
      <w:r w:rsidRPr="00713D6D">
        <w:rPr>
          <w:rFonts w:ascii="Arial" w:hAnsi="Arial" w:cs="Arial"/>
          <w:sz w:val="22"/>
          <w:szCs w:val="22"/>
        </w:rPr>
        <w:t xml:space="preserve"> Coordinates internal and external stakeholders, manages conflicts, and ensures deadlines are met. The PM’s leadership and decision-making are central to project delivery.</w:t>
      </w:r>
    </w:p>
    <w:p w14:paraId="0801E6B3" w14:textId="77777777" w:rsidR="00713D6D" w:rsidRPr="00713D6D" w:rsidRDefault="00713D6D" w:rsidP="00713D6D">
      <w:pPr>
        <w:numPr>
          <w:ilvl w:val="0"/>
          <w:numId w:val="7"/>
        </w:numPr>
        <w:rPr>
          <w:rFonts w:ascii="Arial" w:hAnsi="Arial" w:cs="Arial"/>
          <w:sz w:val="22"/>
          <w:szCs w:val="22"/>
        </w:rPr>
      </w:pPr>
      <w:r w:rsidRPr="00713D6D">
        <w:rPr>
          <w:rFonts w:ascii="Arial" w:hAnsi="Arial" w:cs="Arial"/>
          <w:b/>
          <w:bCs/>
          <w:sz w:val="22"/>
          <w:szCs w:val="22"/>
        </w:rPr>
        <w:t>Product Development Team:</w:t>
      </w:r>
      <w:r w:rsidRPr="00713D6D">
        <w:rPr>
          <w:rFonts w:ascii="Arial" w:hAnsi="Arial" w:cs="Arial"/>
          <w:sz w:val="22"/>
          <w:szCs w:val="22"/>
        </w:rPr>
        <w:t xml:space="preserve"> Designs, tests, and iterates the device. Their innovation directly impacts the product’s quality and functionality. Challenges include meeting technical deadlines and managing resource constraints.</w:t>
      </w:r>
    </w:p>
    <w:p w14:paraId="4BFC103B" w14:textId="77777777" w:rsidR="00713D6D" w:rsidRPr="00713D6D" w:rsidRDefault="00713D6D" w:rsidP="00713D6D">
      <w:pPr>
        <w:numPr>
          <w:ilvl w:val="0"/>
          <w:numId w:val="7"/>
        </w:numPr>
        <w:rPr>
          <w:rFonts w:ascii="Arial" w:hAnsi="Arial" w:cs="Arial"/>
          <w:sz w:val="22"/>
          <w:szCs w:val="22"/>
        </w:rPr>
      </w:pPr>
      <w:r w:rsidRPr="00713D6D">
        <w:rPr>
          <w:rFonts w:ascii="Arial" w:hAnsi="Arial" w:cs="Arial"/>
          <w:b/>
          <w:bCs/>
          <w:sz w:val="22"/>
          <w:szCs w:val="22"/>
        </w:rPr>
        <w:t>Marketing and Sales:</w:t>
      </w:r>
      <w:r w:rsidRPr="00713D6D">
        <w:rPr>
          <w:rFonts w:ascii="Arial" w:hAnsi="Arial" w:cs="Arial"/>
          <w:sz w:val="22"/>
          <w:szCs w:val="22"/>
        </w:rPr>
        <w:t xml:space="preserve"> Translate product features into consumer benefits and ensure market penetration. Challenges include competition, messaging accuracy, and aligning campaigns with regulatory guidelines.</w:t>
      </w:r>
    </w:p>
    <w:p w14:paraId="200791E9" w14:textId="77777777" w:rsidR="00713D6D" w:rsidRPr="00713D6D" w:rsidRDefault="00713D6D" w:rsidP="00713D6D">
      <w:pPr>
        <w:numPr>
          <w:ilvl w:val="0"/>
          <w:numId w:val="7"/>
        </w:numPr>
        <w:rPr>
          <w:rFonts w:ascii="Arial" w:hAnsi="Arial" w:cs="Arial"/>
          <w:sz w:val="22"/>
          <w:szCs w:val="22"/>
        </w:rPr>
      </w:pPr>
      <w:r w:rsidRPr="00713D6D">
        <w:rPr>
          <w:rFonts w:ascii="Arial" w:hAnsi="Arial" w:cs="Arial"/>
          <w:b/>
          <w:bCs/>
          <w:sz w:val="22"/>
          <w:szCs w:val="22"/>
        </w:rPr>
        <w:t>Quality Assurance and Compliance:</w:t>
      </w:r>
      <w:r w:rsidRPr="00713D6D">
        <w:rPr>
          <w:rFonts w:ascii="Arial" w:hAnsi="Arial" w:cs="Arial"/>
          <w:sz w:val="22"/>
          <w:szCs w:val="22"/>
        </w:rPr>
        <w:t xml:space="preserve"> Maintains product safety and legality, reducing risks of recalls or reputational damage. Challenges involve navigating complex regulatory requirements.</w:t>
      </w:r>
    </w:p>
    <w:p w14:paraId="5D754F64" w14:textId="77777777" w:rsidR="00713D6D" w:rsidRPr="00713D6D" w:rsidRDefault="00713D6D" w:rsidP="00713D6D">
      <w:pPr>
        <w:numPr>
          <w:ilvl w:val="0"/>
          <w:numId w:val="7"/>
        </w:numPr>
        <w:rPr>
          <w:rFonts w:ascii="Arial" w:hAnsi="Arial" w:cs="Arial"/>
          <w:sz w:val="22"/>
          <w:szCs w:val="22"/>
        </w:rPr>
      </w:pPr>
      <w:r w:rsidRPr="00713D6D">
        <w:rPr>
          <w:rFonts w:ascii="Arial" w:hAnsi="Arial" w:cs="Arial"/>
          <w:b/>
          <w:bCs/>
          <w:sz w:val="22"/>
          <w:szCs w:val="22"/>
        </w:rPr>
        <w:t>Executive Management:</w:t>
      </w:r>
      <w:r w:rsidRPr="00713D6D">
        <w:rPr>
          <w:rFonts w:ascii="Arial" w:hAnsi="Arial" w:cs="Arial"/>
          <w:sz w:val="22"/>
          <w:szCs w:val="22"/>
        </w:rPr>
        <w:t xml:space="preserve"> Approves budgets and strategies, influencing organisational commitment and resources. Misalignment with executives can delay decision-making.</w:t>
      </w:r>
    </w:p>
    <w:p w14:paraId="78738E8F" w14:textId="77777777" w:rsidR="00713D6D" w:rsidRPr="00713D6D" w:rsidRDefault="00713D6D" w:rsidP="00713D6D">
      <w:pPr>
        <w:numPr>
          <w:ilvl w:val="0"/>
          <w:numId w:val="7"/>
        </w:numPr>
        <w:rPr>
          <w:rFonts w:ascii="Arial" w:hAnsi="Arial" w:cs="Arial"/>
          <w:sz w:val="22"/>
          <w:szCs w:val="22"/>
        </w:rPr>
      </w:pPr>
      <w:r w:rsidRPr="00713D6D">
        <w:rPr>
          <w:rFonts w:ascii="Arial" w:hAnsi="Arial" w:cs="Arial"/>
          <w:b/>
          <w:bCs/>
          <w:sz w:val="22"/>
          <w:szCs w:val="22"/>
        </w:rPr>
        <w:t>Regulators:</w:t>
      </w:r>
      <w:r w:rsidRPr="00713D6D">
        <w:rPr>
          <w:rFonts w:ascii="Arial" w:hAnsi="Arial" w:cs="Arial"/>
          <w:sz w:val="22"/>
          <w:szCs w:val="22"/>
        </w:rPr>
        <w:t xml:space="preserve"> Approve product safety and usage; delays in approval can postpone launch. Maintaining proactive communication reduces risk.</w:t>
      </w:r>
    </w:p>
    <w:p w14:paraId="0430FEFC" w14:textId="77777777" w:rsidR="00713D6D" w:rsidRPr="00713D6D" w:rsidRDefault="00713D6D" w:rsidP="00713D6D">
      <w:pPr>
        <w:numPr>
          <w:ilvl w:val="0"/>
          <w:numId w:val="7"/>
        </w:numPr>
        <w:rPr>
          <w:rFonts w:ascii="Arial" w:hAnsi="Arial" w:cs="Arial"/>
          <w:sz w:val="22"/>
          <w:szCs w:val="22"/>
        </w:rPr>
      </w:pPr>
      <w:r w:rsidRPr="00713D6D">
        <w:rPr>
          <w:rFonts w:ascii="Arial" w:hAnsi="Arial" w:cs="Arial"/>
          <w:b/>
          <w:bCs/>
          <w:sz w:val="22"/>
          <w:szCs w:val="22"/>
        </w:rPr>
        <w:t>Suppliers:</w:t>
      </w:r>
      <w:r w:rsidRPr="00713D6D">
        <w:rPr>
          <w:rFonts w:ascii="Arial" w:hAnsi="Arial" w:cs="Arial"/>
          <w:sz w:val="22"/>
          <w:szCs w:val="22"/>
        </w:rPr>
        <w:t xml:space="preserve"> Provide essential components; supply chain disruptions are a critical risk.</w:t>
      </w:r>
    </w:p>
    <w:p w14:paraId="66B2C6E9" w14:textId="77777777" w:rsidR="00713D6D" w:rsidRPr="00713D6D" w:rsidRDefault="00713D6D" w:rsidP="00713D6D">
      <w:pPr>
        <w:numPr>
          <w:ilvl w:val="0"/>
          <w:numId w:val="7"/>
        </w:numPr>
        <w:rPr>
          <w:rFonts w:ascii="Arial" w:hAnsi="Arial" w:cs="Arial"/>
          <w:sz w:val="22"/>
          <w:szCs w:val="22"/>
        </w:rPr>
      </w:pPr>
      <w:r w:rsidRPr="00713D6D">
        <w:rPr>
          <w:rFonts w:ascii="Arial" w:hAnsi="Arial" w:cs="Arial"/>
          <w:b/>
          <w:bCs/>
          <w:sz w:val="22"/>
          <w:szCs w:val="22"/>
        </w:rPr>
        <w:t>Healthcare Professionals and Consumers:</w:t>
      </w:r>
      <w:r w:rsidRPr="00713D6D">
        <w:rPr>
          <w:rFonts w:ascii="Arial" w:hAnsi="Arial" w:cs="Arial"/>
          <w:sz w:val="22"/>
          <w:szCs w:val="22"/>
        </w:rPr>
        <w:t xml:space="preserve"> Provide feedback on usability and functionality. Failure to engage them may result in a product that does not meet user needs.</w:t>
      </w:r>
    </w:p>
    <w:p w14:paraId="7385CFC7" w14:textId="25F878F5" w:rsidR="00713D6D" w:rsidRPr="00713D6D" w:rsidRDefault="00713D6D" w:rsidP="00713D6D">
      <w:pPr>
        <w:rPr>
          <w:rFonts w:ascii="Arial" w:hAnsi="Arial" w:cs="Arial"/>
          <w:sz w:val="22"/>
          <w:szCs w:val="22"/>
        </w:rPr>
      </w:pPr>
    </w:p>
    <w:p w14:paraId="6F80FE26" w14:textId="77777777" w:rsidR="00713D6D" w:rsidRPr="00713D6D" w:rsidRDefault="00713D6D" w:rsidP="00713D6D">
      <w:pPr>
        <w:rPr>
          <w:rFonts w:ascii="Arial" w:hAnsi="Arial" w:cs="Arial"/>
          <w:sz w:val="22"/>
          <w:szCs w:val="22"/>
        </w:rPr>
      </w:pPr>
      <w:r w:rsidRPr="00713D6D">
        <w:rPr>
          <w:rFonts w:ascii="Arial" w:hAnsi="Arial" w:cs="Arial"/>
          <w:b/>
          <w:bCs/>
          <w:sz w:val="22"/>
          <w:szCs w:val="22"/>
        </w:rPr>
        <w:t>Frameworks for Stakeholder Engagement</w:t>
      </w:r>
    </w:p>
    <w:p w14:paraId="42A2F78F" w14:textId="77777777" w:rsidR="00713D6D" w:rsidRPr="00713D6D" w:rsidRDefault="00713D6D" w:rsidP="00713D6D">
      <w:pPr>
        <w:rPr>
          <w:rFonts w:ascii="Arial" w:hAnsi="Arial" w:cs="Arial"/>
          <w:sz w:val="22"/>
          <w:szCs w:val="22"/>
        </w:rPr>
      </w:pPr>
      <w:r w:rsidRPr="00713D6D">
        <w:rPr>
          <w:rFonts w:ascii="Arial" w:hAnsi="Arial" w:cs="Arial"/>
          <w:sz w:val="22"/>
          <w:szCs w:val="22"/>
        </w:rPr>
        <w:t>To organise stakeholders effectively, the following tools are applied:</w:t>
      </w:r>
    </w:p>
    <w:p w14:paraId="00FFF741" w14:textId="77777777" w:rsidR="00713D6D" w:rsidRPr="00713D6D" w:rsidRDefault="00713D6D" w:rsidP="00713D6D">
      <w:pPr>
        <w:numPr>
          <w:ilvl w:val="0"/>
          <w:numId w:val="8"/>
        </w:numPr>
        <w:rPr>
          <w:rFonts w:ascii="Arial" w:hAnsi="Arial" w:cs="Arial"/>
          <w:sz w:val="22"/>
          <w:szCs w:val="22"/>
        </w:rPr>
      </w:pPr>
      <w:r w:rsidRPr="00713D6D">
        <w:rPr>
          <w:rFonts w:ascii="Arial" w:hAnsi="Arial" w:cs="Arial"/>
          <w:b/>
          <w:bCs/>
          <w:sz w:val="22"/>
          <w:szCs w:val="22"/>
        </w:rPr>
        <w:t>Stakeholder Matrix:</w:t>
      </w:r>
      <w:r w:rsidRPr="00713D6D">
        <w:rPr>
          <w:rFonts w:ascii="Arial" w:hAnsi="Arial" w:cs="Arial"/>
          <w:sz w:val="22"/>
          <w:szCs w:val="22"/>
        </w:rPr>
        <w:t xml:space="preserve"> Classifies stakeholders by influence and interest, enabling prioritisation of engagement efforts.</w:t>
      </w:r>
    </w:p>
    <w:p w14:paraId="76BD24F8" w14:textId="77777777" w:rsidR="00713D6D" w:rsidRPr="00713D6D" w:rsidRDefault="00713D6D" w:rsidP="00713D6D">
      <w:pPr>
        <w:numPr>
          <w:ilvl w:val="0"/>
          <w:numId w:val="8"/>
        </w:numPr>
        <w:rPr>
          <w:rFonts w:ascii="Arial" w:hAnsi="Arial" w:cs="Arial"/>
          <w:sz w:val="22"/>
          <w:szCs w:val="22"/>
        </w:rPr>
      </w:pPr>
      <w:r w:rsidRPr="00713D6D">
        <w:rPr>
          <w:rFonts w:ascii="Arial" w:hAnsi="Arial" w:cs="Arial"/>
          <w:b/>
          <w:bCs/>
          <w:sz w:val="22"/>
          <w:szCs w:val="22"/>
        </w:rPr>
        <w:t>RACI Matrix:</w:t>
      </w:r>
      <w:r w:rsidRPr="00713D6D">
        <w:rPr>
          <w:rFonts w:ascii="Arial" w:hAnsi="Arial" w:cs="Arial"/>
          <w:sz w:val="22"/>
          <w:szCs w:val="22"/>
        </w:rPr>
        <w:t xml:space="preserve"> Defines roles as Responsible, Accountable, Consulted, and Informed for each stakeholder group.</w:t>
      </w:r>
    </w:p>
    <w:p w14:paraId="51402C50" w14:textId="77777777" w:rsidR="00713D6D" w:rsidRPr="00713D6D" w:rsidRDefault="00713D6D" w:rsidP="00713D6D">
      <w:pPr>
        <w:numPr>
          <w:ilvl w:val="0"/>
          <w:numId w:val="8"/>
        </w:numPr>
        <w:rPr>
          <w:rFonts w:ascii="Arial" w:hAnsi="Arial" w:cs="Arial"/>
          <w:sz w:val="22"/>
          <w:szCs w:val="22"/>
        </w:rPr>
      </w:pPr>
      <w:r w:rsidRPr="00713D6D">
        <w:rPr>
          <w:rFonts w:ascii="Arial" w:hAnsi="Arial" w:cs="Arial"/>
          <w:b/>
          <w:bCs/>
          <w:sz w:val="22"/>
          <w:szCs w:val="22"/>
        </w:rPr>
        <w:t>Engagement Plan:</w:t>
      </w:r>
      <w:r w:rsidRPr="00713D6D">
        <w:rPr>
          <w:rFonts w:ascii="Arial" w:hAnsi="Arial" w:cs="Arial"/>
          <w:sz w:val="22"/>
          <w:szCs w:val="22"/>
        </w:rPr>
        <w:t xml:space="preserve"> Details methods, frequency, and communication channels to ensure stakeholders are involved appropriately.</w:t>
      </w:r>
    </w:p>
    <w:p w14:paraId="25F0E5EF" w14:textId="77777777" w:rsidR="00713D6D" w:rsidRPr="00713D6D" w:rsidRDefault="00713D6D" w:rsidP="00713D6D">
      <w:pPr>
        <w:numPr>
          <w:ilvl w:val="0"/>
          <w:numId w:val="8"/>
        </w:numPr>
        <w:rPr>
          <w:rFonts w:ascii="Arial" w:hAnsi="Arial" w:cs="Arial"/>
          <w:sz w:val="22"/>
          <w:szCs w:val="22"/>
        </w:rPr>
      </w:pPr>
      <w:r w:rsidRPr="00713D6D">
        <w:rPr>
          <w:rFonts w:ascii="Arial" w:hAnsi="Arial" w:cs="Arial"/>
          <w:b/>
          <w:bCs/>
          <w:sz w:val="22"/>
          <w:szCs w:val="22"/>
        </w:rPr>
        <w:t>Communication Plan:</w:t>
      </w:r>
      <w:r w:rsidRPr="00713D6D">
        <w:rPr>
          <w:rFonts w:ascii="Arial" w:hAnsi="Arial" w:cs="Arial"/>
          <w:sz w:val="22"/>
          <w:szCs w:val="22"/>
        </w:rPr>
        <w:t xml:space="preserve"> Specifies messaging, reporting intervals, and feedback mechanisms, ensuring consistent and transparent communication.</w:t>
      </w:r>
    </w:p>
    <w:p w14:paraId="55A9E5CD" w14:textId="77777777" w:rsidR="00713D6D" w:rsidRPr="00713D6D" w:rsidRDefault="00713D6D" w:rsidP="00713D6D">
      <w:pPr>
        <w:rPr>
          <w:rFonts w:ascii="Arial" w:hAnsi="Arial" w:cs="Arial"/>
          <w:b/>
          <w:bCs/>
          <w:sz w:val="22"/>
          <w:szCs w:val="22"/>
        </w:rPr>
      </w:pPr>
      <w:r w:rsidRPr="00713D6D">
        <w:rPr>
          <w:rFonts w:ascii="Arial" w:hAnsi="Arial" w:cs="Arial"/>
          <w:sz w:val="22"/>
          <w:szCs w:val="22"/>
        </w:rPr>
        <w:br/>
      </w:r>
      <w:r w:rsidRPr="00713D6D">
        <w:rPr>
          <w:rFonts w:ascii="Arial" w:hAnsi="Arial" w:cs="Arial"/>
          <w:b/>
          <w:bCs/>
          <w:sz w:val="22"/>
          <w:szCs w:val="22"/>
        </w:rPr>
        <w:t>Stakeholder Engagement Process and Conflict Management</w:t>
      </w:r>
    </w:p>
    <w:p w14:paraId="71E1D2AB" w14:textId="77777777" w:rsidR="00713D6D" w:rsidRPr="00713D6D" w:rsidRDefault="00713D6D" w:rsidP="00713D6D">
      <w:pPr>
        <w:rPr>
          <w:rFonts w:ascii="Arial" w:hAnsi="Arial" w:cs="Arial"/>
          <w:sz w:val="22"/>
          <w:szCs w:val="22"/>
        </w:rPr>
      </w:pPr>
      <w:r w:rsidRPr="00713D6D">
        <w:rPr>
          <w:rFonts w:ascii="Arial" w:hAnsi="Arial" w:cs="Arial"/>
          <w:sz w:val="22"/>
          <w:szCs w:val="22"/>
        </w:rPr>
        <w:lastRenderedPageBreak/>
        <w:t>Effective stakeholder engagement is a pivotal component in the successful planning, execution, and completion of any project, particularly within the healthcare sector where diverse stakeholders possess varying priorities, expectations, and influence levels (Freeman, 2010; Bourne, 2015). In the context of launching a new wearable health device, stakeholder engagement extends beyond mere communication to a strategic orchestration of involvement that ensures alignment with project objectives, reduces potential conflicts, and maximizes overall project performance.</w:t>
      </w:r>
    </w:p>
    <w:p w14:paraId="7F5BEB38" w14:textId="77777777" w:rsidR="00713D6D" w:rsidRPr="00713D6D" w:rsidRDefault="00713D6D" w:rsidP="00713D6D">
      <w:pPr>
        <w:rPr>
          <w:rFonts w:ascii="Arial" w:hAnsi="Arial" w:cs="Arial"/>
          <w:b/>
          <w:bCs/>
          <w:sz w:val="22"/>
          <w:szCs w:val="22"/>
        </w:rPr>
      </w:pPr>
      <w:r w:rsidRPr="00713D6D">
        <w:rPr>
          <w:rFonts w:ascii="Arial" w:hAnsi="Arial" w:cs="Arial"/>
          <w:b/>
          <w:bCs/>
          <w:sz w:val="22"/>
          <w:szCs w:val="22"/>
        </w:rPr>
        <w:t>1. Identifying Engagement Objectives</w:t>
      </w:r>
    </w:p>
    <w:p w14:paraId="045BC25A" w14:textId="77777777" w:rsidR="00713D6D" w:rsidRPr="00713D6D" w:rsidRDefault="00713D6D" w:rsidP="00713D6D">
      <w:pPr>
        <w:rPr>
          <w:rFonts w:ascii="Arial" w:hAnsi="Arial" w:cs="Arial"/>
          <w:sz w:val="22"/>
          <w:szCs w:val="22"/>
        </w:rPr>
      </w:pPr>
      <w:r w:rsidRPr="00713D6D">
        <w:rPr>
          <w:rFonts w:ascii="Arial" w:hAnsi="Arial" w:cs="Arial"/>
          <w:sz w:val="22"/>
          <w:szCs w:val="22"/>
        </w:rPr>
        <w:t>The first step in stakeholder engagement involves clearly defining the engagement objectives for the project. The primary objectives for the wearable health device project include ensuring timely completion of product development, creating a supportive environment for marketing and sales teams, mitigating potential operational risks, and fostering trust among internal and external stakeholders (Rowley, 1997). Secondary objectives involve gaining insights from potential end-users and healthcare professionals to refine product features, ensuring regulatory compliance, and promoting collaboration across departments such as product development, R&amp;D, marketing, finance, and customer support.</w:t>
      </w:r>
    </w:p>
    <w:p w14:paraId="4F3BA5AD" w14:textId="77777777" w:rsidR="00713D6D" w:rsidRPr="00713D6D" w:rsidRDefault="00713D6D" w:rsidP="00713D6D">
      <w:pPr>
        <w:rPr>
          <w:rFonts w:ascii="Arial" w:hAnsi="Arial" w:cs="Arial"/>
          <w:sz w:val="22"/>
          <w:szCs w:val="22"/>
        </w:rPr>
      </w:pPr>
      <w:r w:rsidRPr="00713D6D">
        <w:rPr>
          <w:rFonts w:ascii="Arial" w:hAnsi="Arial" w:cs="Arial"/>
          <w:sz w:val="22"/>
          <w:szCs w:val="22"/>
        </w:rPr>
        <w:t>By establishing clear engagement objectives, the project manager creates a framework for prioritising stakeholder interactions, determining the appropriate engagement tools, and evaluating the impact of stakeholder involvement throughout the project lifecycle.</w:t>
      </w:r>
    </w:p>
    <w:p w14:paraId="3E4FB36B" w14:textId="1363BD3C" w:rsidR="00713D6D" w:rsidRPr="00713D6D" w:rsidRDefault="007C45F9" w:rsidP="00713D6D">
      <w:pPr>
        <w:rPr>
          <w:rFonts w:ascii="Arial" w:hAnsi="Arial" w:cs="Arial"/>
          <w:b/>
          <w:bCs/>
          <w:sz w:val="22"/>
          <w:szCs w:val="22"/>
        </w:rPr>
      </w:pPr>
      <w:r>
        <w:rPr>
          <w:rFonts w:ascii="Arial" w:hAnsi="Arial" w:cs="Arial"/>
          <w:b/>
          <w:bCs/>
          <w:sz w:val="22"/>
          <w:szCs w:val="22"/>
        </w:rPr>
        <w:t xml:space="preserve">2. </w:t>
      </w:r>
      <w:r w:rsidR="00713D6D" w:rsidRPr="00713D6D">
        <w:rPr>
          <w:rFonts w:ascii="Arial" w:hAnsi="Arial" w:cs="Arial"/>
          <w:b/>
          <w:bCs/>
          <w:sz w:val="22"/>
          <w:szCs w:val="22"/>
        </w:rPr>
        <w:t>Stakeholder Engagement Frameworks</w:t>
      </w:r>
    </w:p>
    <w:p w14:paraId="12A2D3FC" w14:textId="77777777" w:rsidR="00713D6D" w:rsidRPr="00713D6D" w:rsidRDefault="00713D6D" w:rsidP="00713D6D">
      <w:pPr>
        <w:rPr>
          <w:rFonts w:ascii="Arial" w:hAnsi="Arial" w:cs="Arial"/>
          <w:sz w:val="22"/>
          <w:szCs w:val="22"/>
        </w:rPr>
      </w:pPr>
      <w:r w:rsidRPr="00713D6D">
        <w:rPr>
          <w:rFonts w:ascii="Arial" w:hAnsi="Arial" w:cs="Arial"/>
          <w:sz w:val="22"/>
          <w:szCs w:val="22"/>
        </w:rPr>
        <w:t>A structured approach to engagement ensures consistency, clarity, and accountability. Several models and frameworks are particularly relevant:</w:t>
      </w:r>
    </w:p>
    <w:p w14:paraId="0BAB224C" w14:textId="77777777" w:rsidR="00713D6D" w:rsidRPr="00713D6D" w:rsidRDefault="00713D6D" w:rsidP="00713D6D">
      <w:pPr>
        <w:numPr>
          <w:ilvl w:val="0"/>
          <w:numId w:val="9"/>
        </w:numPr>
        <w:rPr>
          <w:rFonts w:ascii="Arial" w:hAnsi="Arial" w:cs="Arial"/>
          <w:sz w:val="22"/>
          <w:szCs w:val="22"/>
        </w:rPr>
      </w:pPr>
      <w:r w:rsidRPr="00713D6D">
        <w:rPr>
          <w:rFonts w:ascii="Arial" w:hAnsi="Arial" w:cs="Arial"/>
          <w:b/>
          <w:bCs/>
          <w:sz w:val="22"/>
          <w:szCs w:val="22"/>
        </w:rPr>
        <w:t>Stakeholder Matrix (Power-Interest Grid)</w:t>
      </w:r>
      <w:r w:rsidRPr="00713D6D">
        <w:rPr>
          <w:rFonts w:ascii="Arial" w:hAnsi="Arial" w:cs="Arial"/>
          <w:sz w:val="22"/>
          <w:szCs w:val="22"/>
        </w:rPr>
        <w:t>:</w:t>
      </w:r>
      <w:r w:rsidRPr="00713D6D">
        <w:rPr>
          <w:rFonts w:ascii="Arial" w:hAnsi="Arial" w:cs="Arial"/>
          <w:sz w:val="22"/>
          <w:szCs w:val="22"/>
        </w:rPr>
        <w:br/>
        <w:t>This tool categorises stakeholders based on their level of influence (power) and level of interest in the project (Freeman, 2010). High-power, high-interest stakeholders (e.g., senior management, regulatory authorities) require intensive engagement and regular updates. Low-power, high-interest stakeholders (e.g., end-users, community health groups) may benefit from periodic consultation and involvement in feedback sessions. This visual representation helps allocate engagement resources effectively.</w:t>
      </w:r>
    </w:p>
    <w:p w14:paraId="3F4F767B" w14:textId="77777777" w:rsidR="00713D6D" w:rsidRPr="00713D6D" w:rsidRDefault="00713D6D" w:rsidP="00713D6D">
      <w:pPr>
        <w:numPr>
          <w:ilvl w:val="0"/>
          <w:numId w:val="9"/>
        </w:numPr>
        <w:rPr>
          <w:rFonts w:ascii="Arial" w:hAnsi="Arial" w:cs="Arial"/>
          <w:sz w:val="22"/>
          <w:szCs w:val="22"/>
        </w:rPr>
      </w:pPr>
      <w:r w:rsidRPr="00713D6D">
        <w:rPr>
          <w:rFonts w:ascii="Arial" w:hAnsi="Arial" w:cs="Arial"/>
          <w:b/>
          <w:bCs/>
          <w:sz w:val="22"/>
          <w:szCs w:val="22"/>
        </w:rPr>
        <w:t>RACI Matrix (Responsible, Accountable, Consulted, Informed)</w:t>
      </w:r>
      <w:r w:rsidRPr="00713D6D">
        <w:rPr>
          <w:rFonts w:ascii="Arial" w:hAnsi="Arial" w:cs="Arial"/>
          <w:sz w:val="22"/>
          <w:szCs w:val="22"/>
        </w:rPr>
        <w:t>:</w:t>
      </w:r>
      <w:r w:rsidRPr="00713D6D">
        <w:rPr>
          <w:rFonts w:ascii="Arial" w:hAnsi="Arial" w:cs="Arial"/>
          <w:sz w:val="22"/>
          <w:szCs w:val="22"/>
        </w:rPr>
        <w:br/>
        <w:t>The RACI matrix delineates the specific roles and responsibilities of each stakeholder, preventing confusion and promoting accountability (PMI, 2017). For example, the product development team is “Responsible” for designing the device, the project manager is “Accountable” for overall project delivery, regulatory consultants are “Consulted” for compliance requirements, and the marketing department is “Informed” regarding product timelines and specifications.</w:t>
      </w:r>
    </w:p>
    <w:p w14:paraId="6681215A" w14:textId="77777777" w:rsidR="00713D6D" w:rsidRPr="00713D6D" w:rsidRDefault="00713D6D" w:rsidP="00713D6D">
      <w:pPr>
        <w:numPr>
          <w:ilvl w:val="0"/>
          <w:numId w:val="9"/>
        </w:numPr>
        <w:rPr>
          <w:rFonts w:ascii="Arial" w:hAnsi="Arial" w:cs="Arial"/>
          <w:sz w:val="22"/>
          <w:szCs w:val="22"/>
        </w:rPr>
      </w:pPr>
      <w:r w:rsidRPr="00713D6D">
        <w:rPr>
          <w:rFonts w:ascii="Arial" w:hAnsi="Arial" w:cs="Arial"/>
          <w:b/>
          <w:bCs/>
          <w:sz w:val="22"/>
          <w:szCs w:val="22"/>
        </w:rPr>
        <w:t>Engagement and Communication Plan</w:t>
      </w:r>
      <w:r w:rsidRPr="00713D6D">
        <w:rPr>
          <w:rFonts w:ascii="Arial" w:hAnsi="Arial" w:cs="Arial"/>
          <w:sz w:val="22"/>
          <w:szCs w:val="22"/>
        </w:rPr>
        <w:t>:</w:t>
      </w:r>
      <w:r w:rsidRPr="00713D6D">
        <w:rPr>
          <w:rFonts w:ascii="Arial" w:hAnsi="Arial" w:cs="Arial"/>
          <w:sz w:val="22"/>
          <w:szCs w:val="22"/>
        </w:rPr>
        <w:br/>
        <w:t>An engagement plan outlines the methods, frequency, and channels of communication with each stakeholder group (Bourne, 2015). For high-priority stakeholders, weekly meetings or progress reports are recommended, whereas newsletters, emails, or workshops may suffice for broader groups. Incorporating a feedback loop ensures that stakeholder concerns are addressed promptly and informs decision-making.</w:t>
      </w:r>
    </w:p>
    <w:p w14:paraId="02E95D47" w14:textId="6EDF140F" w:rsidR="00713D6D" w:rsidRPr="00713D6D" w:rsidRDefault="007C45F9" w:rsidP="00713D6D">
      <w:pPr>
        <w:rPr>
          <w:rFonts w:ascii="Arial" w:hAnsi="Arial" w:cs="Arial"/>
          <w:b/>
          <w:bCs/>
          <w:sz w:val="22"/>
          <w:szCs w:val="22"/>
        </w:rPr>
      </w:pPr>
      <w:r>
        <w:rPr>
          <w:rFonts w:ascii="Arial" w:hAnsi="Arial" w:cs="Arial"/>
          <w:b/>
          <w:bCs/>
          <w:sz w:val="22"/>
          <w:szCs w:val="22"/>
        </w:rPr>
        <w:lastRenderedPageBreak/>
        <w:t xml:space="preserve">3. </w:t>
      </w:r>
      <w:r w:rsidR="00713D6D" w:rsidRPr="00713D6D">
        <w:rPr>
          <w:rFonts w:ascii="Arial" w:hAnsi="Arial" w:cs="Arial"/>
          <w:b/>
          <w:bCs/>
          <w:sz w:val="22"/>
          <w:szCs w:val="22"/>
        </w:rPr>
        <w:t>Engagement Process</w:t>
      </w:r>
    </w:p>
    <w:p w14:paraId="4DAC2FA1" w14:textId="77777777" w:rsidR="00713D6D" w:rsidRPr="00713D6D" w:rsidRDefault="00713D6D" w:rsidP="00713D6D">
      <w:pPr>
        <w:rPr>
          <w:rFonts w:ascii="Arial" w:hAnsi="Arial" w:cs="Arial"/>
          <w:sz w:val="22"/>
          <w:szCs w:val="22"/>
        </w:rPr>
      </w:pPr>
      <w:r w:rsidRPr="00713D6D">
        <w:rPr>
          <w:rFonts w:ascii="Arial" w:hAnsi="Arial" w:cs="Arial"/>
          <w:sz w:val="22"/>
          <w:szCs w:val="22"/>
        </w:rPr>
        <w:t>Engaging stakeholders is not a single activity but a continuous process throughout the project lifecycle. The proposed process for the wearable health device project includes the following phases:</w:t>
      </w:r>
    </w:p>
    <w:p w14:paraId="61AC0E3A" w14:textId="77777777" w:rsidR="00713D6D" w:rsidRPr="00713D6D" w:rsidRDefault="00713D6D" w:rsidP="00713D6D">
      <w:pPr>
        <w:numPr>
          <w:ilvl w:val="0"/>
          <w:numId w:val="10"/>
        </w:numPr>
        <w:rPr>
          <w:rFonts w:ascii="Arial" w:hAnsi="Arial" w:cs="Arial"/>
          <w:sz w:val="22"/>
          <w:szCs w:val="22"/>
        </w:rPr>
      </w:pPr>
      <w:r w:rsidRPr="00713D6D">
        <w:rPr>
          <w:rFonts w:ascii="Arial" w:hAnsi="Arial" w:cs="Arial"/>
          <w:b/>
          <w:bCs/>
          <w:sz w:val="22"/>
          <w:szCs w:val="22"/>
        </w:rPr>
        <w:t>Stakeholder Mapping and Prioritisation</w:t>
      </w:r>
      <w:r w:rsidRPr="00713D6D">
        <w:rPr>
          <w:rFonts w:ascii="Arial" w:hAnsi="Arial" w:cs="Arial"/>
          <w:sz w:val="22"/>
          <w:szCs w:val="22"/>
        </w:rPr>
        <w:t>:</w:t>
      </w:r>
      <w:r w:rsidRPr="00713D6D">
        <w:rPr>
          <w:rFonts w:ascii="Arial" w:hAnsi="Arial" w:cs="Arial"/>
          <w:sz w:val="22"/>
          <w:szCs w:val="22"/>
        </w:rPr>
        <w:br/>
        <w:t>Begin by identifying all stakeholders, both internal (product development team, marketing, finance, HR, and customer support) and external (regulators, suppliers, potential end-users, healthcare professionals, and investors). Prioritise them using the stakeholder matrix to determine the frequency and depth of engagement.</w:t>
      </w:r>
    </w:p>
    <w:p w14:paraId="20AAB6A4" w14:textId="77777777" w:rsidR="00713D6D" w:rsidRPr="00713D6D" w:rsidRDefault="00713D6D" w:rsidP="00713D6D">
      <w:pPr>
        <w:numPr>
          <w:ilvl w:val="0"/>
          <w:numId w:val="10"/>
        </w:numPr>
        <w:rPr>
          <w:rFonts w:ascii="Arial" w:hAnsi="Arial" w:cs="Arial"/>
          <w:sz w:val="22"/>
          <w:szCs w:val="22"/>
        </w:rPr>
      </w:pPr>
      <w:r w:rsidRPr="00713D6D">
        <w:rPr>
          <w:rFonts w:ascii="Arial" w:hAnsi="Arial" w:cs="Arial"/>
          <w:b/>
          <w:bCs/>
          <w:sz w:val="22"/>
          <w:szCs w:val="22"/>
        </w:rPr>
        <w:t>Initial Consultation</w:t>
      </w:r>
      <w:r w:rsidRPr="00713D6D">
        <w:rPr>
          <w:rFonts w:ascii="Arial" w:hAnsi="Arial" w:cs="Arial"/>
          <w:sz w:val="22"/>
          <w:szCs w:val="22"/>
        </w:rPr>
        <w:t>:</w:t>
      </w:r>
      <w:r w:rsidRPr="00713D6D">
        <w:rPr>
          <w:rFonts w:ascii="Arial" w:hAnsi="Arial" w:cs="Arial"/>
          <w:sz w:val="22"/>
          <w:szCs w:val="22"/>
        </w:rPr>
        <w:br/>
        <w:t>Conduct one-on-one or group meetings with key stakeholders to understand their expectations, concerns, and priorities. These consultations allow the project manager to gather essential insights into product features, regulatory constraints, and anticipated operational challenges (Eskerod &amp; Jepsen, 2013).</w:t>
      </w:r>
    </w:p>
    <w:p w14:paraId="502D76D0" w14:textId="77777777" w:rsidR="00713D6D" w:rsidRPr="00713D6D" w:rsidRDefault="00713D6D" w:rsidP="00713D6D">
      <w:pPr>
        <w:numPr>
          <w:ilvl w:val="0"/>
          <w:numId w:val="10"/>
        </w:numPr>
        <w:rPr>
          <w:rFonts w:ascii="Arial" w:hAnsi="Arial" w:cs="Arial"/>
          <w:sz w:val="22"/>
          <w:szCs w:val="22"/>
        </w:rPr>
      </w:pPr>
      <w:r w:rsidRPr="00713D6D">
        <w:rPr>
          <w:rFonts w:ascii="Arial" w:hAnsi="Arial" w:cs="Arial"/>
          <w:b/>
          <w:bCs/>
          <w:sz w:val="22"/>
          <w:szCs w:val="22"/>
        </w:rPr>
        <w:t>Planning and Communication</w:t>
      </w:r>
      <w:r w:rsidRPr="00713D6D">
        <w:rPr>
          <w:rFonts w:ascii="Arial" w:hAnsi="Arial" w:cs="Arial"/>
          <w:sz w:val="22"/>
          <w:szCs w:val="22"/>
        </w:rPr>
        <w:t>:</w:t>
      </w:r>
      <w:r w:rsidRPr="00713D6D">
        <w:rPr>
          <w:rFonts w:ascii="Arial" w:hAnsi="Arial" w:cs="Arial"/>
          <w:sz w:val="22"/>
          <w:szCs w:val="22"/>
        </w:rPr>
        <w:br/>
        <w:t>Develop a detailed communication schedule tailored to stakeholder needs. For example, weekly progress reports for senior management, bi-weekly design reviews with product engineers, and monthly workshops for potential users to gather feedback on usability and functionality.</w:t>
      </w:r>
    </w:p>
    <w:p w14:paraId="7B33DD1B" w14:textId="77777777" w:rsidR="00713D6D" w:rsidRPr="00713D6D" w:rsidRDefault="00713D6D" w:rsidP="00713D6D">
      <w:pPr>
        <w:numPr>
          <w:ilvl w:val="0"/>
          <w:numId w:val="10"/>
        </w:numPr>
        <w:rPr>
          <w:rFonts w:ascii="Arial" w:hAnsi="Arial" w:cs="Arial"/>
          <w:sz w:val="22"/>
          <w:szCs w:val="22"/>
        </w:rPr>
      </w:pPr>
      <w:r w:rsidRPr="00713D6D">
        <w:rPr>
          <w:rFonts w:ascii="Arial" w:hAnsi="Arial" w:cs="Arial"/>
          <w:b/>
          <w:bCs/>
          <w:sz w:val="22"/>
          <w:szCs w:val="22"/>
        </w:rPr>
        <w:t>Active Engagement</w:t>
      </w:r>
      <w:r w:rsidRPr="00713D6D">
        <w:rPr>
          <w:rFonts w:ascii="Arial" w:hAnsi="Arial" w:cs="Arial"/>
          <w:sz w:val="22"/>
          <w:szCs w:val="22"/>
        </w:rPr>
        <w:t>:</w:t>
      </w:r>
      <w:r w:rsidRPr="00713D6D">
        <w:rPr>
          <w:rFonts w:ascii="Arial" w:hAnsi="Arial" w:cs="Arial"/>
          <w:sz w:val="22"/>
          <w:szCs w:val="22"/>
        </w:rPr>
        <w:br/>
        <w:t>Engage stakeholders in decision-making through collaborative workshops, focus groups, and project reviews. This approach not only leverages stakeholder expertise but also increases their sense of ownership and commitment to the project outcomes (Clarkson, 1995).</w:t>
      </w:r>
    </w:p>
    <w:p w14:paraId="0FB642F5" w14:textId="77777777" w:rsidR="00713D6D" w:rsidRPr="00713D6D" w:rsidRDefault="00713D6D" w:rsidP="00713D6D">
      <w:pPr>
        <w:numPr>
          <w:ilvl w:val="0"/>
          <w:numId w:val="10"/>
        </w:numPr>
        <w:rPr>
          <w:rFonts w:ascii="Arial" w:hAnsi="Arial" w:cs="Arial"/>
          <w:sz w:val="22"/>
          <w:szCs w:val="22"/>
        </w:rPr>
      </w:pPr>
      <w:r w:rsidRPr="00713D6D">
        <w:rPr>
          <w:rFonts w:ascii="Arial" w:hAnsi="Arial" w:cs="Arial"/>
          <w:b/>
          <w:bCs/>
          <w:sz w:val="22"/>
          <w:szCs w:val="22"/>
        </w:rPr>
        <w:t>Monitoring and Feedback</w:t>
      </w:r>
      <w:r w:rsidRPr="00713D6D">
        <w:rPr>
          <w:rFonts w:ascii="Arial" w:hAnsi="Arial" w:cs="Arial"/>
          <w:sz w:val="22"/>
          <w:szCs w:val="22"/>
        </w:rPr>
        <w:t>:</w:t>
      </w:r>
      <w:r w:rsidRPr="00713D6D">
        <w:rPr>
          <w:rFonts w:ascii="Arial" w:hAnsi="Arial" w:cs="Arial"/>
          <w:sz w:val="22"/>
          <w:szCs w:val="22"/>
        </w:rPr>
        <w:br/>
        <w:t>Regularly monitor stakeholder satisfaction and engagement effectiveness through surveys, meetings, and informal discussions. Adjust engagement strategies dynamically to address emerging concerns or changes in stakeholder influence and interest levels (Bourne, 2015).</w:t>
      </w:r>
    </w:p>
    <w:p w14:paraId="5E336514" w14:textId="77777777" w:rsidR="00713D6D" w:rsidRPr="00713D6D" w:rsidRDefault="00713D6D" w:rsidP="00713D6D">
      <w:pPr>
        <w:numPr>
          <w:ilvl w:val="0"/>
          <w:numId w:val="10"/>
        </w:numPr>
        <w:rPr>
          <w:rFonts w:ascii="Arial" w:hAnsi="Arial" w:cs="Arial"/>
          <w:sz w:val="22"/>
          <w:szCs w:val="22"/>
        </w:rPr>
      </w:pPr>
      <w:r w:rsidRPr="00713D6D">
        <w:rPr>
          <w:rFonts w:ascii="Arial" w:hAnsi="Arial" w:cs="Arial"/>
          <w:b/>
          <w:bCs/>
          <w:sz w:val="22"/>
          <w:szCs w:val="22"/>
        </w:rPr>
        <w:t>Evaluation and Reporting</w:t>
      </w:r>
      <w:r w:rsidRPr="00713D6D">
        <w:rPr>
          <w:rFonts w:ascii="Arial" w:hAnsi="Arial" w:cs="Arial"/>
          <w:sz w:val="22"/>
          <w:szCs w:val="22"/>
        </w:rPr>
        <w:t>:</w:t>
      </w:r>
      <w:r w:rsidRPr="00713D6D">
        <w:rPr>
          <w:rFonts w:ascii="Arial" w:hAnsi="Arial" w:cs="Arial"/>
          <w:sz w:val="22"/>
          <w:szCs w:val="22"/>
        </w:rPr>
        <w:br/>
        <w:t>Assess the effectiveness of engagement initiatives against predefined KPIs, such as timely decision-making, project milestones achieved, and resolution of stakeholder conflicts. Document lessons learned to inform future projects.</w:t>
      </w:r>
    </w:p>
    <w:p w14:paraId="74B99351" w14:textId="77777777" w:rsidR="00713D6D" w:rsidRPr="00713D6D" w:rsidRDefault="00713D6D" w:rsidP="00713D6D">
      <w:pPr>
        <w:rPr>
          <w:rFonts w:ascii="Arial" w:hAnsi="Arial" w:cs="Arial"/>
          <w:b/>
          <w:bCs/>
          <w:sz w:val="22"/>
          <w:szCs w:val="22"/>
        </w:rPr>
      </w:pPr>
      <w:r w:rsidRPr="00713D6D">
        <w:rPr>
          <w:rFonts w:ascii="Arial" w:hAnsi="Arial" w:cs="Arial"/>
          <w:b/>
          <w:bCs/>
          <w:sz w:val="22"/>
          <w:szCs w:val="22"/>
        </w:rPr>
        <w:t>4. Conflict Management Using the Four Cs</w:t>
      </w:r>
    </w:p>
    <w:p w14:paraId="0E558F94" w14:textId="77777777" w:rsidR="00713D6D" w:rsidRPr="00713D6D" w:rsidRDefault="00713D6D" w:rsidP="00713D6D">
      <w:pPr>
        <w:rPr>
          <w:rFonts w:ascii="Arial" w:hAnsi="Arial" w:cs="Arial"/>
          <w:sz w:val="22"/>
          <w:szCs w:val="22"/>
        </w:rPr>
      </w:pPr>
      <w:r w:rsidRPr="00713D6D">
        <w:rPr>
          <w:rFonts w:ascii="Arial" w:hAnsi="Arial" w:cs="Arial"/>
          <w:sz w:val="22"/>
          <w:szCs w:val="22"/>
        </w:rPr>
        <w:t>Conflict is inevitable in complex projects involving diverse stakeholders. The Four Cs—Communication, Coordination, Cooperation, and Collaboration—provide a systematic framework for managing conflicts constructively (Ellis et al., 1991).</w:t>
      </w:r>
    </w:p>
    <w:p w14:paraId="0371CBB4" w14:textId="77777777" w:rsidR="00713D6D" w:rsidRPr="00713D6D" w:rsidRDefault="00713D6D" w:rsidP="00713D6D">
      <w:pPr>
        <w:numPr>
          <w:ilvl w:val="0"/>
          <w:numId w:val="11"/>
        </w:numPr>
        <w:rPr>
          <w:rFonts w:ascii="Arial" w:hAnsi="Arial" w:cs="Arial"/>
          <w:sz w:val="22"/>
          <w:szCs w:val="22"/>
        </w:rPr>
      </w:pPr>
      <w:r w:rsidRPr="00713D6D">
        <w:rPr>
          <w:rFonts w:ascii="Arial" w:hAnsi="Arial" w:cs="Arial"/>
          <w:b/>
          <w:bCs/>
          <w:sz w:val="22"/>
          <w:szCs w:val="22"/>
        </w:rPr>
        <w:t>Communication</w:t>
      </w:r>
      <w:r w:rsidRPr="00713D6D">
        <w:rPr>
          <w:rFonts w:ascii="Arial" w:hAnsi="Arial" w:cs="Arial"/>
          <w:sz w:val="22"/>
          <w:szCs w:val="22"/>
        </w:rPr>
        <w:t>:</w:t>
      </w:r>
      <w:r w:rsidRPr="00713D6D">
        <w:rPr>
          <w:rFonts w:ascii="Arial" w:hAnsi="Arial" w:cs="Arial"/>
          <w:sz w:val="22"/>
          <w:szCs w:val="22"/>
        </w:rPr>
        <w:br/>
        <w:t xml:space="preserve">Open, transparent, and frequent communication reduces misunderstandings and prevents escalation of conflicts. For example, sharing progress reports, anticipated challenges, and decision rationales with stakeholders ensures clarity and promotes </w:t>
      </w:r>
      <w:r w:rsidRPr="00713D6D">
        <w:rPr>
          <w:rFonts w:ascii="Arial" w:hAnsi="Arial" w:cs="Arial"/>
          <w:sz w:val="22"/>
          <w:szCs w:val="22"/>
        </w:rPr>
        <w:lastRenderedPageBreak/>
        <w:t>trust. Active listening techniques and conflict resolution meetings should be standard practice to address disagreements promptly.</w:t>
      </w:r>
    </w:p>
    <w:p w14:paraId="3FA06EF0" w14:textId="77777777" w:rsidR="00713D6D" w:rsidRPr="00713D6D" w:rsidRDefault="00713D6D" w:rsidP="00713D6D">
      <w:pPr>
        <w:numPr>
          <w:ilvl w:val="0"/>
          <w:numId w:val="11"/>
        </w:numPr>
        <w:rPr>
          <w:rFonts w:ascii="Arial" w:hAnsi="Arial" w:cs="Arial"/>
          <w:sz w:val="22"/>
          <w:szCs w:val="22"/>
        </w:rPr>
      </w:pPr>
      <w:r w:rsidRPr="00713D6D">
        <w:rPr>
          <w:rFonts w:ascii="Arial" w:hAnsi="Arial" w:cs="Arial"/>
          <w:b/>
          <w:bCs/>
          <w:sz w:val="22"/>
          <w:szCs w:val="22"/>
        </w:rPr>
        <w:t>Coordination</w:t>
      </w:r>
      <w:r w:rsidRPr="00713D6D">
        <w:rPr>
          <w:rFonts w:ascii="Arial" w:hAnsi="Arial" w:cs="Arial"/>
          <w:sz w:val="22"/>
          <w:szCs w:val="22"/>
        </w:rPr>
        <w:t>:</w:t>
      </w:r>
      <w:r w:rsidRPr="00713D6D">
        <w:rPr>
          <w:rFonts w:ascii="Arial" w:hAnsi="Arial" w:cs="Arial"/>
          <w:sz w:val="22"/>
          <w:szCs w:val="22"/>
        </w:rPr>
        <w:br/>
        <w:t>Effective coordination ensures alignment between stakeholders’ expectations and project deliverables. Scheduling regular inter-departmental meetings, aligning project timelines, and synchronising tasks among the product, marketing, and regulatory teams prevent conflicts arising from misaligned priorities (Kerzner, 2017).</w:t>
      </w:r>
    </w:p>
    <w:p w14:paraId="08CCD006" w14:textId="77777777" w:rsidR="00713D6D" w:rsidRPr="00713D6D" w:rsidRDefault="00713D6D" w:rsidP="00713D6D">
      <w:pPr>
        <w:numPr>
          <w:ilvl w:val="0"/>
          <w:numId w:val="11"/>
        </w:numPr>
        <w:rPr>
          <w:rFonts w:ascii="Arial" w:hAnsi="Arial" w:cs="Arial"/>
          <w:sz w:val="22"/>
          <w:szCs w:val="22"/>
        </w:rPr>
      </w:pPr>
      <w:r w:rsidRPr="00713D6D">
        <w:rPr>
          <w:rFonts w:ascii="Arial" w:hAnsi="Arial" w:cs="Arial"/>
          <w:b/>
          <w:bCs/>
          <w:sz w:val="22"/>
          <w:szCs w:val="22"/>
        </w:rPr>
        <w:t>Cooperation</w:t>
      </w:r>
      <w:r w:rsidRPr="00713D6D">
        <w:rPr>
          <w:rFonts w:ascii="Arial" w:hAnsi="Arial" w:cs="Arial"/>
          <w:sz w:val="22"/>
          <w:szCs w:val="22"/>
        </w:rPr>
        <w:t>:</w:t>
      </w:r>
      <w:r w:rsidRPr="00713D6D">
        <w:rPr>
          <w:rFonts w:ascii="Arial" w:hAnsi="Arial" w:cs="Arial"/>
          <w:sz w:val="22"/>
          <w:szCs w:val="22"/>
        </w:rPr>
        <w:br/>
        <w:t>Encouraging a cooperative culture fosters willingness among stakeholders to negotiate, share resources, and find mutually beneficial solutions. For instance, if product engineers face technical constraints, collaborating with the marketing team ensures that communication to end-users remains accurate and feasible.</w:t>
      </w:r>
    </w:p>
    <w:p w14:paraId="345519B2" w14:textId="77777777" w:rsidR="00713D6D" w:rsidRPr="00713D6D" w:rsidRDefault="00713D6D" w:rsidP="00713D6D">
      <w:pPr>
        <w:numPr>
          <w:ilvl w:val="0"/>
          <w:numId w:val="11"/>
        </w:numPr>
        <w:rPr>
          <w:rFonts w:ascii="Arial" w:hAnsi="Arial" w:cs="Arial"/>
          <w:sz w:val="22"/>
          <w:szCs w:val="22"/>
        </w:rPr>
      </w:pPr>
      <w:r w:rsidRPr="00713D6D">
        <w:rPr>
          <w:rFonts w:ascii="Arial" w:hAnsi="Arial" w:cs="Arial"/>
          <w:b/>
          <w:bCs/>
          <w:sz w:val="22"/>
          <w:szCs w:val="22"/>
        </w:rPr>
        <w:t>Collaboration</w:t>
      </w:r>
      <w:r w:rsidRPr="00713D6D">
        <w:rPr>
          <w:rFonts w:ascii="Arial" w:hAnsi="Arial" w:cs="Arial"/>
          <w:sz w:val="22"/>
          <w:szCs w:val="22"/>
        </w:rPr>
        <w:t>:</w:t>
      </w:r>
      <w:r w:rsidRPr="00713D6D">
        <w:rPr>
          <w:rFonts w:ascii="Arial" w:hAnsi="Arial" w:cs="Arial"/>
          <w:sz w:val="22"/>
          <w:szCs w:val="22"/>
        </w:rPr>
        <w:br/>
        <w:t>Collaboration goes beyond cooperation by involving stakeholders in shared problem-solving and strategic decision-making. Joint workshops or co-design sessions with healthcare professionals and potential users can prevent conflicts over product features while enhancing innovation and stakeholder buy-in.</w:t>
      </w:r>
    </w:p>
    <w:p w14:paraId="3FC79F40" w14:textId="66303606" w:rsidR="00713D6D" w:rsidRPr="00713D6D" w:rsidRDefault="007C45F9" w:rsidP="00713D6D">
      <w:pPr>
        <w:rPr>
          <w:rFonts w:ascii="Arial" w:hAnsi="Arial" w:cs="Arial"/>
          <w:b/>
          <w:bCs/>
          <w:sz w:val="22"/>
          <w:szCs w:val="22"/>
        </w:rPr>
      </w:pPr>
      <w:r>
        <w:rPr>
          <w:rFonts w:ascii="Arial" w:hAnsi="Arial" w:cs="Arial"/>
          <w:b/>
          <w:bCs/>
          <w:sz w:val="22"/>
          <w:szCs w:val="22"/>
        </w:rPr>
        <w:t>5.</w:t>
      </w:r>
      <w:r w:rsidR="0097484B">
        <w:rPr>
          <w:rFonts w:ascii="Arial" w:hAnsi="Arial" w:cs="Arial"/>
          <w:b/>
          <w:bCs/>
          <w:sz w:val="22"/>
          <w:szCs w:val="22"/>
        </w:rPr>
        <w:t xml:space="preserve"> </w:t>
      </w:r>
      <w:r w:rsidR="00713D6D" w:rsidRPr="00713D6D">
        <w:rPr>
          <w:rFonts w:ascii="Arial" w:hAnsi="Arial" w:cs="Arial"/>
          <w:b/>
          <w:bCs/>
          <w:sz w:val="22"/>
          <w:szCs w:val="22"/>
        </w:rPr>
        <w:t xml:space="preserve"> </w:t>
      </w:r>
      <w:r w:rsidR="0097484B">
        <w:rPr>
          <w:rFonts w:ascii="Arial" w:hAnsi="Arial" w:cs="Arial"/>
          <w:b/>
          <w:bCs/>
          <w:sz w:val="22"/>
          <w:szCs w:val="22"/>
        </w:rPr>
        <w:t xml:space="preserve"> </w:t>
      </w:r>
      <w:r w:rsidR="00713D6D" w:rsidRPr="00713D6D">
        <w:rPr>
          <w:rFonts w:ascii="Arial" w:hAnsi="Arial" w:cs="Arial"/>
          <w:b/>
          <w:bCs/>
          <w:sz w:val="22"/>
          <w:szCs w:val="22"/>
        </w:rPr>
        <w:t>Managing Specific Conflicts</w:t>
      </w:r>
    </w:p>
    <w:p w14:paraId="68352F11" w14:textId="77777777" w:rsidR="00713D6D" w:rsidRPr="00713D6D" w:rsidRDefault="00713D6D" w:rsidP="00713D6D">
      <w:pPr>
        <w:rPr>
          <w:rFonts w:ascii="Arial" w:hAnsi="Arial" w:cs="Arial"/>
          <w:sz w:val="22"/>
          <w:szCs w:val="22"/>
        </w:rPr>
      </w:pPr>
      <w:r w:rsidRPr="00713D6D">
        <w:rPr>
          <w:rFonts w:ascii="Arial" w:hAnsi="Arial" w:cs="Arial"/>
          <w:sz w:val="22"/>
          <w:szCs w:val="22"/>
        </w:rPr>
        <w:t>Some conflicts are common in projects of this nature:</w:t>
      </w:r>
    </w:p>
    <w:p w14:paraId="5B5B90B1" w14:textId="77777777" w:rsidR="00713D6D" w:rsidRPr="00713D6D" w:rsidRDefault="00713D6D" w:rsidP="00713D6D">
      <w:pPr>
        <w:numPr>
          <w:ilvl w:val="0"/>
          <w:numId w:val="12"/>
        </w:numPr>
        <w:rPr>
          <w:rFonts w:ascii="Arial" w:hAnsi="Arial" w:cs="Arial"/>
          <w:sz w:val="22"/>
          <w:szCs w:val="22"/>
        </w:rPr>
      </w:pPr>
      <w:r w:rsidRPr="00713D6D">
        <w:rPr>
          <w:rFonts w:ascii="Arial" w:hAnsi="Arial" w:cs="Arial"/>
          <w:b/>
          <w:bCs/>
          <w:sz w:val="22"/>
          <w:szCs w:val="22"/>
        </w:rPr>
        <w:t>Resource Allocation Conflicts</w:t>
      </w:r>
      <w:r w:rsidRPr="00713D6D">
        <w:rPr>
          <w:rFonts w:ascii="Arial" w:hAnsi="Arial" w:cs="Arial"/>
          <w:sz w:val="22"/>
          <w:szCs w:val="22"/>
        </w:rPr>
        <w:t>: Departments may compete for limited human, financial, or technological resources. Applying the RACI matrix and prioritising tasks based on project impact ensures transparency and fairness.</w:t>
      </w:r>
    </w:p>
    <w:p w14:paraId="62CAB742" w14:textId="77777777" w:rsidR="00713D6D" w:rsidRPr="00713D6D" w:rsidRDefault="00713D6D" w:rsidP="00713D6D">
      <w:pPr>
        <w:numPr>
          <w:ilvl w:val="0"/>
          <w:numId w:val="12"/>
        </w:numPr>
        <w:rPr>
          <w:rFonts w:ascii="Arial" w:hAnsi="Arial" w:cs="Arial"/>
          <w:sz w:val="22"/>
          <w:szCs w:val="22"/>
        </w:rPr>
      </w:pPr>
      <w:r w:rsidRPr="00713D6D">
        <w:rPr>
          <w:rFonts w:ascii="Arial" w:hAnsi="Arial" w:cs="Arial"/>
          <w:b/>
          <w:bCs/>
          <w:sz w:val="22"/>
          <w:szCs w:val="22"/>
        </w:rPr>
        <w:t>Expectation Misalignment</w:t>
      </w:r>
      <w:r w:rsidRPr="00713D6D">
        <w:rPr>
          <w:rFonts w:ascii="Arial" w:hAnsi="Arial" w:cs="Arial"/>
          <w:sz w:val="22"/>
          <w:szCs w:val="22"/>
        </w:rPr>
        <w:t>: Stakeholders may have differing expectations regarding product features, delivery dates, or marketing claims. Engaging them through early consultation, prototyping sessions, and feedback mechanisms mitigates these risks.</w:t>
      </w:r>
    </w:p>
    <w:p w14:paraId="15E53A78" w14:textId="77777777" w:rsidR="00713D6D" w:rsidRPr="00713D6D" w:rsidRDefault="00713D6D" w:rsidP="00713D6D">
      <w:pPr>
        <w:numPr>
          <w:ilvl w:val="0"/>
          <w:numId w:val="12"/>
        </w:numPr>
        <w:rPr>
          <w:rFonts w:ascii="Arial" w:hAnsi="Arial" w:cs="Arial"/>
          <w:sz w:val="22"/>
          <w:szCs w:val="22"/>
        </w:rPr>
      </w:pPr>
      <w:r w:rsidRPr="00713D6D">
        <w:rPr>
          <w:rFonts w:ascii="Arial" w:hAnsi="Arial" w:cs="Arial"/>
          <w:b/>
          <w:bCs/>
          <w:sz w:val="22"/>
          <w:szCs w:val="22"/>
        </w:rPr>
        <w:t>Regulatory Compliance Issues</w:t>
      </w:r>
      <w:r w:rsidRPr="00713D6D">
        <w:rPr>
          <w:rFonts w:ascii="Arial" w:hAnsi="Arial" w:cs="Arial"/>
          <w:sz w:val="22"/>
          <w:szCs w:val="22"/>
        </w:rPr>
        <w:t>: Disagreements may arise between product development teams and regulatory advisors regarding safety standards. Structured communication and joint reviews resolve conflicts while ensuring compliance.</w:t>
      </w:r>
    </w:p>
    <w:p w14:paraId="1600B8C1" w14:textId="77777777" w:rsidR="00713D6D" w:rsidRPr="00713D6D" w:rsidRDefault="00713D6D" w:rsidP="00713D6D">
      <w:pPr>
        <w:rPr>
          <w:rFonts w:ascii="Arial" w:hAnsi="Arial" w:cs="Arial"/>
          <w:sz w:val="22"/>
          <w:szCs w:val="22"/>
        </w:rPr>
      </w:pPr>
      <w:r w:rsidRPr="00713D6D">
        <w:rPr>
          <w:rFonts w:ascii="Arial" w:hAnsi="Arial" w:cs="Arial"/>
          <w:sz w:val="22"/>
          <w:szCs w:val="22"/>
        </w:rPr>
        <w:t>By systematically applying the Four Cs and integrating structured engagement tools, the project manager can minimise conflicts, build consensus, and enhance stakeholder satisfaction, thereby supporting successful project delivery.</w:t>
      </w:r>
    </w:p>
    <w:p w14:paraId="5E067D50" w14:textId="77777777" w:rsidR="00713D6D" w:rsidRPr="00713D6D" w:rsidRDefault="00713D6D" w:rsidP="00713D6D">
      <w:pPr>
        <w:rPr>
          <w:rFonts w:ascii="Arial" w:hAnsi="Arial" w:cs="Arial"/>
          <w:b/>
          <w:bCs/>
          <w:sz w:val="22"/>
          <w:szCs w:val="22"/>
        </w:rPr>
      </w:pPr>
      <w:r w:rsidRPr="00713D6D">
        <w:rPr>
          <w:rFonts w:ascii="Arial" w:hAnsi="Arial" w:cs="Arial"/>
          <w:sz w:val="22"/>
          <w:szCs w:val="22"/>
        </w:rPr>
        <w:br/>
      </w:r>
      <w:r w:rsidRPr="00713D6D">
        <w:rPr>
          <w:rFonts w:ascii="Arial" w:hAnsi="Arial" w:cs="Arial"/>
          <w:b/>
          <w:bCs/>
          <w:sz w:val="22"/>
          <w:szCs w:val="22"/>
        </w:rPr>
        <w:t>Evaluation of Stakeholder Engagement Impact, Recommendations, and Conclusion</w:t>
      </w:r>
    </w:p>
    <w:p w14:paraId="3A0244B3" w14:textId="77777777" w:rsidR="00713D6D" w:rsidRPr="00713D6D" w:rsidRDefault="00713D6D" w:rsidP="00713D6D">
      <w:pPr>
        <w:rPr>
          <w:rFonts w:ascii="Arial" w:hAnsi="Arial" w:cs="Arial"/>
          <w:b/>
          <w:bCs/>
          <w:sz w:val="22"/>
          <w:szCs w:val="22"/>
        </w:rPr>
      </w:pPr>
      <w:r w:rsidRPr="00713D6D">
        <w:rPr>
          <w:rFonts w:ascii="Arial" w:hAnsi="Arial" w:cs="Arial"/>
          <w:b/>
          <w:bCs/>
          <w:sz w:val="22"/>
          <w:szCs w:val="22"/>
        </w:rPr>
        <w:t>1. Evaluation of Stakeholder Engagement Impact</w:t>
      </w:r>
    </w:p>
    <w:p w14:paraId="04124A51" w14:textId="77777777" w:rsidR="00713D6D" w:rsidRPr="00713D6D" w:rsidRDefault="00713D6D" w:rsidP="00713D6D">
      <w:pPr>
        <w:rPr>
          <w:rFonts w:ascii="Arial" w:hAnsi="Arial" w:cs="Arial"/>
          <w:sz w:val="22"/>
          <w:szCs w:val="22"/>
        </w:rPr>
      </w:pPr>
      <w:r w:rsidRPr="00713D6D">
        <w:rPr>
          <w:rFonts w:ascii="Arial" w:hAnsi="Arial" w:cs="Arial"/>
          <w:sz w:val="22"/>
          <w:szCs w:val="22"/>
        </w:rPr>
        <w:t>Stakeholder engagement is a critical determinant of project success, particularly in healthcare technology projects where regulatory compliance, patient safety, and user acceptance are paramount (Freeman, 2010; Bourne, 2015). For the wearable health device project, the engagement of stakeholders has impacted multiple dimensions of project performance: operational efficiency, product quality, market readiness, and organizational reputation.</w:t>
      </w:r>
    </w:p>
    <w:p w14:paraId="4CB9BD3F" w14:textId="77777777" w:rsidR="00713D6D" w:rsidRPr="00713D6D" w:rsidRDefault="00713D6D" w:rsidP="00713D6D">
      <w:pPr>
        <w:rPr>
          <w:rFonts w:ascii="Arial" w:hAnsi="Arial" w:cs="Arial"/>
          <w:sz w:val="22"/>
          <w:szCs w:val="22"/>
        </w:rPr>
      </w:pPr>
      <w:r w:rsidRPr="00713D6D">
        <w:rPr>
          <w:rFonts w:ascii="Arial" w:hAnsi="Arial" w:cs="Arial"/>
          <w:b/>
          <w:bCs/>
          <w:sz w:val="22"/>
          <w:szCs w:val="22"/>
        </w:rPr>
        <w:lastRenderedPageBreak/>
        <w:t>a. Operational Efficiency</w:t>
      </w:r>
      <w:r w:rsidRPr="00713D6D">
        <w:rPr>
          <w:rFonts w:ascii="Arial" w:hAnsi="Arial" w:cs="Arial"/>
          <w:sz w:val="22"/>
          <w:szCs w:val="22"/>
        </w:rPr>
        <w:br/>
        <w:t>Effective engagement of internal stakeholders—such as product development, marketing, finance, and quality assurance teams—has streamlined operational processes. By leveraging tools such as the RACI matrix and stakeholder communication plans, role clarity has been established, reducing duplication of effort and accelerating decision-making (PMI, 2017). Weekly progress meetings and milestone tracking have minimized delays, ensured accountability, and promoted alignment between departments. For example, early consultations with the R&amp;D team allowed for prompt adjustments to design specifications, preventing costly rework at later stages.</w:t>
      </w:r>
    </w:p>
    <w:p w14:paraId="0C9E0018" w14:textId="77777777" w:rsidR="00713D6D" w:rsidRPr="00713D6D" w:rsidRDefault="00713D6D" w:rsidP="00713D6D">
      <w:pPr>
        <w:rPr>
          <w:rFonts w:ascii="Arial" w:hAnsi="Arial" w:cs="Arial"/>
          <w:sz w:val="22"/>
          <w:szCs w:val="22"/>
        </w:rPr>
      </w:pPr>
      <w:r w:rsidRPr="00713D6D">
        <w:rPr>
          <w:rFonts w:ascii="Arial" w:hAnsi="Arial" w:cs="Arial"/>
          <w:b/>
          <w:bCs/>
          <w:sz w:val="22"/>
          <w:szCs w:val="22"/>
        </w:rPr>
        <w:t>b. Product Quality and Innovation</w:t>
      </w:r>
      <w:r w:rsidRPr="00713D6D">
        <w:rPr>
          <w:rFonts w:ascii="Arial" w:hAnsi="Arial" w:cs="Arial"/>
          <w:sz w:val="22"/>
          <w:szCs w:val="22"/>
        </w:rPr>
        <w:br/>
        <w:t>Engaging external stakeholders, including healthcare professionals, end-users, and regulatory bodies, has enhanced the quality and usability of the wearable device. Incorporating feedback from clinical trials and user testing sessions led to the refinement of heart rate sensors, oxygen saturation monitoring, and sleep-tracking algorithms, improving device accuracy and reliability (Clarkson, 1995). Collaboration workshops encouraged cross-functional innovation, fostering the development of user-friendly interfaces and ensuring compliance with healthcare standards.</w:t>
      </w:r>
    </w:p>
    <w:p w14:paraId="247642E8" w14:textId="77777777" w:rsidR="00713D6D" w:rsidRPr="00713D6D" w:rsidRDefault="00713D6D" w:rsidP="00713D6D">
      <w:pPr>
        <w:rPr>
          <w:rFonts w:ascii="Arial" w:hAnsi="Arial" w:cs="Arial"/>
          <w:sz w:val="22"/>
          <w:szCs w:val="22"/>
        </w:rPr>
      </w:pPr>
      <w:r w:rsidRPr="00713D6D">
        <w:rPr>
          <w:rFonts w:ascii="Arial" w:hAnsi="Arial" w:cs="Arial"/>
          <w:b/>
          <w:bCs/>
          <w:sz w:val="22"/>
          <w:szCs w:val="22"/>
        </w:rPr>
        <w:t>c. Market Readiness</w:t>
      </w:r>
      <w:r w:rsidRPr="00713D6D">
        <w:rPr>
          <w:rFonts w:ascii="Arial" w:hAnsi="Arial" w:cs="Arial"/>
          <w:sz w:val="22"/>
          <w:szCs w:val="22"/>
        </w:rPr>
        <w:br/>
        <w:t>Stakeholder engagement has contributed to proactive market readiness. Marketing teams, aligned through engagement strategies, were able to develop targeted campaigns based on insights from focus groups and user surveys. Early interaction with supply chain partners ensured that production timelines and logistics plans were synchronized with anticipated demand. The engagement process also built early buy-in from healthcare providers, increasing adoption likelihood upon launch.</w:t>
      </w:r>
    </w:p>
    <w:p w14:paraId="67F17BDF" w14:textId="77777777" w:rsidR="00713D6D" w:rsidRPr="00713D6D" w:rsidRDefault="00713D6D" w:rsidP="00713D6D">
      <w:pPr>
        <w:rPr>
          <w:rFonts w:ascii="Arial" w:hAnsi="Arial" w:cs="Arial"/>
          <w:sz w:val="22"/>
          <w:szCs w:val="22"/>
        </w:rPr>
      </w:pPr>
      <w:r w:rsidRPr="00713D6D">
        <w:rPr>
          <w:rFonts w:ascii="Arial" w:hAnsi="Arial" w:cs="Arial"/>
          <w:b/>
          <w:bCs/>
          <w:sz w:val="22"/>
          <w:szCs w:val="22"/>
        </w:rPr>
        <w:t>d. Risk Management</w:t>
      </w:r>
      <w:r w:rsidRPr="00713D6D">
        <w:rPr>
          <w:rFonts w:ascii="Arial" w:hAnsi="Arial" w:cs="Arial"/>
          <w:sz w:val="22"/>
          <w:szCs w:val="22"/>
        </w:rPr>
        <w:br/>
        <w:t>Stakeholder engagement has mitigated potential project risks. By consulting regulatory advisors and legal teams early, compliance issues were identified and resolved before product launch. Resource conflicts were reduced through transparent communication and prioritization of project objectives. Potential conflicts between departments were minimized through cooperation and collaboration, in line with the Four Cs model (Ellis et al., 1991).</w:t>
      </w:r>
    </w:p>
    <w:p w14:paraId="3629FFB1" w14:textId="77777777" w:rsidR="00713D6D" w:rsidRPr="00713D6D" w:rsidRDefault="00713D6D" w:rsidP="00713D6D">
      <w:pPr>
        <w:rPr>
          <w:rFonts w:ascii="Arial" w:hAnsi="Arial" w:cs="Arial"/>
          <w:sz w:val="22"/>
          <w:szCs w:val="22"/>
        </w:rPr>
      </w:pPr>
      <w:r w:rsidRPr="00713D6D">
        <w:rPr>
          <w:rFonts w:ascii="Arial" w:hAnsi="Arial" w:cs="Arial"/>
          <w:b/>
          <w:bCs/>
          <w:sz w:val="22"/>
          <w:szCs w:val="22"/>
        </w:rPr>
        <w:t>e. Organizational Reputation</w:t>
      </w:r>
      <w:r w:rsidRPr="00713D6D">
        <w:rPr>
          <w:rFonts w:ascii="Arial" w:hAnsi="Arial" w:cs="Arial"/>
          <w:sz w:val="22"/>
          <w:szCs w:val="22"/>
        </w:rPr>
        <w:br/>
        <w:t>The organization’s reputation as a healthcare technology provider has benefited from proactive stakeholder engagement. Transparent communication, timely updates, and inclusion of diverse stakeholder perspectives enhanced trust and credibility. This has long-term implications for partnerships, funding opportunities, and patient confidence in the wearable device.</w:t>
      </w:r>
    </w:p>
    <w:p w14:paraId="0442EF70" w14:textId="77777777" w:rsidR="00713D6D" w:rsidRPr="00713D6D" w:rsidRDefault="00713D6D" w:rsidP="00713D6D">
      <w:pPr>
        <w:rPr>
          <w:rFonts w:ascii="Arial" w:hAnsi="Arial" w:cs="Arial"/>
          <w:sz w:val="22"/>
          <w:szCs w:val="22"/>
        </w:rPr>
      </w:pPr>
      <w:r w:rsidRPr="00713D6D">
        <w:rPr>
          <w:rFonts w:ascii="Arial" w:hAnsi="Arial" w:cs="Arial"/>
          <w:sz w:val="22"/>
          <w:szCs w:val="22"/>
        </w:rPr>
        <w:t>Overall, the impact of stakeholder engagement is evident across operational, technical, and strategic dimensions, highlighting its essential role in achieving project objectives.</w:t>
      </w:r>
    </w:p>
    <w:p w14:paraId="16E84FC4" w14:textId="77777777" w:rsidR="00713D6D" w:rsidRPr="00713D6D" w:rsidRDefault="00713D6D" w:rsidP="00713D6D">
      <w:pPr>
        <w:rPr>
          <w:rFonts w:ascii="Arial" w:hAnsi="Arial" w:cs="Arial"/>
          <w:b/>
          <w:bCs/>
          <w:sz w:val="22"/>
          <w:szCs w:val="22"/>
        </w:rPr>
      </w:pPr>
      <w:r w:rsidRPr="00713D6D">
        <w:rPr>
          <w:rFonts w:ascii="Arial" w:hAnsi="Arial" w:cs="Arial"/>
          <w:b/>
          <w:bCs/>
          <w:sz w:val="22"/>
          <w:szCs w:val="22"/>
        </w:rPr>
        <w:t>2. Recommendations for Future Stakeholder Engagement</w:t>
      </w:r>
    </w:p>
    <w:p w14:paraId="6948CEE5" w14:textId="77777777" w:rsidR="00713D6D" w:rsidRPr="00713D6D" w:rsidRDefault="00713D6D" w:rsidP="00713D6D">
      <w:pPr>
        <w:rPr>
          <w:rFonts w:ascii="Arial" w:hAnsi="Arial" w:cs="Arial"/>
          <w:sz w:val="22"/>
          <w:szCs w:val="22"/>
        </w:rPr>
      </w:pPr>
      <w:r w:rsidRPr="00713D6D">
        <w:rPr>
          <w:rFonts w:ascii="Arial" w:hAnsi="Arial" w:cs="Arial"/>
          <w:sz w:val="22"/>
          <w:szCs w:val="22"/>
        </w:rPr>
        <w:t>Despite the successes achieved, several recommendations can further enhance stakeholder engagement for similar projects in the future:</w:t>
      </w:r>
    </w:p>
    <w:p w14:paraId="293605FA" w14:textId="77777777" w:rsidR="00713D6D" w:rsidRPr="00713D6D" w:rsidRDefault="00713D6D" w:rsidP="00713D6D">
      <w:pPr>
        <w:rPr>
          <w:rFonts w:ascii="Arial" w:hAnsi="Arial" w:cs="Arial"/>
          <w:sz w:val="22"/>
          <w:szCs w:val="22"/>
        </w:rPr>
      </w:pPr>
      <w:r w:rsidRPr="00713D6D">
        <w:rPr>
          <w:rFonts w:ascii="Arial" w:hAnsi="Arial" w:cs="Arial"/>
          <w:b/>
          <w:bCs/>
          <w:sz w:val="22"/>
          <w:szCs w:val="22"/>
        </w:rPr>
        <w:t>a. Early and Continuous Involvement</w:t>
      </w:r>
      <w:r w:rsidRPr="00713D6D">
        <w:rPr>
          <w:rFonts w:ascii="Arial" w:hAnsi="Arial" w:cs="Arial"/>
          <w:sz w:val="22"/>
          <w:szCs w:val="22"/>
        </w:rPr>
        <w:br/>
        <w:t xml:space="preserve">Engagement should begin during the project ideation phase and continue throughout the </w:t>
      </w:r>
      <w:r w:rsidRPr="00713D6D">
        <w:rPr>
          <w:rFonts w:ascii="Arial" w:hAnsi="Arial" w:cs="Arial"/>
          <w:sz w:val="22"/>
          <w:szCs w:val="22"/>
        </w:rPr>
        <w:lastRenderedPageBreak/>
        <w:t>lifecycle. Early involvement ensures that stakeholder needs, expectations, and constraints are fully understood, reducing risks of misalignment or resistance (Rowley, 1997). For future projects, establishing structured onboarding sessions for new stakeholders can improve their understanding of project goals and engagement protocols.</w:t>
      </w:r>
    </w:p>
    <w:p w14:paraId="1890190C" w14:textId="77777777" w:rsidR="00713D6D" w:rsidRPr="00713D6D" w:rsidRDefault="00713D6D" w:rsidP="00713D6D">
      <w:pPr>
        <w:rPr>
          <w:rFonts w:ascii="Arial" w:hAnsi="Arial" w:cs="Arial"/>
          <w:sz w:val="22"/>
          <w:szCs w:val="22"/>
        </w:rPr>
      </w:pPr>
      <w:r w:rsidRPr="00713D6D">
        <w:rPr>
          <w:rFonts w:ascii="Arial" w:hAnsi="Arial" w:cs="Arial"/>
          <w:b/>
          <w:bCs/>
          <w:sz w:val="22"/>
          <w:szCs w:val="22"/>
        </w:rPr>
        <w:t>b. Enhanced Use of Digital Collaboration Tools</w:t>
      </w:r>
      <w:r w:rsidRPr="00713D6D">
        <w:rPr>
          <w:rFonts w:ascii="Arial" w:hAnsi="Arial" w:cs="Arial"/>
          <w:sz w:val="22"/>
          <w:szCs w:val="22"/>
        </w:rPr>
        <w:br/>
        <w:t>Leveraging digital tools such as Microsoft Teams, Asana, or Trello can facilitate real-time collaboration, task tracking, and communication, particularly in projects with geographically dispersed teams. Integrating these tools with stakeholder engagement frameworks (e.g., RACI matrix, stakeholder mapping) can further enhance transparency and accountability.</w:t>
      </w:r>
    </w:p>
    <w:p w14:paraId="6B1D90F0" w14:textId="77777777" w:rsidR="00713D6D" w:rsidRPr="00713D6D" w:rsidRDefault="00713D6D" w:rsidP="00713D6D">
      <w:pPr>
        <w:rPr>
          <w:rFonts w:ascii="Arial" w:hAnsi="Arial" w:cs="Arial"/>
          <w:sz w:val="22"/>
          <w:szCs w:val="22"/>
        </w:rPr>
      </w:pPr>
      <w:r w:rsidRPr="00713D6D">
        <w:rPr>
          <w:rFonts w:ascii="Arial" w:hAnsi="Arial" w:cs="Arial"/>
          <w:b/>
          <w:bCs/>
          <w:sz w:val="22"/>
          <w:szCs w:val="22"/>
        </w:rPr>
        <w:t>c. Formal Feedback Mechanisms</w:t>
      </w:r>
      <w:r w:rsidRPr="00713D6D">
        <w:rPr>
          <w:rFonts w:ascii="Arial" w:hAnsi="Arial" w:cs="Arial"/>
          <w:sz w:val="22"/>
          <w:szCs w:val="22"/>
        </w:rPr>
        <w:br/>
        <w:t xml:space="preserve">Establishing formal mechanisms for gathering and evaluating stakeholder feedback—such as surveys, focus groups, and performance dashboards—can improve responsiveness to concerns and enhance continuous improvement (Bourne, 2015). Regularly </w:t>
      </w:r>
      <w:proofErr w:type="spellStart"/>
      <w:r w:rsidRPr="00713D6D">
        <w:rPr>
          <w:rFonts w:ascii="Arial" w:hAnsi="Arial" w:cs="Arial"/>
          <w:sz w:val="22"/>
          <w:szCs w:val="22"/>
        </w:rPr>
        <w:t>analyzing</w:t>
      </w:r>
      <w:proofErr w:type="spellEnd"/>
      <w:r w:rsidRPr="00713D6D">
        <w:rPr>
          <w:rFonts w:ascii="Arial" w:hAnsi="Arial" w:cs="Arial"/>
          <w:sz w:val="22"/>
          <w:szCs w:val="22"/>
        </w:rPr>
        <w:t xml:space="preserve"> this feedback enables proactive adjustments to project strategies, fostering better alignment with stakeholder expectations.</w:t>
      </w:r>
    </w:p>
    <w:p w14:paraId="684E2E23" w14:textId="77777777" w:rsidR="00713D6D" w:rsidRPr="00713D6D" w:rsidRDefault="00713D6D" w:rsidP="00713D6D">
      <w:pPr>
        <w:rPr>
          <w:rFonts w:ascii="Arial" w:hAnsi="Arial" w:cs="Arial"/>
          <w:sz w:val="22"/>
          <w:szCs w:val="22"/>
        </w:rPr>
      </w:pPr>
      <w:r w:rsidRPr="00713D6D">
        <w:rPr>
          <w:rFonts w:ascii="Arial" w:hAnsi="Arial" w:cs="Arial"/>
          <w:b/>
          <w:bCs/>
          <w:sz w:val="22"/>
          <w:szCs w:val="22"/>
        </w:rPr>
        <w:t>d. Tailored Engagement Strategies</w:t>
      </w:r>
      <w:r w:rsidRPr="00713D6D">
        <w:rPr>
          <w:rFonts w:ascii="Arial" w:hAnsi="Arial" w:cs="Arial"/>
          <w:sz w:val="22"/>
          <w:szCs w:val="22"/>
        </w:rPr>
        <w:br/>
        <w:t>Recognizing the diversity of stakeholders, engagement strategies should be tailored according to influence, interest, and expertise. High-power, high-interest stakeholders require regular, personalized updates and involvement in decision-making, while low-power, low-interest stakeholders may be engaged through newsletters or periodic briefings. This ensures efficient allocation of resources and maximizes engagement impact.</w:t>
      </w:r>
    </w:p>
    <w:p w14:paraId="1A4CE4BC" w14:textId="77777777" w:rsidR="00713D6D" w:rsidRPr="00713D6D" w:rsidRDefault="00713D6D" w:rsidP="00713D6D">
      <w:pPr>
        <w:rPr>
          <w:rFonts w:ascii="Arial" w:hAnsi="Arial" w:cs="Arial"/>
          <w:sz w:val="22"/>
          <w:szCs w:val="22"/>
        </w:rPr>
      </w:pPr>
      <w:r w:rsidRPr="00713D6D">
        <w:rPr>
          <w:rFonts w:ascii="Arial" w:hAnsi="Arial" w:cs="Arial"/>
          <w:b/>
          <w:bCs/>
          <w:sz w:val="22"/>
          <w:szCs w:val="22"/>
        </w:rPr>
        <w:t>e. Conflict Resolution Training</w:t>
      </w:r>
      <w:r w:rsidRPr="00713D6D">
        <w:rPr>
          <w:rFonts w:ascii="Arial" w:hAnsi="Arial" w:cs="Arial"/>
          <w:sz w:val="22"/>
          <w:szCs w:val="22"/>
        </w:rPr>
        <w:br/>
        <w:t>Project managers and key team members should receive training in conflict resolution techniques, including negotiation, mediation, and consensus-building. Familiarity with the Four Cs model (communication, coordination, cooperation, and collaboration) enables proactive conflict management and strengthens interdepartmental relationships (Ellis et al., 1991).</w:t>
      </w:r>
    </w:p>
    <w:p w14:paraId="12EFC8FB" w14:textId="77777777" w:rsidR="00713D6D" w:rsidRPr="00713D6D" w:rsidRDefault="00713D6D" w:rsidP="00713D6D">
      <w:pPr>
        <w:rPr>
          <w:rFonts w:ascii="Arial" w:hAnsi="Arial" w:cs="Arial"/>
          <w:sz w:val="22"/>
          <w:szCs w:val="22"/>
        </w:rPr>
      </w:pPr>
      <w:r w:rsidRPr="00713D6D">
        <w:rPr>
          <w:rFonts w:ascii="Arial" w:hAnsi="Arial" w:cs="Arial"/>
          <w:b/>
          <w:bCs/>
          <w:sz w:val="22"/>
          <w:szCs w:val="22"/>
        </w:rPr>
        <w:t>f. Integration with Organizational Strategy</w:t>
      </w:r>
      <w:r w:rsidRPr="00713D6D">
        <w:rPr>
          <w:rFonts w:ascii="Arial" w:hAnsi="Arial" w:cs="Arial"/>
          <w:sz w:val="22"/>
          <w:szCs w:val="22"/>
        </w:rPr>
        <w:br/>
        <w:t>Stakeholder engagement should be embedded within the organization’s strategic framework to ensure alignment with long-term objectives, such as product innovation, market expansion, and patient safety. By linking engagement outcomes with organizational KPIs, project teams can measure success more objectively and make informed decisions for future initiatives.</w:t>
      </w:r>
    </w:p>
    <w:p w14:paraId="13FE0001" w14:textId="77777777" w:rsidR="00713D6D" w:rsidRPr="00713D6D" w:rsidRDefault="00713D6D" w:rsidP="00713D6D">
      <w:pPr>
        <w:rPr>
          <w:rFonts w:ascii="Arial" w:hAnsi="Arial" w:cs="Arial"/>
          <w:sz w:val="22"/>
          <w:szCs w:val="22"/>
        </w:rPr>
      </w:pPr>
      <w:r w:rsidRPr="00713D6D">
        <w:rPr>
          <w:rFonts w:ascii="Arial" w:hAnsi="Arial" w:cs="Arial"/>
          <w:b/>
          <w:bCs/>
          <w:sz w:val="22"/>
          <w:szCs w:val="22"/>
        </w:rPr>
        <w:t>g. Strengthening External Partnerships</w:t>
      </w:r>
      <w:r w:rsidRPr="00713D6D">
        <w:rPr>
          <w:rFonts w:ascii="Arial" w:hAnsi="Arial" w:cs="Arial"/>
          <w:sz w:val="22"/>
          <w:szCs w:val="22"/>
        </w:rPr>
        <w:br/>
        <w:t>For healthcare technology projects, collaboration with external entities—such as universities, research institutions, and healthcare providers—can enhance innovation and credibility. Formal partnership agreements, shared research initiatives, and joint pilot studies can deepen stakeholder relationships and improve project outcomes.</w:t>
      </w:r>
    </w:p>
    <w:p w14:paraId="1252F065" w14:textId="77777777" w:rsidR="00713D6D" w:rsidRPr="00713D6D" w:rsidRDefault="00713D6D" w:rsidP="00713D6D">
      <w:pPr>
        <w:rPr>
          <w:rFonts w:ascii="Arial" w:hAnsi="Arial" w:cs="Arial"/>
          <w:sz w:val="22"/>
          <w:szCs w:val="22"/>
        </w:rPr>
      </w:pPr>
      <w:r w:rsidRPr="00713D6D">
        <w:rPr>
          <w:rFonts w:ascii="Arial" w:hAnsi="Arial" w:cs="Arial"/>
          <w:b/>
          <w:bCs/>
          <w:sz w:val="22"/>
          <w:szCs w:val="22"/>
        </w:rPr>
        <w:t>h. Continuous Learning and Evaluation</w:t>
      </w:r>
      <w:r w:rsidRPr="00713D6D">
        <w:rPr>
          <w:rFonts w:ascii="Arial" w:hAnsi="Arial" w:cs="Arial"/>
          <w:sz w:val="22"/>
          <w:szCs w:val="22"/>
        </w:rPr>
        <w:br/>
      </w:r>
      <w:proofErr w:type="gramStart"/>
      <w:r w:rsidRPr="00713D6D">
        <w:rPr>
          <w:rFonts w:ascii="Arial" w:hAnsi="Arial" w:cs="Arial"/>
          <w:sz w:val="22"/>
          <w:szCs w:val="22"/>
        </w:rPr>
        <w:t>Post-project</w:t>
      </w:r>
      <w:proofErr w:type="gramEnd"/>
      <w:r w:rsidRPr="00713D6D">
        <w:rPr>
          <w:rFonts w:ascii="Arial" w:hAnsi="Arial" w:cs="Arial"/>
          <w:sz w:val="22"/>
          <w:szCs w:val="22"/>
        </w:rPr>
        <w:t xml:space="preserve"> reviews and lessons-learned sessions should be conducted to evaluate the effectiveness of stakeholder engagement strategies. Documentation of best practices, challenges, and stakeholder feedback allows future project managers to replicate successes and avoid past mistakes.</w:t>
      </w:r>
    </w:p>
    <w:p w14:paraId="12DD17DA" w14:textId="49D4CA1F" w:rsidR="00713D6D" w:rsidRPr="00713D6D" w:rsidRDefault="007C45F9" w:rsidP="00713D6D">
      <w:pPr>
        <w:rPr>
          <w:rFonts w:ascii="Arial" w:hAnsi="Arial" w:cs="Arial"/>
          <w:b/>
          <w:bCs/>
          <w:sz w:val="22"/>
          <w:szCs w:val="22"/>
        </w:rPr>
      </w:pPr>
      <w:r>
        <w:rPr>
          <w:rFonts w:ascii="Arial" w:hAnsi="Arial" w:cs="Arial"/>
          <w:b/>
          <w:bCs/>
          <w:sz w:val="22"/>
          <w:szCs w:val="22"/>
        </w:rPr>
        <w:lastRenderedPageBreak/>
        <w:t xml:space="preserve"> </w:t>
      </w:r>
      <w:r w:rsidR="00713D6D" w:rsidRPr="00713D6D">
        <w:rPr>
          <w:rFonts w:ascii="Arial" w:hAnsi="Arial" w:cs="Arial"/>
          <w:b/>
          <w:bCs/>
          <w:sz w:val="22"/>
          <w:szCs w:val="22"/>
        </w:rPr>
        <w:t>Conclusion</w:t>
      </w:r>
    </w:p>
    <w:p w14:paraId="46E8D2C6" w14:textId="77777777" w:rsidR="00713D6D" w:rsidRPr="00713D6D" w:rsidRDefault="00713D6D" w:rsidP="00713D6D">
      <w:pPr>
        <w:rPr>
          <w:rFonts w:ascii="Arial" w:hAnsi="Arial" w:cs="Arial"/>
          <w:sz w:val="22"/>
          <w:szCs w:val="22"/>
        </w:rPr>
      </w:pPr>
      <w:r w:rsidRPr="00713D6D">
        <w:rPr>
          <w:rFonts w:ascii="Arial" w:hAnsi="Arial" w:cs="Arial"/>
          <w:sz w:val="22"/>
          <w:szCs w:val="22"/>
        </w:rPr>
        <w:t>In conclusion, stakeholder engagement is integral to the success of the wearable health device project. The proactive identification, prioritization, and engagement of stakeholders—from internal teams to external partners and end-users—has facilitated operational efficiency, enhanced product quality, ensured regulatory compliance, and supported successful market readiness. Applying structured engagement frameworks, such as the stakeholder matrix, RACI model, communication plan, and Four Cs model for conflict management, has proven effective in aligning diverse stakeholder interests and mitigating potential conflicts.</w:t>
      </w:r>
    </w:p>
    <w:p w14:paraId="6CEAC1D4" w14:textId="77777777" w:rsidR="00713D6D" w:rsidRPr="00713D6D" w:rsidRDefault="00713D6D" w:rsidP="00713D6D">
      <w:pPr>
        <w:rPr>
          <w:rFonts w:ascii="Arial" w:hAnsi="Arial" w:cs="Arial"/>
          <w:sz w:val="22"/>
          <w:szCs w:val="22"/>
        </w:rPr>
      </w:pPr>
      <w:r w:rsidRPr="00713D6D">
        <w:rPr>
          <w:rFonts w:ascii="Arial" w:hAnsi="Arial" w:cs="Arial"/>
          <w:sz w:val="22"/>
          <w:szCs w:val="22"/>
        </w:rPr>
        <w:t>The evaluation of engagement outcomes demonstrates that continuous, transparent, and collaborative interaction with stakeholders contributes not only to immediate project success but also to the organization’s long-term credibility and strategic positioning in the healthcare technology market. Lessons learned from this project underscore the importance of early involvement, tailored engagement strategies, formal feedback mechanisms, and digital collaboration tools as key enablers for effective stakeholder management.</w:t>
      </w:r>
    </w:p>
    <w:p w14:paraId="051AE24C" w14:textId="77777777" w:rsidR="00713D6D" w:rsidRPr="00713D6D" w:rsidRDefault="00713D6D" w:rsidP="00713D6D">
      <w:pPr>
        <w:rPr>
          <w:rFonts w:ascii="Arial" w:hAnsi="Arial" w:cs="Arial"/>
          <w:sz w:val="22"/>
          <w:szCs w:val="22"/>
        </w:rPr>
      </w:pPr>
      <w:r w:rsidRPr="00713D6D">
        <w:rPr>
          <w:rFonts w:ascii="Arial" w:hAnsi="Arial" w:cs="Arial"/>
          <w:sz w:val="22"/>
          <w:szCs w:val="22"/>
        </w:rPr>
        <w:t>Recommendations for future projects emphasize the need for ongoing stakeholder engagement training, integration of engagement strategies into organizational objectives, strengthening of external partnerships, and systematic post-project evaluation. By embedding these practices, healthcare organizations can ensure that stakeholder engagement remains a strategic asset, driving innovation, efficiency, and value creation.</w:t>
      </w:r>
    </w:p>
    <w:p w14:paraId="73682FE2" w14:textId="77777777" w:rsidR="00713D6D" w:rsidRPr="00713D6D" w:rsidRDefault="00713D6D" w:rsidP="00713D6D">
      <w:pPr>
        <w:rPr>
          <w:rFonts w:ascii="Arial" w:hAnsi="Arial" w:cs="Arial"/>
          <w:sz w:val="22"/>
          <w:szCs w:val="22"/>
        </w:rPr>
      </w:pPr>
      <w:r w:rsidRPr="00713D6D">
        <w:rPr>
          <w:rFonts w:ascii="Arial" w:hAnsi="Arial" w:cs="Arial"/>
          <w:sz w:val="22"/>
          <w:szCs w:val="22"/>
        </w:rPr>
        <w:t>Ultimately, the successful launch of the wearable health device exemplifies how effective stakeholder engagement serves as a cornerstone of project management. It highlights the necessity for healthcare organizations to invest in relationship-building, collaborative problem-solving, and structured communication to achieve both operational excellence and enhanced patient outcomes. Through diligent application of engagement frameworks, continuous monitoring, and reflective evaluation, organizations can create a sustainable model for stakeholder engagement that underpins future project successes and reinforces their commitment to delivering high-quality, innovative healthcare solutions.</w:t>
      </w:r>
    </w:p>
    <w:p w14:paraId="0D7689B9" w14:textId="0EDD7165" w:rsidR="00713D6D" w:rsidRPr="007C45F9" w:rsidRDefault="00713D6D" w:rsidP="00713D6D">
      <w:pPr>
        <w:rPr>
          <w:b/>
          <w:bCs/>
        </w:rPr>
      </w:pPr>
      <w:r w:rsidRPr="00713D6D">
        <w:rPr>
          <w:rFonts w:ascii="Arial" w:hAnsi="Arial" w:cs="Arial"/>
          <w:sz w:val="22"/>
          <w:szCs w:val="22"/>
        </w:rPr>
        <w:br/>
      </w:r>
      <w:r w:rsidRPr="00713D6D">
        <w:rPr>
          <w:rFonts w:ascii="Arial" w:hAnsi="Arial" w:cs="Arial"/>
          <w:sz w:val="22"/>
          <w:szCs w:val="22"/>
        </w:rPr>
        <w:br/>
      </w:r>
      <w:r w:rsidRPr="00713D6D">
        <w:rPr>
          <w:rFonts w:ascii="Arial" w:hAnsi="Arial" w:cs="Arial"/>
          <w:sz w:val="22"/>
          <w:szCs w:val="22"/>
        </w:rPr>
        <w:br/>
      </w:r>
      <w:r w:rsidRPr="00713D6D">
        <w:rPr>
          <w:rFonts w:ascii="Arial" w:hAnsi="Arial" w:cs="Arial"/>
          <w:sz w:val="22"/>
          <w:szCs w:val="22"/>
        </w:rPr>
        <w:br/>
      </w:r>
      <w:r w:rsidRPr="00713D6D">
        <w:rPr>
          <w:rFonts w:ascii="Arial" w:hAnsi="Arial" w:cs="Arial"/>
          <w:sz w:val="22"/>
          <w:szCs w:val="22"/>
        </w:rPr>
        <w:br/>
      </w:r>
      <w:r>
        <w:br/>
      </w:r>
      <w:r>
        <w:br/>
      </w:r>
      <w:r w:rsidR="007C45F9">
        <w:rPr>
          <w:b/>
          <w:bCs/>
        </w:rPr>
        <w:br/>
      </w:r>
      <w:r w:rsidR="007C45F9">
        <w:rPr>
          <w:b/>
          <w:bCs/>
        </w:rPr>
        <w:br/>
      </w:r>
      <w:r w:rsidR="007C45F9">
        <w:rPr>
          <w:b/>
          <w:bCs/>
        </w:rPr>
        <w:br/>
      </w:r>
      <w:r w:rsidR="007C45F9">
        <w:rPr>
          <w:b/>
          <w:bCs/>
        </w:rPr>
        <w:br/>
      </w:r>
      <w:r w:rsidR="007C45F9">
        <w:rPr>
          <w:b/>
          <w:bCs/>
        </w:rPr>
        <w:br/>
      </w:r>
      <w:r w:rsidR="007C45F9">
        <w:rPr>
          <w:b/>
          <w:bCs/>
        </w:rPr>
        <w:br/>
      </w:r>
      <w:r w:rsidR="007C45F9">
        <w:rPr>
          <w:b/>
          <w:bCs/>
        </w:rPr>
        <w:br/>
      </w:r>
      <w:r w:rsidR="007C45F9">
        <w:rPr>
          <w:b/>
          <w:bCs/>
        </w:rPr>
        <w:lastRenderedPageBreak/>
        <w:br/>
      </w:r>
      <w:r w:rsidRPr="007C45F9">
        <w:rPr>
          <w:rFonts w:ascii="Arial" w:hAnsi="Arial" w:cs="Arial"/>
          <w:b/>
          <w:bCs/>
          <w:sz w:val="22"/>
          <w:szCs w:val="22"/>
        </w:rPr>
        <w:t>References</w:t>
      </w:r>
      <w:r w:rsidR="007C45F9" w:rsidRPr="007C45F9">
        <w:rPr>
          <w:rFonts w:ascii="Arial" w:hAnsi="Arial" w:cs="Arial"/>
          <w:b/>
          <w:bCs/>
          <w:sz w:val="22"/>
          <w:szCs w:val="22"/>
        </w:rPr>
        <w:t xml:space="preserve"> list</w:t>
      </w:r>
    </w:p>
    <w:p w14:paraId="7E8D2B63" w14:textId="77777777" w:rsidR="00A90A6E" w:rsidRPr="00A90A6E" w:rsidRDefault="00A90A6E" w:rsidP="00A90A6E">
      <w:pPr>
        <w:rPr>
          <w:rFonts w:ascii="Arial" w:hAnsi="Arial" w:cs="Arial"/>
          <w:i/>
          <w:iCs/>
          <w:sz w:val="22"/>
          <w:szCs w:val="22"/>
        </w:rPr>
      </w:pPr>
      <w:r w:rsidRPr="00A90A6E">
        <w:rPr>
          <w:rFonts w:ascii="Arial" w:hAnsi="Arial" w:cs="Arial"/>
          <w:i/>
          <w:iCs/>
          <w:sz w:val="22"/>
          <w:szCs w:val="22"/>
        </w:rPr>
        <w:t>Aaltonen, K. and Kujala, J., 2010. A project lifecycle perspective on stakeholder influence strategies in global projects. Scandinavian Journal of Management, 26(4), pp.381–397.</w:t>
      </w:r>
    </w:p>
    <w:p w14:paraId="08C67818" w14:textId="77777777" w:rsidR="00A90A6E" w:rsidRPr="00A90A6E" w:rsidRDefault="00A90A6E" w:rsidP="00A90A6E">
      <w:pPr>
        <w:rPr>
          <w:rFonts w:ascii="Arial" w:hAnsi="Arial" w:cs="Arial"/>
          <w:i/>
          <w:iCs/>
          <w:sz w:val="22"/>
          <w:szCs w:val="22"/>
        </w:rPr>
      </w:pPr>
      <w:r w:rsidRPr="00A90A6E">
        <w:rPr>
          <w:rFonts w:ascii="Arial" w:hAnsi="Arial" w:cs="Arial"/>
          <w:i/>
          <w:iCs/>
          <w:sz w:val="22"/>
          <w:szCs w:val="22"/>
        </w:rPr>
        <w:t>Ashcroft, J., 2017. The relational lens: understanding, measuring, and managing stakeholder relationships. Cambridge: Cambridge University Press.</w:t>
      </w:r>
    </w:p>
    <w:p w14:paraId="40F9DF66" w14:textId="77777777" w:rsidR="00A90A6E" w:rsidRPr="00A90A6E" w:rsidRDefault="00A90A6E" w:rsidP="00A90A6E">
      <w:pPr>
        <w:rPr>
          <w:rFonts w:ascii="Arial" w:hAnsi="Arial" w:cs="Arial"/>
          <w:i/>
          <w:iCs/>
          <w:sz w:val="22"/>
          <w:szCs w:val="22"/>
        </w:rPr>
      </w:pPr>
      <w:r w:rsidRPr="00A90A6E">
        <w:rPr>
          <w:rFonts w:ascii="Arial" w:hAnsi="Arial" w:cs="Arial"/>
          <w:i/>
          <w:iCs/>
          <w:sz w:val="22"/>
          <w:szCs w:val="22"/>
        </w:rPr>
        <w:t>Bourne, L., 2015. Stakeholder relationship management: A maturity model for organisational implementation. Boca Raton: CRC Press.</w:t>
      </w:r>
    </w:p>
    <w:p w14:paraId="4CFC2C1D" w14:textId="77777777" w:rsidR="00A90A6E" w:rsidRPr="00A90A6E" w:rsidRDefault="00A90A6E" w:rsidP="00A90A6E">
      <w:pPr>
        <w:rPr>
          <w:rFonts w:ascii="Arial" w:hAnsi="Arial" w:cs="Arial"/>
          <w:i/>
          <w:iCs/>
          <w:sz w:val="22"/>
          <w:szCs w:val="22"/>
        </w:rPr>
      </w:pPr>
      <w:r w:rsidRPr="00A90A6E">
        <w:rPr>
          <w:rFonts w:ascii="Arial" w:hAnsi="Arial" w:cs="Arial"/>
          <w:i/>
          <w:iCs/>
          <w:sz w:val="22"/>
          <w:szCs w:val="22"/>
        </w:rPr>
        <w:t>Bourne, L. and Walker, D.H.T., 2005. Visualising and mapping stakeholder influence. Management Decision, 43(5), pp.649–660.</w:t>
      </w:r>
    </w:p>
    <w:p w14:paraId="01352922" w14:textId="77777777" w:rsidR="00A90A6E" w:rsidRPr="00A90A6E" w:rsidRDefault="00A90A6E" w:rsidP="00A90A6E">
      <w:pPr>
        <w:rPr>
          <w:rFonts w:ascii="Arial" w:hAnsi="Arial" w:cs="Arial"/>
          <w:i/>
          <w:iCs/>
          <w:sz w:val="22"/>
          <w:szCs w:val="22"/>
        </w:rPr>
      </w:pPr>
      <w:r w:rsidRPr="00A90A6E">
        <w:rPr>
          <w:rFonts w:ascii="Arial" w:hAnsi="Arial" w:cs="Arial"/>
          <w:i/>
          <w:iCs/>
          <w:sz w:val="22"/>
          <w:szCs w:val="22"/>
        </w:rPr>
        <w:t>Bryson, J.M., 2004. What to do when stakeholders matter: Stakeholder identification and analysis techniques. Public Management Review, 6(1), pp.21–53.</w:t>
      </w:r>
    </w:p>
    <w:p w14:paraId="6F77B399" w14:textId="77777777" w:rsidR="00A90A6E" w:rsidRPr="00A90A6E" w:rsidRDefault="00A90A6E" w:rsidP="00A90A6E">
      <w:pPr>
        <w:rPr>
          <w:rFonts w:ascii="Arial" w:hAnsi="Arial" w:cs="Arial"/>
          <w:i/>
          <w:iCs/>
          <w:sz w:val="22"/>
          <w:szCs w:val="22"/>
        </w:rPr>
      </w:pPr>
      <w:r w:rsidRPr="00A90A6E">
        <w:rPr>
          <w:rFonts w:ascii="Arial" w:hAnsi="Arial" w:cs="Arial"/>
          <w:i/>
          <w:iCs/>
          <w:sz w:val="22"/>
          <w:szCs w:val="22"/>
        </w:rPr>
        <w:t>Christopher, M., Payne, A. and Ballantyne, D., 2013. Relationship marketing: Creating stakeholder value. Saint Louis: Taylor and Francis.</w:t>
      </w:r>
    </w:p>
    <w:p w14:paraId="5E31E1E7" w14:textId="77777777" w:rsidR="00A90A6E" w:rsidRPr="00A90A6E" w:rsidRDefault="00A90A6E" w:rsidP="00A90A6E">
      <w:pPr>
        <w:rPr>
          <w:rFonts w:ascii="Arial" w:hAnsi="Arial" w:cs="Arial"/>
          <w:i/>
          <w:iCs/>
          <w:sz w:val="22"/>
          <w:szCs w:val="22"/>
        </w:rPr>
      </w:pPr>
      <w:r w:rsidRPr="00A90A6E">
        <w:rPr>
          <w:rFonts w:ascii="Arial" w:hAnsi="Arial" w:cs="Arial"/>
          <w:i/>
          <w:iCs/>
          <w:sz w:val="22"/>
          <w:szCs w:val="22"/>
        </w:rPr>
        <w:t>Ellis, C.A., Gibbs, S.J. and Rein, G.L., 1991. Groupware: Some issues and experiences. Communications of the ACM, 34(1), pp.38–58.</w:t>
      </w:r>
    </w:p>
    <w:p w14:paraId="3AB440E5" w14:textId="77777777" w:rsidR="00A90A6E" w:rsidRPr="00A90A6E" w:rsidRDefault="00A90A6E" w:rsidP="00A90A6E">
      <w:pPr>
        <w:rPr>
          <w:rFonts w:ascii="Arial" w:hAnsi="Arial" w:cs="Arial"/>
          <w:i/>
          <w:iCs/>
          <w:sz w:val="22"/>
          <w:szCs w:val="22"/>
        </w:rPr>
      </w:pPr>
      <w:r w:rsidRPr="00A90A6E">
        <w:rPr>
          <w:rFonts w:ascii="Arial" w:hAnsi="Arial" w:cs="Arial"/>
          <w:i/>
          <w:iCs/>
          <w:sz w:val="22"/>
          <w:szCs w:val="22"/>
        </w:rPr>
        <w:t>Freeman, R.E., 2010. Strategic management: A stakeholder approach. Cambridge: Cambridge University Press.</w:t>
      </w:r>
    </w:p>
    <w:p w14:paraId="302A7333" w14:textId="77777777" w:rsidR="00A90A6E" w:rsidRPr="00A90A6E" w:rsidRDefault="00A90A6E" w:rsidP="00A90A6E">
      <w:pPr>
        <w:rPr>
          <w:rFonts w:ascii="Arial" w:hAnsi="Arial" w:cs="Arial"/>
          <w:i/>
          <w:iCs/>
          <w:sz w:val="22"/>
          <w:szCs w:val="22"/>
        </w:rPr>
      </w:pPr>
      <w:proofErr w:type="spellStart"/>
      <w:r w:rsidRPr="00A90A6E">
        <w:rPr>
          <w:rFonts w:ascii="Arial" w:hAnsi="Arial" w:cs="Arial"/>
          <w:i/>
          <w:iCs/>
          <w:sz w:val="22"/>
          <w:szCs w:val="22"/>
        </w:rPr>
        <w:t>Frooman</w:t>
      </w:r>
      <w:proofErr w:type="spellEnd"/>
      <w:r w:rsidRPr="00A90A6E">
        <w:rPr>
          <w:rFonts w:ascii="Arial" w:hAnsi="Arial" w:cs="Arial"/>
          <w:i/>
          <w:iCs/>
          <w:sz w:val="22"/>
          <w:szCs w:val="22"/>
        </w:rPr>
        <w:t>, J., 1999. Stakeholder influence strategies. Academy of Management Review, 24(2), pp.191–205.</w:t>
      </w:r>
    </w:p>
    <w:p w14:paraId="6792357B" w14:textId="77777777" w:rsidR="00A90A6E" w:rsidRPr="00A90A6E" w:rsidRDefault="00A90A6E" w:rsidP="00A90A6E">
      <w:pPr>
        <w:rPr>
          <w:rFonts w:ascii="Arial" w:hAnsi="Arial" w:cs="Arial"/>
          <w:i/>
          <w:iCs/>
          <w:sz w:val="22"/>
          <w:szCs w:val="22"/>
        </w:rPr>
      </w:pPr>
      <w:r w:rsidRPr="00A90A6E">
        <w:rPr>
          <w:rFonts w:ascii="Arial" w:hAnsi="Arial" w:cs="Arial"/>
          <w:i/>
          <w:iCs/>
          <w:sz w:val="22"/>
          <w:szCs w:val="22"/>
        </w:rPr>
        <w:t>Greenwood, M., 2007. Stakeholder engagement: Beyond the myth of corporate responsibility. Journal of Business Ethics, 74(4), pp.315–327.</w:t>
      </w:r>
    </w:p>
    <w:p w14:paraId="6F1A943C" w14:textId="77777777" w:rsidR="00A90A6E" w:rsidRPr="00A90A6E" w:rsidRDefault="00A90A6E" w:rsidP="00A90A6E">
      <w:pPr>
        <w:rPr>
          <w:rFonts w:ascii="Arial" w:hAnsi="Arial" w:cs="Arial"/>
          <w:i/>
          <w:iCs/>
          <w:sz w:val="22"/>
          <w:szCs w:val="22"/>
        </w:rPr>
      </w:pPr>
      <w:r w:rsidRPr="00A90A6E">
        <w:rPr>
          <w:rFonts w:ascii="Arial" w:hAnsi="Arial" w:cs="Arial"/>
          <w:i/>
          <w:iCs/>
          <w:sz w:val="22"/>
          <w:szCs w:val="22"/>
        </w:rPr>
        <w:t>Harrison, J.S. and Wicks, A.C., 2013. Stakeholder theory, value, and firm performance. Business Ethics Quarterly, 23(1), pp.97–124.</w:t>
      </w:r>
    </w:p>
    <w:p w14:paraId="69B5B8DB" w14:textId="77777777" w:rsidR="00A90A6E" w:rsidRPr="00A90A6E" w:rsidRDefault="00A90A6E" w:rsidP="00A90A6E">
      <w:pPr>
        <w:rPr>
          <w:rFonts w:ascii="Arial" w:hAnsi="Arial" w:cs="Arial"/>
          <w:i/>
          <w:iCs/>
          <w:sz w:val="22"/>
          <w:szCs w:val="22"/>
        </w:rPr>
      </w:pPr>
      <w:r w:rsidRPr="00A90A6E">
        <w:rPr>
          <w:rFonts w:ascii="Arial" w:hAnsi="Arial" w:cs="Arial"/>
          <w:i/>
          <w:iCs/>
          <w:sz w:val="22"/>
          <w:szCs w:val="22"/>
        </w:rPr>
        <w:t xml:space="preserve">Jat, A.S. and Grønli, T.-M., 2024. Harnessing the digital revolution: A review of mHealth applications for remote monitoring. Available at: </w:t>
      </w:r>
      <w:hyperlink r:id="rId5" w:tgtFrame="_new" w:history="1">
        <w:r w:rsidRPr="00A90A6E">
          <w:rPr>
            <w:rStyle w:val="Hyperlink"/>
            <w:rFonts w:ascii="Arial" w:hAnsi="Arial" w:cs="Arial"/>
            <w:i/>
            <w:iCs/>
            <w:sz w:val="22"/>
            <w:szCs w:val="22"/>
          </w:rPr>
          <w:t>https://arxiv.org/abs/2408.14190</w:t>
        </w:r>
      </w:hyperlink>
      <w:r w:rsidRPr="00A90A6E">
        <w:rPr>
          <w:rFonts w:ascii="Arial" w:hAnsi="Arial" w:cs="Arial"/>
          <w:i/>
          <w:iCs/>
          <w:sz w:val="22"/>
          <w:szCs w:val="22"/>
        </w:rPr>
        <w:t xml:space="preserve"> [Accessed 20 November 2025].</w:t>
      </w:r>
    </w:p>
    <w:p w14:paraId="7B819B85" w14:textId="77777777" w:rsidR="00A90A6E" w:rsidRPr="00A90A6E" w:rsidRDefault="00A90A6E" w:rsidP="00A90A6E">
      <w:pPr>
        <w:rPr>
          <w:rFonts w:ascii="Arial" w:hAnsi="Arial" w:cs="Arial"/>
          <w:i/>
          <w:iCs/>
          <w:sz w:val="22"/>
          <w:szCs w:val="22"/>
        </w:rPr>
      </w:pPr>
      <w:r w:rsidRPr="00A90A6E">
        <w:rPr>
          <w:rFonts w:ascii="Arial" w:hAnsi="Arial" w:cs="Arial"/>
          <w:i/>
          <w:iCs/>
          <w:sz w:val="22"/>
          <w:szCs w:val="22"/>
        </w:rPr>
        <w:t>Mitchell, R.K., Agle, B.R. and Wood, D.J., 1997. Toward a theory of stakeholder identification and salience: Defining the principle of who and what really counts. Academy of Management Review, 22(4), pp.853–886.</w:t>
      </w:r>
    </w:p>
    <w:p w14:paraId="36384816" w14:textId="77777777" w:rsidR="00A90A6E" w:rsidRPr="00A90A6E" w:rsidRDefault="00A90A6E" w:rsidP="00A90A6E">
      <w:pPr>
        <w:rPr>
          <w:rFonts w:ascii="Arial" w:hAnsi="Arial" w:cs="Arial"/>
          <w:i/>
          <w:iCs/>
          <w:sz w:val="22"/>
          <w:szCs w:val="22"/>
        </w:rPr>
      </w:pPr>
      <w:r w:rsidRPr="00A90A6E">
        <w:rPr>
          <w:rFonts w:ascii="Arial" w:hAnsi="Arial" w:cs="Arial"/>
          <w:i/>
          <w:iCs/>
          <w:sz w:val="22"/>
          <w:szCs w:val="22"/>
        </w:rPr>
        <w:t>Reed, M.S., Graves, A., Dandy, N., Posthumus, H., Hubacek, K., Morris, J., Prell, C., Quinn, C.H. and Stringer, L.C., 2009. Who's in and why? A typology of stakeholder analysis methods for natural resource management. Journal of Environmental Management, 90(5), pp.1933–1949.</w:t>
      </w:r>
    </w:p>
    <w:p w14:paraId="283236C1" w14:textId="77777777" w:rsidR="00A90A6E" w:rsidRPr="00A90A6E" w:rsidRDefault="00A90A6E" w:rsidP="00A90A6E">
      <w:pPr>
        <w:rPr>
          <w:rFonts w:ascii="Arial" w:hAnsi="Arial" w:cs="Arial"/>
          <w:i/>
          <w:iCs/>
          <w:sz w:val="22"/>
          <w:szCs w:val="22"/>
        </w:rPr>
      </w:pPr>
      <w:r w:rsidRPr="00A90A6E">
        <w:rPr>
          <w:rFonts w:ascii="Arial" w:hAnsi="Arial" w:cs="Arial"/>
          <w:i/>
          <w:iCs/>
          <w:sz w:val="22"/>
          <w:szCs w:val="22"/>
        </w:rPr>
        <w:t>Rowley, T.J., 1997. Moving beyond dyadic ties: A network theory of stakeholder influences. Academy of Management Review, 22(4), pp.887–910.</w:t>
      </w:r>
    </w:p>
    <w:p w14:paraId="296B5DE3" w14:textId="77777777" w:rsidR="00A90A6E" w:rsidRPr="00A90A6E" w:rsidRDefault="00A90A6E" w:rsidP="00A90A6E">
      <w:pPr>
        <w:rPr>
          <w:rFonts w:ascii="Arial" w:hAnsi="Arial" w:cs="Arial"/>
          <w:i/>
          <w:iCs/>
          <w:sz w:val="22"/>
          <w:szCs w:val="22"/>
        </w:rPr>
      </w:pPr>
      <w:r w:rsidRPr="00A90A6E">
        <w:rPr>
          <w:rFonts w:ascii="Arial" w:hAnsi="Arial" w:cs="Arial"/>
          <w:i/>
          <w:iCs/>
          <w:sz w:val="22"/>
          <w:szCs w:val="22"/>
        </w:rPr>
        <w:t>Savage, G.T., Nix, T.W., Whitehead, C.J. and Blair, J.D., 1991. Strategies for assessing and managing organizational stakeholders. Academy of Management Executive, 5(2), pp.61–75.</w:t>
      </w:r>
    </w:p>
    <w:p w14:paraId="16FD83CA" w14:textId="77777777" w:rsidR="00A90A6E" w:rsidRPr="00A90A6E" w:rsidRDefault="00A90A6E" w:rsidP="00A90A6E">
      <w:pPr>
        <w:rPr>
          <w:rFonts w:ascii="Arial" w:hAnsi="Arial" w:cs="Arial"/>
          <w:i/>
          <w:iCs/>
          <w:sz w:val="22"/>
          <w:szCs w:val="22"/>
        </w:rPr>
      </w:pPr>
      <w:r w:rsidRPr="00A90A6E">
        <w:rPr>
          <w:rFonts w:ascii="Arial" w:hAnsi="Arial" w:cs="Arial"/>
          <w:i/>
          <w:iCs/>
          <w:sz w:val="22"/>
          <w:szCs w:val="22"/>
        </w:rPr>
        <w:lastRenderedPageBreak/>
        <w:t>Yang, J., Shen, G.Q., Ho, M.F., Drew, D.S. and Xue, X., 2011. Stakeholder management in construction: An empirical study to address research gaps in previous studies. International Journal of Project Management, 29(7), pp.900–910.</w:t>
      </w:r>
    </w:p>
    <w:p w14:paraId="2AD76E62" w14:textId="67E26253" w:rsidR="003343DA" w:rsidRDefault="003343DA"/>
    <w:sectPr w:rsidR="003343DA" w:rsidSect="00D3374F">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9195B"/>
    <w:multiLevelType w:val="multilevel"/>
    <w:tmpl w:val="CB1A3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EF2C6F"/>
    <w:multiLevelType w:val="multilevel"/>
    <w:tmpl w:val="9AE0EC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1E59C9"/>
    <w:multiLevelType w:val="multilevel"/>
    <w:tmpl w:val="7242B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A42A13"/>
    <w:multiLevelType w:val="multilevel"/>
    <w:tmpl w:val="BF5A6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65347A"/>
    <w:multiLevelType w:val="multilevel"/>
    <w:tmpl w:val="D5FA7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151362"/>
    <w:multiLevelType w:val="multilevel"/>
    <w:tmpl w:val="911075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A36E26"/>
    <w:multiLevelType w:val="multilevel"/>
    <w:tmpl w:val="E154E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490A79"/>
    <w:multiLevelType w:val="multilevel"/>
    <w:tmpl w:val="02A02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2C320B"/>
    <w:multiLevelType w:val="multilevel"/>
    <w:tmpl w:val="FD729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AC3239"/>
    <w:multiLevelType w:val="multilevel"/>
    <w:tmpl w:val="0090F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A07FB3"/>
    <w:multiLevelType w:val="multilevel"/>
    <w:tmpl w:val="AC024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8233C09"/>
    <w:multiLevelType w:val="multilevel"/>
    <w:tmpl w:val="DAD84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5700594">
    <w:abstractNumId w:val="6"/>
  </w:num>
  <w:num w:numId="2" w16cid:durableId="1011757114">
    <w:abstractNumId w:val="2"/>
  </w:num>
  <w:num w:numId="3" w16cid:durableId="113864717">
    <w:abstractNumId w:val="7"/>
  </w:num>
  <w:num w:numId="4" w16cid:durableId="1332217516">
    <w:abstractNumId w:val="10"/>
  </w:num>
  <w:num w:numId="5" w16cid:durableId="1278484161">
    <w:abstractNumId w:val="3"/>
  </w:num>
  <w:num w:numId="6" w16cid:durableId="182715860">
    <w:abstractNumId w:val="1"/>
  </w:num>
  <w:num w:numId="7" w16cid:durableId="44531654">
    <w:abstractNumId w:val="8"/>
  </w:num>
  <w:num w:numId="8" w16cid:durableId="1203708680">
    <w:abstractNumId w:val="4"/>
  </w:num>
  <w:num w:numId="9" w16cid:durableId="1317103735">
    <w:abstractNumId w:val="5"/>
  </w:num>
  <w:num w:numId="10" w16cid:durableId="1253006025">
    <w:abstractNumId w:val="11"/>
  </w:num>
  <w:num w:numId="11" w16cid:durableId="738288048">
    <w:abstractNumId w:val="0"/>
  </w:num>
  <w:num w:numId="12" w16cid:durableId="40379450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AD5"/>
    <w:rsid w:val="003343DA"/>
    <w:rsid w:val="00713D6D"/>
    <w:rsid w:val="007C45F9"/>
    <w:rsid w:val="00957B2F"/>
    <w:rsid w:val="0097484B"/>
    <w:rsid w:val="00A90A6E"/>
    <w:rsid w:val="00B24AD5"/>
    <w:rsid w:val="00C543FB"/>
    <w:rsid w:val="00CC7BE2"/>
    <w:rsid w:val="00D337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A5FF6"/>
  <w15:chartTrackingRefBased/>
  <w15:docId w15:val="{4354D1B5-B3E2-4653-B706-D4776A46B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4A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4A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4A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4A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4A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4A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4A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4A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4A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A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4A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4A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4A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4A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4A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4A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4A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4AD5"/>
    <w:rPr>
      <w:rFonts w:eastAsiaTheme="majorEastAsia" w:cstheme="majorBidi"/>
      <w:color w:val="272727" w:themeColor="text1" w:themeTint="D8"/>
    </w:rPr>
  </w:style>
  <w:style w:type="paragraph" w:styleId="Title">
    <w:name w:val="Title"/>
    <w:basedOn w:val="Normal"/>
    <w:next w:val="Normal"/>
    <w:link w:val="TitleChar"/>
    <w:uiPriority w:val="10"/>
    <w:qFormat/>
    <w:rsid w:val="00B24A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4A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4A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4A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4AD5"/>
    <w:pPr>
      <w:spacing w:before="160"/>
      <w:jc w:val="center"/>
    </w:pPr>
    <w:rPr>
      <w:i/>
      <w:iCs/>
      <w:color w:val="404040" w:themeColor="text1" w:themeTint="BF"/>
    </w:rPr>
  </w:style>
  <w:style w:type="character" w:customStyle="1" w:styleId="QuoteChar">
    <w:name w:val="Quote Char"/>
    <w:basedOn w:val="DefaultParagraphFont"/>
    <w:link w:val="Quote"/>
    <w:uiPriority w:val="29"/>
    <w:rsid w:val="00B24AD5"/>
    <w:rPr>
      <w:i/>
      <w:iCs/>
      <w:color w:val="404040" w:themeColor="text1" w:themeTint="BF"/>
    </w:rPr>
  </w:style>
  <w:style w:type="paragraph" w:styleId="ListParagraph">
    <w:name w:val="List Paragraph"/>
    <w:basedOn w:val="Normal"/>
    <w:uiPriority w:val="34"/>
    <w:qFormat/>
    <w:rsid w:val="00B24AD5"/>
    <w:pPr>
      <w:ind w:left="720"/>
      <w:contextualSpacing/>
    </w:pPr>
  </w:style>
  <w:style w:type="character" w:styleId="IntenseEmphasis">
    <w:name w:val="Intense Emphasis"/>
    <w:basedOn w:val="DefaultParagraphFont"/>
    <w:uiPriority w:val="21"/>
    <w:qFormat/>
    <w:rsid w:val="00B24AD5"/>
    <w:rPr>
      <w:i/>
      <w:iCs/>
      <w:color w:val="0F4761" w:themeColor="accent1" w:themeShade="BF"/>
    </w:rPr>
  </w:style>
  <w:style w:type="paragraph" w:styleId="IntenseQuote">
    <w:name w:val="Intense Quote"/>
    <w:basedOn w:val="Normal"/>
    <w:next w:val="Normal"/>
    <w:link w:val="IntenseQuoteChar"/>
    <w:uiPriority w:val="30"/>
    <w:qFormat/>
    <w:rsid w:val="00B24A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4AD5"/>
    <w:rPr>
      <w:i/>
      <w:iCs/>
      <w:color w:val="0F4761" w:themeColor="accent1" w:themeShade="BF"/>
    </w:rPr>
  </w:style>
  <w:style w:type="character" w:styleId="IntenseReference">
    <w:name w:val="Intense Reference"/>
    <w:basedOn w:val="DefaultParagraphFont"/>
    <w:uiPriority w:val="32"/>
    <w:qFormat/>
    <w:rsid w:val="00B24AD5"/>
    <w:rPr>
      <w:b/>
      <w:bCs/>
      <w:smallCaps/>
      <w:color w:val="0F4761" w:themeColor="accent1" w:themeShade="BF"/>
      <w:spacing w:val="5"/>
    </w:rPr>
  </w:style>
  <w:style w:type="character" w:styleId="Hyperlink">
    <w:name w:val="Hyperlink"/>
    <w:basedOn w:val="DefaultParagraphFont"/>
    <w:uiPriority w:val="99"/>
    <w:unhideWhenUsed/>
    <w:rsid w:val="00713D6D"/>
    <w:rPr>
      <w:color w:val="467886" w:themeColor="hyperlink"/>
      <w:u w:val="single"/>
    </w:rPr>
  </w:style>
  <w:style w:type="character" w:styleId="UnresolvedMention">
    <w:name w:val="Unresolved Mention"/>
    <w:basedOn w:val="DefaultParagraphFont"/>
    <w:uiPriority w:val="99"/>
    <w:semiHidden/>
    <w:unhideWhenUsed/>
    <w:rsid w:val="00713D6D"/>
    <w:rPr>
      <w:color w:val="605E5C"/>
      <w:shd w:val="clear" w:color="auto" w:fill="E1DFDD"/>
    </w:rPr>
  </w:style>
  <w:style w:type="paragraph" w:styleId="NormalWeb">
    <w:name w:val="Normal (Web)"/>
    <w:basedOn w:val="Normal"/>
    <w:uiPriority w:val="99"/>
    <w:semiHidden/>
    <w:unhideWhenUsed/>
    <w:rsid w:val="00713D6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arxiv.org/abs/2408.14190?utm_source=chatgpt.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14</Pages>
  <Words>5326</Words>
  <Characters>30364</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Ognyanov (2407597)</dc:creator>
  <cp:keywords/>
  <dc:description/>
  <cp:lastModifiedBy>Toni Ognyanov (2407597)</cp:lastModifiedBy>
  <cp:revision>3</cp:revision>
  <dcterms:created xsi:type="dcterms:W3CDTF">2025-11-20T17:07:00Z</dcterms:created>
  <dcterms:modified xsi:type="dcterms:W3CDTF">2025-11-20T17:36:00Z</dcterms:modified>
</cp:coreProperties>
</file>