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Arial" w:cs="Arial" w:eastAsia="Arial" w:hAnsi="Arial"/>
          <w:color w:val="000000"/>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1141729</wp:posOffset>
            </wp:positionH>
            <wp:positionV relativeFrom="paragraph">
              <wp:posOffset>101600</wp:posOffset>
            </wp:positionV>
            <wp:extent cx="3448050" cy="1143000"/>
            <wp:effectExtent b="0" l="0" r="0" t="0"/>
            <wp:wrapTopAndBottom distB="0" dist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448050" cy="1143000"/>
                    </a:xfrm>
                    <a:prstGeom prst="rect"/>
                    <a:ln/>
                  </pic:spPr>
                </pic:pic>
              </a:graphicData>
            </a:graphic>
          </wp:anchor>
        </w:drawing>
      </w:r>
    </w:p>
    <w:p w:rsidR="00000000" w:rsidDel="00000000" w:rsidP="00000000" w:rsidRDefault="00000000" w:rsidRPr="00000000" w14:paraId="00000002">
      <w:pPr>
        <w:spacing w:line="360" w:lineRule="auto"/>
        <w:jc w:val="center"/>
        <w:rPr>
          <w:rFonts w:ascii="Arial" w:cs="Arial" w:eastAsia="Arial" w:hAnsi="Arial"/>
          <w:b w:val="1"/>
          <w:bCs w:val="1"/>
          <w:color w:val="000000"/>
          <w:sz w:val="52"/>
          <w:szCs w:val="52"/>
        </w:rPr>
      </w:pPr>
      <w:r w:rsidDel="00000000" w:rsidR="00000000" w:rsidRPr="00000000">
        <w:rPr>
          <w:rFonts w:ascii="Arial" w:cs="Arial" w:eastAsia="Arial" w:hAnsi="Arial"/>
          <w:b w:val="1"/>
          <w:bCs w:val="1"/>
          <w:color w:val="000000"/>
          <w:sz w:val="52"/>
          <w:szCs w:val="52"/>
          <w:rtl w:val="0"/>
        </w:rPr>
        <w:t xml:space="preserve">Master of Business Administration</w:t>
      </w:r>
    </w:p>
    <w:p w:rsidR="00000000" w:rsidDel="00000000" w:rsidP="00000000" w:rsidRDefault="00000000" w:rsidRPr="00000000" w14:paraId="00000003">
      <w:pPr>
        <w:spacing w:line="360" w:lineRule="auto"/>
        <w:jc w:val="center"/>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Student Name: FAKRUL ISLAM</w:t>
      </w:r>
    </w:p>
    <w:p w:rsidR="00000000" w:rsidDel="00000000" w:rsidP="00000000" w:rsidRDefault="00000000" w:rsidRPr="00000000" w14:paraId="00000004">
      <w:pPr>
        <w:spacing w:line="360" w:lineRule="auto"/>
        <w:jc w:val="center"/>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Student Number:</w:t>
      </w:r>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b w:val="1"/>
          <w:bCs w:val="1"/>
          <w:color w:val="000000"/>
          <w:sz w:val="24"/>
          <w:szCs w:val="24"/>
          <w:rtl w:val="0"/>
        </w:rPr>
        <w:t xml:space="preserve">2510584</w:t>
      </w:r>
    </w:p>
    <w:p w:rsidR="00000000" w:rsidDel="00000000" w:rsidP="00000000" w:rsidRDefault="00000000" w:rsidRPr="00000000" w14:paraId="00000005">
      <w:pPr>
        <w:spacing w:line="360" w:lineRule="auto"/>
        <w:jc w:val="center"/>
        <w:rPr>
          <w:rFonts w:ascii="Arial" w:cs="Arial" w:eastAsia="Arial" w:hAnsi="Arial"/>
          <w:color w:val="000000"/>
          <w:sz w:val="24"/>
          <w:szCs w:val="24"/>
        </w:rPr>
      </w:pPr>
      <w:r w:rsidDel="00000000" w:rsidR="00000000" w:rsidRPr="00000000">
        <w:rPr>
          <w:rFonts w:ascii="Arial" w:cs="Arial" w:eastAsia="Arial" w:hAnsi="Arial"/>
          <w:b w:val="1"/>
          <w:bCs w:val="1"/>
          <w:color w:val="000000"/>
          <w:sz w:val="24"/>
          <w:szCs w:val="24"/>
          <w:rtl w:val="0"/>
        </w:rPr>
        <w:t xml:space="preserve">Course Name:</w:t>
      </w:r>
      <w:r w:rsidDel="00000000" w:rsidR="00000000" w:rsidRPr="00000000">
        <w:rPr>
          <w:rFonts w:ascii="Arial" w:cs="Arial" w:eastAsia="Arial" w:hAnsi="Arial"/>
          <w:color w:val="000000"/>
          <w:sz w:val="24"/>
          <w:szCs w:val="24"/>
          <w:rtl w:val="0"/>
        </w:rPr>
        <w:t xml:space="preserve"> International Business Concepts</w:t>
      </w:r>
    </w:p>
    <w:p w:rsidR="00000000" w:rsidDel="00000000" w:rsidP="00000000" w:rsidRDefault="00000000" w:rsidRPr="00000000" w14:paraId="00000006">
      <w:pPr>
        <w:spacing w:line="360" w:lineRule="auto"/>
        <w:jc w:val="center"/>
        <w:rPr>
          <w:rFonts w:ascii="Arial" w:cs="Arial" w:eastAsia="Arial" w:hAnsi="Arial"/>
          <w:color w:val="000000"/>
          <w:sz w:val="24"/>
          <w:szCs w:val="24"/>
        </w:rPr>
      </w:pPr>
      <w:r w:rsidDel="00000000" w:rsidR="00000000" w:rsidRPr="00000000">
        <w:rPr>
          <w:rFonts w:ascii="Arial" w:cs="Arial" w:eastAsia="Arial" w:hAnsi="Arial"/>
          <w:b w:val="1"/>
          <w:bCs w:val="1"/>
          <w:color w:val="000000"/>
          <w:sz w:val="24"/>
          <w:szCs w:val="24"/>
          <w:rtl w:val="0"/>
        </w:rPr>
        <w:t xml:space="preserve">Module code:</w:t>
      </w:r>
      <w:r w:rsidDel="00000000" w:rsidR="00000000" w:rsidRPr="00000000">
        <w:rPr>
          <w:rFonts w:ascii="Arial" w:cs="Arial" w:eastAsia="Arial" w:hAnsi="Arial"/>
          <w:color w:val="000000"/>
          <w:sz w:val="24"/>
          <w:szCs w:val="24"/>
          <w:rtl w:val="0"/>
        </w:rPr>
        <w:t xml:space="preserve"> LCMB7034</w:t>
      </w:r>
    </w:p>
    <w:p w:rsidR="00000000" w:rsidDel="00000000" w:rsidP="00000000" w:rsidRDefault="00000000" w:rsidRPr="00000000" w14:paraId="00000007">
      <w:pPr>
        <w:spacing w:line="360" w:lineRule="auto"/>
        <w:jc w:val="center"/>
        <w:rPr>
          <w:rFonts w:ascii="Arial" w:cs="Arial" w:eastAsia="Arial" w:hAnsi="Arial"/>
          <w:color w:val="000000"/>
          <w:sz w:val="24"/>
          <w:szCs w:val="24"/>
        </w:rPr>
      </w:pPr>
      <w:r w:rsidDel="00000000" w:rsidR="00000000" w:rsidRPr="00000000">
        <w:rPr>
          <w:rFonts w:ascii="Arial" w:cs="Arial" w:eastAsia="Arial" w:hAnsi="Arial"/>
          <w:b w:val="1"/>
          <w:bCs w:val="1"/>
          <w:color w:val="000000"/>
          <w:sz w:val="24"/>
          <w:szCs w:val="24"/>
          <w:rtl w:val="0"/>
        </w:rPr>
        <w:t xml:space="preserve">Lecturer Name: Akshay Narayanan</w:t>
      </w:r>
      <w:r w:rsidDel="00000000" w:rsidR="00000000" w:rsidRPr="00000000">
        <w:rPr>
          <w:rtl w:val="0"/>
        </w:rPr>
      </w:r>
    </w:p>
    <w:p w:rsidR="00000000" w:rsidDel="00000000" w:rsidP="00000000" w:rsidRDefault="00000000" w:rsidRPr="00000000" w14:paraId="00000008">
      <w:pPr>
        <w:spacing w:line="360" w:lineRule="auto"/>
        <w:jc w:val="center"/>
        <w:rPr>
          <w:rFonts w:ascii="Arial" w:cs="Arial" w:eastAsia="Arial" w:hAnsi="Arial"/>
          <w:b w:val="1"/>
          <w:bCs w:val="1"/>
          <w:i w:val="1"/>
          <w:iCs w:val="1"/>
          <w:color w:val="000000"/>
          <w:sz w:val="24"/>
          <w:szCs w:val="24"/>
        </w:rPr>
      </w:pPr>
      <w:r w:rsidDel="00000000" w:rsidR="00000000" w:rsidRPr="00000000">
        <w:rPr>
          <w:rFonts w:ascii="Arial" w:cs="Arial" w:eastAsia="Arial" w:hAnsi="Arial"/>
          <w:b w:val="1"/>
          <w:bCs w:val="1"/>
          <w:color w:val="000000"/>
          <w:sz w:val="24"/>
          <w:szCs w:val="24"/>
          <w:rtl w:val="0"/>
        </w:rPr>
        <w:t xml:space="preserve">Word count: 4600</w:t>
      </w:r>
      <w:r w:rsidDel="00000000" w:rsidR="00000000" w:rsidRPr="00000000">
        <w:rPr>
          <w:rtl w:val="0"/>
        </w:rPr>
      </w:r>
    </w:p>
    <w:p w:rsidR="00000000" w:rsidDel="00000000" w:rsidP="00000000" w:rsidRDefault="00000000" w:rsidRPr="00000000" w14:paraId="00000009">
      <w:pPr>
        <w:spacing w:line="360" w:lineRule="auto"/>
        <w:jc w:val="center"/>
        <w:rPr>
          <w:rFonts w:ascii="Arial" w:cs="Arial" w:eastAsia="Arial" w:hAnsi="Arial"/>
          <w:color w:val="000000"/>
          <w:sz w:val="32"/>
          <w:szCs w:val="32"/>
        </w:rPr>
      </w:pPr>
      <w:r w:rsidDel="00000000" w:rsidR="00000000" w:rsidRPr="00000000">
        <w:rPr>
          <w:rFonts w:ascii="Arial" w:cs="Arial" w:eastAsia="Arial" w:hAnsi="Arial"/>
          <w:b w:val="1"/>
          <w:bCs w:val="1"/>
          <w:color w:val="000000"/>
          <w:sz w:val="24"/>
          <w:szCs w:val="24"/>
          <w:rtl w:val="0"/>
        </w:rPr>
        <w:t xml:space="preserve">Submission deadline: 27</w:t>
      </w:r>
      <w:r w:rsidDel="00000000" w:rsidR="00000000" w:rsidRPr="00000000">
        <w:rPr>
          <w:rFonts w:ascii="Arial" w:cs="Arial" w:eastAsia="Arial" w:hAnsi="Arial"/>
          <w:b w:val="1"/>
          <w:bCs w:val="1"/>
          <w:color w:val="000000"/>
          <w:sz w:val="24"/>
          <w:szCs w:val="24"/>
          <w:vertAlign w:val="superscript"/>
          <w:rtl w:val="0"/>
        </w:rPr>
        <w:t xml:space="preserve">th</w:t>
      </w:r>
      <w:r w:rsidDel="00000000" w:rsidR="00000000" w:rsidRPr="00000000">
        <w:rPr>
          <w:rFonts w:ascii="Arial" w:cs="Arial" w:eastAsia="Arial" w:hAnsi="Arial"/>
          <w:b w:val="1"/>
          <w:bCs w:val="1"/>
          <w:color w:val="000000"/>
          <w:sz w:val="24"/>
          <w:szCs w:val="24"/>
          <w:rtl w:val="0"/>
        </w:rPr>
        <w:t xml:space="preserve"> April 2026 </w:t>
      </w:r>
      <w:r w:rsidDel="00000000" w:rsidR="00000000" w:rsidRPr="00000000">
        <w:br w:type="page"/>
      </w: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Arial" w:cs="Arial" w:eastAsia="Arial" w:hAnsi="Arial"/>
          <w:b w:val="1"/>
          <w:bCs w:val="1"/>
          <w:i w:val="1"/>
          <w:iCs w:val="1"/>
          <w:smallCaps w:val="0"/>
          <w:strike w:val="0"/>
          <w:color w:val="000000"/>
          <w:sz w:val="32"/>
          <w:szCs w:val="32"/>
          <w:u w:val="single"/>
          <w:shd w:fill="auto" w:val="clear"/>
          <w:vertAlign w:val="baseline"/>
        </w:rPr>
      </w:pPr>
      <w:r w:rsidDel="00000000" w:rsidR="00000000" w:rsidRPr="00000000">
        <w:rPr>
          <w:rFonts w:ascii="Arial" w:cs="Arial" w:eastAsia="Arial" w:hAnsi="Arial"/>
          <w:b w:val="1"/>
          <w:bCs w:val="1"/>
          <w:i w:val="1"/>
          <w:iCs w:val="1"/>
          <w:smallCaps w:val="0"/>
          <w:strike w:val="0"/>
          <w:color w:val="000000"/>
          <w:sz w:val="32"/>
          <w:szCs w:val="32"/>
          <w:u w:val="single"/>
          <w:shd w:fill="auto" w:val="clear"/>
          <w:vertAlign w:val="baseline"/>
          <w:rtl w:val="0"/>
        </w:rPr>
        <w:t xml:space="preserve">Table of Contents</w:t>
      </w:r>
    </w:p>
    <w:sdt>
      <w:sdtPr>
        <w:id w:val="1111563299"/>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1demurf3hj4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Section 1</w:t>
              <w:tab/>
              <w:t xml:space="preserve">1</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u8g6hu3p2wl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Introduction</w:t>
              <w:tab/>
              <w:t xml:space="preserve">1</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9y1urn2gh26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Overview of Industry and Country</w:t>
              <w:tab/>
              <w:t xml:space="preserve">2</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f7g9xbge73d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Introduction to the enterprise and Sony in Japan:</w:t>
              <w:tab/>
              <w:t xml:space="preserve">2</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i3wglaz3esu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 Size, Scope and financial significance of the enterprise:</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w35k0r22uzo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 Major Firms and Competitive Positioning:</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st6b7i5fgp5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3.0 Application of Porter's Diamond Model: Global Competitiveness of Japan's Electronics Industry</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l99fa524ms2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Factor Conditions</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9e8eyva7kgn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Demand Conditions</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dftkci84gf3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Related and Supporting industries</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1we6z11z3hx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Firm strategy, structure, and rivalry</w:t>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83rq7yp5nqm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 Role of government</w:t>
              <w:tab/>
              <w:t xml:space="preserve">8</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ayyj5yxzkme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 Role of Chance</w:t>
              <w:tab/>
              <w:t xml:space="preserve">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hlg22bkkdib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Critical Evaluation of a Foreign MNC Operating in Japan's Electronic Industry</w:t>
              <w:tab/>
              <w:t xml:space="preserve">9</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9azwfoc8qwf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 Selected Foreign MNC and Context</w:t>
              <w:tab/>
              <w:t xml:space="preserve">9</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6c17f3mx7zl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Evaluation of Apple’s Operations in Japan</w:t>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pewnzxj6io9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Political factors (PESTEL evaluation):</w:t>
              <w:tab/>
              <w:t xml:space="preserve">10</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tys8pi2705m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Financial factors (PESTEL evaluation):</w:t>
              <w:tab/>
              <w:t xml:space="preserve">11</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27a568y0wmm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Legal and regulatory factors (PESTEL analysis)</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8nhh8dmu2v2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Cultural factors (Hofstede Framework):</w:t>
              <w:tab/>
              <w:t xml:space="preserve">12</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2rqir8k3aav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Aggressive environment and market attractiveness:</w:t>
              <w:tab/>
              <w:t xml:space="preserve">13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gk1mfmb076i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Strategic Implications for Apple:</w:t>
              <w:tab/>
              <w:t xml:space="preserve">13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i1d4j1mjoh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 Conclusion</w:t>
              <w:tab/>
              <w:t xml:space="preserve">15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hxnlwzgemz4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Section 2</w:t>
              <w:tab/>
              <w:t xml:space="preserve">16</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e18nbpoleq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Reflective Report on the Research Process:</w:t>
              <w:tab/>
              <w:t xml:space="preserve">16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gagylck04wb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w:t>
              <w:tab/>
              <w:t xml:space="preserve">21</w:t>
            </w:r>
          </w:hyperlink>
          <w:r w:rsidDel="00000000" w:rsidR="00000000" w:rsidRPr="00000000">
            <w:rPr>
              <w:rtl w:val="0"/>
            </w:rPr>
          </w:r>
        </w:p>
        <w:p w:rsidR="00000000" w:rsidDel="00000000" w:rsidP="00000000" w:rsidRDefault="00000000" w:rsidRPr="00000000" w14:paraId="00000025">
          <w:pPr>
            <w:spacing w:line="360" w:lineRule="auto"/>
            <w:rPr>
              <w:rFonts w:ascii="Arial" w:cs="Arial" w:eastAsia="Arial" w:hAnsi="Arial"/>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7">
      <w:pPr>
        <w:spacing w:after="160" w:line="278.00000000000006" w:lineRule="auto"/>
        <w:rPr>
          <w:rFonts w:ascii="Arial" w:cs="Arial" w:eastAsia="Arial" w:hAnsi="Arial"/>
          <w:b w:val="1"/>
          <w:bCs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Contents of Table </w:t>
      </w:r>
    </w:p>
    <w:sdt>
      <w:sdtPr>
        <w:id w:val="-132499374"/>
        <w:docPartObj>
          <w:docPartGallery w:val="Table of Contents"/>
          <w:docPartUnique w:val="1"/>
        </w:docPartObj>
      </w:sdtPr>
      <w:sdtContent>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dyu6sx3bht4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Table 1: Comparative Positioning of Kay Firms</w:t>
              <w:tab/>
              <w:t xml:space="preserve">4</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6k2lfzlvbn0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Table 2: Market Attractiveness Analysis (Japan Electronics Industry)</w:t>
              <w:tab/>
              <w:t xml:space="preserve">13</w:t>
            </w:r>
          </w:hyperlink>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color w:val="000000"/>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spacing w:line="360" w:lineRule="auto"/>
        <w:jc w:val="center"/>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Contents of Figure</w:t>
      </w:r>
    </w:p>
    <w:sdt>
      <w:sdtPr>
        <w:id w:val="-1508367217"/>
        <w:docPartObj>
          <w:docPartGallery w:val="Table of Contents"/>
          <w:docPartUnique w:val="1"/>
        </w:docPartObj>
      </w:sdtPr>
      <w:sdtContent>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60xksda55lm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1: Sony</w:t>
              <w:tab/>
              <w:t xml:space="preserve">2</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4ab8c07pivm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2: Michael Porter's Diamond Model</w:t>
              <w:tab/>
              <w:t xml:space="preserve">5</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ejzdkolvybm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3: Gibbs’ Reflective Cycle</w:t>
              <w:tab/>
              <w:t xml:space="preserve">16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0">
      <w:pPr>
        <w:pStyle w:val="Heading1"/>
        <w:jc w:val="center"/>
        <w:rPr>
          <w:u w:val="single"/>
        </w:rPr>
      </w:pPr>
      <w:bookmarkStart w:colFirst="0" w:colLast="0" w:name="_1demurf3hj4q" w:id="0"/>
      <w:bookmarkEnd w:id="0"/>
      <w:r w:rsidDel="00000000" w:rsidR="00000000" w:rsidRPr="00000000">
        <w:rPr>
          <w:u w:val="single"/>
          <w:rtl w:val="0"/>
        </w:rPr>
        <w:t xml:space="preserve">Section 1</w:t>
      </w:r>
    </w:p>
    <w:p w:rsidR="00000000" w:rsidDel="00000000" w:rsidP="00000000" w:rsidRDefault="00000000" w:rsidRPr="00000000" w14:paraId="00000031">
      <w:pPr>
        <w:pStyle w:val="Heading1"/>
        <w:rPr/>
      </w:pPr>
      <w:bookmarkStart w:colFirst="0" w:colLast="0" w:name="_u8g6hu3p2wlb" w:id="1"/>
      <w:bookmarkEnd w:id="1"/>
      <w:r w:rsidDel="00000000" w:rsidR="00000000" w:rsidRPr="00000000">
        <w:rPr>
          <w:rtl w:val="0"/>
        </w:rPr>
        <w:t xml:space="preserve">1. Introduction</w:t>
      </w:r>
    </w:p>
    <w:p w:rsidR="00000000" w:rsidDel="00000000" w:rsidP="00000000" w:rsidRDefault="00000000" w:rsidRPr="00000000" w14:paraId="0000003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report seriously examines the worldwide competitiveness and strategic dynamics of the electronics manufacturing industry in Japan, with a specific consciousness of the role of the Sony organisation company and the operations of Apple Inc. as a main foreign multinational agency. Japan has lengthily been acknowledged as a global chief in advanced electronics, driven through innovation, robust commercial infrastructure, and tremendously skilled human capital. The report starts by way of offering a top-level view of the industry and its economic significance, observed by way of a comparative analysis of key home and global competition. It then applies Porter’s Diamond version to assess the assets of Japan’s countrywide competitive advantage within the electronics quarter. Moreover, the file severely assesses the outside elements influencing Apple’s success in Japan, the usage of frameworks along with PESTEL and Hofstede’s cultural dimensions to examine political, economic, legal, and cultural influences. Through integrating insights from organisation reports, industry facts, and academic literature, the file ambitions to offer a complete understanding of how both domestic strengths and outside environmental elements shape a company's overall performance and strategic decision-making inside one of the global’s most state-of-the-art and aggressive generation markets.</w:t>
      </w:r>
    </w:p>
    <w:p w:rsidR="00000000" w:rsidDel="00000000" w:rsidP="00000000" w:rsidRDefault="00000000" w:rsidRPr="00000000" w14:paraId="00000033">
      <w:pPr>
        <w:spacing w:after="160" w:line="278.00000000000006" w:lineRule="auto"/>
        <w:rPr>
          <w:rFonts w:ascii="Arial" w:cs="Arial" w:eastAsia="Arial" w:hAnsi="Arial"/>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4">
      <w:pPr>
        <w:pStyle w:val="Heading1"/>
        <w:rPr/>
      </w:pPr>
      <w:bookmarkStart w:colFirst="0" w:colLast="0" w:name="_9y1urn2gh26c" w:id="2"/>
      <w:bookmarkEnd w:id="2"/>
      <w:r w:rsidDel="00000000" w:rsidR="00000000" w:rsidRPr="00000000">
        <w:rPr>
          <w:rtl w:val="0"/>
        </w:rPr>
        <w:t xml:space="preserve">2. Overview of Industry and Country</w:t>
      </w:r>
    </w:p>
    <w:p w:rsidR="00000000" w:rsidDel="00000000" w:rsidP="00000000" w:rsidRDefault="00000000" w:rsidRPr="00000000" w14:paraId="00000035">
      <w:pPr>
        <w:pStyle w:val="Heading2"/>
        <w:rPr/>
      </w:pPr>
      <w:bookmarkStart w:colFirst="0" w:colLast="0" w:name="_f7g9xbge73d0" w:id="3"/>
      <w:bookmarkEnd w:id="3"/>
      <w:r w:rsidDel="00000000" w:rsidR="00000000" w:rsidRPr="00000000">
        <w:rPr>
          <w:rtl w:val="0"/>
        </w:rPr>
        <w:t xml:space="preserve">a. Introduction to the enterprise and Sony in Japan:</w:t>
      </w:r>
    </w:p>
    <w:p w:rsidR="00000000" w:rsidDel="00000000" w:rsidP="00000000" w:rsidRDefault="00000000" w:rsidRPr="00000000" w14:paraId="00000036">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Japan has long been regarded as an international leader in the electronics manufacturing enterprise, driven by innovation, precision engineering, and strong studies and development (R&amp;D) skills. The enterprise contains a huge range of merchandise, including consumer electronics, semiconductors, imaging technologies, and leisure structures. Within this context, Sony Institution Organisation stands as one of Japan’s most prominent and assorted digital manufacturing agencies.</w:t>
      </w:r>
    </w:p>
    <w:p w:rsidR="00000000" w:rsidDel="00000000" w:rsidP="00000000" w:rsidRDefault="00000000" w:rsidRPr="00000000" w14:paraId="00000037">
      <w:pPr>
        <w:keepNext w:val="1"/>
        <w:spacing w:after="240" w:line="360" w:lineRule="auto"/>
        <w:jc w:val="center"/>
        <w:rPr/>
      </w:pPr>
      <w:r w:rsidDel="00000000" w:rsidR="00000000" w:rsidRPr="00000000">
        <w:rPr/>
        <w:drawing>
          <wp:inline distB="0" distT="0" distL="0" distR="0">
            <wp:extent cx="4441258" cy="1269002"/>
            <wp:effectExtent b="0" l="0" r="0" t="0"/>
            <wp:docPr descr="Brand - Sony Group Portal" id="3" name="image3.png"/>
            <a:graphic>
              <a:graphicData uri="http://schemas.openxmlformats.org/drawingml/2006/picture">
                <pic:pic>
                  <pic:nvPicPr>
                    <pic:cNvPr descr="Brand - Sony Group Portal" id="0" name="image3.png"/>
                    <pic:cNvPicPr preferRelativeResize="0"/>
                  </pic:nvPicPr>
                  <pic:blipFill>
                    <a:blip r:embed="rId7"/>
                    <a:srcRect b="0" l="0" r="0" t="0"/>
                    <a:stretch>
                      <a:fillRect/>
                    </a:stretch>
                  </pic:blipFill>
                  <pic:spPr>
                    <a:xfrm>
                      <a:off x="0" y="0"/>
                      <a:ext cx="4441258" cy="1269002"/>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000000"/>
          <w:sz w:val="24"/>
          <w:szCs w:val="24"/>
          <w:u w:val="none"/>
          <w:shd w:fill="auto" w:val="clear"/>
          <w:vertAlign w:val="baseline"/>
        </w:rPr>
      </w:pPr>
      <w:bookmarkStart w:colFirst="0" w:colLast="0" w:name="_60xksda55lme" w:id="4"/>
      <w:bookmarkEnd w:id="4"/>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1: Sony</w:t>
      </w:r>
      <w:r w:rsidDel="00000000" w:rsidR="00000000" w:rsidRPr="00000000">
        <w:rPr>
          <w:rtl w:val="0"/>
        </w:rPr>
      </w:r>
    </w:p>
    <w:p w:rsidR="00000000" w:rsidDel="00000000" w:rsidP="00000000" w:rsidRDefault="00000000" w:rsidRPr="00000000" w14:paraId="00000039">
      <w:pPr>
        <w:spacing w:after="240" w:line="360" w:lineRule="auto"/>
        <w:jc w:val="center"/>
        <w:rPr>
          <w:rFonts w:ascii="Arial" w:cs="Arial" w:eastAsia="Arial" w:hAnsi="Arial"/>
          <w:color w:val="000000"/>
          <w:sz w:val="24"/>
          <w:szCs w:val="24"/>
        </w:rPr>
      </w:pPr>
      <w:r w:rsidDel="00000000" w:rsidR="00000000" w:rsidRPr="00000000">
        <w:rPr>
          <w:rFonts w:ascii="Arial" w:cs="Arial" w:eastAsia="Arial" w:hAnsi="Arial"/>
          <w:b w:val="1"/>
          <w:bCs w:val="1"/>
          <w:color w:val="000000"/>
          <w:sz w:val="24"/>
          <w:szCs w:val="24"/>
          <w:rtl w:val="0"/>
        </w:rPr>
        <w:t xml:space="preserve">Source:</w:t>
      </w:r>
      <w:r w:rsidDel="00000000" w:rsidR="00000000" w:rsidRPr="00000000">
        <w:rPr>
          <w:rFonts w:ascii="Arial" w:cs="Arial" w:eastAsia="Arial" w:hAnsi="Arial"/>
          <w:color w:val="000000"/>
          <w:sz w:val="24"/>
          <w:szCs w:val="24"/>
          <w:rtl w:val="0"/>
        </w:rPr>
        <w:t xml:space="preserve"> </w:t>
      </w:r>
      <w:hyperlink r:id="rId8">
        <w:r w:rsidDel="00000000" w:rsidR="00000000" w:rsidRPr="00000000">
          <w:rPr>
            <w:rFonts w:ascii="Arial" w:cs="Arial" w:eastAsia="Arial" w:hAnsi="Arial"/>
            <w:color w:val="0563c1"/>
            <w:sz w:val="24"/>
            <w:szCs w:val="24"/>
            <w:u w:val="single"/>
            <w:rtl w:val="0"/>
          </w:rPr>
          <w:t xml:space="preserve">sony.com</w:t>
        </w:r>
      </w:hyperlink>
      <w:r w:rsidDel="00000000" w:rsidR="00000000" w:rsidRPr="00000000">
        <w:rPr>
          <w:rtl w:val="0"/>
        </w:rPr>
      </w:r>
    </w:p>
    <w:p w:rsidR="00000000" w:rsidDel="00000000" w:rsidP="00000000" w:rsidRDefault="00000000" w:rsidRPr="00000000" w14:paraId="0000003A">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Founded in 1946 and founded in Tokyo, Sony operates across more than one segment, which include consumer electronics, gaming, music, movies, and semiconductor answers. Japan presents a distinctly advanced technological environment, supported through government regulations, professional labour, and strong supply chain networks, allowing companies like Sony to maintain worldwide competitiveness (Statista, 2024). Sony’s strategic cognisance has advanced from traditional hardware manufacturing to excessive-cost digital offerings, in particular via its PlayStation gaming ecosystem and imaging sensors (Sony, 2024).</w:t>
      </w:r>
    </w:p>
    <w:p w:rsidR="00000000" w:rsidDel="00000000" w:rsidP="00000000" w:rsidRDefault="00000000" w:rsidRPr="00000000" w14:paraId="0000003B">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Japanese market additionally emphasises finesse, reliability, and innovation—key factors that form Sony’s logo identification globally. As an end result, Sony no longer most effectively contributes notably to Japan’s electronics quarter; however, it also acts as a symbol of the USA's technological excellence and has a worldwide industrial effect (The Economist, 2023).</w:t>
      </w:r>
    </w:p>
    <w:p w:rsidR="00000000" w:rsidDel="00000000" w:rsidP="00000000" w:rsidRDefault="00000000" w:rsidRPr="00000000" w14:paraId="0000003C">
      <w:pPr>
        <w:pStyle w:val="Heading2"/>
        <w:rPr/>
      </w:pPr>
      <w:bookmarkStart w:colFirst="0" w:colLast="0" w:name="_i3wglaz3esu4" w:id="5"/>
      <w:bookmarkEnd w:id="5"/>
      <w:r w:rsidDel="00000000" w:rsidR="00000000" w:rsidRPr="00000000">
        <w:rPr>
          <w:rtl w:val="0"/>
        </w:rPr>
        <w:t xml:space="preserve">b. Size, Scope and financial significance of the enterprise:</w:t>
      </w:r>
    </w:p>
    <w:p w:rsidR="00000000" w:rsidDel="00000000" w:rsidP="00000000" w:rsidRDefault="00000000" w:rsidRPr="00000000" w14:paraId="0000003D">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electronics manufacturing enterprise in Japan is certainly one of the most important members of the country’s commercial output and exports. According to Statista (2024), Japan’s electronics zone generated revenues exceeding £200 billion, with sturdy exports to North the USA, Europe, and Asia. The enterprise consists of sub-sectors including client electronics, semiconductors, robotics, and industrial gadgets, demonstrating a broad scope and deep integration throughout global supply chains.</w:t>
      </w:r>
    </w:p>
    <w:p w:rsidR="00000000" w:rsidDel="00000000" w:rsidP="00000000" w:rsidRDefault="00000000" w:rsidRPr="00000000" w14:paraId="0000003E">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Japan is especially dominant in high-price segments such as semiconductor substances, imaging sensors, and precision additives. Businesses like Sony and Tokyo Electron play an essential function in providing crucial technologies to international companies, including the ones in America and China (Monetary Times, 2024).</w:t>
      </w:r>
    </w:p>
    <w:p w:rsidR="00000000" w:rsidDel="00000000" w:rsidP="00000000" w:rsidRDefault="00000000" w:rsidRPr="00000000" w14:paraId="0000003F">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Economically, the enterprise contributes considerably to Japan’s GDP, employment, and change balance. It also helps innovation via good-sized investment in R&amp;D, with Japan continuously ranking among the various top countries globally for technological patents (Harvard enterprise assessment, 2022). Moreover, the arena has strategic significance because of its position in rising technology consisting of artificial intelligence (AI), internet of things (IoT), and superior robotics.</w:t>
      </w:r>
    </w:p>
    <w:p w:rsidR="00000000" w:rsidDel="00000000" w:rsidP="00000000" w:rsidRDefault="00000000" w:rsidRPr="00000000" w14:paraId="00000040">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Universally, the electronics manufacturing industry stays a cornerstone of Japan’s economy, reinforcing its role as a global generation chief even as it adapts to virtual transformation and sustainability-demanding situations.</w:t>
      </w:r>
    </w:p>
    <w:p w:rsidR="00000000" w:rsidDel="00000000" w:rsidP="00000000" w:rsidRDefault="00000000" w:rsidRPr="00000000" w14:paraId="00000041">
      <w:pPr>
        <w:pStyle w:val="Heading2"/>
        <w:rPr/>
      </w:pPr>
      <w:bookmarkStart w:colFirst="0" w:colLast="0" w:name="_w35k0r22uzog" w:id="6"/>
      <w:bookmarkEnd w:id="6"/>
      <w:r w:rsidDel="00000000" w:rsidR="00000000" w:rsidRPr="00000000">
        <w:rPr>
          <w:rtl w:val="0"/>
        </w:rPr>
        <w:t xml:space="preserve">c. Major Firms and Competitive Positioning:</w:t>
      </w:r>
    </w:p>
    <w:p w:rsidR="00000000" w:rsidDel="00000000" w:rsidP="00000000" w:rsidRDefault="00000000" w:rsidRPr="00000000" w14:paraId="00000042">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Japanese electronics production enterprise is surprisingly aggressive, providing both home leaders and multinational organisations. Key domestic players include the Sony Organisation Corporation, Panasonic Holdings Enterprise, Hitachi Ltd, and Toshiba Employer. In addition, worldwide competitors along with Samsung Electronics and Apple Inc. exert strong aggressive stress.</w:t>
      </w:r>
    </w:p>
    <w:p w:rsidR="00000000" w:rsidDel="00000000" w:rsidP="00000000" w:rsidRDefault="00000000" w:rsidRPr="00000000" w14:paraId="00000043">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Sony differentiates itself via a hybrid strategy combining premium hardware, content material introduction, and digital ecosystems. Its PlayStation division dominates the global gaming marketplace, even as its semiconductor unit leads in CMOS picture sensors, retaining over forty per cent global market share (Sony Annual document, 2024). In contrast, Panasonic specialises in strength answers, car batteries, and commercial electronics, positioning itself strongly in B2B markets (Panasonic, 2023).</w:t>
      </w:r>
    </w:p>
    <w:p w:rsidR="00000000" w:rsidDel="00000000" w:rsidP="00000000" w:rsidRDefault="00000000" w:rsidRPr="00000000" w14:paraId="00000044">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Hitachi has shifted towards virtual infrastructure, IT offerings, and inherent strength, aligning with long-term sustainability desires. Toshiba, after restructuring, concentrates on power structures and infrastructure in place of consumer electronics (economic times, 2023).</w:t>
      </w:r>
    </w:p>
    <w:p w:rsidR="00000000" w:rsidDel="00000000" w:rsidP="00000000" w:rsidRDefault="00000000" w:rsidRPr="00000000" w14:paraId="00000045">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Globally, Samsung Electronics competes aggressively via value leadership and innovation in customer electronics and semiconductors, at the same time as Apple dominates the top-class customer electronics segment with robust logo loyalty and atmosphere integration (Forbes, 2024).</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37"/>
        <w:gridCol w:w="2006"/>
        <w:gridCol w:w="2045"/>
        <w:gridCol w:w="1665"/>
        <w:gridCol w:w="1963"/>
        <w:tblGridChange w:id="0">
          <w:tblGrid>
            <w:gridCol w:w="1337"/>
            <w:gridCol w:w="2006"/>
            <w:gridCol w:w="2045"/>
            <w:gridCol w:w="1665"/>
            <w:gridCol w:w="1963"/>
          </w:tblGrid>
        </w:tblGridChange>
      </w:tblGrid>
      <w:tr>
        <w:trPr>
          <w:cantSplit w:val="0"/>
          <w:tblHeader w:val="0"/>
        </w:trPr>
        <w:tc>
          <w:tcPr/>
          <w:p w:rsidR="00000000" w:rsidDel="00000000" w:rsidP="00000000" w:rsidRDefault="00000000" w:rsidRPr="00000000" w14:paraId="00000046">
            <w:pPr>
              <w:spacing w:after="240"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Company</w:t>
            </w:r>
          </w:p>
        </w:tc>
        <w:tc>
          <w:tcPr/>
          <w:p w:rsidR="00000000" w:rsidDel="00000000" w:rsidP="00000000" w:rsidRDefault="00000000" w:rsidRPr="00000000" w14:paraId="00000047">
            <w:pPr>
              <w:spacing w:after="240"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Core Strategy</w:t>
            </w:r>
          </w:p>
        </w:tc>
        <w:tc>
          <w:tcPr/>
          <w:p w:rsidR="00000000" w:rsidDel="00000000" w:rsidP="00000000" w:rsidRDefault="00000000" w:rsidRPr="00000000" w14:paraId="00000048">
            <w:pPr>
              <w:spacing w:after="240"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Key Segments</w:t>
            </w:r>
          </w:p>
        </w:tc>
        <w:tc>
          <w:tcPr/>
          <w:p w:rsidR="00000000" w:rsidDel="00000000" w:rsidP="00000000" w:rsidRDefault="00000000" w:rsidRPr="00000000" w14:paraId="00000049">
            <w:pPr>
              <w:spacing w:after="240"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Market Position</w:t>
            </w:r>
          </w:p>
        </w:tc>
        <w:tc>
          <w:tcPr/>
          <w:p w:rsidR="00000000" w:rsidDel="00000000" w:rsidP="00000000" w:rsidRDefault="00000000" w:rsidRPr="00000000" w14:paraId="0000004A">
            <w:pPr>
              <w:spacing w:after="240"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Competitive Advantage</w:t>
            </w:r>
          </w:p>
        </w:tc>
      </w:tr>
      <w:tr>
        <w:trPr>
          <w:cantSplit w:val="0"/>
          <w:tblHeader w:val="0"/>
        </w:trPr>
        <w:tc>
          <w:tcPr/>
          <w:p w:rsidR="00000000" w:rsidDel="00000000" w:rsidP="00000000" w:rsidRDefault="00000000" w:rsidRPr="00000000" w14:paraId="0000004B">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Sony</w:t>
            </w:r>
          </w:p>
        </w:tc>
        <w:tc>
          <w:tcPr/>
          <w:p w:rsidR="00000000" w:rsidDel="00000000" w:rsidP="00000000" w:rsidRDefault="00000000" w:rsidRPr="00000000" w14:paraId="0000004C">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Differentiation + Ecosystem</w:t>
            </w:r>
          </w:p>
        </w:tc>
        <w:tc>
          <w:tcPr/>
          <w:p w:rsidR="00000000" w:rsidDel="00000000" w:rsidP="00000000" w:rsidRDefault="00000000" w:rsidRPr="00000000" w14:paraId="0000004D">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Gaming, Imaging, Entertainment</w:t>
            </w:r>
          </w:p>
        </w:tc>
        <w:tc>
          <w:tcPr/>
          <w:p w:rsidR="00000000" w:rsidDel="00000000" w:rsidP="00000000" w:rsidRDefault="00000000" w:rsidRPr="00000000" w14:paraId="0000004E">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Premium global brand</w:t>
            </w:r>
          </w:p>
        </w:tc>
        <w:tc>
          <w:tcPr/>
          <w:p w:rsidR="00000000" w:rsidDel="00000000" w:rsidP="00000000" w:rsidRDefault="00000000" w:rsidRPr="00000000" w14:paraId="0000004F">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Content + hardware integration</w:t>
            </w:r>
          </w:p>
        </w:tc>
      </w:tr>
      <w:tr>
        <w:trPr>
          <w:cantSplit w:val="0"/>
          <w:tblHeader w:val="0"/>
        </w:trPr>
        <w:tc>
          <w:tcPr/>
          <w:p w:rsidR="00000000" w:rsidDel="00000000" w:rsidP="00000000" w:rsidRDefault="00000000" w:rsidRPr="00000000" w14:paraId="00000050">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Panasonic</w:t>
            </w:r>
          </w:p>
        </w:tc>
        <w:tc>
          <w:tcPr/>
          <w:p w:rsidR="00000000" w:rsidDel="00000000" w:rsidP="00000000" w:rsidRDefault="00000000" w:rsidRPr="00000000" w14:paraId="00000051">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Diversification (B2B focus)</w:t>
            </w:r>
          </w:p>
        </w:tc>
        <w:tc>
          <w:tcPr/>
          <w:p w:rsidR="00000000" w:rsidDel="00000000" w:rsidP="00000000" w:rsidRDefault="00000000" w:rsidRPr="00000000" w14:paraId="00000052">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Energy, Automotive</w:t>
            </w:r>
          </w:p>
        </w:tc>
        <w:tc>
          <w:tcPr/>
          <w:p w:rsidR="00000000" w:rsidDel="00000000" w:rsidP="00000000" w:rsidRDefault="00000000" w:rsidRPr="00000000" w14:paraId="00000053">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Strong industrial presence</w:t>
            </w:r>
          </w:p>
        </w:tc>
        <w:tc>
          <w:tcPr/>
          <w:p w:rsidR="00000000" w:rsidDel="00000000" w:rsidP="00000000" w:rsidRDefault="00000000" w:rsidRPr="00000000" w14:paraId="00000054">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Sustainability &amp; battery tech</w:t>
            </w:r>
          </w:p>
        </w:tc>
      </w:tr>
      <w:tr>
        <w:trPr>
          <w:cantSplit w:val="0"/>
          <w:tblHeader w:val="0"/>
        </w:trPr>
        <w:tc>
          <w:tcPr/>
          <w:p w:rsidR="00000000" w:rsidDel="00000000" w:rsidP="00000000" w:rsidRDefault="00000000" w:rsidRPr="00000000" w14:paraId="00000055">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Hitachi</w:t>
            </w:r>
          </w:p>
        </w:tc>
        <w:tc>
          <w:tcPr/>
          <w:p w:rsidR="00000000" w:rsidDel="00000000" w:rsidP="00000000" w:rsidRDefault="00000000" w:rsidRPr="00000000" w14:paraId="00000056">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Digital transformation</w:t>
            </w:r>
          </w:p>
        </w:tc>
        <w:tc>
          <w:tcPr/>
          <w:p w:rsidR="00000000" w:rsidDel="00000000" w:rsidP="00000000" w:rsidRDefault="00000000" w:rsidRPr="00000000" w14:paraId="00000057">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IT, Infrastructure</w:t>
            </w:r>
          </w:p>
        </w:tc>
        <w:tc>
          <w:tcPr/>
          <w:p w:rsidR="00000000" w:rsidDel="00000000" w:rsidP="00000000" w:rsidRDefault="00000000" w:rsidRPr="00000000" w14:paraId="00000058">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Enterprise-focused</w:t>
            </w:r>
          </w:p>
        </w:tc>
        <w:tc>
          <w:tcPr/>
          <w:p w:rsidR="00000000" w:rsidDel="00000000" w:rsidP="00000000" w:rsidRDefault="00000000" w:rsidRPr="00000000" w14:paraId="00000059">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Smart systems &amp; data solutions</w:t>
            </w:r>
          </w:p>
        </w:tc>
      </w:tr>
      <w:tr>
        <w:trPr>
          <w:cantSplit w:val="0"/>
          <w:tblHeader w:val="0"/>
        </w:trPr>
        <w:tc>
          <w:tcPr/>
          <w:p w:rsidR="00000000" w:rsidDel="00000000" w:rsidP="00000000" w:rsidRDefault="00000000" w:rsidRPr="00000000" w14:paraId="0000005A">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Samsung</w:t>
            </w:r>
          </w:p>
        </w:tc>
        <w:tc>
          <w:tcPr/>
          <w:p w:rsidR="00000000" w:rsidDel="00000000" w:rsidP="00000000" w:rsidRDefault="00000000" w:rsidRPr="00000000" w14:paraId="0000005B">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Cost leadership + innovation</w:t>
            </w:r>
          </w:p>
        </w:tc>
        <w:tc>
          <w:tcPr/>
          <w:p w:rsidR="00000000" w:rsidDel="00000000" w:rsidP="00000000" w:rsidRDefault="00000000" w:rsidRPr="00000000" w14:paraId="0000005C">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Consumer electronics, chips</w:t>
            </w:r>
          </w:p>
        </w:tc>
        <w:tc>
          <w:tcPr/>
          <w:p w:rsidR="00000000" w:rsidDel="00000000" w:rsidP="00000000" w:rsidRDefault="00000000" w:rsidRPr="00000000" w14:paraId="0000005D">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Global leader</w:t>
            </w:r>
          </w:p>
        </w:tc>
        <w:tc>
          <w:tcPr/>
          <w:p w:rsidR="00000000" w:rsidDel="00000000" w:rsidP="00000000" w:rsidRDefault="00000000" w:rsidRPr="00000000" w14:paraId="0000005E">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Scale &amp; R&amp;D investment</w:t>
            </w:r>
          </w:p>
        </w:tc>
      </w:tr>
      <w:tr>
        <w:trPr>
          <w:cantSplit w:val="0"/>
          <w:tblHeader w:val="0"/>
        </w:trPr>
        <w:tc>
          <w:tcPr/>
          <w:p w:rsidR="00000000" w:rsidDel="00000000" w:rsidP="00000000" w:rsidRDefault="00000000" w:rsidRPr="00000000" w14:paraId="0000005F">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Apple</w:t>
            </w:r>
          </w:p>
        </w:tc>
        <w:tc>
          <w:tcPr/>
          <w:p w:rsidR="00000000" w:rsidDel="00000000" w:rsidP="00000000" w:rsidRDefault="00000000" w:rsidRPr="00000000" w14:paraId="00000060">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Premium differentiation</w:t>
            </w:r>
          </w:p>
        </w:tc>
        <w:tc>
          <w:tcPr/>
          <w:p w:rsidR="00000000" w:rsidDel="00000000" w:rsidP="00000000" w:rsidRDefault="00000000" w:rsidRPr="00000000" w14:paraId="00000061">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Smartphones, ecosystem</w:t>
            </w:r>
          </w:p>
        </w:tc>
        <w:tc>
          <w:tcPr/>
          <w:p w:rsidR="00000000" w:rsidDel="00000000" w:rsidP="00000000" w:rsidRDefault="00000000" w:rsidRPr="00000000" w14:paraId="00000062">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Market leader</w:t>
            </w:r>
          </w:p>
        </w:tc>
        <w:tc>
          <w:tcPr/>
          <w:p w:rsidR="00000000" w:rsidDel="00000000" w:rsidP="00000000" w:rsidRDefault="00000000" w:rsidRPr="00000000" w14:paraId="00000063">
            <w:pPr>
              <w:keepNext w:val="1"/>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Brand loyalty &amp; ecosystem</w:t>
            </w:r>
          </w:p>
        </w:tc>
      </w:tr>
    </w:tbl>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Calibri" w:cs="Calibri" w:eastAsia="Calibri" w:hAnsi="Calibri"/>
          <w:b w:val="0"/>
          <w:bCs w:val="0"/>
          <w:i w:val="1"/>
          <w:iCs w:val="1"/>
          <w:smallCaps w:val="0"/>
          <w:strike w:val="0"/>
          <w:color w:val="44546a"/>
          <w:sz w:val="18"/>
          <w:szCs w:val="18"/>
          <w:u w:val="none"/>
          <w:shd w:fill="auto" w:val="clear"/>
          <w:vertAlign w:val="baseline"/>
        </w:rPr>
      </w:pPr>
      <w:bookmarkStart w:colFirst="0" w:colLast="0" w:name="_dyu6sx3bht4a" w:id="7"/>
      <w:bookmarkEnd w:id="7"/>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Table 1: Comparative Positioning of Kay Firms</w:t>
      </w:r>
    </w:p>
    <w:p w:rsidR="00000000" w:rsidDel="00000000" w:rsidP="00000000" w:rsidRDefault="00000000" w:rsidRPr="00000000" w14:paraId="00000065">
      <w:pPr>
        <w:spacing w:after="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Overall, Sony maintains a strong competitive function through leveraging its particular integration of electronics, entertainment, and virtual services. In contrast to competition targeted completely on hardware, Sony’s ecosystem method enhances customer engagement and long-term profitability (Harvard Business Evaluation, 2023). But increasing competition from global tech giants requires non-stop innovation and strategic adaptation.</w:t>
      </w:r>
    </w:p>
    <w:p w:rsidR="00000000" w:rsidDel="00000000" w:rsidP="00000000" w:rsidRDefault="00000000" w:rsidRPr="00000000" w14:paraId="00000066">
      <w:pPr>
        <w:pStyle w:val="Heading1"/>
        <w:rPr/>
      </w:pPr>
      <w:bookmarkStart w:colFirst="0" w:colLast="0" w:name="_st6b7i5fgp5s" w:id="8"/>
      <w:bookmarkEnd w:id="8"/>
      <w:r w:rsidDel="00000000" w:rsidR="00000000" w:rsidRPr="00000000">
        <w:rPr>
          <w:rtl w:val="0"/>
        </w:rPr>
        <w:t xml:space="preserve">3.0 Application of Porter's Diamond Model: Global Competitiveness of Japan's Electronics Industry</w:t>
      </w:r>
    </w:p>
    <w:p w:rsidR="00000000" w:rsidDel="00000000" w:rsidP="00000000" w:rsidRDefault="00000000" w:rsidRPr="00000000" w14:paraId="00000067">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Michael Porter’s Diamond version explains why certain industries within a country attain worldwide competitive benefit via four key determinants: aspect situations, call for situations, related and helping industries, and company approach, structure, and rivalry. This section seriously analyses Japan’s electronics production enterprise—specialising in the Sony group employer—using this framework.</w:t>
      </w:r>
    </w:p>
    <w:p w:rsidR="00000000" w:rsidDel="00000000" w:rsidP="00000000" w:rsidRDefault="00000000" w:rsidRPr="00000000" w14:paraId="00000068">
      <w:pPr>
        <w:keepNext w:val="1"/>
        <w:spacing w:after="160" w:line="360" w:lineRule="auto"/>
        <w:jc w:val="center"/>
        <w:rPr/>
      </w:pPr>
      <w:r w:rsidDel="00000000" w:rsidR="00000000" w:rsidRPr="00000000">
        <w:rPr/>
        <w:drawing>
          <wp:inline distB="0" distT="0" distL="0" distR="0">
            <wp:extent cx="3595316" cy="3001090"/>
            <wp:effectExtent b="0" l="0" r="0" t="0"/>
            <wp:docPr descr="Porter's Diamond Model EXPLAINED with EXAMPLES | B2U" id="2" name="image2.png"/>
            <a:graphic>
              <a:graphicData uri="http://schemas.openxmlformats.org/drawingml/2006/picture">
                <pic:pic>
                  <pic:nvPicPr>
                    <pic:cNvPr descr="Porter's Diamond Model EXPLAINED with EXAMPLES | B2U" id="0" name="image2.png"/>
                    <pic:cNvPicPr preferRelativeResize="0"/>
                  </pic:nvPicPr>
                  <pic:blipFill>
                    <a:blip r:embed="rId9"/>
                    <a:srcRect b="0" l="0" r="0" t="0"/>
                    <a:stretch>
                      <a:fillRect/>
                    </a:stretch>
                  </pic:blipFill>
                  <pic:spPr>
                    <a:xfrm>
                      <a:off x="0" y="0"/>
                      <a:ext cx="3595316" cy="3001090"/>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0"/>
          <w:bCs w:val="0"/>
          <w:i w:val="1"/>
          <w:iCs w:val="1"/>
          <w:smallCaps w:val="0"/>
          <w:strike w:val="0"/>
          <w:color w:val="44546a"/>
          <w:sz w:val="18"/>
          <w:szCs w:val="18"/>
          <w:u w:val="none"/>
          <w:shd w:fill="auto" w:val="clear"/>
          <w:vertAlign w:val="baseline"/>
        </w:rPr>
      </w:pPr>
      <w:bookmarkStart w:colFirst="0" w:colLast="0" w:name="_4ab8c07pivm3" w:id="9"/>
      <w:bookmarkEnd w:id="9"/>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2: Michael Porter's Diamond Model</w:t>
      </w:r>
    </w:p>
    <w:p w:rsidR="00000000" w:rsidDel="00000000" w:rsidP="00000000" w:rsidRDefault="00000000" w:rsidRPr="00000000" w14:paraId="0000006A">
      <w:pPr>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Source: </w:t>
      </w:r>
      <w:hyperlink r:id="rId10">
        <w:r w:rsidDel="00000000" w:rsidR="00000000" w:rsidRPr="00000000">
          <w:rPr>
            <w:rFonts w:ascii="Arial" w:cs="Arial" w:eastAsia="Arial" w:hAnsi="Arial"/>
            <w:color w:val="0563c1"/>
            <w:sz w:val="24"/>
            <w:szCs w:val="24"/>
            <w:u w:val="single"/>
            <w:rtl w:val="0"/>
          </w:rPr>
          <w:t xml:space="preserve">business-to-you</w:t>
        </w:r>
      </w:hyperlink>
      <w:r w:rsidDel="00000000" w:rsidR="00000000" w:rsidRPr="00000000">
        <w:rPr>
          <w:rtl w:val="0"/>
        </w:rPr>
      </w:r>
    </w:p>
    <w:p w:rsidR="00000000" w:rsidDel="00000000" w:rsidP="00000000" w:rsidRDefault="00000000" w:rsidRPr="00000000" w14:paraId="0000006B">
      <w:pPr>
        <w:pStyle w:val="Heading2"/>
        <w:rPr/>
      </w:pPr>
      <w:bookmarkStart w:colFirst="0" w:colLast="0" w:name="_l99fa524ms2b" w:id="10"/>
      <w:bookmarkEnd w:id="10"/>
      <w:r w:rsidDel="00000000" w:rsidR="00000000" w:rsidRPr="00000000">
        <w:rPr>
          <w:rtl w:val="0"/>
        </w:rPr>
        <w:t xml:space="preserve">1. Factor Conditions</w:t>
      </w:r>
    </w:p>
    <w:p w:rsidR="00000000" w:rsidDel="00000000" w:rsidP="00000000" w:rsidRDefault="00000000" w:rsidRPr="00000000" w14:paraId="0000006C">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Japan possesses advanced element situations that strongly assist its electronics enterprise. These include exceedingly skilled human capital, robust technological infrastructure, and full-size funding in research and improvement (R&amp;D). Eastern corporations, such as Sony, invest closely in innovation, mainly in regions which include artificial intelligence (AI), the imaging era, and semiconductor answers (Sony, 2024).</w:t>
      </w:r>
    </w:p>
    <w:p w:rsidR="00000000" w:rsidDel="00000000" w:rsidP="00000000" w:rsidRDefault="00000000" w:rsidRPr="00000000" w14:paraId="0000006D">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Sony’s corporate report (2024) highlights that its middle R&amp;D consciousness lies in sensing technologies, AI integration, and virtual environments, which shape the spine of its competitive advantage. Furthermore, Japan’s education machine produces a technically skilled workforce, particularly in engineering and implemented sciences, improving innovation capacity (Harvard Business Assessment, 2022).</w:t>
      </w:r>
    </w:p>
    <w:p w:rsidR="00000000" w:rsidDel="00000000" w:rsidP="00000000" w:rsidRDefault="00000000" w:rsidRPr="00000000" w14:paraId="0000006E">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Further, Japan benefits from state-of-the-art infrastructure, consisting of advanced production centres and delivery chain networks. But an essential trouble is the high cost of labour and an getting older population, which might also constrain future productiveness (financial instances, 2024).</w:t>
      </w:r>
    </w:p>
    <w:p w:rsidR="00000000" w:rsidDel="00000000" w:rsidP="00000000" w:rsidRDefault="00000000" w:rsidRPr="00000000" w14:paraId="0000006F">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Normally, Japan’s advanced issue conditions provide a strong foundation for international competitiveness, but demographic demanding situations and fee pressures require non-stop technological upgrading and automation.</w:t>
      </w:r>
    </w:p>
    <w:p w:rsidR="00000000" w:rsidDel="00000000" w:rsidP="00000000" w:rsidRDefault="00000000" w:rsidRPr="00000000" w14:paraId="00000070">
      <w:pPr>
        <w:pStyle w:val="Heading2"/>
        <w:rPr/>
      </w:pPr>
      <w:bookmarkStart w:colFirst="0" w:colLast="0" w:name="_9e8eyva7kgn0" w:id="11"/>
      <w:bookmarkEnd w:id="11"/>
      <w:r w:rsidDel="00000000" w:rsidR="00000000" w:rsidRPr="00000000">
        <w:rPr>
          <w:rtl w:val="0"/>
        </w:rPr>
        <w:t xml:space="preserve">2. Demand Conditions</w:t>
      </w:r>
    </w:p>
    <w:p w:rsidR="00000000" w:rsidDel="00000000" w:rsidP="00000000" w:rsidRDefault="00000000" w:rsidRPr="00000000" w14:paraId="00000071">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Domestic calls in Japan are distinctly sophisticated, with consumers demanding high-quality, progressive, and reliable digital products. This has historically driven companies like Sony to hold superior standards in product layout, performance, and durability.</w:t>
      </w:r>
    </w:p>
    <w:p w:rsidR="00000000" w:rsidDel="00000000" w:rsidP="00000000" w:rsidRDefault="00000000" w:rsidRPr="00000000" w14:paraId="00000072">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Eastern clients are early adopters of superior technologies, especially in gaming, imaging, and enjoyment structures. Sony’s fulfilment within the PlayStation atmosphere and imaging sensors displays its potential to fulfil and assume these worrying purchaser possibilities (Sony, 2024).</w:t>
      </w:r>
    </w:p>
    <w:p w:rsidR="00000000" w:rsidDel="00000000" w:rsidP="00000000" w:rsidRDefault="00000000" w:rsidRPr="00000000" w14:paraId="00000073">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Moreover, international calls, in addition, strengthen competitiveness. Sony’s photo sensors, as an example, are widely utilised in smartphones and automobile packages worldwide, together with by fundamental global manufacturers (Longbridge, 2025).</w:t>
      </w:r>
    </w:p>
    <w:p w:rsidR="00000000" w:rsidDel="00000000" w:rsidP="00000000" w:rsidRDefault="00000000" w:rsidRPr="00000000" w14:paraId="00000074">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However, Japan’s home market is particularly mature and shrinking due to population decline, which limits boom opportunities. As an end result, corporations ought to more and more rely upon global markets, making worldwide responsiveness a key strategic priority.</w:t>
      </w:r>
    </w:p>
    <w:p w:rsidR="00000000" w:rsidDel="00000000" w:rsidP="00000000" w:rsidRDefault="00000000" w:rsidRPr="00000000" w14:paraId="00000075">
      <w:pPr>
        <w:pStyle w:val="Heading2"/>
        <w:rPr/>
      </w:pPr>
      <w:bookmarkStart w:colFirst="0" w:colLast="0" w:name="_dftkci84gf3o" w:id="12"/>
      <w:bookmarkEnd w:id="12"/>
      <w:r w:rsidDel="00000000" w:rsidR="00000000" w:rsidRPr="00000000">
        <w:rPr>
          <w:rtl w:val="0"/>
        </w:rPr>
        <w:t xml:space="preserve">3. Related and Supporting industries</w:t>
      </w:r>
    </w:p>
    <w:p w:rsidR="00000000" w:rsidDel="00000000" w:rsidP="00000000" w:rsidRDefault="00000000" w:rsidRPr="00000000" w14:paraId="00000076">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Japan’s electronics industry benefits from a noticeably evolved community of related and supporting industries. Those encompass semiconductor equipment manufacturers, precision factor suppliers, and superior materials manufacturers. Companies inclusive of Tokyo Electron and several specialised SMEs play vital roles in helping massive companies like Sony.</w:t>
      </w:r>
    </w:p>
    <w:p w:rsidR="00000000" w:rsidDel="00000000" w:rsidP="00000000" w:rsidRDefault="00000000" w:rsidRPr="00000000" w14:paraId="00000077">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Consistent with enterprise reviews, Japan’s ecosystem consists of fairly specialised corporations generating components together with MEMS, batteries, and show technology, which might be furnished to global era leaders which include Apple and Tesla (ECU-Japan Centre, 2024).</w:t>
      </w:r>
    </w:p>
    <w:p w:rsidR="00000000" w:rsidDel="00000000" w:rsidP="00000000" w:rsidRDefault="00000000" w:rsidRPr="00000000" w14:paraId="00000078">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This robust industrial cluster enhances innovation, efficiency, and knowledge sharing. Additionally, close collaboration between industry and academia further strengthens technological advancement.</w:t>
      </w:r>
    </w:p>
    <w:p w:rsidR="00000000" w:rsidDel="00000000" w:rsidP="00000000" w:rsidRDefault="00000000" w:rsidRPr="00000000" w14:paraId="00000079">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However, growing globalisation has led to partial offshoring of manufacturing, especially to nations with lower labour prices. This creates dependency on international deliver chains, exposing companies to geopolitical dangers and disruptions.</w:t>
      </w:r>
    </w:p>
    <w:p w:rsidR="00000000" w:rsidDel="00000000" w:rsidP="00000000" w:rsidRDefault="00000000" w:rsidRPr="00000000" w14:paraId="0000007A">
      <w:pPr>
        <w:pStyle w:val="Heading2"/>
        <w:rPr/>
      </w:pPr>
      <w:bookmarkStart w:colFirst="0" w:colLast="0" w:name="_1we6z11z3hxt" w:id="13"/>
      <w:bookmarkEnd w:id="13"/>
      <w:r w:rsidDel="00000000" w:rsidR="00000000" w:rsidRPr="00000000">
        <w:rPr>
          <w:rtl w:val="0"/>
        </w:rPr>
        <w:t xml:space="preserve">4. Firm strategy, structure, and rivalry</w:t>
      </w:r>
    </w:p>
    <w:p w:rsidR="00000000" w:rsidDel="00000000" w:rsidP="00000000" w:rsidRDefault="00000000" w:rsidRPr="00000000" w14:paraId="0000007B">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shape and competitive dynamics of Japan’s electronics industry play an important position in driving innovation. Corporations along with Sony Institution Enterprise, Panasonic Holdings Company, and Hitachi Ltd perform in an enormously competitive environment, both domestically and globally.</w:t>
      </w:r>
    </w:p>
    <w:p w:rsidR="00000000" w:rsidDel="00000000" w:rsidP="00000000" w:rsidRDefault="00000000" w:rsidRPr="00000000" w14:paraId="0000007C">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Sony has adopted a differentiation strategy by way of integrating hardware, software, and content material ecosystems. Its shift towards entertainment (gaming, tunes, and film) and high-price semiconductor solutions demonstrates strategic adaptability. For instance, Sony’s imaging and sensing division holds over 50% of the worldwide CMOS sensor market, reflecting sturdy technological management (Longbridge, 2025).</w:t>
      </w:r>
    </w:p>
    <w:p w:rsidR="00000000" w:rsidDel="00000000" w:rsidP="00000000" w:rsidRDefault="00000000" w:rsidRPr="00000000" w14:paraId="0000007D">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Domestic competition encourages continuous improvement, while global opposition from firms like Samsung Electronics and Apple Inc. intensifies innovation pressures.</w:t>
      </w:r>
    </w:p>
    <w:p w:rsidR="00000000" w:rsidDel="00000000" w:rsidP="00000000" w:rsidRDefault="00000000" w:rsidRPr="00000000" w14:paraId="0000007E">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But conventional eastern company structures—characterised by means of hierarchical selection-making—can occasionally limit agility as compared to greater, bendy global competition. In spite of this, ongoing restructuring and digital transformation tasks are supporting firms to emerge as greater, more responsive and competitive.</w:t>
      </w:r>
    </w:p>
    <w:p w:rsidR="00000000" w:rsidDel="00000000" w:rsidP="00000000" w:rsidRDefault="00000000" w:rsidRPr="00000000" w14:paraId="0000007F">
      <w:pPr>
        <w:pStyle w:val="Heading2"/>
        <w:rPr/>
      </w:pPr>
      <w:bookmarkStart w:colFirst="0" w:colLast="0" w:name="_83rq7yp5nqma" w:id="14"/>
      <w:bookmarkEnd w:id="14"/>
      <w:r w:rsidDel="00000000" w:rsidR="00000000" w:rsidRPr="00000000">
        <w:rPr>
          <w:rtl w:val="0"/>
        </w:rPr>
        <w:t xml:space="preserve">5. Role of government</w:t>
      </w:r>
    </w:p>
    <w:p w:rsidR="00000000" w:rsidDel="00000000" w:rsidP="00000000" w:rsidRDefault="00000000" w:rsidRPr="00000000" w14:paraId="00000080">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Japanese government plays a supportive position by selling innovation, R&amp;D investment, and commercial coverage. It has delivered tasks to bolster semiconductor production and digital transformation, recognising the strategic importance of the electronics sector (monetary times, 2024).</w:t>
      </w:r>
    </w:p>
    <w:p w:rsidR="00000000" w:rsidDel="00000000" w:rsidP="00000000" w:rsidRDefault="00000000" w:rsidRPr="00000000" w14:paraId="00000081">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Rules helping education, infrastructure, and technological collaboration have historically contributed to Japan’s management in electronics. But regulatory complexity and slower policy implementation compared to other international locations might also avoid speedy addition to global modifications.</w:t>
      </w:r>
    </w:p>
    <w:p w:rsidR="00000000" w:rsidDel="00000000" w:rsidP="00000000" w:rsidRDefault="00000000" w:rsidRPr="00000000" w14:paraId="00000082">
      <w:pPr>
        <w:pStyle w:val="Heading2"/>
        <w:rPr/>
      </w:pPr>
      <w:bookmarkStart w:colFirst="0" w:colLast="0" w:name="_ayyj5yxzkme4" w:id="15"/>
      <w:bookmarkEnd w:id="15"/>
      <w:r w:rsidDel="00000000" w:rsidR="00000000" w:rsidRPr="00000000">
        <w:rPr>
          <w:rtl w:val="0"/>
        </w:rPr>
        <w:t xml:space="preserve">6. Role of Chance</w:t>
      </w:r>
    </w:p>
    <w:p w:rsidR="00000000" w:rsidDel="00000000" w:rsidP="00000000" w:rsidRDefault="00000000" w:rsidRPr="00000000" w14:paraId="00000083">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External factors, along with technological disruptions, geopolitical tensions, and international economic shifts, also have an impact on competitiveness. As an example, the upward push of AI, IoT, and independent technology has created new increased opportunities for Sony’s sensor and leisure corporations.</w:t>
      </w:r>
    </w:p>
    <w:p w:rsidR="00000000" w:rsidDel="00000000" w:rsidP="00000000" w:rsidRDefault="00000000" w:rsidRPr="00000000" w14:paraId="00000084">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Conversely, international supply chain disruptions and alternate tensions (e.g., US-China conflicts) pose dangers to Japan’s export-pushed electronics industry (M Report, 2024).</w:t>
      </w:r>
    </w:p>
    <w:p w:rsidR="00000000" w:rsidDel="00000000" w:rsidP="00000000" w:rsidRDefault="00000000" w:rsidRPr="00000000" w14:paraId="00000085">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Porter’s Diamond version demonstrates that Japan’s electronics industry benefits from sturdy aspect conditions, state-of-the-art demand, and tremendously integrated business surroundings. Sony organisation exemplifies how corporations leverage those benefits through innovation, ecosystem strategies, and international growth.</w:t>
      </w:r>
    </w:p>
    <w:p w:rsidR="00000000" w:rsidDel="00000000" w:rsidP="00000000" w:rsidRDefault="00000000" w:rsidRPr="00000000" w14:paraId="00000086">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But challenges which include demographic decline, global opposition, and supply chain vulnerabilities require continuous strategic adaptation. Overall, Japan stays globally aggressive, especially in excessive-value, technology-intensive segments, instead of mass-market electronics.</w:t>
      </w:r>
    </w:p>
    <w:p w:rsidR="00000000" w:rsidDel="00000000" w:rsidP="00000000" w:rsidRDefault="00000000" w:rsidRPr="00000000" w14:paraId="00000087">
      <w:pPr>
        <w:pStyle w:val="Heading1"/>
        <w:rPr/>
      </w:pPr>
      <w:bookmarkStart w:colFirst="0" w:colLast="0" w:name="_hlg22bkkdibf" w:id="16"/>
      <w:bookmarkEnd w:id="16"/>
      <w:r w:rsidDel="00000000" w:rsidR="00000000" w:rsidRPr="00000000">
        <w:rPr>
          <w:rtl w:val="0"/>
        </w:rPr>
        <w:t xml:space="preserve">4. Critical Evaluation of a Foreign MNC Operating in Japan's Electronic Industry</w:t>
      </w:r>
    </w:p>
    <w:p w:rsidR="00000000" w:rsidDel="00000000" w:rsidP="00000000" w:rsidRDefault="00000000" w:rsidRPr="00000000" w14:paraId="00000088">
      <w:pPr>
        <w:pStyle w:val="Heading2"/>
        <w:rPr/>
      </w:pPr>
      <w:bookmarkStart w:colFirst="0" w:colLast="0" w:name="_9azwfoc8qwf5" w:id="17"/>
      <w:bookmarkEnd w:id="17"/>
      <w:r w:rsidDel="00000000" w:rsidR="00000000" w:rsidRPr="00000000">
        <w:rPr>
          <w:rtl w:val="0"/>
        </w:rPr>
        <w:t xml:space="preserve">Introduction: Selected Foreign MNC and Context</w:t>
      </w:r>
    </w:p>
    <w:p w:rsidR="00000000" w:rsidDel="00000000" w:rsidP="00000000" w:rsidRDefault="00000000" w:rsidRPr="00000000" w14:paraId="00000089">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 main foreign multinational corporation (MNC) operating within Japan’s electronics enterprise is Apple Inc. Apple is one of the most influential international generation companies, specialising in top-class consumer electronics along with iPhones, iPads, MacBooks, and virtual offerings. Japan represents certainly one of Apple’s most crucial worldwide markets, specifically within the telephone and consumer electronics section.</w:t>
      </w:r>
    </w:p>
    <w:p w:rsidR="00000000" w:rsidDel="00000000" w:rsidP="00000000" w:rsidRDefault="00000000" w:rsidRPr="00000000" w14:paraId="0000008A">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Japan is the 3rd biggest economy globally and has a fantastically state-of-the-art client base, making it an appealing but extraordinarily competitive marketplace for foreign companies (The Economist, 2023). Apple has established a robust presence in Japan, competing directly with home firms such as Sony and global competitors like Samsung.</w:t>
      </w:r>
    </w:p>
    <w:p w:rsidR="00000000" w:rsidDel="00000000" w:rsidP="00000000" w:rsidRDefault="00000000" w:rsidRPr="00000000" w14:paraId="0000008B">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Consistent with Apple’s annual document (2023), international markets—including Japan—account for a widespread share of its sales, reflecting the importance of world diversification. Japan’s advanced infrastructure, high shopping electricity, and strong logo-aware clients offer beneficial conditions for Apple’s top-class positioning. But fulfilment in this marketplace is stimulated via more than one external element, which includes political, monetary, criminal, and cultural conditions.</w:t>
      </w:r>
    </w:p>
    <w:p w:rsidR="00000000" w:rsidDel="00000000" w:rsidP="00000000" w:rsidRDefault="00000000" w:rsidRPr="00000000" w14:paraId="0000008C">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This section significantly evaluates those elements using frameworks including PESTEL analysis and Hofstede’s cultural dimensions to evaluate the general attractiveness of Japan for Apple’s operations.</w:t>
      </w:r>
    </w:p>
    <w:p w:rsidR="00000000" w:rsidDel="00000000" w:rsidP="00000000" w:rsidRDefault="00000000" w:rsidRPr="00000000" w14:paraId="0000008D">
      <w:pPr>
        <w:pStyle w:val="Heading2"/>
        <w:rPr/>
      </w:pPr>
      <w:bookmarkStart w:colFirst="0" w:colLast="0" w:name="_6c17f3mx7zlq" w:id="18"/>
      <w:bookmarkEnd w:id="18"/>
      <w:r w:rsidDel="00000000" w:rsidR="00000000" w:rsidRPr="00000000">
        <w:rPr>
          <w:rtl w:val="0"/>
        </w:rPr>
        <w:t xml:space="preserve">Evaluation of Apple’s Operations in Japan</w:t>
      </w:r>
    </w:p>
    <w:p w:rsidR="00000000" w:rsidDel="00000000" w:rsidP="00000000" w:rsidRDefault="00000000" w:rsidRPr="00000000" w14:paraId="0000008E">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Apple has built a robust environment-primarily-based approach in Japan, combining hardware, software, and offerings. Its retail presence includes flagship Apple shops in principal cities together with Tokyo and Osaka, supported via robust partnerships with telecom operators like NTT Docomo and SoftBank.</w:t>
      </w:r>
    </w:p>
    <w:p w:rsidR="00000000" w:rsidDel="00000000" w:rsidP="00000000" w:rsidRDefault="00000000" w:rsidRPr="00000000" w14:paraId="0000008F">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Japan is one of the few markets in which Apple holds a dominant share in the top-class phone section. Enterprise reviews imply that Apple’s iPhone constantly captures over 50% of Japan’s telephone market proportion (Statista, 2024). This dominance reflects Apple’s potential to align its product offerings with nearby purchaser alternatives for first-rate design and reliability.</w:t>
      </w:r>
    </w:p>
    <w:p w:rsidR="00000000" w:rsidDel="00000000" w:rsidP="00000000" w:rsidRDefault="00000000" w:rsidRPr="00000000" w14:paraId="00000090">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Apple’s environment strategy—integrating iPhones, iPads, Macs, and services inclusive of Apple Music and iCloud—creates high consumer loyalty and switching charges (Harvard Business Assessment, 2022). But the business enterprise faces demanding situations from domestic companies like Sony, which differentiates itself through leisure ecosystems (gaming, song, and imaging).</w:t>
      </w:r>
    </w:p>
    <w:p w:rsidR="00000000" w:rsidDel="00000000" w:rsidP="00000000" w:rsidRDefault="00000000" w:rsidRPr="00000000" w14:paraId="00000091">
      <w:pPr>
        <w:pStyle w:val="Heading2"/>
        <w:rPr/>
      </w:pPr>
      <w:bookmarkStart w:colFirst="0" w:colLast="0" w:name="_pewnzxj6io9j" w:id="19"/>
      <w:bookmarkEnd w:id="19"/>
      <w:r w:rsidDel="00000000" w:rsidR="00000000" w:rsidRPr="00000000">
        <w:rPr>
          <w:rtl w:val="0"/>
        </w:rPr>
        <w:t xml:space="preserve">Political factors (PESTEL evaluation):</w:t>
      </w:r>
    </w:p>
    <w:p w:rsidR="00000000" w:rsidDel="00000000" w:rsidP="00000000" w:rsidRDefault="00000000" w:rsidRPr="00000000" w14:paraId="00000092">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Japan has especially stable political surroundings, which is a key issue supporting Apple’s operations. The United States of America has robust governance, obvious establishments, and low degrees of corruption, making it attractive for overseas funding (global financial institution, 2023).</w:t>
      </w:r>
    </w:p>
    <w:p w:rsidR="00000000" w:rsidDel="00000000" w:rsidP="00000000" w:rsidRDefault="00000000" w:rsidRPr="00000000" w14:paraId="00000093">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Japanese authorities actively support technological innovation and digital transformation, aligning with Apple’s strategic consciousness on superior technologies, which includes AI and digital ecosystems. Policies selling 5G infrastructure and digital services additionally enhance market possibilities (monetary instances, 2024).</w:t>
      </w:r>
    </w:p>
    <w:p w:rsidR="00000000" w:rsidDel="00000000" w:rsidP="00000000" w:rsidRDefault="00000000" w:rsidRPr="00000000" w14:paraId="00000094">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However, changing members of the family and geopolitical tensions can affect Apple’s operations. As an instance, Apple is predicated heavily on global supply chains, in particular in China. Any disruptions due to US-China exchange tensions might also in a roundabout way affect its capacity to supply merchandise to Japan (Forbes, 2023).</w:t>
      </w:r>
    </w:p>
    <w:p w:rsidR="00000000" w:rsidDel="00000000" w:rsidP="00000000" w:rsidRDefault="00000000" w:rsidRPr="00000000" w14:paraId="00000095">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Moreover, Japan’s near alliance with the United States benefits Apple, as it reduces political chance as compared to other Asian markets.</w:t>
      </w:r>
    </w:p>
    <w:p w:rsidR="00000000" w:rsidDel="00000000" w:rsidP="00000000" w:rsidRDefault="00000000" w:rsidRPr="00000000" w14:paraId="00000096">
      <w:pPr>
        <w:spacing w:after="160"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Critical evaluation:</w:t>
      </w:r>
    </w:p>
    <w:p w:rsidR="00000000" w:rsidDel="00000000" w:rsidP="00000000" w:rsidRDefault="00000000" w:rsidRPr="00000000" w14:paraId="00000097">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At the same time as Japan’s political stability is a primary advantage, Apple’s dependence on worldwide delivery chains exposes it to geopolitical risks past Japan’s manipulation. Therefore, diversification of supply chains is essential for lengthy-time period achievement.</w:t>
      </w:r>
    </w:p>
    <w:p w:rsidR="00000000" w:rsidDel="00000000" w:rsidP="00000000" w:rsidRDefault="00000000" w:rsidRPr="00000000" w14:paraId="00000098">
      <w:pPr>
        <w:pStyle w:val="Heading2"/>
        <w:rPr/>
      </w:pPr>
      <w:bookmarkStart w:colFirst="0" w:colLast="0" w:name="_tys8pi2705me" w:id="20"/>
      <w:bookmarkEnd w:id="20"/>
      <w:r w:rsidDel="00000000" w:rsidR="00000000" w:rsidRPr="00000000">
        <w:rPr>
          <w:rtl w:val="0"/>
        </w:rPr>
        <w:t xml:space="preserve">Financial factors (PESTEL evaluation):</w:t>
      </w:r>
    </w:p>
    <w:p w:rsidR="00000000" w:rsidDel="00000000" w:rsidP="00000000" w:rsidRDefault="00000000" w:rsidRPr="00000000" w14:paraId="00000099">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Japan’s financial surroundings notably influence Apple’s overall performance. As a high-profits economic system with sturdy shopping strength, Japan presents a favourable market for Apple’s top-class-priced products. Consumers are willing to pay for high-quality and technologically superior gadgets, aligning with Apple’s differentiation method.</w:t>
      </w:r>
    </w:p>
    <w:p w:rsidR="00000000" w:rsidDel="00000000" w:rsidP="00000000" w:rsidRDefault="00000000" w:rsidRPr="00000000" w14:paraId="0000009A">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However, economic demanding situations together with a sluggish GDP increase and a growing older population may additionally restrict long-term market enlargement (IMF, 2024). Japan’s mature market structure also means that growth possibilities are fairly restrained compared to rising markets.</w:t>
      </w:r>
    </w:p>
    <w:p w:rsidR="00000000" w:rsidDel="00000000" w:rsidP="00000000" w:rsidRDefault="00000000" w:rsidRPr="00000000" w14:paraId="0000009B">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change rate fluctuations represent every other vital thing. In step with Sony’s corporate document (2024), forex volatility—especially yen-greenback fluctuations—substantially influences multinational corporations’ revenues and profitability. Apple faces similar dangers, as a weaker yen can increase product prices and decrease affordability.</w:t>
      </w:r>
    </w:p>
    <w:p w:rsidR="00000000" w:rsidDel="00000000" w:rsidP="00000000" w:rsidRDefault="00000000" w:rsidRPr="00000000" w14:paraId="0000009C">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In spite of these demanding situations, Japan is still considered one of Apple’s most worthwhile markets because of excessive margins and sturdy logo loyalty.</w:t>
      </w:r>
    </w:p>
    <w:p w:rsidR="00000000" w:rsidDel="00000000" w:rsidP="00000000" w:rsidRDefault="00000000" w:rsidRPr="00000000" w14:paraId="0000009D">
      <w:pPr>
        <w:spacing w:after="160"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Critical evaluation:</w:t>
      </w:r>
    </w:p>
    <w:p w:rsidR="00000000" w:rsidDel="00000000" w:rsidP="00000000" w:rsidRDefault="00000000" w:rsidRPr="00000000" w14:paraId="0000009E">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Japan’s sturdy buying energy helps Apple’s top-rate positioning, but economic stagnation and currency volatility pose risks. Apple must balance pricing techniques to hold competitiveness whilst preserving profitability.</w:t>
      </w:r>
    </w:p>
    <w:p w:rsidR="00000000" w:rsidDel="00000000" w:rsidP="00000000" w:rsidRDefault="00000000" w:rsidRPr="00000000" w14:paraId="0000009F">
      <w:pPr>
        <w:pStyle w:val="Heading2"/>
        <w:rPr/>
      </w:pPr>
      <w:bookmarkStart w:colFirst="0" w:colLast="0" w:name="_27a568y0wmmd" w:id="21"/>
      <w:bookmarkEnd w:id="21"/>
      <w:r w:rsidDel="00000000" w:rsidR="00000000" w:rsidRPr="00000000">
        <w:rPr>
          <w:rtl w:val="0"/>
        </w:rPr>
        <w:t xml:space="preserve">Legal and regulatory factors (PESTEL analysis)</w:t>
      </w:r>
    </w:p>
    <w:p w:rsidR="00000000" w:rsidDel="00000000" w:rsidP="00000000" w:rsidRDefault="00000000" w:rsidRPr="00000000" w14:paraId="000000A0">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Japan has a well-evolved prison system that protects highbrow property rights, which is vital for Apple’s innovation-pushed enterprise model. Strong IP safety ensures that Apple’s proprietary technology and designs are safeguarded from imitation (Harvard Commercial Enterprise Overview, 2021).</w:t>
      </w:r>
    </w:p>
    <w:p w:rsidR="00000000" w:rsidDel="00000000" w:rsidP="00000000" w:rsidRDefault="00000000" w:rsidRPr="00000000" w14:paraId="000000A1">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However, regulatory pressures are growing, particularly regarding competition and virtual markets. Japan has delivered stricter guidelines on massive technology firms to sell fair competition, which may affect Apple’s App Store guidelines and ecosystem control (Monetary Times, 2024).</w:t>
      </w:r>
    </w:p>
    <w:p w:rsidR="00000000" w:rsidDel="00000000" w:rsidP="00000000" w:rsidRDefault="00000000" w:rsidRPr="00000000" w14:paraId="000000A2">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Additionally, patron protection laws in Japan are stringent, requiring excessive product exception and transparency. Apple’s robust cognisance of first-rate customer support aligns well with these requirements.</w:t>
      </w:r>
    </w:p>
    <w:p w:rsidR="00000000" w:rsidDel="00000000" w:rsidP="00000000" w:rsidRDefault="00000000" w:rsidRPr="00000000" w14:paraId="000000A3">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Environmental guidelines also are becoming extra important. Japan emphasises sustainability and carbon reduction, pushing businesses to undertake environmentally pleasant practices. Apple has answered with the aid of investing in renewable energy and sustainable supply chains (Apple, 2023).</w:t>
      </w:r>
    </w:p>
    <w:p w:rsidR="00000000" w:rsidDel="00000000" w:rsidP="00000000" w:rsidRDefault="00000000" w:rsidRPr="00000000" w14:paraId="000000A4">
      <w:pPr>
        <w:spacing w:after="160"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Critical evaluation:</w:t>
      </w:r>
    </w:p>
    <w:p w:rsidR="00000000" w:rsidDel="00000000" w:rsidP="00000000" w:rsidRDefault="00000000" w:rsidRPr="00000000" w14:paraId="000000A5">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Japan’s strong prison framework helps Apple’s operations, but increasing regulatory scrutiny—mainly in digital markets—may also limit its control over its ecosystem. Compliance and adaptability are essential for long-term success.</w:t>
      </w:r>
    </w:p>
    <w:p w:rsidR="00000000" w:rsidDel="00000000" w:rsidP="00000000" w:rsidRDefault="00000000" w:rsidRPr="00000000" w14:paraId="000000A6">
      <w:pPr>
        <w:pStyle w:val="Heading2"/>
        <w:rPr/>
      </w:pPr>
      <w:bookmarkStart w:colFirst="0" w:colLast="0" w:name="_8nhh8dmu2v2p" w:id="22"/>
      <w:bookmarkEnd w:id="22"/>
      <w:r w:rsidDel="00000000" w:rsidR="00000000" w:rsidRPr="00000000">
        <w:rPr>
          <w:rtl w:val="0"/>
        </w:rPr>
        <w:t xml:space="preserve">Cultural factors (Hofstede Framework):</w:t>
      </w:r>
    </w:p>
    <w:p w:rsidR="00000000" w:rsidDel="00000000" w:rsidP="00000000" w:rsidRDefault="00000000" w:rsidRPr="00000000" w14:paraId="000000A7">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Cultural factors play a great role in Apple’s achievement in Japan. the usage of Hofstede’s dimensions:</w:t>
      </w:r>
    </w:p>
    <w:p w:rsidR="00000000" w:rsidDel="00000000" w:rsidP="00000000" w:rsidRDefault="00000000" w:rsidRPr="00000000" w14:paraId="000000A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High uncertainty avoidance: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Eastern purchasers decide on dependable and high-quality products, which aligns with Apple’s emblem image.</w:t>
      </w:r>
    </w:p>
    <w:p w:rsidR="00000000" w:rsidDel="00000000" w:rsidP="00000000" w:rsidRDefault="00000000" w:rsidRPr="00000000" w14:paraId="000000A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Collectivism:</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Logo popularity and social have an impact on critical, reaping benefits Apple’s robust worldwide emblem identification.</w:t>
      </w:r>
    </w:p>
    <w:p w:rsidR="00000000" w:rsidDel="00000000" w:rsidP="00000000" w:rsidRDefault="00000000" w:rsidRPr="00000000" w14:paraId="000000A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Long-term Orientation: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eastern customers' fee durability and lengthy time period cost, which supports Apple’s premium pricing strategy.</w:t>
      </w:r>
    </w:p>
    <w:p w:rsidR="00000000" w:rsidDel="00000000" w:rsidP="00000000" w:rsidRDefault="00000000" w:rsidRPr="00000000" w14:paraId="000000AB">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Apple’s attention to design, fine, and user revelry resonates strongly with Japanese cultural alternatives. Its minimalist design philosophy and interest in elements align with Japanese aesthetics.</w:t>
      </w:r>
    </w:p>
    <w:p w:rsidR="00000000" w:rsidDel="00000000" w:rsidP="00000000" w:rsidRDefault="00000000" w:rsidRPr="00000000" w14:paraId="000000AC">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But localisation is vital. Japanese purchasers count on features including superior cell charge structures (e.g., Suica integration), which Apple has integrated into its merchandise.</w:t>
      </w:r>
    </w:p>
    <w:p w:rsidR="00000000" w:rsidDel="00000000" w:rsidP="00000000" w:rsidRDefault="00000000" w:rsidRPr="00000000" w14:paraId="000000AD">
      <w:pPr>
        <w:spacing w:after="160"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Critical assessment:</w:t>
      </w:r>
    </w:p>
    <w:p w:rsidR="00000000" w:rsidDel="00000000" w:rsidP="00000000" w:rsidRDefault="00000000" w:rsidRPr="00000000" w14:paraId="000000AE">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Cultural alignment is a major energy for Apple in Japan. But failure to evolve to neighbourhood alternatives should weaken its competitive function. Continuous localisation is, consequently, essential.</w:t>
      </w:r>
    </w:p>
    <w:p w:rsidR="00000000" w:rsidDel="00000000" w:rsidP="00000000" w:rsidRDefault="00000000" w:rsidRPr="00000000" w14:paraId="000000AF">
      <w:pPr>
        <w:pStyle w:val="Heading2"/>
        <w:rPr/>
      </w:pPr>
      <w:bookmarkStart w:colFirst="0" w:colLast="0" w:name="_2rqir8k3aavi" w:id="23"/>
      <w:bookmarkEnd w:id="23"/>
      <w:r w:rsidDel="00000000" w:rsidR="00000000" w:rsidRPr="00000000">
        <w:rPr>
          <w:rtl w:val="0"/>
        </w:rPr>
        <w:t xml:space="preserve">Aggressive environment and market attractiveness:</w:t>
      </w:r>
    </w:p>
    <w:p w:rsidR="00000000" w:rsidDel="00000000" w:rsidP="00000000" w:rsidRDefault="00000000" w:rsidRPr="00000000" w14:paraId="000000B0">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Japan’s electronics enterprise is fairly aggressive, with both domestic and worldwide players. Apple faces opposition from:</w:t>
      </w:r>
    </w:p>
    <w:p w:rsidR="00000000" w:rsidDel="00000000" w:rsidP="00000000" w:rsidRDefault="00000000" w:rsidRPr="00000000" w14:paraId="000000B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Sony (entertainment and imaging ecosystem)</w:t>
      </w:r>
    </w:p>
    <w:p w:rsidR="00000000" w:rsidDel="00000000" w:rsidP="00000000" w:rsidRDefault="00000000" w:rsidRPr="00000000" w14:paraId="000000B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Samsung (innovation and pricing techniques)</w:t>
      </w:r>
    </w:p>
    <w:p w:rsidR="00000000" w:rsidDel="00000000" w:rsidP="00000000" w:rsidRDefault="00000000" w:rsidRPr="00000000" w14:paraId="000000B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Local smartphone brands (niche segments).</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01"/>
        <w:gridCol w:w="1992"/>
        <w:gridCol w:w="1333"/>
        <w:gridCol w:w="3590"/>
        <w:tblGridChange w:id="0">
          <w:tblGrid>
            <w:gridCol w:w="2101"/>
            <w:gridCol w:w="1992"/>
            <w:gridCol w:w="1333"/>
            <w:gridCol w:w="3590"/>
          </w:tblGrid>
        </w:tblGridChange>
      </w:tblGrid>
      <w:tr>
        <w:trPr>
          <w:cantSplit w:val="0"/>
          <w:tblHeader w:val="0"/>
        </w:trPr>
        <w:tc>
          <w:tcPr/>
          <w:p w:rsidR="00000000" w:rsidDel="00000000" w:rsidP="00000000" w:rsidRDefault="00000000" w:rsidRPr="00000000" w14:paraId="000000B4">
            <w:pPr>
              <w:spacing w:after="160" w:line="278.00000000000006" w:lineRule="auto"/>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Factor</w:t>
            </w:r>
          </w:p>
        </w:tc>
        <w:tc>
          <w:tcPr/>
          <w:p w:rsidR="00000000" w:rsidDel="00000000" w:rsidP="00000000" w:rsidRDefault="00000000" w:rsidRPr="00000000" w14:paraId="000000B5">
            <w:pPr>
              <w:spacing w:after="160" w:line="278.00000000000006" w:lineRule="auto"/>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Opportunity Level</w:t>
            </w:r>
          </w:p>
        </w:tc>
        <w:tc>
          <w:tcPr/>
          <w:p w:rsidR="00000000" w:rsidDel="00000000" w:rsidP="00000000" w:rsidRDefault="00000000" w:rsidRPr="00000000" w14:paraId="000000B6">
            <w:pPr>
              <w:spacing w:after="160" w:line="278.00000000000006" w:lineRule="auto"/>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Risk Level</w:t>
            </w:r>
          </w:p>
        </w:tc>
        <w:tc>
          <w:tcPr/>
          <w:p w:rsidR="00000000" w:rsidDel="00000000" w:rsidP="00000000" w:rsidRDefault="00000000" w:rsidRPr="00000000" w14:paraId="000000B7">
            <w:pPr>
              <w:spacing w:after="160" w:line="278.00000000000006" w:lineRule="auto"/>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Impact on Apple</w:t>
            </w:r>
          </w:p>
        </w:tc>
      </w:tr>
      <w:tr>
        <w:trPr>
          <w:cantSplit w:val="0"/>
          <w:tblHeader w:val="0"/>
        </w:trPr>
        <w:tc>
          <w:tcPr/>
          <w:p w:rsidR="00000000" w:rsidDel="00000000" w:rsidP="00000000" w:rsidRDefault="00000000" w:rsidRPr="00000000" w14:paraId="000000B8">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Political Stability</w:t>
            </w:r>
          </w:p>
        </w:tc>
        <w:tc>
          <w:tcPr/>
          <w:p w:rsidR="00000000" w:rsidDel="00000000" w:rsidP="00000000" w:rsidRDefault="00000000" w:rsidRPr="00000000" w14:paraId="000000B9">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High</w:t>
            </w:r>
          </w:p>
        </w:tc>
        <w:tc>
          <w:tcPr/>
          <w:p w:rsidR="00000000" w:rsidDel="00000000" w:rsidP="00000000" w:rsidRDefault="00000000" w:rsidRPr="00000000" w14:paraId="000000BA">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Low</w:t>
            </w:r>
          </w:p>
        </w:tc>
        <w:tc>
          <w:tcPr/>
          <w:p w:rsidR="00000000" w:rsidDel="00000000" w:rsidP="00000000" w:rsidRDefault="00000000" w:rsidRPr="00000000" w14:paraId="000000BB">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Strong support for operations</w:t>
            </w:r>
          </w:p>
        </w:tc>
      </w:tr>
      <w:tr>
        <w:trPr>
          <w:cantSplit w:val="0"/>
          <w:tblHeader w:val="0"/>
        </w:trPr>
        <w:tc>
          <w:tcPr/>
          <w:p w:rsidR="00000000" w:rsidDel="00000000" w:rsidP="00000000" w:rsidRDefault="00000000" w:rsidRPr="00000000" w14:paraId="000000BC">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Economic Conditions</w:t>
            </w:r>
          </w:p>
        </w:tc>
        <w:tc>
          <w:tcPr/>
          <w:p w:rsidR="00000000" w:rsidDel="00000000" w:rsidP="00000000" w:rsidRDefault="00000000" w:rsidRPr="00000000" w14:paraId="000000BD">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Moderate</w:t>
            </w:r>
          </w:p>
        </w:tc>
        <w:tc>
          <w:tcPr/>
          <w:p w:rsidR="00000000" w:rsidDel="00000000" w:rsidP="00000000" w:rsidRDefault="00000000" w:rsidRPr="00000000" w14:paraId="000000BE">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Moderate</w:t>
            </w:r>
          </w:p>
        </w:tc>
        <w:tc>
          <w:tcPr/>
          <w:p w:rsidR="00000000" w:rsidDel="00000000" w:rsidP="00000000" w:rsidRDefault="00000000" w:rsidRPr="00000000" w14:paraId="000000BF">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High purchasing power but slow growth</w:t>
            </w:r>
          </w:p>
        </w:tc>
      </w:tr>
      <w:tr>
        <w:trPr>
          <w:cantSplit w:val="0"/>
          <w:tblHeader w:val="0"/>
        </w:trPr>
        <w:tc>
          <w:tcPr/>
          <w:p w:rsidR="00000000" w:rsidDel="00000000" w:rsidP="00000000" w:rsidRDefault="00000000" w:rsidRPr="00000000" w14:paraId="000000C0">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Legal Environment</w:t>
            </w:r>
          </w:p>
        </w:tc>
        <w:tc>
          <w:tcPr/>
          <w:p w:rsidR="00000000" w:rsidDel="00000000" w:rsidP="00000000" w:rsidRDefault="00000000" w:rsidRPr="00000000" w14:paraId="000000C1">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High</w:t>
            </w:r>
          </w:p>
        </w:tc>
        <w:tc>
          <w:tcPr/>
          <w:p w:rsidR="00000000" w:rsidDel="00000000" w:rsidP="00000000" w:rsidRDefault="00000000" w:rsidRPr="00000000" w14:paraId="000000C2">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Moderate</w:t>
            </w:r>
          </w:p>
        </w:tc>
        <w:tc>
          <w:tcPr/>
          <w:p w:rsidR="00000000" w:rsidDel="00000000" w:rsidP="00000000" w:rsidRDefault="00000000" w:rsidRPr="00000000" w14:paraId="000000C3">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Strong IP protection but regulatory pressure</w:t>
            </w:r>
          </w:p>
        </w:tc>
      </w:tr>
      <w:tr>
        <w:trPr>
          <w:cantSplit w:val="0"/>
          <w:tblHeader w:val="0"/>
        </w:trPr>
        <w:tc>
          <w:tcPr/>
          <w:p w:rsidR="00000000" w:rsidDel="00000000" w:rsidP="00000000" w:rsidRDefault="00000000" w:rsidRPr="00000000" w14:paraId="000000C4">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Cultural Alignment</w:t>
            </w:r>
          </w:p>
        </w:tc>
        <w:tc>
          <w:tcPr/>
          <w:p w:rsidR="00000000" w:rsidDel="00000000" w:rsidP="00000000" w:rsidRDefault="00000000" w:rsidRPr="00000000" w14:paraId="000000C5">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High</w:t>
            </w:r>
          </w:p>
        </w:tc>
        <w:tc>
          <w:tcPr/>
          <w:p w:rsidR="00000000" w:rsidDel="00000000" w:rsidP="00000000" w:rsidRDefault="00000000" w:rsidRPr="00000000" w14:paraId="000000C6">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Low</w:t>
            </w:r>
          </w:p>
        </w:tc>
        <w:tc>
          <w:tcPr/>
          <w:p w:rsidR="00000000" w:rsidDel="00000000" w:rsidP="00000000" w:rsidRDefault="00000000" w:rsidRPr="00000000" w14:paraId="000000C7">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Strong fit with consumer preferences</w:t>
            </w:r>
          </w:p>
        </w:tc>
      </w:tr>
      <w:tr>
        <w:trPr>
          <w:cantSplit w:val="0"/>
          <w:tblHeader w:val="0"/>
        </w:trPr>
        <w:tc>
          <w:tcPr/>
          <w:p w:rsidR="00000000" w:rsidDel="00000000" w:rsidP="00000000" w:rsidRDefault="00000000" w:rsidRPr="00000000" w14:paraId="000000C8">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Competition</w:t>
            </w:r>
          </w:p>
        </w:tc>
        <w:tc>
          <w:tcPr/>
          <w:p w:rsidR="00000000" w:rsidDel="00000000" w:rsidP="00000000" w:rsidRDefault="00000000" w:rsidRPr="00000000" w14:paraId="000000C9">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High</w:t>
            </w:r>
          </w:p>
        </w:tc>
        <w:tc>
          <w:tcPr/>
          <w:p w:rsidR="00000000" w:rsidDel="00000000" w:rsidP="00000000" w:rsidRDefault="00000000" w:rsidRPr="00000000" w14:paraId="000000CA">
            <w:pPr>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High</w:t>
            </w:r>
          </w:p>
        </w:tc>
        <w:tc>
          <w:tcPr/>
          <w:p w:rsidR="00000000" w:rsidDel="00000000" w:rsidP="00000000" w:rsidRDefault="00000000" w:rsidRPr="00000000" w14:paraId="000000CB">
            <w:pPr>
              <w:keepNext w:val="1"/>
              <w:spacing w:after="160" w:line="278.00000000000006"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Intense rivalry from global and domestic firms</w:t>
            </w:r>
          </w:p>
        </w:tc>
      </w:tr>
    </w:tbl>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0"/>
          <w:bCs w:val="0"/>
          <w:i w:val="1"/>
          <w:iCs w:val="1"/>
          <w:smallCaps w:val="0"/>
          <w:strike w:val="0"/>
          <w:color w:val="000000"/>
          <w:sz w:val="24"/>
          <w:szCs w:val="24"/>
          <w:u w:val="none"/>
          <w:shd w:fill="auto" w:val="clear"/>
          <w:vertAlign w:val="baseline"/>
        </w:rPr>
      </w:pPr>
      <w:bookmarkStart w:colFirst="0" w:colLast="0" w:name="_6k2lfzlvbn06" w:id="24"/>
      <w:bookmarkEnd w:id="24"/>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Table 2: Market Attractiveness Analysis (Japan Electronics Industry)</w:t>
      </w:r>
      <w:r w:rsidDel="00000000" w:rsidR="00000000" w:rsidRPr="00000000">
        <w:rPr>
          <w:rtl w:val="0"/>
        </w:rPr>
      </w:r>
    </w:p>
    <w:p w:rsidR="00000000" w:rsidDel="00000000" w:rsidP="00000000" w:rsidRDefault="00000000" w:rsidRPr="00000000" w14:paraId="000000CD">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Overall, Japan remains an attractive marketplace due to its balance, superior infrastructure, and excessive-earnings consumers. but intense competition and market adulthood restriction boom capacity.</w:t>
      </w:r>
    </w:p>
    <w:p w:rsidR="00000000" w:rsidDel="00000000" w:rsidP="00000000" w:rsidRDefault="00000000" w:rsidRPr="00000000" w14:paraId="000000CE">
      <w:pPr>
        <w:pStyle w:val="Heading2"/>
        <w:rPr/>
      </w:pPr>
      <w:bookmarkStart w:colFirst="0" w:colLast="0" w:name="_gk1mfmb076iw" w:id="25"/>
      <w:bookmarkEnd w:id="25"/>
      <w:r w:rsidDel="00000000" w:rsidR="00000000" w:rsidRPr="00000000">
        <w:rPr>
          <w:rtl w:val="0"/>
        </w:rPr>
        <w:t xml:space="preserve">Strategic Implications for Apple:</w:t>
      </w:r>
    </w:p>
    <w:p w:rsidR="00000000" w:rsidDel="00000000" w:rsidP="00000000" w:rsidRDefault="00000000" w:rsidRPr="00000000" w14:paraId="000000CF">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To reach Japan, Apple ought to undertake several strategic techniques:</w:t>
      </w:r>
    </w:p>
    <w:p w:rsidR="00000000" w:rsidDel="00000000" w:rsidP="00000000" w:rsidRDefault="00000000" w:rsidRPr="00000000" w14:paraId="000000D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Localisation strategy: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preserve adapting services and products to Eastern choices.</w:t>
      </w:r>
    </w:p>
    <w:p w:rsidR="00000000" w:rsidDel="00000000" w:rsidP="00000000" w:rsidRDefault="00000000" w:rsidRPr="00000000" w14:paraId="000000D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Atmosphere growth:</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enhance integration throughout gadgets and offerings to enhance customer loyalty.</w:t>
      </w:r>
    </w:p>
    <w:p w:rsidR="00000000" w:rsidDel="00000000" w:rsidP="00000000" w:rsidRDefault="00000000" w:rsidRPr="00000000" w14:paraId="000000D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Deliver Chain Diversification: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reduce dependency on specific regions to mitigate geopolitical dangers.</w:t>
      </w:r>
    </w:p>
    <w:p w:rsidR="00000000" w:rsidDel="00000000" w:rsidP="00000000" w:rsidRDefault="00000000" w:rsidRPr="00000000" w14:paraId="000000D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Regulatory Compliance: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Adapt to evolving legal frameworks, mainly in digital markets.</w:t>
      </w:r>
    </w:p>
    <w:p w:rsidR="00000000" w:rsidDel="00000000" w:rsidP="00000000" w:rsidRDefault="00000000" w:rsidRPr="00000000" w14:paraId="000000D4">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Apple’s potential to leverage its international strengths at the same time as responding to neighbourhood conditions will decide its long-term success in Japan.</w:t>
      </w:r>
    </w:p>
    <w:p w:rsidR="00000000" w:rsidDel="00000000" w:rsidP="00000000" w:rsidRDefault="00000000" w:rsidRPr="00000000" w14:paraId="000000D5">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analysis demonstrates that Japan is a highly attractive yet challenging marketplace for Apple. Political balance, sturdy felony structures, and cultural alignment provide full-size blessings, whilst monetary stagnation, regulatory pressures, and excessive opposition gift demanding situations.</w:t>
      </w:r>
    </w:p>
    <w:p w:rsidR="00000000" w:rsidDel="00000000" w:rsidP="00000000" w:rsidRDefault="00000000" w:rsidRPr="00000000" w14:paraId="000000D6">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Apple’s fulfilment in Japan is basically driven by using its premium emblem positioning, ecosystem strategy, and capability to fulfil the expectations of sophisticated customers. But sustaining this fulfilment calls for non-stop innovation, localisation, and strategic adaptability.</w:t>
      </w:r>
    </w:p>
    <w:p w:rsidR="00000000" w:rsidDel="00000000" w:rsidP="00000000" w:rsidRDefault="00000000" w:rsidRPr="00000000" w14:paraId="000000D7">
      <w:pPr>
        <w:spacing w:after="160" w:line="360" w:lineRule="auto"/>
        <w:jc w:val="both"/>
        <w:rPr>
          <w:rFonts w:ascii="Arial" w:cs="Arial" w:eastAsia="Arial" w:hAnsi="Arial"/>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D8">
      <w:pPr>
        <w:pStyle w:val="Heading1"/>
        <w:rPr/>
      </w:pPr>
      <w:bookmarkStart w:colFirst="0" w:colLast="0" w:name="_i1d4j1mjohv" w:id="26"/>
      <w:bookmarkEnd w:id="26"/>
      <w:r w:rsidDel="00000000" w:rsidR="00000000" w:rsidRPr="00000000">
        <w:rPr>
          <w:rtl w:val="0"/>
        </w:rPr>
        <w:t xml:space="preserve">5. Conclusion</w:t>
      </w:r>
    </w:p>
    <w:p w:rsidR="00000000" w:rsidDel="00000000" w:rsidP="00000000" w:rsidRDefault="00000000" w:rsidRPr="00000000" w14:paraId="000000D9">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This report has provided a comprehensive analysis of Japan’s electronics manufacturing enterprise, with a specific recognition of the strategic position of Sony Group Corporation and the aggressive presence of foreign multinational firms such as Apple Inc. The findings spotlight that Japan stays an exceedingly advanced and innovation-driven financial system, supported with the aid of robust aspect situations, state-of-the-art client demand, and a well-advanced community of related and supporting industries. These strengths, as explained through Porter’s Diamond model, support Japan’s role as a global chief in high-price electronics, particularly in areas such as imaging sensors, gaming generation, and precision engineering. But the enterprise also faces structural demanding situations, together with demographic decline, marketplace saturation, and increasing worldwide competition from companies within America and South Korea.</w:t>
      </w:r>
    </w:p>
    <w:p w:rsidR="00000000" w:rsidDel="00000000" w:rsidP="00000000" w:rsidRDefault="00000000" w:rsidRPr="00000000" w14:paraId="000000DA">
      <w:pPr>
        <w:spacing w:after="16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analysis of Apple’s operations in Japan similarly demonstrates that while the market is incredibly attractive because of political stability, strong shopping strength, and cultural alignment with premium brands, it's also especially aggressive and tightly regulated. Standard achievement in this industry calls for non-stop innovation, strong ecosystem techniques, and powerful variation to neighbourhood marketplace conditions. The report consequently concludes that Japan offers each full-size possibility and strategic challenge, making it a highly appealing yet complex surrounding for worldwide electronics companies.</w:t>
      </w:r>
    </w:p>
    <w:p w:rsidR="00000000" w:rsidDel="00000000" w:rsidP="00000000" w:rsidRDefault="00000000" w:rsidRPr="00000000" w14:paraId="000000DB">
      <w:pPr>
        <w:spacing w:after="240"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DC">
      <w:pPr>
        <w:spacing w:after="160" w:line="278.00000000000006" w:lineRule="auto"/>
        <w:rPr>
          <w:rFonts w:ascii="Arial" w:cs="Arial" w:eastAsia="Arial" w:hAnsi="Arial"/>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DD">
      <w:pPr>
        <w:pStyle w:val="Heading1"/>
        <w:jc w:val="center"/>
        <w:rPr>
          <w:u w:val="single"/>
        </w:rPr>
      </w:pPr>
      <w:bookmarkStart w:colFirst="0" w:colLast="0" w:name="_hxnlwzgemz43" w:id="27"/>
      <w:bookmarkEnd w:id="27"/>
      <w:r w:rsidDel="00000000" w:rsidR="00000000" w:rsidRPr="00000000">
        <w:rPr>
          <w:u w:val="single"/>
          <w:rtl w:val="0"/>
        </w:rPr>
        <w:t xml:space="preserve">Section 2</w:t>
      </w:r>
    </w:p>
    <w:p w:rsidR="00000000" w:rsidDel="00000000" w:rsidP="00000000" w:rsidRDefault="00000000" w:rsidRPr="00000000" w14:paraId="000000DE">
      <w:pPr>
        <w:pStyle w:val="Heading1"/>
        <w:rPr/>
      </w:pPr>
      <w:bookmarkStart w:colFirst="0" w:colLast="0" w:name="_e18nbpoleqg" w:id="28"/>
      <w:bookmarkEnd w:id="28"/>
      <w:r w:rsidDel="00000000" w:rsidR="00000000" w:rsidRPr="00000000">
        <w:rPr>
          <w:rtl w:val="0"/>
        </w:rPr>
        <w:t xml:space="preserve">Reflective Report on the Research Process:</w:t>
      </w:r>
    </w:p>
    <w:p w:rsidR="00000000" w:rsidDel="00000000" w:rsidP="00000000" w:rsidRDefault="00000000" w:rsidRPr="00000000" w14:paraId="000000DF">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This segment gives a based, reflective account of the manner undertaken to investigate, analyse, and expand the preceding parts of the venture. Gibbs’ Reflective Cycle (1988) is used as the guiding framework because it lets in a systematic reflection via six stages: description, emotions, assessment, evaluation, conclusion, and action plan. This technique allows seriously examining both the strengths and limitations of the work completed whilst figuring out areas for destiny development in instructional research and writing.</w:t>
      </w:r>
    </w:p>
    <w:p w:rsidR="00000000" w:rsidDel="00000000" w:rsidP="00000000" w:rsidRDefault="00000000" w:rsidRPr="00000000" w14:paraId="000000E0">
      <w:pPr>
        <w:keepNext w:val="1"/>
        <w:spacing w:before="240" w:line="360" w:lineRule="auto"/>
        <w:jc w:val="center"/>
        <w:rPr/>
      </w:pPr>
      <w:r w:rsidDel="00000000" w:rsidR="00000000" w:rsidRPr="00000000">
        <w:rPr/>
        <w:drawing>
          <wp:inline distB="0" distT="0" distL="0" distR="0">
            <wp:extent cx="3631271" cy="2723654"/>
            <wp:effectExtent b="0" l="0" r="0" t="0"/>
            <wp:docPr descr="Gibbs Reflective Cycle" id="4" name="image4.png"/>
            <a:graphic>
              <a:graphicData uri="http://schemas.openxmlformats.org/drawingml/2006/picture">
                <pic:pic>
                  <pic:nvPicPr>
                    <pic:cNvPr descr="Gibbs Reflective Cycle" id="0" name="image4.png"/>
                    <pic:cNvPicPr preferRelativeResize="0"/>
                  </pic:nvPicPr>
                  <pic:blipFill>
                    <a:blip r:embed="rId11"/>
                    <a:srcRect b="0" l="0" r="0" t="0"/>
                    <a:stretch>
                      <a:fillRect/>
                    </a:stretch>
                  </pic:blipFill>
                  <pic:spPr>
                    <a:xfrm>
                      <a:off x="0" y="0"/>
                      <a:ext cx="3631271" cy="2723654"/>
                    </a:xfrm>
                    <a:prstGeom prst="rect"/>
                    <a:ln/>
                  </pic:spPr>
                </pic:pic>
              </a:graphicData>
            </a:graphic>
          </wp:inline>
        </w:drawing>
      </w:r>
      <w:r w:rsidDel="00000000" w:rsidR="00000000" w:rsidRPr="00000000">
        <w:rPr>
          <w:rtl w:val="0"/>
        </w:rPr>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000000"/>
          <w:sz w:val="24"/>
          <w:szCs w:val="24"/>
          <w:u w:val="none"/>
          <w:shd w:fill="auto" w:val="clear"/>
          <w:vertAlign w:val="baseline"/>
        </w:rPr>
      </w:pPr>
      <w:bookmarkStart w:colFirst="0" w:colLast="0" w:name="_ejzdkolvybmz" w:id="29"/>
      <w:bookmarkEnd w:id="29"/>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3: Gibbs’ Reflective Cycle</w:t>
      </w:r>
      <w:r w:rsidDel="00000000" w:rsidR="00000000" w:rsidRPr="00000000">
        <w:rPr>
          <w:rtl w:val="0"/>
        </w:rPr>
      </w:r>
    </w:p>
    <w:p w:rsidR="00000000" w:rsidDel="00000000" w:rsidP="00000000" w:rsidRDefault="00000000" w:rsidRPr="00000000" w14:paraId="000000E2">
      <w:pPr>
        <w:spacing w:before="240"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1. Description (What occurred?)</w:t>
      </w:r>
    </w:p>
    <w:p w:rsidR="00000000" w:rsidDel="00000000" w:rsidP="00000000" w:rsidRDefault="00000000" w:rsidRPr="00000000" w14:paraId="000000E3">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undertaking involved getting ready an academic record on the worldwide competitiveness of the electronics production industry in Japan, focusing on the Sony Group organisation and evaluating the operations of Apple Inc. as a chief foreign multinational agency.</w:t>
      </w:r>
    </w:p>
    <w:p w:rsidR="00000000" w:rsidDel="00000000" w:rsidP="00000000" w:rsidRDefault="00000000" w:rsidRPr="00000000" w14:paraId="000000E4">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venture required multiple degrees of work. First, I conducted heritage research on Japan’s electronics industry, which includes its shape, financial importance, and key players. Second, I analysed enterprise competitiveness using Porter’s Diamond model. Third, I evaluated Apple’s market entry and overall performance in Japan using the PESTEL and cultural frameworks which include Hofstede’s dimensions.</w:t>
      </w:r>
    </w:p>
    <w:p w:rsidR="00000000" w:rsidDel="00000000" w:rsidP="00000000" w:rsidRDefault="00000000" w:rsidRPr="00000000" w14:paraId="000000E5">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To finish these responsibilities, I used a mixture of secondary facts and assets, consisting of organisation annual reviews (Sony and Apple), Statista industry records, educational journals (Harvard Business Review), and legitimate enterprise courses consisting of The Economic Times and The Economist. I ensured that every one of the references has been within the 2020–2024 range, as required through the venture short.</w:t>
      </w:r>
    </w:p>
    <w:p w:rsidR="00000000" w:rsidDel="00000000" w:rsidP="00000000" w:rsidRDefault="00000000" w:rsidRPr="00000000" w14:paraId="000000E6">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writing procedure involved structuring the file into clean sections, integrating theory with actual global facts, and keeping educational referencing requirements (UWTSD Harvard fashion). I also protected tables and frameworks to enhance clarity and vital analysis.</w:t>
      </w:r>
    </w:p>
    <w:p w:rsidR="00000000" w:rsidDel="00000000" w:rsidP="00000000" w:rsidRDefault="00000000" w:rsidRPr="00000000" w14:paraId="000000E7">
      <w:pPr>
        <w:spacing w:before="240"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2. Feelings (What have you been thinking and feeling?)</w:t>
      </w:r>
    </w:p>
    <w:p w:rsidR="00000000" w:rsidDel="00000000" w:rsidP="00000000" w:rsidRDefault="00000000" w:rsidRPr="00000000" w14:paraId="000000E8">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At the beginning of the project, I felt assured about my expertise of the electronics industry and multinational commercial enterprise operations. However, as I progressed, I realised that the depth of evaluation required changed into greater complexity than expected.</w:t>
      </w:r>
    </w:p>
    <w:p w:rsidR="00000000" w:rsidDel="00000000" w:rsidP="00000000" w:rsidRDefault="00000000" w:rsidRPr="00000000" w14:paraId="000000E9">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One of the main demanding situations I skilled turned into filtering large amounts of records from a couple of assets. At the same time as there were widespread statistics to be had on corporations like Apple and Sony, no longer were all resources dependable or appropriate for educational use. This made me greater caution approximately source selection and multiplied the time wanted for verification.</w:t>
      </w:r>
    </w:p>
    <w:p w:rsidR="00000000" w:rsidDel="00000000" w:rsidP="00000000" w:rsidRDefault="00000000" w:rsidRPr="00000000" w14:paraId="000000EA">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 additionally initially felt crushed by the requirement to combine multiple frameworks consisting of Porter’s Diamond version and PESTEL evaluation. However, as I commenced structuring the record, I gained confidence in applying those models systematically.</w:t>
      </w:r>
    </w:p>
    <w:p w:rsidR="00000000" w:rsidDel="00000000" w:rsidP="00000000" w:rsidRDefault="00000000" w:rsidRPr="00000000" w14:paraId="000000EB">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standard, my emotions shifted from uncertainty to self-assurance as I developed a clearer understanding of a way to connect ideas with real-world industry facts.</w:t>
      </w:r>
    </w:p>
    <w:p w:rsidR="00000000" w:rsidDel="00000000" w:rsidP="00000000" w:rsidRDefault="00000000" w:rsidRPr="00000000" w14:paraId="000000EC">
      <w:pPr>
        <w:spacing w:before="240"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3. Assessment (What became appropriate and terrible approximately the revelry?)</w:t>
      </w:r>
    </w:p>
    <w:p w:rsidR="00000000" w:rsidDel="00000000" w:rsidP="00000000" w:rsidRDefault="00000000" w:rsidRPr="00000000" w14:paraId="000000ED">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There have been numerous high-quality factors of my method. First, I correctly used credible and high-quality resources, along with annual reviews and educational journals, which reinforced the reliability of the evaluation. Second, I maintained a clean structure during the report, which stepped up clarity and logical flow. Third, integrating frameworks together with Porter’s Diamond model helped deepen the essential analysis rather than surely describing the industry.</w:t>
      </w:r>
    </w:p>
    <w:p w:rsidR="00000000" w:rsidDel="00000000" w:rsidP="00000000" w:rsidRDefault="00000000" w:rsidRPr="00000000" w14:paraId="000000EE">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However, there have been additional barriers. One weakness was that a few data resources, especially industry reviews, have not been constantly constant in terms of figures along with market percentage and revenue. This required cautious pass-checking, which occasionally bogged down the procedure. Another limitation turned out to be that my preliminary drafts were too descriptive rather than severely analytical, especially within the industry review section.</w:t>
      </w:r>
    </w:p>
    <w:p w:rsidR="00000000" w:rsidDel="00000000" w:rsidP="00000000" w:rsidRDefault="00000000" w:rsidRPr="00000000" w14:paraId="000000EF">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Moreover, time management was an assignment due to the fact I spent extra time on the records series rather than, first of all, deliberately. This decreased the time available for refining arguments and improving academic writing fashion.</w:t>
      </w:r>
    </w:p>
    <w:p w:rsidR="00000000" w:rsidDel="00000000" w:rsidP="00000000" w:rsidRDefault="00000000" w:rsidRPr="00000000" w14:paraId="000000F0">
      <w:pPr>
        <w:spacing w:before="240"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4. Evaluation (What feeling am I able to make of the state of affairs?)</w:t>
      </w:r>
    </w:p>
    <w:p w:rsidR="00000000" w:rsidDel="00000000" w:rsidP="00000000" w:rsidRDefault="00000000" w:rsidRPr="00000000" w14:paraId="000000F1">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essay highlighted the significance of the usage of structured research strategies in instructional writing. I realised that powerful enterprise evaluation calls for not just amassing the best records but also seriously evaluating their relevance and reliability.</w:t>
      </w:r>
    </w:p>
    <w:p w:rsidR="00000000" w:rsidDel="00000000" w:rsidP="00000000" w:rsidRDefault="00000000" w:rsidRPr="00000000" w14:paraId="000000F2">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use of annual reports from Sony, the institution's organisation and Apple Inc. furnished accurate economic and strategic insights. These number one company assets had been extra reliable than fashionable online summaries. This reinforced the importance of prioritising number one statistical sources in business research.</w:t>
      </w:r>
    </w:p>
    <w:p w:rsidR="00000000" w:rsidDel="00000000" w:rsidP="00000000" w:rsidRDefault="00000000" w:rsidRPr="00000000" w14:paraId="000000F3">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Applying Porter’s Diamond model helped me apprehend how countrywide competitiveness is fashioned through interconnected factors instead of isolated conditions. Similarly, the PESTEL analysis of Apple in Japan confirmed how external environmental forces affect multinational success.</w:t>
      </w:r>
    </w:p>
    <w:p w:rsidR="00000000" w:rsidDel="00000000" w:rsidP="00000000" w:rsidRDefault="00000000" w:rsidRPr="00000000" w14:paraId="000000F4">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 additionally found out that instructional writing calls for balancing description with essential evaluation. First of all, I centred an excessive amount of effort on explaining records instead of deciphering them. However, as I stepped forward, I began linking evidence to theory, which progressed the analytical depth of the report.</w:t>
      </w:r>
    </w:p>
    <w:p w:rsidR="00000000" w:rsidDel="00000000" w:rsidP="00000000" w:rsidRDefault="00000000" w:rsidRPr="00000000" w14:paraId="000000F5">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Moreover, I regarded the importance of referencing consistency. Using UWTSD Harvard referencing fashion required careful attention to detail, mainly while integrating multiple sources. This progressed my academic field and citation accuracy.</w:t>
      </w:r>
    </w:p>
    <w:p w:rsidR="00000000" w:rsidDel="00000000" w:rsidP="00000000" w:rsidRDefault="00000000" w:rsidRPr="00000000" w14:paraId="000000F6">
      <w:pPr>
        <w:spacing w:before="240"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5. Conclusion (What have I found out?)</w:t>
      </w:r>
    </w:p>
    <w:p w:rsidR="00000000" w:rsidDel="00000000" w:rsidP="00000000" w:rsidRDefault="00000000" w:rsidRPr="00000000" w14:paraId="000000F7">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From this enjoyment, I've found out numerous key educational and analytical capabilities. First, I've advanced my capability to behaviour-based secondary studies using credible sources inclusive of annual reports, instructional journals, and enterprise guides.</w:t>
      </w:r>
    </w:p>
    <w:p w:rsidR="00000000" w:rsidDel="00000000" w:rsidP="00000000" w:rsidRDefault="00000000" w:rsidRPr="00000000" w14:paraId="000000F8">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Secondly, I have advanced more potent analytical skills through applying theoretical frameworks which include Porter’s Diamond model and PESTEL evaluation to actual international enterprise contexts. This helped me move beyond descriptive writing and interact in vital evaluation.</w:t>
      </w:r>
    </w:p>
    <w:p w:rsidR="00000000" w:rsidDel="00000000" w:rsidP="00000000" w:rsidRDefault="00000000" w:rsidRPr="00000000" w14:paraId="000000F9">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Thirdly, I've advanced my educational writing structure, especially in organising complicated data into clear sections with logical drift and supporting evidence.</w:t>
      </w:r>
    </w:p>
    <w:p w:rsidR="00000000" w:rsidDel="00000000" w:rsidP="00000000" w:rsidRDefault="00000000" w:rsidRPr="00000000" w14:paraId="000000FA">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Finally, I have found out the importance of time control and making plans in completing massive educational tasks efficiently. I now remember the fact that breaking down assignments into degrees considerably improves pleasantness and decreases pressure at the final degree.</w:t>
      </w:r>
    </w:p>
    <w:p w:rsidR="00000000" w:rsidDel="00000000" w:rsidP="00000000" w:rsidRDefault="00000000" w:rsidRPr="00000000" w14:paraId="000000FB">
      <w:pPr>
        <w:spacing w:before="240"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6. Motion Plan (If the state of affairs arose once more, what would I do in a different way?)</w:t>
      </w:r>
    </w:p>
    <w:p w:rsidR="00000000" w:rsidDel="00000000" w:rsidP="00000000" w:rsidRDefault="00000000" w:rsidRPr="00000000" w14:paraId="000000FC">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If I were to complete a similar challenge within the future, I would make numerous enhancements. First, I might start with a greater exact studies plan, definitely identifying which assets I'm able to use for every section before beginning writing. This would improve efficiency and reduce time spent trying to find facts.</w:t>
      </w:r>
    </w:p>
    <w:p w:rsidR="00000000" w:rsidDel="00000000" w:rsidP="00000000" w:rsidRDefault="00000000" w:rsidRPr="00000000" w14:paraId="000000FD">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Secondly, I would allocate more time to essential evaluation instead of statistics collection. While collecting records is vital, deeper evaluation of developments and implications provides more instructional cost.</w:t>
      </w:r>
    </w:p>
    <w:p w:rsidR="00000000" w:rsidDel="00000000" w:rsidP="00000000" w:rsidRDefault="00000000" w:rsidRPr="00000000" w14:paraId="000000FE">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Thirdly, I would create a reference management system (e.g., Zotero or EndNote) to ensure greater efficient and accurate citation control in UWTSD Harvard style.</w:t>
      </w:r>
    </w:p>
    <w:p w:rsidR="00000000" w:rsidDel="00000000" w:rsidP="00000000" w:rsidRDefault="00000000" w:rsidRPr="00000000" w14:paraId="000000FF">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Fourthly, I would draft every phase earlier and be looking for feedback before the very last submission. This would assist in picking out weaknesses in argument structure and enhance readability.</w:t>
      </w:r>
    </w:p>
    <w:p w:rsidR="00000000" w:rsidDel="00000000" w:rsidP="00000000" w:rsidRDefault="00000000" w:rsidRPr="00000000" w14:paraId="00000100">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Subsequently, I'd similarly increase my vital writing skills by using training more case-observation analyses and journal-primarily based evaluations, particularly specialising in comparing multinational strategies in extraordinary markets.</w:t>
      </w:r>
    </w:p>
    <w:p w:rsidR="00000000" w:rsidDel="00000000" w:rsidP="00000000" w:rsidRDefault="00000000" w:rsidRPr="00000000" w14:paraId="00000101">
      <w:pPr>
        <w:spacing w:before="240"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Final Reflection:</w:t>
      </w:r>
    </w:p>
    <w:p w:rsidR="00000000" w:rsidDel="00000000" w:rsidP="00000000" w:rsidRDefault="00000000" w:rsidRPr="00000000" w14:paraId="00000102">
      <w:pPr>
        <w:spacing w:before="240"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Overall, this challenge has been a valuable studying revel in that it's more suitable to my knowledge of international commercial enterprise, enterprise analysis, and academic research techniques. By using structured frameworks and credible resources, I used to be capable of producing a more analytical and proof-primarily based file. Even though demanding situations were encountered, specifically in data evaluation and time management, those difficulties contributed drastically to my academic improvement and could inform my destiny research practice.</w:t>
      </w:r>
    </w:p>
    <w:p w:rsidR="00000000" w:rsidDel="00000000" w:rsidP="00000000" w:rsidRDefault="00000000" w:rsidRPr="00000000" w14:paraId="00000103">
      <w:pPr>
        <w:spacing w:before="240" w:line="360" w:lineRule="auto"/>
        <w:jc w:val="both"/>
        <w:rPr>
          <w:rFonts w:ascii="Arial" w:cs="Arial" w:eastAsia="Arial" w:hAnsi="Arial"/>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04">
      <w:pPr>
        <w:pStyle w:val="Heading1"/>
        <w:spacing w:line="360" w:lineRule="auto"/>
        <w:rPr/>
      </w:pPr>
      <w:bookmarkStart w:colFirst="0" w:colLast="0" w:name="_gagylck04wb9" w:id="30"/>
      <w:bookmarkEnd w:id="30"/>
      <w:r w:rsidDel="00000000" w:rsidR="00000000" w:rsidRPr="00000000">
        <w:rPr>
          <w:rtl w:val="0"/>
        </w:rPr>
        <w:t xml:space="preserve">Reference</w:t>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Financial Times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Toshiba’s restructuring and strategic shift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2">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https://www.ft.com/</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Financial Times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Global semiconductor supply chain and Japan’s role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3">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https://www.ft.com/</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Forbes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Apple vs Samsung: Competitive strategies in global markets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4">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https://www.forbes.com/</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Harvard Business Review (2022)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Innovation and competitiveness in Japanese manufacturing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5">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https://hbr.org/</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Harvard Business Review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Platform ecosystems and competitive advantage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6">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https://hbr.org/</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Panasonic Holdings Corporation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Annual Report 2023</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7">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https://www.panasonic.com/</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Sony Group Corporation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Annual Report 2024</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8">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https://www.sony.com/en/SonyInfo/IR/</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Statista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Electronics industry revenue in Japan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9">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https://www.statista.com/</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Economist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Japan’s technology sector and global influence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0">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https://www.economist.com/</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E">
      <w:pP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EU-Japan Centre (2024) </w:t>
      </w:r>
      <w:r w:rsidDel="00000000" w:rsidR="00000000" w:rsidRPr="00000000">
        <w:rPr>
          <w:rFonts w:ascii="Arial" w:cs="Arial" w:eastAsia="Arial" w:hAnsi="Arial"/>
          <w:i w:val="1"/>
          <w:iCs w:val="1"/>
          <w:sz w:val="24"/>
          <w:szCs w:val="24"/>
          <w:rtl w:val="0"/>
        </w:rPr>
        <w:t xml:space="preserve">Japan’s emerging electronics companies and supply chain ecosystem</w:t>
      </w:r>
      <w:r w:rsidDel="00000000" w:rsidR="00000000" w:rsidRPr="00000000">
        <w:rPr>
          <w:rFonts w:ascii="Arial" w:cs="Arial" w:eastAsia="Arial" w:hAnsi="Arial"/>
          <w:sz w:val="24"/>
          <w:szCs w:val="24"/>
          <w:rtl w:val="0"/>
        </w:rPr>
        <w:t xml:space="preserve">. Available at: </w:t>
      </w:r>
      <w:hyperlink r:id="rId21">
        <w:r w:rsidDel="00000000" w:rsidR="00000000" w:rsidRPr="00000000">
          <w:rPr>
            <w:rFonts w:ascii="Arial" w:cs="Arial" w:eastAsia="Arial" w:hAnsi="Arial"/>
            <w:color w:val="0563c1"/>
            <w:sz w:val="24"/>
            <w:szCs w:val="24"/>
            <w:u w:val="single"/>
            <w:rtl w:val="0"/>
          </w:rPr>
          <w:t xml:space="preserve">https://www.eu-japan.eu/</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0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Financial Times (2024) </w:t>
      </w:r>
      <w:r w:rsidDel="00000000" w:rsidR="00000000" w:rsidRPr="00000000">
        <w:rPr>
          <w:rFonts w:ascii="Arial" w:cs="Arial" w:eastAsia="Arial" w:hAnsi="Arial"/>
          <w:i w:val="1"/>
          <w:iCs w:val="1"/>
          <w:sz w:val="24"/>
          <w:szCs w:val="24"/>
          <w:rtl w:val="0"/>
        </w:rPr>
        <w:t xml:space="preserve">Japan’s semiconductor and industrial strategy</w:t>
      </w:r>
      <w:r w:rsidDel="00000000" w:rsidR="00000000" w:rsidRPr="00000000">
        <w:rPr>
          <w:rFonts w:ascii="Arial" w:cs="Arial" w:eastAsia="Arial" w:hAnsi="Arial"/>
          <w:sz w:val="24"/>
          <w:szCs w:val="24"/>
          <w:rtl w:val="0"/>
        </w:rPr>
        <w:t xml:space="preserve">. Available at: </w:t>
      </w:r>
      <w:hyperlink r:id="rId22">
        <w:r w:rsidDel="00000000" w:rsidR="00000000" w:rsidRPr="00000000">
          <w:rPr>
            <w:rFonts w:ascii="Arial" w:cs="Arial" w:eastAsia="Arial" w:hAnsi="Arial"/>
            <w:color w:val="0563c1"/>
            <w:sz w:val="24"/>
            <w:szCs w:val="24"/>
            <w:u w:val="single"/>
            <w:rtl w:val="0"/>
          </w:rPr>
          <w:t xml:space="preserve">https://www.ft.com/</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1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Harvard Business Review (2022) </w:t>
      </w:r>
      <w:r w:rsidDel="00000000" w:rsidR="00000000" w:rsidRPr="00000000">
        <w:rPr>
          <w:rFonts w:ascii="Arial" w:cs="Arial" w:eastAsia="Arial" w:hAnsi="Arial"/>
          <w:i w:val="1"/>
          <w:iCs w:val="1"/>
          <w:sz w:val="24"/>
          <w:szCs w:val="24"/>
          <w:rtl w:val="0"/>
        </w:rPr>
        <w:t xml:space="preserve">Innovation and competitiveness in advanced economies</w:t>
      </w:r>
      <w:r w:rsidDel="00000000" w:rsidR="00000000" w:rsidRPr="00000000">
        <w:rPr>
          <w:rFonts w:ascii="Arial" w:cs="Arial" w:eastAsia="Arial" w:hAnsi="Arial"/>
          <w:sz w:val="24"/>
          <w:szCs w:val="24"/>
          <w:rtl w:val="0"/>
        </w:rPr>
        <w:t xml:space="preserve">. Available at: </w:t>
      </w:r>
      <w:hyperlink r:id="rId23">
        <w:r w:rsidDel="00000000" w:rsidR="00000000" w:rsidRPr="00000000">
          <w:rPr>
            <w:rFonts w:ascii="Arial" w:cs="Arial" w:eastAsia="Arial" w:hAnsi="Arial"/>
            <w:color w:val="0563c1"/>
            <w:sz w:val="24"/>
            <w:szCs w:val="24"/>
            <w:u w:val="single"/>
            <w:rtl w:val="0"/>
          </w:rPr>
          <w:t xml:space="preserve">https://hbr.org/</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1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Longbridge (2025) </w:t>
      </w:r>
      <w:r w:rsidDel="00000000" w:rsidR="00000000" w:rsidRPr="00000000">
        <w:rPr>
          <w:rFonts w:ascii="Arial" w:cs="Arial" w:eastAsia="Arial" w:hAnsi="Arial"/>
          <w:i w:val="1"/>
          <w:iCs w:val="1"/>
          <w:sz w:val="24"/>
          <w:szCs w:val="24"/>
          <w:rtl w:val="0"/>
        </w:rPr>
        <w:t xml:space="preserve">Strategic analysis of Sony Group and global competitiveness</w:t>
      </w:r>
      <w:r w:rsidDel="00000000" w:rsidR="00000000" w:rsidRPr="00000000">
        <w:rPr>
          <w:rFonts w:ascii="Arial" w:cs="Arial" w:eastAsia="Arial" w:hAnsi="Arial"/>
          <w:sz w:val="24"/>
          <w:szCs w:val="24"/>
          <w:rtl w:val="0"/>
        </w:rPr>
        <w:t xml:space="preserve">. Available at: </w:t>
      </w:r>
      <w:hyperlink r:id="rId24">
        <w:r w:rsidDel="00000000" w:rsidR="00000000" w:rsidRPr="00000000">
          <w:rPr>
            <w:rFonts w:ascii="Arial" w:cs="Arial" w:eastAsia="Arial" w:hAnsi="Arial"/>
            <w:color w:val="0563c1"/>
            <w:sz w:val="24"/>
            <w:szCs w:val="24"/>
            <w:u w:val="single"/>
            <w:rtl w:val="0"/>
          </w:rPr>
          <w:t xml:space="preserve">https://longbridge.com/</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1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MReport (2024) </w:t>
      </w:r>
      <w:r w:rsidDel="00000000" w:rsidR="00000000" w:rsidRPr="00000000">
        <w:rPr>
          <w:rFonts w:ascii="Arial" w:cs="Arial" w:eastAsia="Arial" w:hAnsi="Arial"/>
          <w:i w:val="1"/>
          <w:iCs w:val="1"/>
          <w:sz w:val="24"/>
          <w:szCs w:val="24"/>
          <w:rtl w:val="0"/>
        </w:rPr>
        <w:t xml:space="preserve">Electronics industry growth and global risks</w:t>
      </w:r>
      <w:r w:rsidDel="00000000" w:rsidR="00000000" w:rsidRPr="00000000">
        <w:rPr>
          <w:rFonts w:ascii="Arial" w:cs="Arial" w:eastAsia="Arial" w:hAnsi="Arial"/>
          <w:sz w:val="24"/>
          <w:szCs w:val="24"/>
          <w:rtl w:val="0"/>
        </w:rPr>
        <w:t xml:space="preserve">. Available at: </w:t>
      </w:r>
      <w:hyperlink r:id="rId25">
        <w:r w:rsidDel="00000000" w:rsidR="00000000" w:rsidRPr="00000000">
          <w:rPr>
            <w:rFonts w:ascii="Arial" w:cs="Arial" w:eastAsia="Arial" w:hAnsi="Arial"/>
            <w:color w:val="0563c1"/>
            <w:sz w:val="24"/>
            <w:szCs w:val="24"/>
            <w:u w:val="single"/>
            <w:rtl w:val="0"/>
          </w:rPr>
          <w:t xml:space="preserve">https://www.mreport.co.th/</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Sony Group Corporation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Corporate Report 2024</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6">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https://www.sony.com/en/SonyInfo/IR/</w:t>
        </w:r>
      </w:hyperlink>
      <w:r w:rsidDel="00000000" w:rsidR="00000000" w:rsidRPr="00000000">
        <w:rPr>
          <w:rtl w:val="0"/>
        </w:rPr>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Apple Inc.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Annual Report 2023</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7">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https://www.apple.com/investor/</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Financial Times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Regulation of Big Tech and Japan’s digital economy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8">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https://www.ft.com/</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Forbes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Global supply chain risks for Apple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9">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https://www.forbes.com/</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Harvard Business Review (2021)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Intellectual property and innovation strategy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0">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https://hbr.org/</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Harvard Business Review (2022)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Ecosystem strategy and competitive advantage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1">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https://hbr.org/</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International Monetary Fund (IMF)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Japan economic outlook</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2">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https://www.imf.org/</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Sony Group Corporation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Corporate Report 2024</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3">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https://www.sony.com/en/SonyInfo/IR/</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Statista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Smartphone market share in Japan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4">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https://www.statista.com/</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Economist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Japan’s economic and technological landscape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5">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https://www.economist.com/</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8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World Bank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Governance indicators: Japan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6">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https://www.worldbank.org/</w:t>
        </w:r>
      </w:hyperlink>
      <w:r w:rsidDel="00000000" w:rsidR="00000000" w:rsidRPr="00000000">
        <w:rPr>
          <w:rtl w:val="0"/>
        </w:rPr>
      </w:r>
    </w:p>
    <w:sectPr>
      <w:pgSz w:h="16838" w:w="11906"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decimal"/>
      <w:lvlText w:val="%1."/>
      <w:lvlJc w:val="left"/>
      <w:pPr>
        <w:ind w:left="720" w:hanging="360"/>
      </w:pPr>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Arial" w:cs="Arial" w:eastAsia="Arial" w:hAnsi="Arial"/>
      <w:b w:val="1"/>
      <w:bCs w:val="1"/>
      <w:color w:val="000000"/>
      <w:sz w:val="32"/>
      <w:szCs w:val="32"/>
    </w:rPr>
  </w:style>
  <w:style w:type="paragraph" w:styleId="Heading2">
    <w:name w:val="heading 2"/>
    <w:basedOn w:val="Normal"/>
    <w:next w:val="Normal"/>
    <w:pPr>
      <w:keepNext w:val="1"/>
      <w:keepLines w:val="1"/>
      <w:spacing w:after="80" w:before="160" w:lineRule="auto"/>
    </w:pPr>
    <w:rPr>
      <w:rFonts w:ascii="Arial" w:cs="Arial" w:eastAsia="Arial" w:hAnsi="Arial"/>
      <w:b w:val="1"/>
      <w:bCs w:val="1"/>
      <w:color w:val="000000"/>
      <w:sz w:val="28"/>
      <w:szCs w:val="28"/>
    </w:rPr>
  </w:style>
  <w:style w:type="paragraph" w:styleId="Heading3">
    <w:name w:val="heading 3"/>
    <w:basedOn w:val="Normal"/>
    <w:next w:val="Normal"/>
    <w:pPr>
      <w:keepNext w:val="1"/>
      <w:keepLines w:val="1"/>
      <w:spacing w:after="80" w:before="160" w:lineRule="auto"/>
    </w:pPr>
    <w:rPr>
      <w:rFonts w:ascii="Arial" w:cs="Arial" w:eastAsia="Arial" w:hAnsi="Arial"/>
      <w:b w:val="1"/>
      <w:bCs w:val="1"/>
      <w:color w:val="000000"/>
      <w:sz w:val="26"/>
      <w:szCs w:val="26"/>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economist.com/" TargetMode="External"/><Relationship Id="rId22" Type="http://schemas.openxmlformats.org/officeDocument/2006/relationships/hyperlink" Target="https://www.ft.com/" TargetMode="External"/><Relationship Id="rId21" Type="http://schemas.openxmlformats.org/officeDocument/2006/relationships/hyperlink" Target="https://www.eu-japan.eu/" TargetMode="External"/><Relationship Id="rId24" Type="http://schemas.openxmlformats.org/officeDocument/2006/relationships/hyperlink" Target="https://longbridge.com/" TargetMode="External"/><Relationship Id="rId23" Type="http://schemas.openxmlformats.org/officeDocument/2006/relationships/hyperlink" Target="https://hbr.or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yperlink" Target="https://www.sony.com/en/SonyInfo/IR/" TargetMode="External"/><Relationship Id="rId25" Type="http://schemas.openxmlformats.org/officeDocument/2006/relationships/hyperlink" Target="https://www.mreport.co.th/" TargetMode="External"/><Relationship Id="rId28" Type="http://schemas.openxmlformats.org/officeDocument/2006/relationships/hyperlink" Target="https://www.ft.com/" TargetMode="External"/><Relationship Id="rId27" Type="http://schemas.openxmlformats.org/officeDocument/2006/relationships/hyperlink" Target="https://www.apple.com/investor/"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forbes.com/" TargetMode="External"/><Relationship Id="rId7" Type="http://schemas.openxmlformats.org/officeDocument/2006/relationships/image" Target="media/image3.png"/><Relationship Id="rId8" Type="http://schemas.openxmlformats.org/officeDocument/2006/relationships/hyperlink" Target="https://www.sony.com/en/brand/" TargetMode="External"/><Relationship Id="rId31" Type="http://schemas.openxmlformats.org/officeDocument/2006/relationships/hyperlink" Target="https://hbr.org/" TargetMode="External"/><Relationship Id="rId30" Type="http://schemas.openxmlformats.org/officeDocument/2006/relationships/hyperlink" Target="https://hbr.org/" TargetMode="External"/><Relationship Id="rId11" Type="http://schemas.openxmlformats.org/officeDocument/2006/relationships/image" Target="media/image4.png"/><Relationship Id="rId33" Type="http://schemas.openxmlformats.org/officeDocument/2006/relationships/hyperlink" Target="https://www.sony.com/en/SonyInfo/IR/" TargetMode="External"/><Relationship Id="rId10" Type="http://schemas.openxmlformats.org/officeDocument/2006/relationships/hyperlink" Target="https://www.business-to-you.com/porter-diamond-model/" TargetMode="External"/><Relationship Id="rId32" Type="http://schemas.openxmlformats.org/officeDocument/2006/relationships/hyperlink" Target="https://www.imf.org/" TargetMode="External"/><Relationship Id="rId13" Type="http://schemas.openxmlformats.org/officeDocument/2006/relationships/hyperlink" Target="https://www.ft.com/" TargetMode="External"/><Relationship Id="rId35" Type="http://schemas.openxmlformats.org/officeDocument/2006/relationships/hyperlink" Target="https://www.economist.com/" TargetMode="External"/><Relationship Id="rId12" Type="http://schemas.openxmlformats.org/officeDocument/2006/relationships/hyperlink" Target="https://www.ft.com/" TargetMode="External"/><Relationship Id="rId34" Type="http://schemas.openxmlformats.org/officeDocument/2006/relationships/hyperlink" Target="https://www.statista.com/" TargetMode="External"/><Relationship Id="rId15" Type="http://schemas.openxmlformats.org/officeDocument/2006/relationships/hyperlink" Target="https://hbr.org/" TargetMode="External"/><Relationship Id="rId14" Type="http://schemas.openxmlformats.org/officeDocument/2006/relationships/hyperlink" Target="https://www.forbes.com/" TargetMode="External"/><Relationship Id="rId36" Type="http://schemas.openxmlformats.org/officeDocument/2006/relationships/hyperlink" Target="https://www.worldbank.org/" TargetMode="External"/><Relationship Id="rId17" Type="http://schemas.openxmlformats.org/officeDocument/2006/relationships/hyperlink" Target="https://www.panasonic.com/" TargetMode="External"/><Relationship Id="rId16" Type="http://schemas.openxmlformats.org/officeDocument/2006/relationships/hyperlink" Target="https://hbr.org/" TargetMode="External"/><Relationship Id="rId19" Type="http://schemas.openxmlformats.org/officeDocument/2006/relationships/hyperlink" Target="https://www.statista.com/" TargetMode="External"/><Relationship Id="rId18" Type="http://schemas.openxmlformats.org/officeDocument/2006/relationships/hyperlink" Target="https://www.sony.com/en/SonyInfo/I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