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44133" w14:textId="7682E340" w:rsidR="00951763" w:rsidRPr="00951763" w:rsidRDefault="00951763" w:rsidP="00951763">
      <w:pPr>
        <w:jc w:val="center"/>
        <w:rPr>
          <w:rFonts w:ascii="Arial" w:hAnsi="Arial" w:cs="Arial"/>
          <w:b/>
          <w:bCs/>
          <w:sz w:val="32"/>
          <w:szCs w:val="32"/>
        </w:rPr>
      </w:pPr>
      <w:r w:rsidRPr="00951763">
        <w:rPr>
          <w:rFonts w:ascii="Arial" w:hAnsi="Arial" w:cs="Arial"/>
          <w:b/>
          <w:bCs/>
          <w:sz w:val="32"/>
          <w:szCs w:val="32"/>
        </w:rPr>
        <w:t>Project Portfolio</w:t>
      </w:r>
    </w:p>
    <w:p w14:paraId="56A85A71" w14:textId="3AD1013B" w:rsidR="00951763" w:rsidRPr="00951763" w:rsidRDefault="00951763" w:rsidP="00951763">
      <w:pPr>
        <w:jc w:val="center"/>
        <w:rPr>
          <w:rFonts w:ascii="Arial" w:hAnsi="Arial" w:cs="Arial"/>
          <w:b/>
          <w:bCs/>
          <w:sz w:val="32"/>
          <w:szCs w:val="32"/>
        </w:rPr>
      </w:pPr>
      <w:r w:rsidRPr="00951763">
        <w:rPr>
          <w:rFonts w:ascii="Arial" w:hAnsi="Arial" w:cs="Arial"/>
          <w:b/>
          <w:bCs/>
          <w:sz w:val="32"/>
          <w:szCs w:val="32"/>
        </w:rPr>
        <w:t>Project Management LCLM5003</w:t>
      </w:r>
    </w:p>
    <w:p w14:paraId="63E4B2CF" w14:textId="0ADE3409" w:rsidR="00951763" w:rsidRPr="00951763" w:rsidRDefault="00951763" w:rsidP="00951763">
      <w:pPr>
        <w:jc w:val="center"/>
        <w:rPr>
          <w:rFonts w:ascii="Arial" w:hAnsi="Arial" w:cs="Arial"/>
          <w:b/>
          <w:bCs/>
          <w:sz w:val="32"/>
          <w:szCs w:val="32"/>
        </w:rPr>
      </w:pPr>
      <w:r w:rsidRPr="00951763">
        <w:rPr>
          <w:rFonts w:ascii="Arial" w:hAnsi="Arial" w:cs="Arial"/>
          <w:b/>
          <w:bCs/>
          <w:sz w:val="32"/>
          <w:szCs w:val="32"/>
        </w:rPr>
        <w:t>Claudio Frangione 2331914</w:t>
      </w:r>
    </w:p>
    <w:p w14:paraId="3606D662" w14:textId="77777777" w:rsidR="00951763" w:rsidRDefault="00951763">
      <w:pPr>
        <w:rPr>
          <w:rFonts w:ascii="Arial" w:hAnsi="Arial" w:cs="Arial"/>
          <w:b/>
          <w:bCs/>
          <w:sz w:val="22"/>
          <w:szCs w:val="22"/>
        </w:rPr>
      </w:pPr>
    </w:p>
    <w:p w14:paraId="63DE6F75" w14:textId="77777777" w:rsidR="00951763" w:rsidRDefault="00951763" w:rsidP="001A0FC4">
      <w:pPr>
        <w:spacing w:line="360" w:lineRule="auto"/>
        <w:rPr>
          <w:rFonts w:ascii="Arial" w:hAnsi="Arial" w:cs="Arial"/>
          <w:b/>
          <w:bCs/>
          <w:sz w:val="22"/>
          <w:szCs w:val="22"/>
        </w:rPr>
      </w:pPr>
    </w:p>
    <w:p w14:paraId="6EDDA1D5" w14:textId="1B74AA28" w:rsidR="00951763" w:rsidRDefault="00951763" w:rsidP="001A0FC4">
      <w:pPr>
        <w:spacing w:line="360" w:lineRule="auto"/>
        <w:rPr>
          <w:rFonts w:ascii="Arial" w:hAnsi="Arial" w:cs="Arial"/>
          <w:b/>
          <w:bCs/>
          <w:sz w:val="22"/>
          <w:szCs w:val="22"/>
        </w:rPr>
      </w:pPr>
    </w:p>
    <w:p w14:paraId="7108C45B" w14:textId="6D14B1FC" w:rsidR="00951763" w:rsidRDefault="00951763" w:rsidP="001A0FC4">
      <w:pPr>
        <w:spacing w:line="360" w:lineRule="auto"/>
        <w:rPr>
          <w:rFonts w:ascii="Arial" w:hAnsi="Arial" w:cs="Arial"/>
          <w:b/>
          <w:bCs/>
          <w:sz w:val="22"/>
          <w:szCs w:val="22"/>
        </w:rPr>
      </w:pPr>
    </w:p>
    <w:p w14:paraId="5D638D76" w14:textId="77777777" w:rsidR="00951763" w:rsidRDefault="00951763" w:rsidP="001A0FC4">
      <w:pPr>
        <w:spacing w:line="360" w:lineRule="auto"/>
        <w:rPr>
          <w:rFonts w:ascii="Arial" w:hAnsi="Arial" w:cs="Arial"/>
          <w:b/>
          <w:bCs/>
          <w:sz w:val="22"/>
          <w:szCs w:val="22"/>
        </w:rPr>
      </w:pPr>
    </w:p>
    <w:p w14:paraId="0466FAC6" w14:textId="77777777" w:rsidR="00951763" w:rsidRDefault="00951763" w:rsidP="001A0FC4">
      <w:pPr>
        <w:spacing w:line="360" w:lineRule="auto"/>
        <w:rPr>
          <w:rFonts w:ascii="Arial" w:hAnsi="Arial" w:cs="Arial"/>
          <w:b/>
          <w:bCs/>
          <w:sz w:val="22"/>
          <w:szCs w:val="22"/>
        </w:rPr>
      </w:pPr>
    </w:p>
    <w:p w14:paraId="43130AF5" w14:textId="77777777" w:rsidR="00951763" w:rsidRDefault="00951763" w:rsidP="001A0FC4">
      <w:pPr>
        <w:spacing w:line="360" w:lineRule="auto"/>
        <w:rPr>
          <w:rFonts w:ascii="Arial" w:hAnsi="Arial" w:cs="Arial"/>
          <w:b/>
          <w:bCs/>
          <w:sz w:val="22"/>
          <w:szCs w:val="22"/>
        </w:rPr>
      </w:pPr>
    </w:p>
    <w:p w14:paraId="040BEF5B" w14:textId="77777777" w:rsidR="00951763" w:rsidRDefault="00951763" w:rsidP="001A0FC4">
      <w:pPr>
        <w:spacing w:line="360" w:lineRule="auto"/>
        <w:rPr>
          <w:rFonts w:ascii="Arial" w:hAnsi="Arial" w:cs="Arial"/>
          <w:b/>
          <w:bCs/>
          <w:sz w:val="22"/>
          <w:szCs w:val="22"/>
        </w:rPr>
      </w:pPr>
    </w:p>
    <w:p w14:paraId="28039891" w14:textId="77777777" w:rsidR="00951763" w:rsidRDefault="00951763" w:rsidP="001A0FC4">
      <w:pPr>
        <w:spacing w:line="360" w:lineRule="auto"/>
        <w:rPr>
          <w:rFonts w:ascii="Arial" w:hAnsi="Arial" w:cs="Arial"/>
          <w:b/>
          <w:bCs/>
          <w:sz w:val="22"/>
          <w:szCs w:val="22"/>
        </w:rPr>
      </w:pPr>
    </w:p>
    <w:p w14:paraId="10E6CA52" w14:textId="77777777" w:rsidR="00951763" w:rsidRDefault="00951763" w:rsidP="001A0FC4">
      <w:pPr>
        <w:spacing w:line="360" w:lineRule="auto"/>
        <w:rPr>
          <w:rFonts w:ascii="Arial" w:hAnsi="Arial" w:cs="Arial"/>
          <w:b/>
          <w:bCs/>
          <w:sz w:val="22"/>
          <w:szCs w:val="22"/>
        </w:rPr>
      </w:pPr>
    </w:p>
    <w:p w14:paraId="081239BD" w14:textId="77777777" w:rsidR="00951763" w:rsidRDefault="00951763" w:rsidP="001A0FC4">
      <w:pPr>
        <w:spacing w:line="360" w:lineRule="auto"/>
        <w:rPr>
          <w:rFonts w:ascii="Arial" w:hAnsi="Arial" w:cs="Arial"/>
          <w:b/>
          <w:bCs/>
          <w:sz w:val="22"/>
          <w:szCs w:val="22"/>
        </w:rPr>
      </w:pPr>
    </w:p>
    <w:p w14:paraId="631875AD" w14:textId="77777777" w:rsidR="00951763" w:rsidRDefault="00951763" w:rsidP="001A0FC4">
      <w:pPr>
        <w:spacing w:line="360" w:lineRule="auto"/>
        <w:rPr>
          <w:rFonts w:ascii="Arial" w:hAnsi="Arial" w:cs="Arial"/>
          <w:b/>
          <w:bCs/>
          <w:sz w:val="22"/>
          <w:szCs w:val="22"/>
        </w:rPr>
      </w:pPr>
    </w:p>
    <w:p w14:paraId="6588AAD1" w14:textId="77777777" w:rsidR="00951763" w:rsidRDefault="00951763" w:rsidP="001A0FC4">
      <w:pPr>
        <w:spacing w:line="360" w:lineRule="auto"/>
        <w:rPr>
          <w:rFonts w:ascii="Arial" w:hAnsi="Arial" w:cs="Arial"/>
          <w:b/>
          <w:bCs/>
          <w:sz w:val="22"/>
          <w:szCs w:val="22"/>
        </w:rPr>
      </w:pPr>
    </w:p>
    <w:p w14:paraId="0007C01B" w14:textId="77777777" w:rsidR="00951763" w:rsidRDefault="00951763" w:rsidP="001A0FC4">
      <w:pPr>
        <w:spacing w:line="360" w:lineRule="auto"/>
        <w:rPr>
          <w:rFonts w:ascii="Arial" w:hAnsi="Arial" w:cs="Arial"/>
          <w:b/>
          <w:bCs/>
          <w:sz w:val="22"/>
          <w:szCs w:val="22"/>
        </w:rPr>
      </w:pPr>
    </w:p>
    <w:p w14:paraId="6D0931EC" w14:textId="77777777" w:rsidR="00951763" w:rsidRDefault="00951763" w:rsidP="001A0FC4">
      <w:pPr>
        <w:spacing w:line="360" w:lineRule="auto"/>
        <w:rPr>
          <w:rFonts w:ascii="Arial" w:hAnsi="Arial" w:cs="Arial"/>
          <w:b/>
          <w:bCs/>
          <w:sz w:val="22"/>
          <w:szCs w:val="22"/>
        </w:rPr>
      </w:pPr>
    </w:p>
    <w:p w14:paraId="1A2696B4" w14:textId="77777777" w:rsidR="00951763" w:rsidRDefault="00951763" w:rsidP="001A0FC4">
      <w:pPr>
        <w:spacing w:line="360" w:lineRule="auto"/>
        <w:rPr>
          <w:rFonts w:ascii="Arial" w:hAnsi="Arial" w:cs="Arial"/>
          <w:b/>
          <w:bCs/>
          <w:sz w:val="22"/>
          <w:szCs w:val="22"/>
        </w:rPr>
      </w:pPr>
    </w:p>
    <w:p w14:paraId="4D7C5D8D" w14:textId="77777777" w:rsidR="00951763" w:rsidRDefault="00951763" w:rsidP="001A0FC4">
      <w:pPr>
        <w:spacing w:line="360" w:lineRule="auto"/>
        <w:rPr>
          <w:rFonts w:ascii="Arial" w:hAnsi="Arial" w:cs="Arial"/>
          <w:b/>
          <w:bCs/>
          <w:sz w:val="22"/>
          <w:szCs w:val="22"/>
        </w:rPr>
      </w:pPr>
    </w:p>
    <w:p w14:paraId="0A8A5BEA" w14:textId="77777777" w:rsidR="00951763" w:rsidRDefault="00951763" w:rsidP="001A0FC4">
      <w:pPr>
        <w:spacing w:line="360" w:lineRule="auto"/>
        <w:rPr>
          <w:rFonts w:ascii="Arial" w:hAnsi="Arial" w:cs="Arial"/>
          <w:b/>
          <w:bCs/>
          <w:sz w:val="22"/>
          <w:szCs w:val="22"/>
        </w:rPr>
      </w:pPr>
    </w:p>
    <w:p w14:paraId="6142C629" w14:textId="77777777" w:rsidR="00951763" w:rsidRDefault="00951763" w:rsidP="001A0FC4">
      <w:pPr>
        <w:spacing w:line="360" w:lineRule="auto"/>
        <w:rPr>
          <w:rFonts w:ascii="Arial" w:hAnsi="Arial" w:cs="Arial"/>
          <w:b/>
          <w:bCs/>
          <w:sz w:val="22"/>
          <w:szCs w:val="22"/>
        </w:rPr>
      </w:pPr>
    </w:p>
    <w:p w14:paraId="280DE692" w14:textId="77777777" w:rsidR="00951763" w:rsidRDefault="00951763" w:rsidP="001A0FC4">
      <w:pPr>
        <w:spacing w:line="360" w:lineRule="auto"/>
        <w:rPr>
          <w:rFonts w:ascii="Arial" w:hAnsi="Arial" w:cs="Arial"/>
          <w:b/>
          <w:bCs/>
          <w:sz w:val="22"/>
          <w:szCs w:val="22"/>
        </w:rPr>
      </w:pPr>
    </w:p>
    <w:p w14:paraId="6D67B9AF" w14:textId="77777777" w:rsidR="00951763" w:rsidRDefault="00951763" w:rsidP="001A0FC4">
      <w:pPr>
        <w:spacing w:line="360" w:lineRule="auto"/>
        <w:rPr>
          <w:rFonts w:ascii="Arial" w:hAnsi="Arial" w:cs="Arial"/>
          <w:b/>
          <w:bCs/>
          <w:sz w:val="22"/>
          <w:szCs w:val="22"/>
        </w:rPr>
      </w:pPr>
    </w:p>
    <w:p w14:paraId="4B1C6318" w14:textId="77777777" w:rsidR="00951763" w:rsidRDefault="00951763" w:rsidP="001A0FC4">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30"/>
          <w:lang w:val="en-GB" w:bidi="bn-IN"/>
          <w14:ligatures w14:val="standardContextual"/>
        </w:rPr>
        <w:id w:val="1822926924"/>
        <w:docPartObj>
          <w:docPartGallery w:val="Table of Contents"/>
          <w:docPartUnique/>
        </w:docPartObj>
      </w:sdtPr>
      <w:sdtEndPr>
        <w:rPr>
          <w:b/>
          <w:bCs/>
          <w:noProof/>
          <w:szCs w:val="24"/>
          <w:lang w:bidi="ar-SA"/>
        </w:rPr>
      </w:sdtEndPr>
      <w:sdtContent>
        <w:p w14:paraId="4DFCFA32" w14:textId="77777777" w:rsidR="00951763" w:rsidRPr="00951763" w:rsidRDefault="00951763" w:rsidP="00951763">
          <w:pPr>
            <w:pStyle w:val="TOCHeading"/>
            <w:spacing w:line="360" w:lineRule="auto"/>
            <w:jc w:val="center"/>
            <w:rPr>
              <w:rFonts w:ascii="Arial" w:hAnsi="Arial" w:cs="Arial"/>
              <w:b/>
              <w:bCs/>
              <w:sz w:val="22"/>
              <w:szCs w:val="22"/>
            </w:rPr>
          </w:pPr>
          <w:r w:rsidRPr="00951763">
            <w:rPr>
              <w:rFonts w:ascii="Arial" w:hAnsi="Arial" w:cs="Arial"/>
              <w:b/>
              <w:bCs/>
              <w:sz w:val="22"/>
              <w:szCs w:val="22"/>
            </w:rPr>
            <w:t>Table of Contents</w:t>
          </w:r>
        </w:p>
        <w:p w14:paraId="06DF1C0F" w14:textId="07023C61" w:rsidR="00F91EE3" w:rsidRDefault="00951763">
          <w:pPr>
            <w:pStyle w:val="TOC1"/>
            <w:tabs>
              <w:tab w:val="right" w:leader="dot" w:pos="9016"/>
            </w:tabs>
            <w:rPr>
              <w:rFonts w:eastAsiaTheme="minorEastAsia"/>
              <w:noProof/>
              <w:szCs w:val="24"/>
              <w:lang w:val="en-GB" w:eastAsia="en-GB" w:bidi="ar-SA"/>
              <w14:ligatures w14:val="standardContextual"/>
            </w:rPr>
          </w:pPr>
          <w:r w:rsidRPr="00951763">
            <w:rPr>
              <w:rFonts w:ascii="Arial" w:hAnsi="Arial" w:cs="Arial"/>
              <w:sz w:val="22"/>
              <w:szCs w:val="22"/>
            </w:rPr>
            <w:fldChar w:fldCharType="begin"/>
          </w:r>
          <w:r w:rsidRPr="00951763">
            <w:rPr>
              <w:rFonts w:ascii="Arial" w:hAnsi="Arial" w:cs="Arial"/>
              <w:sz w:val="22"/>
              <w:szCs w:val="22"/>
            </w:rPr>
            <w:instrText xml:space="preserve"> TOC \o "1-3" \h \z \u </w:instrText>
          </w:r>
          <w:r w:rsidRPr="00951763">
            <w:rPr>
              <w:rFonts w:ascii="Arial" w:hAnsi="Arial" w:cs="Arial"/>
              <w:sz w:val="22"/>
              <w:szCs w:val="22"/>
            </w:rPr>
            <w:fldChar w:fldCharType="separate"/>
          </w:r>
          <w:hyperlink w:anchor="_Toc213083758" w:history="1">
            <w:r w:rsidR="00F91EE3" w:rsidRPr="00DA03FB">
              <w:rPr>
                <w:rStyle w:val="Hyperlink"/>
                <w:rFonts w:ascii="Arial" w:hAnsi="Arial" w:cs="Arial"/>
                <w:noProof/>
              </w:rPr>
              <w:t>Part A- Project proposal poster</w:t>
            </w:r>
            <w:r w:rsidR="00F91EE3">
              <w:rPr>
                <w:noProof/>
                <w:webHidden/>
              </w:rPr>
              <w:tab/>
            </w:r>
            <w:r w:rsidR="00F91EE3">
              <w:rPr>
                <w:noProof/>
                <w:webHidden/>
              </w:rPr>
              <w:fldChar w:fldCharType="begin"/>
            </w:r>
            <w:r w:rsidR="00F91EE3">
              <w:rPr>
                <w:noProof/>
                <w:webHidden/>
              </w:rPr>
              <w:instrText xml:space="preserve"> PAGEREF _Toc213083758 \h </w:instrText>
            </w:r>
            <w:r w:rsidR="00F91EE3">
              <w:rPr>
                <w:noProof/>
                <w:webHidden/>
              </w:rPr>
            </w:r>
            <w:r w:rsidR="00F91EE3">
              <w:rPr>
                <w:noProof/>
                <w:webHidden/>
              </w:rPr>
              <w:fldChar w:fldCharType="separate"/>
            </w:r>
            <w:r w:rsidR="00F91EE3">
              <w:rPr>
                <w:noProof/>
                <w:webHidden/>
              </w:rPr>
              <w:t>4</w:t>
            </w:r>
            <w:r w:rsidR="00F91EE3">
              <w:rPr>
                <w:noProof/>
                <w:webHidden/>
              </w:rPr>
              <w:fldChar w:fldCharType="end"/>
            </w:r>
          </w:hyperlink>
        </w:p>
        <w:p w14:paraId="38441A21" w14:textId="6910B103"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59" w:history="1">
            <w:r w:rsidRPr="00DA03FB">
              <w:rPr>
                <w:rStyle w:val="Hyperlink"/>
                <w:rFonts w:ascii="Arial" w:hAnsi="Arial" w:cs="Arial"/>
                <w:noProof/>
              </w:rPr>
              <w:t>Project Description</w:t>
            </w:r>
            <w:r>
              <w:rPr>
                <w:noProof/>
                <w:webHidden/>
              </w:rPr>
              <w:tab/>
            </w:r>
            <w:r>
              <w:rPr>
                <w:noProof/>
                <w:webHidden/>
              </w:rPr>
              <w:fldChar w:fldCharType="begin"/>
            </w:r>
            <w:r>
              <w:rPr>
                <w:noProof/>
                <w:webHidden/>
              </w:rPr>
              <w:instrText xml:space="preserve"> PAGEREF _Toc213083759 \h </w:instrText>
            </w:r>
            <w:r>
              <w:rPr>
                <w:noProof/>
                <w:webHidden/>
              </w:rPr>
            </w:r>
            <w:r>
              <w:rPr>
                <w:noProof/>
                <w:webHidden/>
              </w:rPr>
              <w:fldChar w:fldCharType="separate"/>
            </w:r>
            <w:r>
              <w:rPr>
                <w:noProof/>
                <w:webHidden/>
              </w:rPr>
              <w:t>5</w:t>
            </w:r>
            <w:r>
              <w:rPr>
                <w:noProof/>
                <w:webHidden/>
              </w:rPr>
              <w:fldChar w:fldCharType="end"/>
            </w:r>
          </w:hyperlink>
        </w:p>
        <w:p w14:paraId="27AB440C" w14:textId="4DEBCDE2"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60" w:history="1">
            <w:r w:rsidRPr="00DA03FB">
              <w:rPr>
                <w:rStyle w:val="Hyperlink"/>
                <w:rFonts w:ascii="Arial" w:hAnsi="Arial" w:cs="Arial"/>
                <w:noProof/>
              </w:rPr>
              <w:t>Quad Chart</w:t>
            </w:r>
            <w:r>
              <w:rPr>
                <w:noProof/>
                <w:webHidden/>
              </w:rPr>
              <w:tab/>
            </w:r>
            <w:r>
              <w:rPr>
                <w:noProof/>
                <w:webHidden/>
              </w:rPr>
              <w:fldChar w:fldCharType="begin"/>
            </w:r>
            <w:r>
              <w:rPr>
                <w:noProof/>
                <w:webHidden/>
              </w:rPr>
              <w:instrText xml:space="preserve"> PAGEREF _Toc213083760 \h </w:instrText>
            </w:r>
            <w:r>
              <w:rPr>
                <w:noProof/>
                <w:webHidden/>
              </w:rPr>
            </w:r>
            <w:r>
              <w:rPr>
                <w:noProof/>
                <w:webHidden/>
              </w:rPr>
              <w:fldChar w:fldCharType="separate"/>
            </w:r>
            <w:r>
              <w:rPr>
                <w:noProof/>
                <w:webHidden/>
              </w:rPr>
              <w:t>5</w:t>
            </w:r>
            <w:r>
              <w:rPr>
                <w:noProof/>
                <w:webHidden/>
              </w:rPr>
              <w:fldChar w:fldCharType="end"/>
            </w:r>
          </w:hyperlink>
        </w:p>
        <w:p w14:paraId="705E54F3" w14:textId="228E16B0"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61" w:history="1">
            <w:r w:rsidRPr="00DA03FB">
              <w:rPr>
                <w:rStyle w:val="Hyperlink"/>
                <w:rFonts w:ascii="Arial" w:hAnsi="Arial" w:cs="Arial"/>
                <w:noProof/>
              </w:rPr>
              <w:t>Work Breakdown Structure (WBS) and Resource Allocation</w:t>
            </w:r>
            <w:r>
              <w:rPr>
                <w:noProof/>
                <w:webHidden/>
              </w:rPr>
              <w:tab/>
            </w:r>
            <w:r>
              <w:rPr>
                <w:noProof/>
                <w:webHidden/>
              </w:rPr>
              <w:fldChar w:fldCharType="begin"/>
            </w:r>
            <w:r>
              <w:rPr>
                <w:noProof/>
                <w:webHidden/>
              </w:rPr>
              <w:instrText xml:space="preserve"> PAGEREF _Toc213083761 \h </w:instrText>
            </w:r>
            <w:r>
              <w:rPr>
                <w:noProof/>
                <w:webHidden/>
              </w:rPr>
            </w:r>
            <w:r>
              <w:rPr>
                <w:noProof/>
                <w:webHidden/>
              </w:rPr>
              <w:fldChar w:fldCharType="separate"/>
            </w:r>
            <w:r>
              <w:rPr>
                <w:noProof/>
                <w:webHidden/>
              </w:rPr>
              <w:t>5</w:t>
            </w:r>
            <w:r>
              <w:rPr>
                <w:noProof/>
                <w:webHidden/>
              </w:rPr>
              <w:fldChar w:fldCharType="end"/>
            </w:r>
          </w:hyperlink>
        </w:p>
        <w:p w14:paraId="6DEDF140" w14:textId="3C1825B1"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62" w:history="1">
            <w:r w:rsidRPr="00DA03F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_Toc213083762 \h </w:instrText>
            </w:r>
            <w:r>
              <w:rPr>
                <w:noProof/>
                <w:webHidden/>
              </w:rPr>
            </w:r>
            <w:r>
              <w:rPr>
                <w:noProof/>
                <w:webHidden/>
              </w:rPr>
              <w:fldChar w:fldCharType="separate"/>
            </w:r>
            <w:r>
              <w:rPr>
                <w:noProof/>
                <w:webHidden/>
              </w:rPr>
              <w:t>6</w:t>
            </w:r>
            <w:r>
              <w:rPr>
                <w:noProof/>
                <w:webHidden/>
              </w:rPr>
              <w:fldChar w:fldCharType="end"/>
            </w:r>
          </w:hyperlink>
        </w:p>
        <w:p w14:paraId="5C4D1192" w14:textId="6B737FF1"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63" w:history="1">
            <w:r w:rsidRPr="00DA03FB">
              <w:rPr>
                <w:rStyle w:val="Hyperlink"/>
                <w:rFonts w:ascii="Arial" w:hAnsi="Arial" w:cs="Arial"/>
                <w:noProof/>
              </w:rPr>
              <w:t>Part B- Reflection from the Feedback Received from Tutor and Peers</w:t>
            </w:r>
            <w:r>
              <w:rPr>
                <w:noProof/>
                <w:webHidden/>
              </w:rPr>
              <w:tab/>
            </w:r>
            <w:r>
              <w:rPr>
                <w:noProof/>
                <w:webHidden/>
              </w:rPr>
              <w:fldChar w:fldCharType="begin"/>
            </w:r>
            <w:r>
              <w:rPr>
                <w:noProof/>
                <w:webHidden/>
              </w:rPr>
              <w:instrText xml:space="preserve"> PAGEREF _Toc213083763 \h </w:instrText>
            </w:r>
            <w:r>
              <w:rPr>
                <w:noProof/>
                <w:webHidden/>
              </w:rPr>
            </w:r>
            <w:r>
              <w:rPr>
                <w:noProof/>
                <w:webHidden/>
              </w:rPr>
              <w:fldChar w:fldCharType="separate"/>
            </w:r>
            <w:r>
              <w:rPr>
                <w:noProof/>
                <w:webHidden/>
              </w:rPr>
              <w:t>8</w:t>
            </w:r>
            <w:r>
              <w:rPr>
                <w:noProof/>
                <w:webHidden/>
              </w:rPr>
              <w:fldChar w:fldCharType="end"/>
            </w:r>
          </w:hyperlink>
        </w:p>
        <w:p w14:paraId="13A7E87B" w14:textId="2657252D"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64" w:history="1">
            <w:r w:rsidRPr="00DA03FB">
              <w:rPr>
                <w:rStyle w:val="Hyperlink"/>
                <w:rFonts w:ascii="Arial" w:hAnsi="Arial" w:cs="Arial"/>
                <w:noProof/>
              </w:rPr>
              <w:t>Part C Project Management Plan</w:t>
            </w:r>
            <w:r>
              <w:rPr>
                <w:noProof/>
                <w:webHidden/>
              </w:rPr>
              <w:tab/>
            </w:r>
            <w:r>
              <w:rPr>
                <w:noProof/>
                <w:webHidden/>
              </w:rPr>
              <w:fldChar w:fldCharType="begin"/>
            </w:r>
            <w:r>
              <w:rPr>
                <w:noProof/>
                <w:webHidden/>
              </w:rPr>
              <w:instrText xml:space="preserve"> PAGEREF _Toc213083764 \h </w:instrText>
            </w:r>
            <w:r>
              <w:rPr>
                <w:noProof/>
                <w:webHidden/>
              </w:rPr>
            </w:r>
            <w:r>
              <w:rPr>
                <w:noProof/>
                <w:webHidden/>
              </w:rPr>
              <w:fldChar w:fldCharType="separate"/>
            </w:r>
            <w:r>
              <w:rPr>
                <w:noProof/>
                <w:webHidden/>
              </w:rPr>
              <w:t>9</w:t>
            </w:r>
            <w:r>
              <w:rPr>
                <w:noProof/>
                <w:webHidden/>
              </w:rPr>
              <w:fldChar w:fldCharType="end"/>
            </w:r>
          </w:hyperlink>
        </w:p>
        <w:p w14:paraId="2B8E7361" w14:textId="647F739E"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65" w:history="1">
            <w:r w:rsidRPr="00DA03FB">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_Toc213083765 \h </w:instrText>
            </w:r>
            <w:r>
              <w:rPr>
                <w:noProof/>
                <w:webHidden/>
              </w:rPr>
            </w:r>
            <w:r>
              <w:rPr>
                <w:noProof/>
                <w:webHidden/>
              </w:rPr>
              <w:fldChar w:fldCharType="separate"/>
            </w:r>
            <w:r>
              <w:rPr>
                <w:noProof/>
                <w:webHidden/>
              </w:rPr>
              <w:t>9</w:t>
            </w:r>
            <w:r>
              <w:rPr>
                <w:noProof/>
                <w:webHidden/>
              </w:rPr>
              <w:fldChar w:fldCharType="end"/>
            </w:r>
          </w:hyperlink>
        </w:p>
        <w:p w14:paraId="12ED08AA" w14:textId="3387E75D"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66" w:history="1">
            <w:r w:rsidRPr="00DA03FB">
              <w:rPr>
                <w:rStyle w:val="Hyperlink"/>
                <w:rFonts w:ascii="Arial" w:hAnsi="Arial" w:cs="Arial"/>
                <w:noProof/>
              </w:rPr>
              <w:t>2. Project Description</w:t>
            </w:r>
            <w:r>
              <w:rPr>
                <w:noProof/>
                <w:webHidden/>
              </w:rPr>
              <w:tab/>
            </w:r>
            <w:r>
              <w:rPr>
                <w:noProof/>
                <w:webHidden/>
              </w:rPr>
              <w:fldChar w:fldCharType="begin"/>
            </w:r>
            <w:r>
              <w:rPr>
                <w:noProof/>
                <w:webHidden/>
              </w:rPr>
              <w:instrText xml:space="preserve"> PAGEREF _Toc213083766 \h </w:instrText>
            </w:r>
            <w:r>
              <w:rPr>
                <w:noProof/>
                <w:webHidden/>
              </w:rPr>
            </w:r>
            <w:r>
              <w:rPr>
                <w:noProof/>
                <w:webHidden/>
              </w:rPr>
              <w:fldChar w:fldCharType="separate"/>
            </w:r>
            <w:r>
              <w:rPr>
                <w:noProof/>
                <w:webHidden/>
              </w:rPr>
              <w:t>10</w:t>
            </w:r>
            <w:r>
              <w:rPr>
                <w:noProof/>
                <w:webHidden/>
              </w:rPr>
              <w:fldChar w:fldCharType="end"/>
            </w:r>
          </w:hyperlink>
        </w:p>
        <w:p w14:paraId="2A720C9E" w14:textId="1034C3FA"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67" w:history="1">
            <w:r w:rsidRPr="00DA03FB">
              <w:rPr>
                <w:rStyle w:val="Hyperlink"/>
                <w:rFonts w:ascii="Arial" w:hAnsi="Arial" w:cs="Arial"/>
                <w:noProof/>
              </w:rPr>
              <w:t>3. Scope</w:t>
            </w:r>
            <w:r>
              <w:rPr>
                <w:noProof/>
                <w:webHidden/>
              </w:rPr>
              <w:tab/>
            </w:r>
            <w:r>
              <w:rPr>
                <w:noProof/>
                <w:webHidden/>
              </w:rPr>
              <w:fldChar w:fldCharType="begin"/>
            </w:r>
            <w:r>
              <w:rPr>
                <w:noProof/>
                <w:webHidden/>
              </w:rPr>
              <w:instrText xml:space="preserve"> PAGEREF _Toc213083767 \h </w:instrText>
            </w:r>
            <w:r>
              <w:rPr>
                <w:noProof/>
                <w:webHidden/>
              </w:rPr>
            </w:r>
            <w:r>
              <w:rPr>
                <w:noProof/>
                <w:webHidden/>
              </w:rPr>
              <w:fldChar w:fldCharType="separate"/>
            </w:r>
            <w:r>
              <w:rPr>
                <w:noProof/>
                <w:webHidden/>
              </w:rPr>
              <w:t>10</w:t>
            </w:r>
            <w:r>
              <w:rPr>
                <w:noProof/>
                <w:webHidden/>
              </w:rPr>
              <w:fldChar w:fldCharType="end"/>
            </w:r>
          </w:hyperlink>
        </w:p>
        <w:p w14:paraId="745ADF57" w14:textId="1781A2D6"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68" w:history="1">
            <w:r w:rsidRPr="00DA03FB">
              <w:rPr>
                <w:rStyle w:val="Hyperlink"/>
                <w:rFonts w:ascii="Arial" w:hAnsi="Arial" w:cs="Arial"/>
                <w:noProof/>
              </w:rPr>
              <w:t>3.1 In-Scope Elements</w:t>
            </w:r>
            <w:r>
              <w:rPr>
                <w:noProof/>
                <w:webHidden/>
              </w:rPr>
              <w:tab/>
            </w:r>
            <w:r>
              <w:rPr>
                <w:noProof/>
                <w:webHidden/>
              </w:rPr>
              <w:fldChar w:fldCharType="begin"/>
            </w:r>
            <w:r>
              <w:rPr>
                <w:noProof/>
                <w:webHidden/>
              </w:rPr>
              <w:instrText xml:space="preserve"> PAGEREF _Toc213083768 \h </w:instrText>
            </w:r>
            <w:r>
              <w:rPr>
                <w:noProof/>
                <w:webHidden/>
              </w:rPr>
            </w:r>
            <w:r>
              <w:rPr>
                <w:noProof/>
                <w:webHidden/>
              </w:rPr>
              <w:fldChar w:fldCharType="separate"/>
            </w:r>
            <w:r>
              <w:rPr>
                <w:noProof/>
                <w:webHidden/>
              </w:rPr>
              <w:t>10</w:t>
            </w:r>
            <w:r>
              <w:rPr>
                <w:noProof/>
                <w:webHidden/>
              </w:rPr>
              <w:fldChar w:fldCharType="end"/>
            </w:r>
          </w:hyperlink>
        </w:p>
        <w:p w14:paraId="5D36F38E" w14:textId="2B378822"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69" w:history="1">
            <w:r w:rsidRPr="00DA03FB">
              <w:rPr>
                <w:rStyle w:val="Hyperlink"/>
                <w:rFonts w:ascii="Arial" w:hAnsi="Arial" w:cs="Arial"/>
                <w:noProof/>
              </w:rPr>
              <w:t>3.2 Out-of-Scope Elements</w:t>
            </w:r>
            <w:r>
              <w:rPr>
                <w:noProof/>
                <w:webHidden/>
              </w:rPr>
              <w:tab/>
            </w:r>
            <w:r>
              <w:rPr>
                <w:noProof/>
                <w:webHidden/>
              </w:rPr>
              <w:fldChar w:fldCharType="begin"/>
            </w:r>
            <w:r>
              <w:rPr>
                <w:noProof/>
                <w:webHidden/>
              </w:rPr>
              <w:instrText xml:space="preserve"> PAGEREF _Toc213083769 \h </w:instrText>
            </w:r>
            <w:r>
              <w:rPr>
                <w:noProof/>
                <w:webHidden/>
              </w:rPr>
            </w:r>
            <w:r>
              <w:rPr>
                <w:noProof/>
                <w:webHidden/>
              </w:rPr>
              <w:fldChar w:fldCharType="separate"/>
            </w:r>
            <w:r>
              <w:rPr>
                <w:noProof/>
                <w:webHidden/>
              </w:rPr>
              <w:t>11</w:t>
            </w:r>
            <w:r>
              <w:rPr>
                <w:noProof/>
                <w:webHidden/>
              </w:rPr>
              <w:fldChar w:fldCharType="end"/>
            </w:r>
          </w:hyperlink>
        </w:p>
        <w:p w14:paraId="202A7E9B" w14:textId="7CFA8456"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70" w:history="1">
            <w:r w:rsidRPr="00DA03FB">
              <w:rPr>
                <w:rStyle w:val="Hyperlink"/>
                <w:rFonts w:ascii="Arial" w:hAnsi="Arial" w:cs="Arial"/>
                <w:noProof/>
              </w:rPr>
              <w:t>3.3 Deliverables and Acceptance Criteria</w:t>
            </w:r>
            <w:r>
              <w:rPr>
                <w:noProof/>
                <w:webHidden/>
              </w:rPr>
              <w:tab/>
            </w:r>
            <w:r>
              <w:rPr>
                <w:noProof/>
                <w:webHidden/>
              </w:rPr>
              <w:fldChar w:fldCharType="begin"/>
            </w:r>
            <w:r>
              <w:rPr>
                <w:noProof/>
                <w:webHidden/>
              </w:rPr>
              <w:instrText xml:space="preserve"> PAGEREF _Toc213083770 \h </w:instrText>
            </w:r>
            <w:r>
              <w:rPr>
                <w:noProof/>
                <w:webHidden/>
              </w:rPr>
            </w:r>
            <w:r>
              <w:rPr>
                <w:noProof/>
                <w:webHidden/>
              </w:rPr>
              <w:fldChar w:fldCharType="separate"/>
            </w:r>
            <w:r>
              <w:rPr>
                <w:noProof/>
                <w:webHidden/>
              </w:rPr>
              <w:t>11</w:t>
            </w:r>
            <w:r>
              <w:rPr>
                <w:noProof/>
                <w:webHidden/>
              </w:rPr>
              <w:fldChar w:fldCharType="end"/>
            </w:r>
          </w:hyperlink>
        </w:p>
        <w:p w14:paraId="1947C8FE" w14:textId="5AFB468E"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71" w:history="1">
            <w:r w:rsidRPr="00DA03FB">
              <w:rPr>
                <w:rStyle w:val="Hyperlink"/>
                <w:rFonts w:ascii="Arial" w:hAnsi="Arial" w:cs="Arial"/>
                <w:noProof/>
              </w:rPr>
              <w:t>4. Work Breakdown Structure</w:t>
            </w:r>
            <w:r>
              <w:rPr>
                <w:noProof/>
                <w:webHidden/>
              </w:rPr>
              <w:tab/>
            </w:r>
            <w:r>
              <w:rPr>
                <w:noProof/>
                <w:webHidden/>
              </w:rPr>
              <w:fldChar w:fldCharType="begin"/>
            </w:r>
            <w:r>
              <w:rPr>
                <w:noProof/>
                <w:webHidden/>
              </w:rPr>
              <w:instrText xml:space="preserve"> PAGEREF _Toc213083771 \h </w:instrText>
            </w:r>
            <w:r>
              <w:rPr>
                <w:noProof/>
                <w:webHidden/>
              </w:rPr>
            </w:r>
            <w:r>
              <w:rPr>
                <w:noProof/>
                <w:webHidden/>
              </w:rPr>
              <w:fldChar w:fldCharType="separate"/>
            </w:r>
            <w:r>
              <w:rPr>
                <w:noProof/>
                <w:webHidden/>
              </w:rPr>
              <w:t>11</w:t>
            </w:r>
            <w:r>
              <w:rPr>
                <w:noProof/>
                <w:webHidden/>
              </w:rPr>
              <w:fldChar w:fldCharType="end"/>
            </w:r>
          </w:hyperlink>
        </w:p>
        <w:p w14:paraId="71F67317" w14:textId="381B43D3"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72" w:history="1">
            <w:r w:rsidRPr="00DA03FB">
              <w:rPr>
                <w:rStyle w:val="Hyperlink"/>
                <w:rFonts w:ascii="Arial" w:hAnsi="Arial" w:cs="Arial"/>
                <w:noProof/>
              </w:rPr>
              <w:t>5. Quad Chart</w:t>
            </w:r>
            <w:r>
              <w:rPr>
                <w:noProof/>
                <w:webHidden/>
              </w:rPr>
              <w:tab/>
            </w:r>
            <w:r>
              <w:rPr>
                <w:noProof/>
                <w:webHidden/>
              </w:rPr>
              <w:fldChar w:fldCharType="begin"/>
            </w:r>
            <w:r>
              <w:rPr>
                <w:noProof/>
                <w:webHidden/>
              </w:rPr>
              <w:instrText xml:space="preserve"> PAGEREF _Toc213083772 \h </w:instrText>
            </w:r>
            <w:r>
              <w:rPr>
                <w:noProof/>
                <w:webHidden/>
              </w:rPr>
            </w:r>
            <w:r>
              <w:rPr>
                <w:noProof/>
                <w:webHidden/>
              </w:rPr>
              <w:fldChar w:fldCharType="separate"/>
            </w:r>
            <w:r>
              <w:rPr>
                <w:noProof/>
                <w:webHidden/>
              </w:rPr>
              <w:t>12</w:t>
            </w:r>
            <w:r>
              <w:rPr>
                <w:noProof/>
                <w:webHidden/>
              </w:rPr>
              <w:fldChar w:fldCharType="end"/>
            </w:r>
          </w:hyperlink>
        </w:p>
        <w:p w14:paraId="16AA29C0" w14:textId="3D9CF5F7"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73" w:history="1">
            <w:r w:rsidRPr="00DA03FB">
              <w:rPr>
                <w:rStyle w:val="Hyperlink"/>
                <w:rFonts w:ascii="Arial" w:hAnsi="Arial" w:cs="Arial"/>
                <w:noProof/>
              </w:rPr>
              <w:t>6. Gantt Chart</w:t>
            </w:r>
            <w:r>
              <w:rPr>
                <w:noProof/>
                <w:webHidden/>
              </w:rPr>
              <w:tab/>
            </w:r>
            <w:r>
              <w:rPr>
                <w:noProof/>
                <w:webHidden/>
              </w:rPr>
              <w:fldChar w:fldCharType="begin"/>
            </w:r>
            <w:r>
              <w:rPr>
                <w:noProof/>
                <w:webHidden/>
              </w:rPr>
              <w:instrText xml:space="preserve"> PAGEREF _Toc213083773 \h </w:instrText>
            </w:r>
            <w:r>
              <w:rPr>
                <w:noProof/>
                <w:webHidden/>
              </w:rPr>
            </w:r>
            <w:r>
              <w:rPr>
                <w:noProof/>
                <w:webHidden/>
              </w:rPr>
              <w:fldChar w:fldCharType="separate"/>
            </w:r>
            <w:r>
              <w:rPr>
                <w:noProof/>
                <w:webHidden/>
              </w:rPr>
              <w:t>14</w:t>
            </w:r>
            <w:r>
              <w:rPr>
                <w:noProof/>
                <w:webHidden/>
              </w:rPr>
              <w:fldChar w:fldCharType="end"/>
            </w:r>
          </w:hyperlink>
        </w:p>
        <w:p w14:paraId="19106FE9" w14:textId="6E7920BA"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74" w:history="1">
            <w:r w:rsidRPr="00DA03FB">
              <w:rPr>
                <w:rStyle w:val="Hyperlink"/>
                <w:rFonts w:ascii="Arial" w:hAnsi="Arial" w:cs="Arial"/>
                <w:noProof/>
              </w:rPr>
              <w:t>7. Stakeholder Involvement</w:t>
            </w:r>
            <w:r>
              <w:rPr>
                <w:noProof/>
                <w:webHidden/>
              </w:rPr>
              <w:tab/>
            </w:r>
            <w:r>
              <w:rPr>
                <w:noProof/>
                <w:webHidden/>
              </w:rPr>
              <w:fldChar w:fldCharType="begin"/>
            </w:r>
            <w:r>
              <w:rPr>
                <w:noProof/>
                <w:webHidden/>
              </w:rPr>
              <w:instrText xml:space="preserve"> PAGEREF _Toc213083774 \h </w:instrText>
            </w:r>
            <w:r>
              <w:rPr>
                <w:noProof/>
                <w:webHidden/>
              </w:rPr>
            </w:r>
            <w:r>
              <w:rPr>
                <w:noProof/>
                <w:webHidden/>
              </w:rPr>
              <w:fldChar w:fldCharType="separate"/>
            </w:r>
            <w:r>
              <w:rPr>
                <w:noProof/>
                <w:webHidden/>
              </w:rPr>
              <w:t>15</w:t>
            </w:r>
            <w:r>
              <w:rPr>
                <w:noProof/>
                <w:webHidden/>
              </w:rPr>
              <w:fldChar w:fldCharType="end"/>
            </w:r>
          </w:hyperlink>
        </w:p>
        <w:p w14:paraId="26A20A39" w14:textId="11D237F5"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75" w:history="1">
            <w:r w:rsidRPr="00DA03FB">
              <w:rPr>
                <w:rStyle w:val="Hyperlink"/>
                <w:rFonts w:ascii="Arial" w:hAnsi="Arial" w:cs="Arial"/>
                <w:noProof/>
              </w:rPr>
              <w:t>7.1 Stakeholder Analysis</w:t>
            </w:r>
            <w:r>
              <w:rPr>
                <w:noProof/>
                <w:webHidden/>
              </w:rPr>
              <w:tab/>
            </w:r>
            <w:r>
              <w:rPr>
                <w:noProof/>
                <w:webHidden/>
              </w:rPr>
              <w:fldChar w:fldCharType="begin"/>
            </w:r>
            <w:r>
              <w:rPr>
                <w:noProof/>
                <w:webHidden/>
              </w:rPr>
              <w:instrText xml:space="preserve"> PAGEREF _Toc213083775 \h </w:instrText>
            </w:r>
            <w:r>
              <w:rPr>
                <w:noProof/>
                <w:webHidden/>
              </w:rPr>
            </w:r>
            <w:r>
              <w:rPr>
                <w:noProof/>
                <w:webHidden/>
              </w:rPr>
              <w:fldChar w:fldCharType="separate"/>
            </w:r>
            <w:r>
              <w:rPr>
                <w:noProof/>
                <w:webHidden/>
              </w:rPr>
              <w:t>15</w:t>
            </w:r>
            <w:r>
              <w:rPr>
                <w:noProof/>
                <w:webHidden/>
              </w:rPr>
              <w:fldChar w:fldCharType="end"/>
            </w:r>
          </w:hyperlink>
        </w:p>
        <w:p w14:paraId="316EF89C" w14:textId="0E5F6FDD"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76" w:history="1">
            <w:r w:rsidRPr="00DA03FB">
              <w:rPr>
                <w:rStyle w:val="Hyperlink"/>
                <w:rFonts w:ascii="Arial" w:hAnsi="Arial" w:cs="Arial"/>
                <w:noProof/>
              </w:rPr>
              <w:t>7.2 Communication Strategy</w:t>
            </w:r>
            <w:r>
              <w:rPr>
                <w:noProof/>
                <w:webHidden/>
              </w:rPr>
              <w:tab/>
            </w:r>
            <w:r>
              <w:rPr>
                <w:noProof/>
                <w:webHidden/>
              </w:rPr>
              <w:fldChar w:fldCharType="begin"/>
            </w:r>
            <w:r>
              <w:rPr>
                <w:noProof/>
                <w:webHidden/>
              </w:rPr>
              <w:instrText xml:space="preserve"> PAGEREF _Toc213083776 \h </w:instrText>
            </w:r>
            <w:r>
              <w:rPr>
                <w:noProof/>
                <w:webHidden/>
              </w:rPr>
            </w:r>
            <w:r>
              <w:rPr>
                <w:noProof/>
                <w:webHidden/>
              </w:rPr>
              <w:fldChar w:fldCharType="separate"/>
            </w:r>
            <w:r>
              <w:rPr>
                <w:noProof/>
                <w:webHidden/>
              </w:rPr>
              <w:t>15</w:t>
            </w:r>
            <w:r>
              <w:rPr>
                <w:noProof/>
                <w:webHidden/>
              </w:rPr>
              <w:fldChar w:fldCharType="end"/>
            </w:r>
          </w:hyperlink>
        </w:p>
        <w:p w14:paraId="09445297" w14:textId="57AA7385"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77" w:history="1">
            <w:r w:rsidRPr="00DA03FB">
              <w:rPr>
                <w:rStyle w:val="Hyperlink"/>
                <w:rFonts w:ascii="Arial" w:hAnsi="Arial" w:cs="Arial"/>
                <w:noProof/>
              </w:rPr>
              <w:t>8. Allocation of Resources</w:t>
            </w:r>
            <w:r>
              <w:rPr>
                <w:noProof/>
                <w:webHidden/>
              </w:rPr>
              <w:tab/>
            </w:r>
            <w:r>
              <w:rPr>
                <w:noProof/>
                <w:webHidden/>
              </w:rPr>
              <w:fldChar w:fldCharType="begin"/>
            </w:r>
            <w:r>
              <w:rPr>
                <w:noProof/>
                <w:webHidden/>
              </w:rPr>
              <w:instrText xml:space="preserve"> PAGEREF _Toc213083777 \h </w:instrText>
            </w:r>
            <w:r>
              <w:rPr>
                <w:noProof/>
                <w:webHidden/>
              </w:rPr>
            </w:r>
            <w:r>
              <w:rPr>
                <w:noProof/>
                <w:webHidden/>
              </w:rPr>
              <w:fldChar w:fldCharType="separate"/>
            </w:r>
            <w:r>
              <w:rPr>
                <w:noProof/>
                <w:webHidden/>
              </w:rPr>
              <w:t>16</w:t>
            </w:r>
            <w:r>
              <w:rPr>
                <w:noProof/>
                <w:webHidden/>
              </w:rPr>
              <w:fldChar w:fldCharType="end"/>
            </w:r>
          </w:hyperlink>
        </w:p>
        <w:p w14:paraId="1D211D23" w14:textId="4B97CC84"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78" w:history="1">
            <w:r w:rsidRPr="00DA03FB">
              <w:rPr>
                <w:rStyle w:val="Hyperlink"/>
                <w:rFonts w:ascii="Arial" w:hAnsi="Arial" w:cs="Arial"/>
                <w:noProof/>
              </w:rPr>
              <w:t>8.1 Human Resources</w:t>
            </w:r>
            <w:r>
              <w:rPr>
                <w:noProof/>
                <w:webHidden/>
              </w:rPr>
              <w:tab/>
            </w:r>
            <w:r>
              <w:rPr>
                <w:noProof/>
                <w:webHidden/>
              </w:rPr>
              <w:fldChar w:fldCharType="begin"/>
            </w:r>
            <w:r>
              <w:rPr>
                <w:noProof/>
                <w:webHidden/>
              </w:rPr>
              <w:instrText xml:space="preserve"> PAGEREF _Toc213083778 \h </w:instrText>
            </w:r>
            <w:r>
              <w:rPr>
                <w:noProof/>
                <w:webHidden/>
              </w:rPr>
            </w:r>
            <w:r>
              <w:rPr>
                <w:noProof/>
                <w:webHidden/>
              </w:rPr>
              <w:fldChar w:fldCharType="separate"/>
            </w:r>
            <w:r>
              <w:rPr>
                <w:noProof/>
                <w:webHidden/>
              </w:rPr>
              <w:t>16</w:t>
            </w:r>
            <w:r>
              <w:rPr>
                <w:noProof/>
                <w:webHidden/>
              </w:rPr>
              <w:fldChar w:fldCharType="end"/>
            </w:r>
          </w:hyperlink>
        </w:p>
        <w:p w14:paraId="1A67769F" w14:textId="6C1EB8C8"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79" w:history="1">
            <w:r w:rsidRPr="00DA03FB">
              <w:rPr>
                <w:rStyle w:val="Hyperlink"/>
                <w:rFonts w:ascii="Arial" w:hAnsi="Arial" w:cs="Arial"/>
                <w:noProof/>
              </w:rPr>
              <w:t>8.2 Equipment and Materials</w:t>
            </w:r>
            <w:r>
              <w:rPr>
                <w:noProof/>
                <w:webHidden/>
              </w:rPr>
              <w:tab/>
            </w:r>
            <w:r>
              <w:rPr>
                <w:noProof/>
                <w:webHidden/>
              </w:rPr>
              <w:fldChar w:fldCharType="begin"/>
            </w:r>
            <w:r>
              <w:rPr>
                <w:noProof/>
                <w:webHidden/>
              </w:rPr>
              <w:instrText xml:space="preserve"> PAGEREF _Toc213083779 \h </w:instrText>
            </w:r>
            <w:r>
              <w:rPr>
                <w:noProof/>
                <w:webHidden/>
              </w:rPr>
            </w:r>
            <w:r>
              <w:rPr>
                <w:noProof/>
                <w:webHidden/>
              </w:rPr>
              <w:fldChar w:fldCharType="separate"/>
            </w:r>
            <w:r>
              <w:rPr>
                <w:noProof/>
                <w:webHidden/>
              </w:rPr>
              <w:t>16</w:t>
            </w:r>
            <w:r>
              <w:rPr>
                <w:noProof/>
                <w:webHidden/>
              </w:rPr>
              <w:fldChar w:fldCharType="end"/>
            </w:r>
          </w:hyperlink>
        </w:p>
        <w:p w14:paraId="0E3E805D" w14:textId="30350BD9"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80" w:history="1">
            <w:r w:rsidRPr="00DA03FB">
              <w:rPr>
                <w:rStyle w:val="Hyperlink"/>
                <w:rFonts w:ascii="Arial" w:hAnsi="Arial" w:cs="Arial"/>
                <w:noProof/>
              </w:rPr>
              <w:t>8.3 Financial Resources</w:t>
            </w:r>
            <w:r>
              <w:rPr>
                <w:noProof/>
                <w:webHidden/>
              </w:rPr>
              <w:tab/>
            </w:r>
            <w:r>
              <w:rPr>
                <w:noProof/>
                <w:webHidden/>
              </w:rPr>
              <w:fldChar w:fldCharType="begin"/>
            </w:r>
            <w:r>
              <w:rPr>
                <w:noProof/>
                <w:webHidden/>
              </w:rPr>
              <w:instrText xml:space="preserve"> PAGEREF _Toc213083780 \h </w:instrText>
            </w:r>
            <w:r>
              <w:rPr>
                <w:noProof/>
                <w:webHidden/>
              </w:rPr>
            </w:r>
            <w:r>
              <w:rPr>
                <w:noProof/>
                <w:webHidden/>
              </w:rPr>
              <w:fldChar w:fldCharType="separate"/>
            </w:r>
            <w:r>
              <w:rPr>
                <w:noProof/>
                <w:webHidden/>
              </w:rPr>
              <w:t>16</w:t>
            </w:r>
            <w:r>
              <w:rPr>
                <w:noProof/>
                <w:webHidden/>
              </w:rPr>
              <w:fldChar w:fldCharType="end"/>
            </w:r>
          </w:hyperlink>
        </w:p>
        <w:p w14:paraId="0ECF3805" w14:textId="6D7FEAFC"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81" w:history="1">
            <w:r w:rsidRPr="00DA03FB">
              <w:rPr>
                <w:rStyle w:val="Hyperlink"/>
                <w:rFonts w:ascii="Arial" w:hAnsi="Arial" w:cs="Arial"/>
                <w:noProof/>
              </w:rPr>
              <w:t>9. Risk Analysis</w:t>
            </w:r>
            <w:r>
              <w:rPr>
                <w:noProof/>
                <w:webHidden/>
              </w:rPr>
              <w:tab/>
            </w:r>
            <w:r>
              <w:rPr>
                <w:noProof/>
                <w:webHidden/>
              </w:rPr>
              <w:fldChar w:fldCharType="begin"/>
            </w:r>
            <w:r>
              <w:rPr>
                <w:noProof/>
                <w:webHidden/>
              </w:rPr>
              <w:instrText xml:space="preserve"> PAGEREF _Toc213083781 \h </w:instrText>
            </w:r>
            <w:r>
              <w:rPr>
                <w:noProof/>
                <w:webHidden/>
              </w:rPr>
            </w:r>
            <w:r>
              <w:rPr>
                <w:noProof/>
                <w:webHidden/>
              </w:rPr>
              <w:fldChar w:fldCharType="separate"/>
            </w:r>
            <w:r>
              <w:rPr>
                <w:noProof/>
                <w:webHidden/>
              </w:rPr>
              <w:t>17</w:t>
            </w:r>
            <w:r>
              <w:rPr>
                <w:noProof/>
                <w:webHidden/>
              </w:rPr>
              <w:fldChar w:fldCharType="end"/>
            </w:r>
          </w:hyperlink>
        </w:p>
        <w:p w14:paraId="3EA4CF30" w14:textId="7FE3605D"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82" w:history="1">
            <w:r w:rsidRPr="00DA03FB">
              <w:rPr>
                <w:rStyle w:val="Hyperlink"/>
                <w:rFonts w:ascii="Arial" w:hAnsi="Arial" w:cs="Arial"/>
                <w:noProof/>
              </w:rPr>
              <w:t>9.1 Risk Identification and Assessment</w:t>
            </w:r>
            <w:r>
              <w:rPr>
                <w:noProof/>
                <w:webHidden/>
              </w:rPr>
              <w:tab/>
            </w:r>
            <w:r>
              <w:rPr>
                <w:noProof/>
                <w:webHidden/>
              </w:rPr>
              <w:fldChar w:fldCharType="begin"/>
            </w:r>
            <w:r>
              <w:rPr>
                <w:noProof/>
                <w:webHidden/>
              </w:rPr>
              <w:instrText xml:space="preserve"> PAGEREF _Toc213083782 \h </w:instrText>
            </w:r>
            <w:r>
              <w:rPr>
                <w:noProof/>
                <w:webHidden/>
              </w:rPr>
            </w:r>
            <w:r>
              <w:rPr>
                <w:noProof/>
                <w:webHidden/>
              </w:rPr>
              <w:fldChar w:fldCharType="separate"/>
            </w:r>
            <w:r>
              <w:rPr>
                <w:noProof/>
                <w:webHidden/>
              </w:rPr>
              <w:t>17</w:t>
            </w:r>
            <w:r>
              <w:rPr>
                <w:noProof/>
                <w:webHidden/>
              </w:rPr>
              <w:fldChar w:fldCharType="end"/>
            </w:r>
          </w:hyperlink>
        </w:p>
        <w:p w14:paraId="53AD4731" w14:textId="586C2ACB"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83" w:history="1">
            <w:r w:rsidRPr="00DA03FB">
              <w:rPr>
                <w:rStyle w:val="Hyperlink"/>
                <w:rFonts w:ascii="Arial" w:hAnsi="Arial" w:cs="Arial"/>
                <w:noProof/>
              </w:rPr>
              <w:t>9.2 Risk Response Strategies</w:t>
            </w:r>
            <w:r>
              <w:rPr>
                <w:noProof/>
                <w:webHidden/>
              </w:rPr>
              <w:tab/>
            </w:r>
            <w:r>
              <w:rPr>
                <w:noProof/>
                <w:webHidden/>
              </w:rPr>
              <w:fldChar w:fldCharType="begin"/>
            </w:r>
            <w:r>
              <w:rPr>
                <w:noProof/>
                <w:webHidden/>
              </w:rPr>
              <w:instrText xml:space="preserve"> PAGEREF _Toc213083783 \h </w:instrText>
            </w:r>
            <w:r>
              <w:rPr>
                <w:noProof/>
                <w:webHidden/>
              </w:rPr>
            </w:r>
            <w:r>
              <w:rPr>
                <w:noProof/>
                <w:webHidden/>
              </w:rPr>
              <w:fldChar w:fldCharType="separate"/>
            </w:r>
            <w:r>
              <w:rPr>
                <w:noProof/>
                <w:webHidden/>
              </w:rPr>
              <w:t>17</w:t>
            </w:r>
            <w:r>
              <w:rPr>
                <w:noProof/>
                <w:webHidden/>
              </w:rPr>
              <w:fldChar w:fldCharType="end"/>
            </w:r>
          </w:hyperlink>
        </w:p>
        <w:p w14:paraId="39910C13" w14:textId="07D6CB54" w:rsidR="00F91EE3" w:rsidRDefault="00F91EE3">
          <w:pPr>
            <w:pStyle w:val="TOC2"/>
            <w:tabs>
              <w:tab w:val="right" w:leader="dot" w:pos="9016"/>
            </w:tabs>
            <w:rPr>
              <w:rFonts w:eastAsiaTheme="minorEastAsia"/>
              <w:noProof/>
              <w:szCs w:val="24"/>
              <w:lang w:val="en-GB" w:eastAsia="en-GB" w:bidi="ar-SA"/>
              <w14:ligatures w14:val="standardContextual"/>
            </w:rPr>
          </w:pPr>
          <w:hyperlink w:anchor="_Toc213083784" w:history="1">
            <w:r w:rsidRPr="00DA03FB">
              <w:rPr>
                <w:rStyle w:val="Hyperlink"/>
                <w:rFonts w:ascii="Arial" w:hAnsi="Arial" w:cs="Arial"/>
                <w:noProof/>
              </w:rPr>
              <w:t>9.3 Risk Monitoring</w:t>
            </w:r>
            <w:r>
              <w:rPr>
                <w:noProof/>
                <w:webHidden/>
              </w:rPr>
              <w:tab/>
            </w:r>
            <w:r>
              <w:rPr>
                <w:noProof/>
                <w:webHidden/>
              </w:rPr>
              <w:fldChar w:fldCharType="begin"/>
            </w:r>
            <w:r>
              <w:rPr>
                <w:noProof/>
                <w:webHidden/>
              </w:rPr>
              <w:instrText xml:space="preserve"> PAGEREF _Toc213083784 \h </w:instrText>
            </w:r>
            <w:r>
              <w:rPr>
                <w:noProof/>
                <w:webHidden/>
              </w:rPr>
            </w:r>
            <w:r>
              <w:rPr>
                <w:noProof/>
                <w:webHidden/>
              </w:rPr>
              <w:fldChar w:fldCharType="separate"/>
            </w:r>
            <w:r>
              <w:rPr>
                <w:noProof/>
                <w:webHidden/>
              </w:rPr>
              <w:t>18</w:t>
            </w:r>
            <w:r>
              <w:rPr>
                <w:noProof/>
                <w:webHidden/>
              </w:rPr>
              <w:fldChar w:fldCharType="end"/>
            </w:r>
          </w:hyperlink>
        </w:p>
        <w:p w14:paraId="0C89169D" w14:textId="62474644"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85" w:history="1">
            <w:r w:rsidRPr="00DA03FB">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_Toc213083785 \h </w:instrText>
            </w:r>
            <w:r>
              <w:rPr>
                <w:noProof/>
                <w:webHidden/>
              </w:rPr>
            </w:r>
            <w:r>
              <w:rPr>
                <w:noProof/>
                <w:webHidden/>
              </w:rPr>
              <w:fldChar w:fldCharType="separate"/>
            </w:r>
            <w:r>
              <w:rPr>
                <w:noProof/>
                <w:webHidden/>
              </w:rPr>
              <w:t>18</w:t>
            </w:r>
            <w:r>
              <w:rPr>
                <w:noProof/>
                <w:webHidden/>
              </w:rPr>
              <w:fldChar w:fldCharType="end"/>
            </w:r>
          </w:hyperlink>
        </w:p>
        <w:p w14:paraId="0235331F" w14:textId="63943C27" w:rsidR="00F91EE3" w:rsidRDefault="00F91EE3">
          <w:pPr>
            <w:pStyle w:val="TOC1"/>
            <w:tabs>
              <w:tab w:val="right" w:leader="dot" w:pos="9016"/>
            </w:tabs>
            <w:rPr>
              <w:rFonts w:eastAsiaTheme="minorEastAsia"/>
              <w:noProof/>
              <w:szCs w:val="24"/>
              <w:lang w:val="en-GB" w:eastAsia="en-GB" w:bidi="ar-SA"/>
              <w14:ligatures w14:val="standardContextual"/>
            </w:rPr>
          </w:pPr>
          <w:hyperlink w:anchor="_Toc213083786" w:history="1">
            <w:r w:rsidRPr="00DA03F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_Toc213083786 \h </w:instrText>
            </w:r>
            <w:r>
              <w:rPr>
                <w:noProof/>
                <w:webHidden/>
              </w:rPr>
            </w:r>
            <w:r>
              <w:rPr>
                <w:noProof/>
                <w:webHidden/>
              </w:rPr>
              <w:fldChar w:fldCharType="separate"/>
            </w:r>
            <w:r>
              <w:rPr>
                <w:noProof/>
                <w:webHidden/>
              </w:rPr>
              <w:t>20</w:t>
            </w:r>
            <w:r>
              <w:rPr>
                <w:noProof/>
                <w:webHidden/>
              </w:rPr>
              <w:fldChar w:fldCharType="end"/>
            </w:r>
          </w:hyperlink>
        </w:p>
        <w:p w14:paraId="1B66D30F" w14:textId="4DF6D493" w:rsidR="00951763" w:rsidRDefault="00951763" w:rsidP="00951763">
          <w:pPr>
            <w:spacing w:line="360" w:lineRule="auto"/>
          </w:pPr>
          <w:r w:rsidRPr="00951763">
            <w:rPr>
              <w:rFonts w:ascii="Arial" w:hAnsi="Arial" w:cs="Arial"/>
              <w:b/>
              <w:bCs/>
              <w:noProof/>
              <w:sz w:val="22"/>
              <w:szCs w:val="22"/>
            </w:rPr>
            <w:fldChar w:fldCharType="end"/>
          </w:r>
        </w:p>
      </w:sdtContent>
    </w:sdt>
    <w:p w14:paraId="52BBA623" w14:textId="77777777" w:rsidR="00951763" w:rsidRPr="00AF1B84" w:rsidRDefault="00951763" w:rsidP="00951763">
      <w:pPr>
        <w:rPr>
          <w:rFonts w:ascii="Times New Roman" w:hAnsi="Times New Roman" w:cs="Times New Roman"/>
          <w:b/>
        </w:rPr>
      </w:pPr>
      <w:r w:rsidRPr="00AF1B84">
        <w:rPr>
          <w:rFonts w:ascii="Times New Roman" w:hAnsi="Times New Roman" w:cs="Times New Roman"/>
          <w:b/>
        </w:rPr>
        <w:lastRenderedPageBreak/>
        <w:br w:type="page"/>
      </w:r>
    </w:p>
    <w:p w14:paraId="03E175B2" w14:textId="77777777" w:rsidR="00951763" w:rsidRPr="00951763" w:rsidRDefault="00951763" w:rsidP="00951763">
      <w:pPr>
        <w:pStyle w:val="Heading1"/>
        <w:rPr>
          <w:rFonts w:ascii="Arial" w:hAnsi="Arial" w:cs="Arial"/>
          <w:sz w:val="22"/>
          <w:szCs w:val="22"/>
        </w:rPr>
      </w:pPr>
      <w:bookmarkStart w:id="0" w:name="_Toc213083758"/>
      <w:r w:rsidRPr="00951763">
        <w:rPr>
          <w:rFonts w:ascii="Arial" w:hAnsi="Arial" w:cs="Arial"/>
          <w:sz w:val="22"/>
          <w:szCs w:val="22"/>
        </w:rPr>
        <w:lastRenderedPageBreak/>
        <w:t>Part A- Project proposal poster</w:t>
      </w:r>
      <w:bookmarkEnd w:id="0"/>
    </w:p>
    <w:p w14:paraId="7B6CCD21" w14:textId="77777777" w:rsidR="00951763" w:rsidRPr="0083570B" w:rsidRDefault="00951763" w:rsidP="00951763">
      <w:r w:rsidRPr="0083570B">
        <w:rPr>
          <w:noProof/>
          <w:lang w:val="fr-FR" w:eastAsia="fr-FR"/>
        </w:rPr>
        <w:drawing>
          <wp:inline distT="0" distB="0" distL="0" distR="0" wp14:anchorId="36F35D26" wp14:editId="47736F2F">
            <wp:extent cx="5731510" cy="7685405"/>
            <wp:effectExtent l="0" t="0" r="2540" b="0"/>
            <wp:docPr id="1372958415"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58415" name="Picture 1" descr="A screenshot of a web page&#10;&#10;AI-generated content may be incorrect."/>
                    <pic:cNvPicPr/>
                  </pic:nvPicPr>
                  <pic:blipFill>
                    <a:blip r:embed="rId7"/>
                    <a:stretch>
                      <a:fillRect/>
                    </a:stretch>
                  </pic:blipFill>
                  <pic:spPr>
                    <a:xfrm>
                      <a:off x="0" y="0"/>
                      <a:ext cx="5731510" cy="7685405"/>
                    </a:xfrm>
                    <a:prstGeom prst="rect">
                      <a:avLst/>
                    </a:prstGeom>
                  </pic:spPr>
                </pic:pic>
              </a:graphicData>
            </a:graphic>
          </wp:inline>
        </w:drawing>
      </w:r>
    </w:p>
    <w:p w14:paraId="0412BA8E" w14:textId="77777777" w:rsidR="00951763" w:rsidRDefault="00951763" w:rsidP="00951763">
      <w:pPr>
        <w:pStyle w:val="Heading2"/>
        <w:spacing w:line="360" w:lineRule="auto"/>
        <w:rPr>
          <w:rFonts w:ascii="Arial" w:hAnsi="Arial" w:cs="Arial"/>
          <w:sz w:val="22"/>
          <w:szCs w:val="22"/>
        </w:rPr>
      </w:pPr>
    </w:p>
    <w:p w14:paraId="18067648" w14:textId="5DA0FCE5" w:rsidR="00951763" w:rsidRPr="00951763" w:rsidRDefault="00951763" w:rsidP="00951763">
      <w:pPr>
        <w:pStyle w:val="Heading2"/>
        <w:spacing w:line="360" w:lineRule="auto"/>
        <w:rPr>
          <w:rFonts w:ascii="Arial" w:hAnsi="Arial" w:cs="Arial"/>
          <w:sz w:val="22"/>
          <w:szCs w:val="22"/>
        </w:rPr>
      </w:pPr>
      <w:bookmarkStart w:id="1" w:name="_Toc213083759"/>
      <w:r w:rsidRPr="00951763">
        <w:rPr>
          <w:rFonts w:ascii="Arial" w:hAnsi="Arial" w:cs="Arial"/>
          <w:sz w:val="22"/>
          <w:szCs w:val="22"/>
        </w:rPr>
        <w:t>Project Description</w:t>
      </w:r>
      <w:bookmarkEnd w:id="1"/>
    </w:p>
    <w:p w14:paraId="4AF47568"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British Columbia suffered severe flooding in 2022 due to an atmospheric river, which resulted in massive landslides, bridge collapses, and infrastructure destruction. Highway 5 (the Coquihalla Highway) was the main highway route to the rest of Canada and one of the most severely impacted ones (Meredith et al., 2017). The destruction led to broken supply chains, economic loss, and community isolation.</w:t>
      </w:r>
    </w:p>
    <w:p w14:paraId="1F48FB0A"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In this project, called Reconstruction of Highway 5: Resilient Corridor Restoration, the damaged areas of Highway 5 will be recreated and fortified to ensure the safe and reliable transportation of people and goods (Grey, 2018). The purpose of the project, in addition to providing a means of restoring mobility, is to enhance flood resilience through contemporary engineering methods, eco-friendly design, and effective slope-stabilising solutions.</w:t>
      </w:r>
    </w:p>
    <w:p w14:paraId="4DD36375"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With the Government of Canada and the Province of British Columbia as the originators, the project will last 24 months (January 2023 - December 2024) and will cost approximately CAD 1.2 billion. The reconstruction will be based on safety, quality, and the long-term sustainability of the environment.</w:t>
      </w:r>
    </w:p>
    <w:p w14:paraId="419B5B84" w14:textId="77777777" w:rsidR="00951763" w:rsidRPr="00951763" w:rsidRDefault="00951763" w:rsidP="00951763">
      <w:pPr>
        <w:pStyle w:val="Heading2"/>
        <w:spacing w:line="360" w:lineRule="auto"/>
        <w:rPr>
          <w:rFonts w:ascii="Arial" w:hAnsi="Arial" w:cs="Arial"/>
          <w:sz w:val="22"/>
          <w:szCs w:val="22"/>
        </w:rPr>
      </w:pPr>
      <w:bookmarkStart w:id="2" w:name="_Toc213083760"/>
      <w:r w:rsidRPr="00951763">
        <w:rPr>
          <w:rFonts w:ascii="Arial" w:hAnsi="Arial" w:cs="Arial"/>
          <w:sz w:val="22"/>
          <w:szCs w:val="22"/>
        </w:rPr>
        <w:t>Quad Chart</w:t>
      </w:r>
      <w:bookmarkEnd w:id="2"/>
    </w:p>
    <w:p w14:paraId="0012B2E5"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The initiative aims to recover and improve resilience in Highway 5 following the 2022 incident, ensuring continuous transportation links between the Lower Mainland and the rest of interior Canada. Significant stakeholders include the Government of British Columbia, the Ministry of Transportation and Infrastructure, the Federal Government of Canada, contractors, local communities, and environmental controllers (Harrison and Lock, 2017). The project is aimed at full restoration, better drainage and increased disaster resilience. The project outcome will be measured by 100% reconstruction within 24 months, no major accidents, and regulatory compliance.</w:t>
      </w:r>
    </w:p>
    <w:p w14:paraId="6865A9CB" w14:textId="77777777" w:rsidR="00951763" w:rsidRPr="00951763" w:rsidRDefault="00951763" w:rsidP="00951763">
      <w:pPr>
        <w:pStyle w:val="Heading2"/>
        <w:spacing w:line="360" w:lineRule="auto"/>
        <w:rPr>
          <w:rFonts w:ascii="Arial" w:hAnsi="Arial" w:cs="Arial"/>
          <w:sz w:val="22"/>
          <w:szCs w:val="22"/>
        </w:rPr>
      </w:pPr>
      <w:bookmarkStart w:id="3" w:name="_Toc213083761"/>
      <w:r w:rsidRPr="00951763">
        <w:rPr>
          <w:rFonts w:ascii="Arial" w:hAnsi="Arial" w:cs="Arial"/>
          <w:sz w:val="22"/>
          <w:szCs w:val="22"/>
        </w:rPr>
        <w:t>Work Breakdown Structure (WBS) and Resource Allocation</w:t>
      </w:r>
      <w:bookmarkEnd w:id="3"/>
    </w:p>
    <w:p w14:paraId="1F2FD034"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 xml:space="preserve">The first phase of the project is the initiation phase, which consists of the creation of a project charter, the establishment of the stakeholders, a preliminary site survey and the confirmation of the funding, led by the project manager and survey team (Guo and Zhang, 2022). This is followed by a planning and design phase, which includes specific engineering design, environmental studies, geotechnical studies, and the preparation of tenders by civil engineers and environmental consultants with the aid of BIM and GIS software. The next step, the regulatory and environmental approval stage, involves completing all the appropriate permits and community consultations (Heagney, 2016). The procurement and mobilisation phase is </w:t>
      </w:r>
      <w:r w:rsidRPr="00951763">
        <w:rPr>
          <w:rFonts w:ascii="Arial" w:hAnsi="Arial" w:cs="Arial"/>
          <w:bCs/>
          <w:sz w:val="22"/>
          <w:szCs w:val="22"/>
        </w:rPr>
        <w:lastRenderedPageBreak/>
        <w:t>concerned with the choice of contractors, the sourcing of materials, and logistics management. The construction phase also involves the reconstruction of bridges, drainage systems and road surfaces with skilled workers and heavy machinery (</w:t>
      </w:r>
      <w:proofErr w:type="spellStart"/>
      <w:r w:rsidRPr="00951763">
        <w:rPr>
          <w:rFonts w:ascii="Arial" w:hAnsi="Arial" w:cs="Arial"/>
          <w:bCs/>
          <w:sz w:val="22"/>
          <w:szCs w:val="22"/>
        </w:rPr>
        <w:t>Zwikael</w:t>
      </w:r>
      <w:proofErr w:type="spellEnd"/>
      <w:r w:rsidRPr="00951763">
        <w:rPr>
          <w:rFonts w:ascii="Arial" w:hAnsi="Arial" w:cs="Arial"/>
          <w:bCs/>
          <w:sz w:val="22"/>
          <w:szCs w:val="22"/>
        </w:rPr>
        <w:t xml:space="preserve"> and </w:t>
      </w:r>
      <w:proofErr w:type="spellStart"/>
      <w:r w:rsidRPr="00951763">
        <w:rPr>
          <w:rFonts w:ascii="Arial" w:hAnsi="Arial" w:cs="Arial"/>
          <w:bCs/>
          <w:sz w:val="22"/>
          <w:szCs w:val="22"/>
        </w:rPr>
        <w:t>Smyrk</w:t>
      </w:r>
      <w:proofErr w:type="spellEnd"/>
      <w:r w:rsidRPr="00951763">
        <w:rPr>
          <w:rFonts w:ascii="Arial" w:hAnsi="Arial" w:cs="Arial"/>
          <w:bCs/>
          <w:sz w:val="22"/>
          <w:szCs w:val="22"/>
        </w:rPr>
        <w:t>, 2019). The safety management and quality assurance pledged the structural integrity and safety. Lastly, the closure phase of the project involves inspection and documentation, culminating in the official reopening of Highway 5.</w:t>
      </w:r>
    </w:p>
    <w:p w14:paraId="08531AE2" w14:textId="77777777" w:rsidR="00951763" w:rsidRPr="00951763" w:rsidRDefault="00951763" w:rsidP="00951763">
      <w:pPr>
        <w:pStyle w:val="Heading2"/>
        <w:spacing w:line="360" w:lineRule="auto"/>
        <w:rPr>
          <w:rFonts w:ascii="Arial" w:hAnsi="Arial" w:cs="Arial"/>
          <w:sz w:val="22"/>
          <w:szCs w:val="22"/>
        </w:rPr>
      </w:pPr>
      <w:bookmarkStart w:id="4" w:name="_Toc213083762"/>
      <w:r w:rsidRPr="00951763">
        <w:rPr>
          <w:rFonts w:ascii="Arial" w:hAnsi="Arial" w:cs="Arial"/>
          <w:sz w:val="22"/>
          <w:szCs w:val="22"/>
        </w:rPr>
        <w:t>Conclusion</w:t>
      </w:r>
      <w:bookmarkEnd w:id="4"/>
    </w:p>
    <w:p w14:paraId="773B0838"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The reconstruction of Highway 5 is a critical project to renew the major transport highway of British Columbia and make it sustainable in extreme weather scenarios. The organisation of resources and stakeholder cooperation, combined with the modern engineering development of the project, will provide a safe, lasting, and environmentally friendly corridor. General achievements will not only link communities and supply chains but will also strengthen British Columbia's readiness for subsequent changes in climatic patterns, emphasising resilience over recovery.</w:t>
      </w:r>
    </w:p>
    <w:p w14:paraId="74975A0F" w14:textId="48A0FDED"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 </w:t>
      </w:r>
      <w:r w:rsidRPr="00951763">
        <w:rPr>
          <w:rFonts w:ascii="Arial" w:hAnsi="Arial" w:cs="Arial"/>
          <w:sz w:val="22"/>
          <w:szCs w:val="22"/>
        </w:rPr>
        <w:t>Part B - Reflections from the feedback received from tutors and peers</w:t>
      </w:r>
    </w:p>
    <w:p w14:paraId="6D66EF67"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Receiving feedback from my tutor and peers on the project proposal poster about the Reconstruction of Highway 5: Resilient Corridor Restoration has been an ideal learning experience. Their remarks offered highly insightful observations on what was good in my original submission and what needs to be improved to enhance the professionalism, depth, and clarity of the final project plan. This reflection has summarised my strengths and the areas I will focus on, particularly to demonstrate how constructive feedback can help me continually improve my project management skills.</w:t>
      </w:r>
    </w:p>
    <w:p w14:paraId="20FB294C"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Another quality my tutor highlighted as an advantage was the attractiveness and whiteness of the project description. The introduction clearly explained the real-life situation of the condition in 2022 in British Columbia, specifically the floods and their impact on the Coquihalla Highway. My choice to base the project on an actual situation was praised as an indication of my knowledge of the necessity of infrastructure resilience to climate-related catastrophes (</w:t>
      </w:r>
      <w:proofErr w:type="spellStart"/>
      <w:r w:rsidRPr="00951763">
        <w:rPr>
          <w:rFonts w:ascii="Arial" w:hAnsi="Arial" w:cs="Arial"/>
          <w:bCs/>
          <w:sz w:val="22"/>
          <w:szCs w:val="22"/>
        </w:rPr>
        <w:t>Banihashemi</w:t>
      </w:r>
      <w:proofErr w:type="spellEnd"/>
      <w:r w:rsidRPr="00951763">
        <w:rPr>
          <w:rFonts w:ascii="Arial" w:hAnsi="Arial" w:cs="Arial"/>
          <w:bCs/>
          <w:sz w:val="22"/>
          <w:szCs w:val="22"/>
        </w:rPr>
        <w:t xml:space="preserve"> et al., 2017). The way the description related the project's goals to the principle of sustainability was also valued by peers, signalling an awareness of contemporary engineering and environmental management principles. Furthermore, the inclusion of certain timeframes, budget estimates, and funding sources was cited as a positive example of realistic project scoping.</w:t>
      </w:r>
    </w:p>
    <w:p w14:paraId="5E6C0B38"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 xml:space="preserve">The well-organised format of the quad chart and WBS was another feedback point. The project closure and initiation behaviours demonstrated the logical sequencing of activities and </w:t>
      </w:r>
      <w:r w:rsidRPr="00951763">
        <w:rPr>
          <w:rFonts w:ascii="Arial" w:hAnsi="Arial" w:cs="Arial"/>
          <w:bCs/>
          <w:sz w:val="22"/>
          <w:szCs w:val="22"/>
        </w:rPr>
        <w:lastRenderedPageBreak/>
        <w:t>demonstrated that I fittingly used the project management methodologies (</w:t>
      </w:r>
      <w:proofErr w:type="spellStart"/>
      <w:r w:rsidRPr="00951763">
        <w:rPr>
          <w:rFonts w:ascii="Arial" w:hAnsi="Arial" w:cs="Arial"/>
          <w:bCs/>
          <w:sz w:val="22"/>
          <w:szCs w:val="22"/>
        </w:rPr>
        <w:t>Zwikael</w:t>
      </w:r>
      <w:proofErr w:type="spellEnd"/>
      <w:r w:rsidRPr="00951763">
        <w:rPr>
          <w:rFonts w:ascii="Arial" w:hAnsi="Arial" w:cs="Arial"/>
          <w:bCs/>
          <w:sz w:val="22"/>
          <w:szCs w:val="22"/>
        </w:rPr>
        <w:t xml:space="preserve"> and </w:t>
      </w:r>
      <w:proofErr w:type="spellStart"/>
      <w:r w:rsidRPr="00951763">
        <w:rPr>
          <w:rFonts w:ascii="Arial" w:hAnsi="Arial" w:cs="Arial"/>
          <w:bCs/>
          <w:sz w:val="22"/>
          <w:szCs w:val="22"/>
        </w:rPr>
        <w:t>Smyrk</w:t>
      </w:r>
      <w:proofErr w:type="spellEnd"/>
      <w:r w:rsidRPr="00951763">
        <w:rPr>
          <w:rFonts w:ascii="Arial" w:hAnsi="Arial" w:cs="Arial"/>
          <w:bCs/>
          <w:sz w:val="22"/>
          <w:szCs w:val="22"/>
        </w:rPr>
        <w:t>, 2019). It was observed that stakeholder roles, success criteria, and project objectives were well depicted in the chart, and it was easy to see the general project flow. It was also found that combining resource distribution with the role of responsibility was a strong point, implying that the planning domain and organisational skills have been successfully applied.</w:t>
      </w:r>
    </w:p>
    <w:p w14:paraId="71F74F8A"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Nevertheless, several aspects that can be improved were identified, which I will consider in the final project plan. The former one was the necessity of more specific risk assessment and risk mitigation measures. Although the proposal described the utilisation of safety and resilience, my tutor proposed expanding this section to include possible risks specific to a particular situation, such as weather delays, supply chain disruptions, non-compliance with environmental regulations, and contingency plans (Martens and Carvalho, 2017). Combining it now with a risk management matrix and connecting it with the WBS would make the project more credible and better positioned to anticipate events.</w:t>
      </w:r>
    </w:p>
    <w:p w14:paraId="37B34610" w14:textId="77777777" w:rsidR="00951763" w:rsidRPr="00951763" w:rsidRDefault="00951763" w:rsidP="00951763">
      <w:pPr>
        <w:spacing w:line="360" w:lineRule="auto"/>
        <w:jc w:val="both"/>
        <w:rPr>
          <w:rFonts w:ascii="Arial" w:hAnsi="Arial" w:cs="Arial"/>
          <w:bCs/>
          <w:sz w:val="22"/>
          <w:szCs w:val="22"/>
        </w:rPr>
      </w:pPr>
      <w:r w:rsidRPr="00951763">
        <w:rPr>
          <w:rFonts w:ascii="Arial" w:hAnsi="Arial" w:cs="Arial"/>
          <w:bCs/>
          <w:sz w:val="22"/>
          <w:szCs w:val="22"/>
        </w:rPr>
        <w:t>The intensity of stakeholder analysis is also one of the areas that is developing. Even though I have mentioned key stakeholders, the responses indicated that it is necessary to discuss the impact, interests, and possible inconsistencies (Harrison and Lock, 2017). By illustrating the functions of environmental regulators, local people, and contractors, the discussion will help explain communication methods and collaboration mechanisms. This is improved through the stakeholder engagement plan, which references best practices.</w:t>
      </w:r>
    </w:p>
    <w:p w14:paraId="2CD961B0" w14:textId="270CC31A" w:rsidR="00557EBD" w:rsidRPr="000A603D" w:rsidRDefault="00216303" w:rsidP="000A603D">
      <w:pPr>
        <w:pStyle w:val="Heading1"/>
        <w:rPr>
          <w:rFonts w:ascii="Arial" w:hAnsi="Arial" w:cs="Arial"/>
          <w:sz w:val="22"/>
          <w:szCs w:val="22"/>
        </w:rPr>
      </w:pPr>
      <w:bookmarkStart w:id="5" w:name="_Toc213083763"/>
      <w:r w:rsidRPr="000A603D">
        <w:rPr>
          <w:rFonts w:ascii="Arial" w:hAnsi="Arial" w:cs="Arial"/>
          <w:sz w:val="22"/>
          <w:szCs w:val="22"/>
        </w:rPr>
        <w:t xml:space="preserve">Part B- Reflection </w:t>
      </w:r>
      <w:r w:rsidR="0052174E" w:rsidRPr="000A603D">
        <w:rPr>
          <w:rFonts w:ascii="Arial" w:hAnsi="Arial" w:cs="Arial"/>
          <w:sz w:val="22"/>
          <w:szCs w:val="22"/>
        </w:rPr>
        <w:t>from the Feedback Received from Tutor and Peers</w:t>
      </w:r>
      <w:bookmarkEnd w:id="5"/>
    </w:p>
    <w:p w14:paraId="2A856120" w14:textId="77777777" w:rsidR="00557EBD" w:rsidRPr="00557EBD" w:rsidRDefault="00557EBD" w:rsidP="00557EBD">
      <w:pPr>
        <w:spacing w:line="360" w:lineRule="auto"/>
        <w:jc w:val="both"/>
        <w:rPr>
          <w:rFonts w:ascii="Arial" w:hAnsi="Arial" w:cs="Arial"/>
          <w:sz w:val="22"/>
          <w:szCs w:val="22"/>
        </w:rPr>
      </w:pPr>
      <w:r w:rsidRPr="00557EBD">
        <w:rPr>
          <w:rFonts w:ascii="Arial" w:hAnsi="Arial" w:cs="Arial"/>
          <w:sz w:val="22"/>
          <w:szCs w:val="22"/>
        </w:rPr>
        <w:t>Reflecting on the feedback from my tutor and peers has been an eye-opening experience, helping me refine my approach to the project plan. Overall, the comments highlighted both strengths in my initial draft and areas needing enhancement, which I’ll incorporate into the final version. This process has reinforced the value of collaborative input in academic work, pushing me to think more critically about my ideas and execution.</w:t>
      </w:r>
    </w:p>
    <w:p w14:paraId="59EBC757" w14:textId="02732C9E" w:rsidR="00557EBD" w:rsidRPr="00557EBD" w:rsidRDefault="00557EBD" w:rsidP="00557EBD">
      <w:pPr>
        <w:spacing w:line="360" w:lineRule="auto"/>
        <w:jc w:val="both"/>
        <w:rPr>
          <w:rFonts w:ascii="Arial" w:hAnsi="Arial" w:cs="Arial"/>
          <w:sz w:val="22"/>
          <w:szCs w:val="22"/>
        </w:rPr>
      </w:pPr>
      <w:r w:rsidRPr="00557EBD">
        <w:rPr>
          <w:rFonts w:ascii="Arial" w:hAnsi="Arial" w:cs="Arial"/>
          <w:sz w:val="22"/>
          <w:szCs w:val="22"/>
        </w:rPr>
        <w:t>Starting with what I did well, several points stood out. My tutor praised the clarity and structure of the project outline, noting that the logical flow from objectives to methodology made it easy to follow. She specifically</w:t>
      </w:r>
      <w:r>
        <w:rPr>
          <w:rFonts w:ascii="Arial" w:hAnsi="Arial" w:cs="Arial"/>
          <w:sz w:val="22"/>
          <w:szCs w:val="22"/>
        </w:rPr>
        <w:t xml:space="preserve"> </w:t>
      </w:r>
      <w:r w:rsidRPr="00557EBD">
        <w:rPr>
          <w:rFonts w:ascii="Arial" w:hAnsi="Arial" w:cs="Arial"/>
          <w:sz w:val="22"/>
          <w:szCs w:val="22"/>
        </w:rPr>
        <w:t>mentioned how I</w:t>
      </w:r>
      <w:r>
        <w:rPr>
          <w:rFonts w:ascii="Arial" w:hAnsi="Arial" w:cs="Arial"/>
          <w:sz w:val="22"/>
          <w:szCs w:val="22"/>
        </w:rPr>
        <w:t xml:space="preserve"> </w:t>
      </w:r>
      <w:r w:rsidRPr="00557EBD">
        <w:rPr>
          <w:rFonts w:ascii="Arial" w:hAnsi="Arial" w:cs="Arial"/>
          <w:sz w:val="22"/>
          <w:szCs w:val="22"/>
        </w:rPr>
        <w:t xml:space="preserve">effectively integrated relevant literature, demonstrating a solid understanding of the topic—sustainable urban development. This was echoed by peers, who appreciated the real-world examples I included, like case studies from cities such as Copenhagen and Singapore. One peer commented that these illustrations brought the abstract concepts to life, making the plan more engaging and relatable. Additionally, my use of visuals, such as diagrams for stakeholder mapping, was highlighted as a strong point, enhancing readability and helping convey complex relationships without </w:t>
      </w:r>
      <w:r w:rsidRPr="00557EBD">
        <w:rPr>
          <w:rFonts w:ascii="Arial" w:hAnsi="Arial" w:cs="Arial"/>
          <w:sz w:val="22"/>
          <w:szCs w:val="22"/>
        </w:rPr>
        <w:lastRenderedPageBreak/>
        <w:t>overwhelming text. Another positive was the feasibility assessment; the tutor noted that my timeline and resource allocation seemed realistic, avoiding the common pitfall of overambitious scopes. Peers also liked the emphasis on ethical considerations, particularly in data collection methods, which showed foresight in addressing potential biases. These affirmations boosted my confidence, confirming that my foundational research and organization skills are on the right track.</w:t>
      </w:r>
    </w:p>
    <w:p w14:paraId="454B2FB8" w14:textId="77777777" w:rsidR="00557EBD" w:rsidRPr="00557EBD" w:rsidRDefault="00557EBD" w:rsidP="00557EBD">
      <w:pPr>
        <w:spacing w:line="360" w:lineRule="auto"/>
        <w:jc w:val="both"/>
        <w:rPr>
          <w:rFonts w:ascii="Arial" w:hAnsi="Arial" w:cs="Arial"/>
          <w:sz w:val="22"/>
          <w:szCs w:val="22"/>
        </w:rPr>
      </w:pPr>
      <w:r w:rsidRPr="00557EBD">
        <w:rPr>
          <w:rFonts w:ascii="Arial" w:hAnsi="Arial" w:cs="Arial"/>
          <w:sz w:val="22"/>
          <w:szCs w:val="22"/>
        </w:rPr>
        <w:t>However, the feedback also pinpointed several improvements, which I take as constructive opportunities for growth. A recurring theme was the need for deeper analysis in the risk management section. My tutor suggested that while I identified key risks, like budget overruns or regulatory changes, I didn’t sufficiently explore mitigation strategies or contingency plans. She recommended quantifying risks where possible, perhaps using tools like SWOT analysis more robustly. Peers agreed, with one suggesting I incorporate more data-driven projections to strengthen this area. Another critique focused on stakeholder engagement; although I outlined who the stakeholders are, the feedback indicated I could expand on how to actively involve them, such as through surveys or workshops, to make the plan more inclusive. Additionally, there were comments on the innovation aspect—my ideas were solid but could be more creative. For instance, a peer pointed out that while sustainable tech like green roofs was mentioned, exploring emerging trends like AI-driven urban planning could elevate the proposal. Language and conciseness were also flagged; some sections were wordy, and the tutor advised tightening them to improve impact without losing depth. Finally, references needed polishing—one peer noted a couple of outdated sources, urging me to update with recent studies from 2023 onward.</w:t>
      </w:r>
    </w:p>
    <w:p w14:paraId="70727AE2" w14:textId="77777777" w:rsidR="00557EBD" w:rsidRPr="00557EBD" w:rsidRDefault="00557EBD" w:rsidP="00557EBD">
      <w:pPr>
        <w:spacing w:line="360" w:lineRule="auto"/>
        <w:jc w:val="both"/>
        <w:rPr>
          <w:rFonts w:ascii="Arial" w:hAnsi="Arial" w:cs="Arial"/>
          <w:sz w:val="22"/>
          <w:szCs w:val="22"/>
        </w:rPr>
      </w:pPr>
      <w:r w:rsidRPr="00557EBD">
        <w:rPr>
          <w:rFonts w:ascii="Arial" w:hAnsi="Arial" w:cs="Arial"/>
          <w:sz w:val="22"/>
          <w:szCs w:val="22"/>
        </w:rPr>
        <w:t>Moving forward, I’ll apply these insights directly to the final project plan. For risks, I’ll add a dedicated matrix with probabilities and impacts, drawing from peer suggestions to make it more actionable. On stakeholder engagement, I’ll include specific methods like focus groups, ensuring diverse voices are represented. To boost innovation, I’ll research and integrate cutting-edge elements, such as blockchain for transparent resource tracking in urban projects. I’ll also revise for conciseness, aiming to cut redundant phrases while maintaining clarity. Updating references will involve a thorough literature review using databases like JSTOR. These changes should result in a more polished, comprehensive plan that’s not only theoretically sound but practically viable.</w:t>
      </w:r>
    </w:p>
    <w:p w14:paraId="72E13685" w14:textId="599D44E3" w:rsidR="00557EBD" w:rsidRPr="00557EBD" w:rsidRDefault="00557EBD" w:rsidP="00557EBD">
      <w:pPr>
        <w:spacing w:line="360" w:lineRule="auto"/>
        <w:jc w:val="both"/>
        <w:rPr>
          <w:rFonts w:ascii="Arial" w:hAnsi="Arial" w:cs="Arial"/>
          <w:sz w:val="22"/>
          <w:szCs w:val="22"/>
        </w:rPr>
      </w:pPr>
      <w:r w:rsidRPr="00557EBD">
        <w:rPr>
          <w:rFonts w:ascii="Arial" w:hAnsi="Arial" w:cs="Arial"/>
          <w:sz w:val="22"/>
          <w:szCs w:val="22"/>
        </w:rPr>
        <w:t xml:space="preserve">In conclusion, this feedback loop has been invaluable, reminding me that no plan is perfect on the first try. By building on my strengths in structure and real-world application while addressing gaps in depth and creativity, I’m confident the final version will be stronger. This </w:t>
      </w:r>
      <w:r w:rsidRPr="00557EBD">
        <w:rPr>
          <w:rFonts w:ascii="Arial" w:hAnsi="Arial" w:cs="Arial"/>
          <w:sz w:val="22"/>
          <w:szCs w:val="22"/>
        </w:rPr>
        <w:lastRenderedPageBreak/>
        <w:t>reflection has also taught me the importance of iterative improvement in project management, a skill I’ll carry into future endeavours. </w:t>
      </w:r>
    </w:p>
    <w:p w14:paraId="2A803F77" w14:textId="77777777" w:rsidR="000A603D" w:rsidRDefault="00557EBD" w:rsidP="000A603D">
      <w:pPr>
        <w:pStyle w:val="Heading1"/>
        <w:rPr>
          <w:rFonts w:ascii="Arial" w:hAnsi="Arial" w:cs="Arial"/>
          <w:sz w:val="22"/>
          <w:szCs w:val="22"/>
        </w:rPr>
      </w:pPr>
      <w:bookmarkStart w:id="6" w:name="_Toc213083764"/>
      <w:r w:rsidRPr="000A603D">
        <w:rPr>
          <w:rFonts w:ascii="Arial" w:hAnsi="Arial" w:cs="Arial"/>
          <w:sz w:val="22"/>
          <w:szCs w:val="22"/>
        </w:rPr>
        <w:t>Part C</w:t>
      </w:r>
      <w:r w:rsidR="002179ED" w:rsidRPr="000A603D">
        <w:rPr>
          <w:rFonts w:ascii="Arial" w:hAnsi="Arial" w:cs="Arial"/>
          <w:sz w:val="22"/>
          <w:szCs w:val="22"/>
        </w:rPr>
        <w:t xml:space="preserve"> Project Management Plan</w:t>
      </w:r>
      <w:bookmarkEnd w:id="6"/>
    </w:p>
    <w:p w14:paraId="68532CC4" w14:textId="6A28638E" w:rsidR="001A0FC4" w:rsidRPr="000A603D" w:rsidRDefault="001A0FC4" w:rsidP="000A603D">
      <w:pPr>
        <w:pStyle w:val="Heading1"/>
        <w:rPr>
          <w:rFonts w:ascii="Arial" w:hAnsi="Arial" w:cs="Arial"/>
          <w:sz w:val="22"/>
          <w:szCs w:val="22"/>
        </w:rPr>
      </w:pPr>
      <w:bookmarkStart w:id="7" w:name="_Toc213083765"/>
      <w:r w:rsidRPr="000A603D">
        <w:rPr>
          <w:rFonts w:ascii="Arial" w:hAnsi="Arial" w:cs="Arial"/>
          <w:sz w:val="22"/>
          <w:szCs w:val="22"/>
        </w:rPr>
        <w:t>1. Introduction</w:t>
      </w:r>
      <w:bookmarkEnd w:id="7"/>
    </w:p>
    <w:p w14:paraId="59E93830"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catastrophic flooding that struck British Columbia in November 2021 exposed critical vulnerabilities in the province's transportation infrastructure. The atmospheric river event caused unprecedented damage to Highway 5, commonly known as the Coquihalla Highway, severing one of Canada's most vital transportation arteries (</w:t>
      </w:r>
      <w:proofErr w:type="spellStart"/>
      <w:r w:rsidRPr="001A0FC4">
        <w:rPr>
          <w:rFonts w:ascii="Arial" w:hAnsi="Arial" w:cs="Arial"/>
          <w:sz w:val="22"/>
          <w:szCs w:val="22"/>
        </w:rPr>
        <w:t>Castellarin</w:t>
      </w:r>
      <w:proofErr w:type="spellEnd"/>
      <w:r w:rsidRPr="001A0FC4">
        <w:rPr>
          <w:rFonts w:ascii="Arial" w:hAnsi="Arial" w:cs="Arial"/>
          <w:sz w:val="22"/>
          <w:szCs w:val="22"/>
        </w:rPr>
        <w:t xml:space="preserve"> et al., 2018). This disaster disrupted the movement of people and goods whilst isolating communities and causing significant economic repercussions across Western Canada.</w:t>
      </w:r>
    </w:p>
    <w:p w14:paraId="631D733C"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This Project Management Plan outlines a comprehensive approach to reconstructing and enhancing Highway 5's resilience against future extreme weather events. The plan demonstrates the application of established project management methodologies, including the Project Management Institute's framework (PMI, 2021), whilst addressing the unique challenges posed by large-scale infrastructure reconstruction. The approach integrates contemporary engineering solutions with sustainable design principles to ensure that the reconstructed corridor serves communities effectively for decades to come (Aaltonen and Kujala, 2010).</w:t>
      </w:r>
    </w:p>
    <w:p w14:paraId="7BDAB0EA" w14:textId="77777777" w:rsidR="001A0FC4" w:rsidRPr="000A603D" w:rsidRDefault="001A0FC4" w:rsidP="000A603D">
      <w:pPr>
        <w:pStyle w:val="Heading1"/>
        <w:rPr>
          <w:rFonts w:ascii="Arial" w:hAnsi="Arial" w:cs="Arial"/>
          <w:sz w:val="22"/>
          <w:szCs w:val="22"/>
        </w:rPr>
      </w:pPr>
      <w:bookmarkStart w:id="8" w:name="_Toc213083766"/>
      <w:r w:rsidRPr="000A603D">
        <w:rPr>
          <w:rFonts w:ascii="Arial" w:hAnsi="Arial" w:cs="Arial"/>
          <w:sz w:val="22"/>
          <w:szCs w:val="22"/>
        </w:rPr>
        <w:t>2. Project Description</w:t>
      </w:r>
      <w:bookmarkEnd w:id="8"/>
    </w:p>
    <w:p w14:paraId="0FC20556"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Reconstruction of Highway 5: Resilient Corridor Restoration represents a transformative infrastructure initiative designed to rebuild and fortify approximately 130 kilometres of critically damaged highway sections. The 2021 atmospheric river event caused multiple bridge failures, extensive roadway washouts, and massive slope instabilities that rendered significant portions of the highway impassable (Deng et al., 2017).</w:t>
      </w:r>
    </w:p>
    <w:p w14:paraId="21535F54"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project extends beyond simple restoration to incorporate advanced engineering solutions that address the root causes of infrastructure failure. Key technical components include the installation of enhanced drainage systems capable of managing extreme precipitation events, the construction of reinforced bridge structures with improved hydraulic capacity, and the implementation of advanced slope stabilisation techniques using both mechanical and bioengineering approaches (Lock, 2017). The design philosophy emphasises nature-based solutions where feasible, integrating ecological restoration with engineering requirements.</w:t>
      </w:r>
    </w:p>
    <w:p w14:paraId="167CDE01"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lastRenderedPageBreak/>
        <w:t>The reconstruction effort requires coordination across multiple jurisdictions and stakeholder groups. The Government of Canada, through Infrastructure Canada, provides substantial federal funding, whilst the Province of British Columbia, via the Ministry of Transportation and Infrastructure, maintains overall project authority and operational responsibility (Brunet and Aubry, 2016). Environmental sustainability forms a cornerstone of the project approach, with all design solutions undergoing rigorous environmental assessment to minimise ecological impacts whilst maximising climate adaptation benefits.</w:t>
      </w:r>
    </w:p>
    <w:p w14:paraId="4F5D8096" w14:textId="77777777" w:rsidR="001A0FC4" w:rsidRPr="000A603D" w:rsidRDefault="001A0FC4" w:rsidP="000A603D">
      <w:pPr>
        <w:pStyle w:val="Heading1"/>
        <w:rPr>
          <w:rFonts w:ascii="Arial" w:hAnsi="Arial" w:cs="Arial"/>
          <w:sz w:val="22"/>
          <w:szCs w:val="22"/>
        </w:rPr>
      </w:pPr>
      <w:bookmarkStart w:id="9" w:name="_Toc213083767"/>
      <w:r w:rsidRPr="000A603D">
        <w:rPr>
          <w:rFonts w:ascii="Arial" w:hAnsi="Arial" w:cs="Arial"/>
          <w:sz w:val="22"/>
          <w:szCs w:val="22"/>
        </w:rPr>
        <w:t>3. Scope</w:t>
      </w:r>
      <w:bookmarkEnd w:id="9"/>
    </w:p>
    <w:p w14:paraId="511AEB7C" w14:textId="77777777" w:rsidR="001A0FC4" w:rsidRPr="000A603D" w:rsidRDefault="001A0FC4" w:rsidP="000A603D">
      <w:pPr>
        <w:pStyle w:val="Heading2"/>
        <w:rPr>
          <w:rFonts w:ascii="Arial" w:hAnsi="Arial" w:cs="Arial"/>
          <w:sz w:val="22"/>
          <w:szCs w:val="22"/>
        </w:rPr>
      </w:pPr>
      <w:bookmarkStart w:id="10" w:name="_Toc213083768"/>
      <w:r w:rsidRPr="000A603D">
        <w:rPr>
          <w:rFonts w:ascii="Arial" w:hAnsi="Arial" w:cs="Arial"/>
          <w:sz w:val="22"/>
          <w:szCs w:val="22"/>
        </w:rPr>
        <w:t>3.1 In-Scope Elements</w:t>
      </w:r>
      <w:bookmarkEnd w:id="10"/>
    </w:p>
    <w:p w14:paraId="10C8CA98"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project scope encompasses comprehensive reconstruction activities across multiple highway segments. In-scope elements include the complete rebuilding of seven major bridge structures, with each designed to exceed current hydraulic capacity requirements by at least 30 percent to accommodate future climate scenarios (Nicholas and Steyn, 2017). The project includes reconstruction of approximately 24 kilometres of roadway requiring complete subgrade replacement, installation of advanced drainage infrastructure across 130 kilometres, and implementation of slope stabilisation measures at 43 identified high-risk locations.</w:t>
      </w:r>
    </w:p>
    <w:p w14:paraId="0210D4D5"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Additional in-scope elements comprise the installation of modern traffic management systems, including variable message signs, weather monitoring stations, and automated avalanche detection equipment. The scope includes comprehensive geotechnical investigations at all critical locations, environmental monitoring throughout construction, and the establishment of vegetation restoration programmes across disturbed areas (Kerzner, 2017).</w:t>
      </w:r>
    </w:p>
    <w:p w14:paraId="5AC197EA" w14:textId="77777777" w:rsidR="001A0FC4" w:rsidRPr="000A603D" w:rsidRDefault="001A0FC4" w:rsidP="000A603D">
      <w:pPr>
        <w:pStyle w:val="Heading2"/>
        <w:rPr>
          <w:rFonts w:ascii="Arial" w:hAnsi="Arial" w:cs="Arial"/>
          <w:sz w:val="22"/>
          <w:szCs w:val="22"/>
        </w:rPr>
      </w:pPr>
      <w:bookmarkStart w:id="11" w:name="_Toc213083769"/>
      <w:r w:rsidRPr="000A603D">
        <w:rPr>
          <w:rFonts w:ascii="Arial" w:hAnsi="Arial" w:cs="Arial"/>
          <w:sz w:val="22"/>
          <w:szCs w:val="22"/>
        </w:rPr>
        <w:t>3.2 Out-of-Scope Elements</w:t>
      </w:r>
      <w:bookmarkEnd w:id="11"/>
    </w:p>
    <w:p w14:paraId="04340DF0" w14:textId="2E13D96C" w:rsidR="00951763" w:rsidRPr="000A603D" w:rsidRDefault="001A0FC4" w:rsidP="001A0FC4">
      <w:pPr>
        <w:spacing w:line="360" w:lineRule="auto"/>
        <w:rPr>
          <w:rFonts w:ascii="Arial" w:hAnsi="Arial" w:cs="Arial"/>
          <w:sz w:val="22"/>
          <w:szCs w:val="22"/>
        </w:rPr>
      </w:pPr>
      <w:r w:rsidRPr="001A0FC4">
        <w:rPr>
          <w:rFonts w:ascii="Arial" w:hAnsi="Arial" w:cs="Arial"/>
          <w:sz w:val="22"/>
          <w:szCs w:val="22"/>
        </w:rPr>
        <w:t>Several elements remain explicitly outside the project scope to maintain focus and manage resource allocation effectively. The project does not include widening the highway beyond its original configuration, though shoulder improvements for safety purposes are incorporated where necessary. Reconstruction of parallel or alternative route highways falls outside scope boundaries, as does the development of permanent detour routes. The project excludes upgrades to adjacent municipal infrastructure unless directly impacted by construction activities (Burke, 2013).</w:t>
      </w:r>
    </w:p>
    <w:p w14:paraId="7155CCC9" w14:textId="58F68408" w:rsidR="001A0FC4" w:rsidRPr="000A603D" w:rsidRDefault="001A0FC4" w:rsidP="000A603D">
      <w:pPr>
        <w:pStyle w:val="Heading2"/>
        <w:rPr>
          <w:rFonts w:ascii="Arial" w:hAnsi="Arial" w:cs="Arial"/>
          <w:sz w:val="22"/>
          <w:szCs w:val="22"/>
        </w:rPr>
      </w:pPr>
      <w:bookmarkStart w:id="12" w:name="_Toc213083770"/>
      <w:r w:rsidRPr="000A603D">
        <w:rPr>
          <w:rFonts w:ascii="Arial" w:hAnsi="Arial" w:cs="Arial"/>
          <w:sz w:val="22"/>
          <w:szCs w:val="22"/>
        </w:rPr>
        <w:t>3.3 Deliverables and Acceptance Criteria</w:t>
      </w:r>
      <w:bookmarkEnd w:id="12"/>
    </w:p>
    <w:p w14:paraId="039E3C9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Major project deliverables include fully reconstructed and operational highway segments meeting or exceeding current design standards, comprehensive as-built documentation </w:t>
      </w:r>
      <w:r w:rsidRPr="001A0FC4">
        <w:rPr>
          <w:rFonts w:ascii="Arial" w:hAnsi="Arial" w:cs="Arial"/>
          <w:sz w:val="22"/>
          <w:szCs w:val="22"/>
        </w:rPr>
        <w:lastRenderedPageBreak/>
        <w:t>including geotechnical reports and structural certifications, and environmental compliance reports demonstrating adherence to all regulatory requirements. All structures require certification by independent professional engineers confirming compliance with current seismic and hydraulic design standards. Roadway surfaces must demonstrate specified pavement quality indicators, and drainage systems must pass functionality testing under simulated extreme flow conditions (</w:t>
      </w:r>
      <w:proofErr w:type="spellStart"/>
      <w:r w:rsidRPr="001A0FC4">
        <w:rPr>
          <w:rFonts w:ascii="Arial" w:hAnsi="Arial" w:cs="Arial"/>
          <w:sz w:val="22"/>
          <w:szCs w:val="22"/>
        </w:rPr>
        <w:t>Shenhar</w:t>
      </w:r>
      <w:proofErr w:type="spellEnd"/>
      <w:r w:rsidRPr="001A0FC4">
        <w:rPr>
          <w:rFonts w:ascii="Arial" w:hAnsi="Arial" w:cs="Arial"/>
          <w:sz w:val="22"/>
          <w:szCs w:val="22"/>
        </w:rPr>
        <w:t xml:space="preserve"> and </w:t>
      </w:r>
      <w:proofErr w:type="spellStart"/>
      <w:r w:rsidRPr="001A0FC4">
        <w:rPr>
          <w:rFonts w:ascii="Arial" w:hAnsi="Arial" w:cs="Arial"/>
          <w:sz w:val="22"/>
          <w:szCs w:val="22"/>
        </w:rPr>
        <w:t>Dvir</w:t>
      </w:r>
      <w:proofErr w:type="spellEnd"/>
      <w:r w:rsidRPr="001A0FC4">
        <w:rPr>
          <w:rFonts w:ascii="Arial" w:hAnsi="Arial" w:cs="Arial"/>
          <w:sz w:val="22"/>
          <w:szCs w:val="22"/>
        </w:rPr>
        <w:t>, 2007).</w:t>
      </w:r>
    </w:p>
    <w:p w14:paraId="68868920" w14:textId="77777777" w:rsidR="001A0FC4" w:rsidRPr="00766B7D" w:rsidRDefault="001A0FC4" w:rsidP="00766B7D">
      <w:pPr>
        <w:pStyle w:val="Heading1"/>
        <w:rPr>
          <w:rFonts w:ascii="Arial" w:hAnsi="Arial" w:cs="Arial"/>
          <w:sz w:val="22"/>
          <w:szCs w:val="22"/>
        </w:rPr>
      </w:pPr>
      <w:bookmarkStart w:id="13" w:name="_Toc213083771"/>
      <w:r w:rsidRPr="00766B7D">
        <w:rPr>
          <w:rFonts w:ascii="Arial" w:hAnsi="Arial" w:cs="Arial"/>
          <w:sz w:val="22"/>
          <w:szCs w:val="22"/>
        </w:rPr>
        <w:t>4. Work Breakdown Structure</w:t>
      </w:r>
      <w:bookmarkEnd w:id="13"/>
    </w:p>
    <w:p w14:paraId="0C47738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Work Breakdown Structure organises project activities into manageable components, facilitating effective resource allocation and progress monitoring. The hierarchical structure breaks down the project into seven primary phases.</w:t>
      </w:r>
    </w:p>
    <w:p w14:paraId="2C27F941"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Phase 1: Project Initiation (Months 1-2) establishes project foundations through development and approval of the project charter, stakeholder identification and analysis, preliminary site assessments, funding confirmation processes, and initial risk identification workshops (Williams, 2008).</w:t>
      </w:r>
    </w:p>
    <w:p w14:paraId="14920C15"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Phase 2: Planning and Design (Months 2-8) transforms conceptual objectives into detailed implementation plans through detailed engineering design, environmental impact assessments, geotechnical investigations, hydraulic modelling, community consultation programmes, and procurement strategy development (Too and Weaver, 2014).</w:t>
      </w:r>
    </w:p>
    <w:p w14:paraId="41E63076"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Phase 3: Regulatory Approval (Months 7-10) addresses environmental permit applications under federal and provincial legislation, archaeological assessments, land acquisition processes, utility relocation agreements, and Aboriginal consultation fulfilling Crown obligations (</w:t>
      </w:r>
      <w:proofErr w:type="spellStart"/>
      <w:r w:rsidRPr="001A0FC4">
        <w:rPr>
          <w:rFonts w:ascii="Arial" w:hAnsi="Arial" w:cs="Arial"/>
          <w:sz w:val="22"/>
          <w:szCs w:val="22"/>
        </w:rPr>
        <w:t>Caniëls</w:t>
      </w:r>
      <w:proofErr w:type="spellEnd"/>
      <w:r w:rsidRPr="001A0FC4">
        <w:rPr>
          <w:rFonts w:ascii="Arial" w:hAnsi="Arial" w:cs="Arial"/>
          <w:sz w:val="22"/>
          <w:szCs w:val="22"/>
        </w:rPr>
        <w:t xml:space="preserve"> and </w:t>
      </w:r>
      <w:proofErr w:type="spellStart"/>
      <w:r w:rsidRPr="001A0FC4">
        <w:rPr>
          <w:rFonts w:ascii="Arial" w:hAnsi="Arial" w:cs="Arial"/>
          <w:sz w:val="22"/>
          <w:szCs w:val="22"/>
        </w:rPr>
        <w:t>Bakens</w:t>
      </w:r>
      <w:proofErr w:type="spellEnd"/>
      <w:r w:rsidRPr="001A0FC4">
        <w:rPr>
          <w:rFonts w:ascii="Arial" w:hAnsi="Arial" w:cs="Arial"/>
          <w:sz w:val="22"/>
          <w:szCs w:val="22"/>
        </w:rPr>
        <w:t>, 2012).</w:t>
      </w:r>
    </w:p>
    <w:p w14:paraId="36DDE680"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Phase 4: Procurement and Mobilisation (Months 9-12) engages qualified contractors through competitive processes, including tender evaluation, contract award, contractor mobilisation, material sourcing, and logistics planning (</w:t>
      </w:r>
      <w:proofErr w:type="spellStart"/>
      <w:r w:rsidRPr="001A0FC4">
        <w:rPr>
          <w:rFonts w:ascii="Arial" w:hAnsi="Arial" w:cs="Arial"/>
          <w:sz w:val="22"/>
          <w:szCs w:val="22"/>
        </w:rPr>
        <w:t>Gemünden</w:t>
      </w:r>
      <w:proofErr w:type="spellEnd"/>
      <w:r w:rsidRPr="001A0FC4">
        <w:rPr>
          <w:rFonts w:ascii="Arial" w:hAnsi="Arial" w:cs="Arial"/>
          <w:sz w:val="22"/>
          <w:szCs w:val="22"/>
        </w:rPr>
        <w:t xml:space="preserve"> et al., 2018).</w:t>
      </w:r>
    </w:p>
    <w:p w14:paraId="79E088D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Phase 5: Construction (Months 11-22) represents the most resource-intensive phase, involving bridge reconstruction, roadway reconstruction, drainage system installation, and slope stabilisation across multiple sites simultaneously (Larson and Gray, 2011).</w:t>
      </w:r>
    </w:p>
    <w:p w14:paraId="35EEF08F"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Phase 6: Quality Assurance and Safety Management (Months 11-23) operates continuously throughout construction through inspection protocols, materials testing, structural load testing, safety management, environmental monitoring, and community liaison (Kerzner, 2013).</w:t>
      </w:r>
    </w:p>
    <w:p w14:paraId="2A8F5E04"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lastRenderedPageBreak/>
        <w:t xml:space="preserve">Phase 7: Project Closure (Months 23-24) ensures complete project handover through final inspections, as-built documentation compilation, deficiency correction, contractor demobilisation, official opening ceremonies, post-project reviews, and asset handover (Müller and </w:t>
      </w:r>
      <w:proofErr w:type="spellStart"/>
      <w:r w:rsidRPr="001A0FC4">
        <w:rPr>
          <w:rFonts w:ascii="Arial" w:hAnsi="Arial" w:cs="Arial"/>
          <w:sz w:val="22"/>
          <w:szCs w:val="22"/>
        </w:rPr>
        <w:t>Judgev</w:t>
      </w:r>
      <w:proofErr w:type="spellEnd"/>
      <w:r w:rsidRPr="001A0FC4">
        <w:rPr>
          <w:rFonts w:ascii="Arial" w:hAnsi="Arial" w:cs="Arial"/>
          <w:sz w:val="22"/>
          <w:szCs w:val="22"/>
        </w:rPr>
        <w:t>, 2012).</w:t>
      </w:r>
    </w:p>
    <w:p w14:paraId="59167E8B" w14:textId="77777777" w:rsidR="001A0FC4" w:rsidRPr="00766B7D" w:rsidRDefault="001A0FC4" w:rsidP="00766B7D">
      <w:pPr>
        <w:pStyle w:val="Heading1"/>
        <w:rPr>
          <w:rFonts w:ascii="Arial" w:hAnsi="Arial" w:cs="Arial"/>
          <w:sz w:val="22"/>
          <w:szCs w:val="22"/>
        </w:rPr>
      </w:pPr>
      <w:bookmarkStart w:id="14" w:name="_Toc213083772"/>
      <w:r w:rsidRPr="00766B7D">
        <w:rPr>
          <w:rFonts w:ascii="Arial" w:hAnsi="Arial" w:cs="Arial"/>
          <w:sz w:val="22"/>
          <w:szCs w:val="22"/>
        </w:rPr>
        <w:t>5. Quad Chart</w:t>
      </w:r>
      <w:bookmarkEnd w:id="14"/>
    </w:p>
    <w:p w14:paraId="4F017216"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Quad Chart provides a concise visual summary of project fundamentals, capturing objectives, stakeholders, deliverables, and success metrics.</w:t>
      </w:r>
    </w:p>
    <w:p w14:paraId="05829CCC"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Project Objectives:</w:t>
      </w:r>
    </w:p>
    <w:p w14:paraId="7EC5F9AD" w14:textId="77777777" w:rsidR="001A0FC4" w:rsidRPr="001A0FC4" w:rsidRDefault="001A0FC4" w:rsidP="001A0FC4">
      <w:pPr>
        <w:numPr>
          <w:ilvl w:val="0"/>
          <w:numId w:val="1"/>
        </w:numPr>
        <w:spacing w:line="360" w:lineRule="auto"/>
        <w:rPr>
          <w:rFonts w:ascii="Arial" w:hAnsi="Arial" w:cs="Arial"/>
          <w:sz w:val="22"/>
          <w:szCs w:val="22"/>
        </w:rPr>
      </w:pPr>
      <w:r w:rsidRPr="001A0FC4">
        <w:rPr>
          <w:rFonts w:ascii="Arial" w:hAnsi="Arial" w:cs="Arial"/>
          <w:sz w:val="22"/>
          <w:szCs w:val="22"/>
        </w:rPr>
        <w:t>Restore full operational capacity to Highway 5 corridor</w:t>
      </w:r>
    </w:p>
    <w:p w14:paraId="0C084B33" w14:textId="77777777" w:rsidR="001A0FC4" w:rsidRPr="001A0FC4" w:rsidRDefault="001A0FC4" w:rsidP="001A0FC4">
      <w:pPr>
        <w:numPr>
          <w:ilvl w:val="0"/>
          <w:numId w:val="1"/>
        </w:numPr>
        <w:spacing w:line="360" w:lineRule="auto"/>
        <w:rPr>
          <w:rFonts w:ascii="Arial" w:hAnsi="Arial" w:cs="Arial"/>
          <w:sz w:val="22"/>
          <w:szCs w:val="22"/>
        </w:rPr>
      </w:pPr>
      <w:r w:rsidRPr="001A0FC4">
        <w:rPr>
          <w:rFonts w:ascii="Arial" w:hAnsi="Arial" w:cs="Arial"/>
          <w:sz w:val="22"/>
          <w:szCs w:val="22"/>
        </w:rPr>
        <w:t>Enhance infrastructure resilience against extreme weather events</w:t>
      </w:r>
    </w:p>
    <w:p w14:paraId="3539A5FD" w14:textId="77777777" w:rsidR="001A0FC4" w:rsidRPr="001A0FC4" w:rsidRDefault="001A0FC4" w:rsidP="001A0FC4">
      <w:pPr>
        <w:numPr>
          <w:ilvl w:val="0"/>
          <w:numId w:val="1"/>
        </w:numPr>
        <w:spacing w:line="360" w:lineRule="auto"/>
        <w:rPr>
          <w:rFonts w:ascii="Arial" w:hAnsi="Arial" w:cs="Arial"/>
          <w:sz w:val="22"/>
          <w:szCs w:val="22"/>
        </w:rPr>
      </w:pPr>
      <w:r w:rsidRPr="001A0FC4">
        <w:rPr>
          <w:rFonts w:ascii="Arial" w:hAnsi="Arial" w:cs="Arial"/>
          <w:sz w:val="22"/>
          <w:szCs w:val="22"/>
        </w:rPr>
        <w:t>Implement sustainable design solutions minimising environmental impact</w:t>
      </w:r>
    </w:p>
    <w:p w14:paraId="7FA1B92B" w14:textId="77777777" w:rsidR="001A0FC4" w:rsidRPr="001A0FC4" w:rsidRDefault="001A0FC4" w:rsidP="001A0FC4">
      <w:pPr>
        <w:numPr>
          <w:ilvl w:val="0"/>
          <w:numId w:val="1"/>
        </w:numPr>
        <w:spacing w:line="360" w:lineRule="auto"/>
        <w:rPr>
          <w:rFonts w:ascii="Arial" w:hAnsi="Arial" w:cs="Arial"/>
          <w:sz w:val="22"/>
          <w:szCs w:val="22"/>
        </w:rPr>
      </w:pPr>
      <w:r w:rsidRPr="001A0FC4">
        <w:rPr>
          <w:rFonts w:ascii="Arial" w:hAnsi="Arial" w:cs="Arial"/>
          <w:sz w:val="22"/>
          <w:szCs w:val="22"/>
        </w:rPr>
        <w:t>Maintain highway safety standards throughout reconstruction</w:t>
      </w:r>
    </w:p>
    <w:p w14:paraId="7A4993CA" w14:textId="77777777" w:rsidR="001A0FC4" w:rsidRPr="001A0FC4" w:rsidRDefault="001A0FC4" w:rsidP="001A0FC4">
      <w:pPr>
        <w:numPr>
          <w:ilvl w:val="0"/>
          <w:numId w:val="1"/>
        </w:numPr>
        <w:spacing w:line="360" w:lineRule="auto"/>
        <w:rPr>
          <w:rFonts w:ascii="Arial" w:hAnsi="Arial" w:cs="Arial"/>
          <w:sz w:val="22"/>
          <w:szCs w:val="22"/>
        </w:rPr>
      </w:pPr>
      <w:r w:rsidRPr="001A0FC4">
        <w:rPr>
          <w:rFonts w:ascii="Arial" w:hAnsi="Arial" w:cs="Arial"/>
          <w:sz w:val="22"/>
          <w:szCs w:val="22"/>
        </w:rPr>
        <w:t>Support economic recovery in affected communities</w:t>
      </w:r>
    </w:p>
    <w:p w14:paraId="73B79F3F"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Key Stakeholders:</w:t>
      </w:r>
    </w:p>
    <w:p w14:paraId="66651F42"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Government of Canada (Infrastructure Canada)</w:t>
      </w:r>
    </w:p>
    <w:p w14:paraId="506D0C0E"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Province of British Columbia (Ministry of Transportation and Infrastructure)</w:t>
      </w:r>
    </w:p>
    <w:p w14:paraId="02745034"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Municipal governments in affected regions</w:t>
      </w:r>
    </w:p>
    <w:p w14:paraId="43358992"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Indigenous communities with territorial interests</w:t>
      </w:r>
    </w:p>
    <w:p w14:paraId="77EB8619"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Highway users and transportation industry</w:t>
      </w:r>
    </w:p>
    <w:p w14:paraId="218458AE"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Local residents and businesses</w:t>
      </w:r>
    </w:p>
    <w:p w14:paraId="6D4ADEC1"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Environmental regulatory agencies</w:t>
      </w:r>
    </w:p>
    <w:p w14:paraId="6C508041" w14:textId="77777777" w:rsidR="001A0FC4" w:rsidRPr="001A0FC4" w:rsidRDefault="001A0FC4" w:rsidP="001A0FC4">
      <w:pPr>
        <w:numPr>
          <w:ilvl w:val="0"/>
          <w:numId w:val="2"/>
        </w:numPr>
        <w:spacing w:line="360" w:lineRule="auto"/>
        <w:rPr>
          <w:rFonts w:ascii="Arial" w:hAnsi="Arial" w:cs="Arial"/>
          <w:sz w:val="22"/>
          <w:szCs w:val="22"/>
        </w:rPr>
      </w:pPr>
      <w:r w:rsidRPr="001A0FC4">
        <w:rPr>
          <w:rFonts w:ascii="Arial" w:hAnsi="Arial" w:cs="Arial"/>
          <w:sz w:val="22"/>
          <w:szCs w:val="22"/>
        </w:rPr>
        <w:t>Engineering and construction contractors</w:t>
      </w:r>
    </w:p>
    <w:p w14:paraId="67553E6A"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Major Deliverables:</w:t>
      </w:r>
    </w:p>
    <w:p w14:paraId="4C484BA3" w14:textId="77777777" w:rsidR="001A0FC4" w:rsidRPr="001A0FC4" w:rsidRDefault="001A0FC4" w:rsidP="001A0FC4">
      <w:pPr>
        <w:numPr>
          <w:ilvl w:val="0"/>
          <w:numId w:val="3"/>
        </w:numPr>
        <w:spacing w:line="360" w:lineRule="auto"/>
        <w:rPr>
          <w:rFonts w:ascii="Arial" w:hAnsi="Arial" w:cs="Arial"/>
          <w:sz w:val="22"/>
          <w:szCs w:val="22"/>
        </w:rPr>
      </w:pPr>
      <w:r w:rsidRPr="001A0FC4">
        <w:rPr>
          <w:rFonts w:ascii="Arial" w:hAnsi="Arial" w:cs="Arial"/>
          <w:sz w:val="22"/>
          <w:szCs w:val="22"/>
        </w:rPr>
        <w:t>Seven reconstructed bridge structures</w:t>
      </w:r>
    </w:p>
    <w:p w14:paraId="0C8A91F9" w14:textId="77777777" w:rsidR="001A0FC4" w:rsidRPr="001A0FC4" w:rsidRDefault="001A0FC4" w:rsidP="001A0FC4">
      <w:pPr>
        <w:numPr>
          <w:ilvl w:val="0"/>
          <w:numId w:val="3"/>
        </w:numPr>
        <w:spacing w:line="360" w:lineRule="auto"/>
        <w:rPr>
          <w:rFonts w:ascii="Arial" w:hAnsi="Arial" w:cs="Arial"/>
          <w:sz w:val="22"/>
          <w:szCs w:val="22"/>
        </w:rPr>
      </w:pPr>
      <w:r w:rsidRPr="001A0FC4">
        <w:rPr>
          <w:rFonts w:ascii="Arial" w:hAnsi="Arial" w:cs="Arial"/>
          <w:sz w:val="22"/>
          <w:szCs w:val="22"/>
        </w:rPr>
        <w:t>130 kilometres of enhanced highway corridor</w:t>
      </w:r>
    </w:p>
    <w:p w14:paraId="3B0EA432" w14:textId="77777777" w:rsidR="001A0FC4" w:rsidRPr="001A0FC4" w:rsidRDefault="001A0FC4" w:rsidP="001A0FC4">
      <w:pPr>
        <w:numPr>
          <w:ilvl w:val="0"/>
          <w:numId w:val="3"/>
        </w:numPr>
        <w:spacing w:line="360" w:lineRule="auto"/>
        <w:rPr>
          <w:rFonts w:ascii="Arial" w:hAnsi="Arial" w:cs="Arial"/>
          <w:sz w:val="22"/>
          <w:szCs w:val="22"/>
        </w:rPr>
      </w:pPr>
      <w:r w:rsidRPr="001A0FC4">
        <w:rPr>
          <w:rFonts w:ascii="Arial" w:hAnsi="Arial" w:cs="Arial"/>
          <w:sz w:val="22"/>
          <w:szCs w:val="22"/>
        </w:rPr>
        <w:t>Upgraded drainage infrastructure</w:t>
      </w:r>
    </w:p>
    <w:p w14:paraId="3BBDE87B" w14:textId="77777777" w:rsidR="001A0FC4" w:rsidRPr="001A0FC4" w:rsidRDefault="001A0FC4" w:rsidP="001A0FC4">
      <w:pPr>
        <w:numPr>
          <w:ilvl w:val="0"/>
          <w:numId w:val="3"/>
        </w:numPr>
        <w:spacing w:line="360" w:lineRule="auto"/>
        <w:rPr>
          <w:rFonts w:ascii="Arial" w:hAnsi="Arial" w:cs="Arial"/>
          <w:sz w:val="22"/>
          <w:szCs w:val="22"/>
        </w:rPr>
      </w:pPr>
      <w:r w:rsidRPr="001A0FC4">
        <w:rPr>
          <w:rFonts w:ascii="Arial" w:hAnsi="Arial" w:cs="Arial"/>
          <w:sz w:val="22"/>
          <w:szCs w:val="22"/>
        </w:rPr>
        <w:t>Slope stabilisation systems at 43 locations</w:t>
      </w:r>
    </w:p>
    <w:p w14:paraId="7F8C9A1C" w14:textId="77777777" w:rsidR="001A0FC4" w:rsidRPr="001A0FC4" w:rsidRDefault="001A0FC4" w:rsidP="001A0FC4">
      <w:pPr>
        <w:numPr>
          <w:ilvl w:val="0"/>
          <w:numId w:val="3"/>
        </w:numPr>
        <w:spacing w:line="360" w:lineRule="auto"/>
        <w:rPr>
          <w:rFonts w:ascii="Arial" w:hAnsi="Arial" w:cs="Arial"/>
          <w:sz w:val="22"/>
          <w:szCs w:val="22"/>
        </w:rPr>
      </w:pPr>
      <w:r w:rsidRPr="001A0FC4">
        <w:rPr>
          <w:rFonts w:ascii="Arial" w:hAnsi="Arial" w:cs="Arial"/>
          <w:sz w:val="22"/>
          <w:szCs w:val="22"/>
        </w:rPr>
        <w:lastRenderedPageBreak/>
        <w:t>Environmental restoration programmes</w:t>
      </w:r>
    </w:p>
    <w:p w14:paraId="500125CC" w14:textId="77777777" w:rsidR="001A0FC4" w:rsidRPr="001A0FC4" w:rsidRDefault="001A0FC4" w:rsidP="001A0FC4">
      <w:pPr>
        <w:numPr>
          <w:ilvl w:val="0"/>
          <w:numId w:val="3"/>
        </w:numPr>
        <w:spacing w:line="360" w:lineRule="auto"/>
        <w:rPr>
          <w:rFonts w:ascii="Arial" w:hAnsi="Arial" w:cs="Arial"/>
          <w:sz w:val="22"/>
          <w:szCs w:val="22"/>
        </w:rPr>
      </w:pPr>
      <w:r w:rsidRPr="001A0FC4">
        <w:rPr>
          <w:rFonts w:ascii="Arial" w:hAnsi="Arial" w:cs="Arial"/>
          <w:sz w:val="22"/>
          <w:szCs w:val="22"/>
        </w:rPr>
        <w:t>Modern traffic management systems</w:t>
      </w:r>
    </w:p>
    <w:p w14:paraId="5713E63D"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Success Metrics:</w:t>
      </w:r>
    </w:p>
    <w:p w14:paraId="317497EA" w14:textId="77777777" w:rsidR="001A0FC4" w:rsidRPr="001A0FC4" w:rsidRDefault="001A0FC4" w:rsidP="001A0FC4">
      <w:pPr>
        <w:numPr>
          <w:ilvl w:val="0"/>
          <w:numId w:val="4"/>
        </w:numPr>
        <w:spacing w:line="360" w:lineRule="auto"/>
        <w:rPr>
          <w:rFonts w:ascii="Arial" w:hAnsi="Arial" w:cs="Arial"/>
          <w:sz w:val="22"/>
          <w:szCs w:val="22"/>
        </w:rPr>
      </w:pPr>
      <w:r w:rsidRPr="001A0FC4">
        <w:rPr>
          <w:rFonts w:ascii="Arial" w:hAnsi="Arial" w:cs="Arial"/>
          <w:sz w:val="22"/>
          <w:szCs w:val="22"/>
        </w:rPr>
        <w:t>Complete reconstruction within 24-month timeline</w:t>
      </w:r>
    </w:p>
    <w:p w14:paraId="60F4B91B" w14:textId="77777777" w:rsidR="001A0FC4" w:rsidRPr="001A0FC4" w:rsidRDefault="001A0FC4" w:rsidP="001A0FC4">
      <w:pPr>
        <w:numPr>
          <w:ilvl w:val="0"/>
          <w:numId w:val="4"/>
        </w:numPr>
        <w:spacing w:line="360" w:lineRule="auto"/>
        <w:rPr>
          <w:rFonts w:ascii="Arial" w:hAnsi="Arial" w:cs="Arial"/>
          <w:sz w:val="22"/>
          <w:szCs w:val="22"/>
        </w:rPr>
      </w:pPr>
      <w:r w:rsidRPr="001A0FC4">
        <w:rPr>
          <w:rFonts w:ascii="Arial" w:hAnsi="Arial" w:cs="Arial"/>
          <w:sz w:val="22"/>
          <w:szCs w:val="22"/>
        </w:rPr>
        <w:t>Delivery within CAD 1.2 billion budget</w:t>
      </w:r>
    </w:p>
    <w:p w14:paraId="276E3D7E" w14:textId="77777777" w:rsidR="001A0FC4" w:rsidRPr="001A0FC4" w:rsidRDefault="001A0FC4" w:rsidP="001A0FC4">
      <w:pPr>
        <w:numPr>
          <w:ilvl w:val="0"/>
          <w:numId w:val="4"/>
        </w:numPr>
        <w:spacing w:line="360" w:lineRule="auto"/>
        <w:rPr>
          <w:rFonts w:ascii="Arial" w:hAnsi="Arial" w:cs="Arial"/>
          <w:sz w:val="22"/>
          <w:szCs w:val="22"/>
        </w:rPr>
      </w:pPr>
      <w:r w:rsidRPr="001A0FC4">
        <w:rPr>
          <w:rFonts w:ascii="Arial" w:hAnsi="Arial" w:cs="Arial"/>
          <w:sz w:val="22"/>
          <w:szCs w:val="22"/>
        </w:rPr>
        <w:t>Zero fatalities during construction</w:t>
      </w:r>
    </w:p>
    <w:p w14:paraId="4B39C7D7" w14:textId="77777777" w:rsidR="001A0FC4" w:rsidRPr="001A0FC4" w:rsidRDefault="001A0FC4" w:rsidP="001A0FC4">
      <w:pPr>
        <w:numPr>
          <w:ilvl w:val="0"/>
          <w:numId w:val="4"/>
        </w:numPr>
        <w:spacing w:line="360" w:lineRule="auto"/>
        <w:rPr>
          <w:rFonts w:ascii="Arial" w:hAnsi="Arial" w:cs="Arial"/>
          <w:sz w:val="22"/>
          <w:szCs w:val="22"/>
        </w:rPr>
      </w:pPr>
      <w:r w:rsidRPr="001A0FC4">
        <w:rPr>
          <w:rFonts w:ascii="Arial" w:hAnsi="Arial" w:cs="Arial"/>
          <w:sz w:val="22"/>
          <w:szCs w:val="22"/>
        </w:rPr>
        <w:t>100% regulatory compliance achievement</w:t>
      </w:r>
    </w:p>
    <w:p w14:paraId="02B45E5F" w14:textId="77777777" w:rsidR="001A0FC4" w:rsidRPr="001A0FC4" w:rsidRDefault="001A0FC4" w:rsidP="001A0FC4">
      <w:pPr>
        <w:numPr>
          <w:ilvl w:val="0"/>
          <w:numId w:val="4"/>
        </w:numPr>
        <w:spacing w:line="360" w:lineRule="auto"/>
        <w:rPr>
          <w:rFonts w:ascii="Arial" w:hAnsi="Arial" w:cs="Arial"/>
          <w:sz w:val="22"/>
          <w:szCs w:val="22"/>
        </w:rPr>
      </w:pPr>
      <w:r w:rsidRPr="001A0FC4">
        <w:rPr>
          <w:rFonts w:ascii="Arial" w:hAnsi="Arial" w:cs="Arial"/>
          <w:sz w:val="22"/>
          <w:szCs w:val="22"/>
        </w:rPr>
        <w:t>Climate resilience targets met (30% enhanced hydraulic capacity)</w:t>
      </w:r>
    </w:p>
    <w:p w14:paraId="5C951F21" w14:textId="77777777" w:rsidR="001A0FC4" w:rsidRPr="001A0FC4" w:rsidRDefault="001A0FC4" w:rsidP="001A0FC4">
      <w:pPr>
        <w:numPr>
          <w:ilvl w:val="0"/>
          <w:numId w:val="4"/>
        </w:numPr>
        <w:spacing w:line="360" w:lineRule="auto"/>
        <w:rPr>
          <w:rFonts w:ascii="Arial" w:hAnsi="Arial" w:cs="Arial"/>
          <w:sz w:val="22"/>
          <w:szCs w:val="22"/>
        </w:rPr>
      </w:pPr>
      <w:r w:rsidRPr="001A0FC4">
        <w:rPr>
          <w:rFonts w:ascii="Arial" w:hAnsi="Arial" w:cs="Arial"/>
          <w:sz w:val="22"/>
          <w:szCs w:val="22"/>
        </w:rPr>
        <w:t>Community satisfaction ratings exceeding 75%</w:t>
      </w:r>
    </w:p>
    <w:p w14:paraId="4B1D02ED" w14:textId="77777777" w:rsidR="00AE29E4" w:rsidRDefault="00AE29E4" w:rsidP="001A0FC4">
      <w:pPr>
        <w:spacing w:line="360" w:lineRule="auto"/>
        <w:rPr>
          <w:rFonts w:ascii="Arial" w:hAnsi="Arial" w:cs="Arial"/>
          <w:b/>
          <w:bCs/>
          <w:sz w:val="22"/>
          <w:szCs w:val="22"/>
        </w:rPr>
      </w:pPr>
    </w:p>
    <w:p w14:paraId="0D2FD416" w14:textId="77777777" w:rsidR="00AE29E4" w:rsidRDefault="00AE29E4" w:rsidP="001A0FC4">
      <w:pPr>
        <w:spacing w:line="360" w:lineRule="auto"/>
        <w:rPr>
          <w:rFonts w:ascii="Arial" w:hAnsi="Arial" w:cs="Arial"/>
          <w:b/>
          <w:bCs/>
          <w:sz w:val="22"/>
          <w:szCs w:val="22"/>
        </w:rPr>
      </w:pPr>
    </w:p>
    <w:p w14:paraId="252D6C07" w14:textId="77777777" w:rsidR="00AE29E4" w:rsidRDefault="00AE29E4" w:rsidP="001A0FC4">
      <w:pPr>
        <w:spacing w:line="360" w:lineRule="auto"/>
        <w:rPr>
          <w:rFonts w:ascii="Arial" w:hAnsi="Arial" w:cs="Arial"/>
          <w:b/>
          <w:bCs/>
          <w:sz w:val="22"/>
          <w:szCs w:val="22"/>
        </w:rPr>
      </w:pPr>
    </w:p>
    <w:p w14:paraId="236BEBEA" w14:textId="77777777" w:rsidR="00766B7D" w:rsidRDefault="00766B7D" w:rsidP="001A0FC4">
      <w:pPr>
        <w:spacing w:line="360" w:lineRule="auto"/>
        <w:rPr>
          <w:rFonts w:ascii="Arial" w:hAnsi="Arial" w:cs="Arial"/>
          <w:b/>
          <w:bCs/>
          <w:sz w:val="22"/>
          <w:szCs w:val="22"/>
        </w:rPr>
      </w:pPr>
    </w:p>
    <w:p w14:paraId="5FD80CCE" w14:textId="5F1E2B31" w:rsidR="001A0FC4" w:rsidRPr="00766B7D" w:rsidRDefault="001A0FC4" w:rsidP="00766B7D">
      <w:pPr>
        <w:pStyle w:val="Heading1"/>
        <w:rPr>
          <w:rFonts w:ascii="Arial" w:hAnsi="Arial" w:cs="Arial"/>
          <w:sz w:val="22"/>
          <w:szCs w:val="22"/>
        </w:rPr>
      </w:pPr>
      <w:bookmarkStart w:id="15" w:name="_Toc213083773"/>
      <w:r w:rsidRPr="00766B7D">
        <w:rPr>
          <w:rFonts w:ascii="Arial" w:hAnsi="Arial" w:cs="Arial"/>
          <w:sz w:val="22"/>
          <w:szCs w:val="22"/>
        </w:rPr>
        <w:t>6. Gantt Chart</w:t>
      </w:r>
      <w:bookmarkEnd w:id="15"/>
    </w:p>
    <w:p w14:paraId="7E70272E"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Gantt Chart illustrates project scheduling, showing activity sequences, durations, dependencies, and critical path elements. Table 1 presents the project timeline overview.</w:t>
      </w:r>
    </w:p>
    <w:p w14:paraId="2F9C0294" w14:textId="77777777" w:rsidR="001A0FC4" w:rsidRDefault="001A0FC4" w:rsidP="001A0FC4">
      <w:pPr>
        <w:spacing w:line="360" w:lineRule="auto"/>
        <w:rPr>
          <w:rFonts w:ascii="Arial" w:hAnsi="Arial" w:cs="Arial"/>
          <w:sz w:val="22"/>
          <w:szCs w:val="22"/>
        </w:rPr>
      </w:pPr>
      <w:r w:rsidRPr="001A0FC4">
        <w:rPr>
          <w:rFonts w:ascii="Arial" w:hAnsi="Arial" w:cs="Arial"/>
          <w:sz w:val="22"/>
          <w:szCs w:val="22"/>
        </w:rPr>
        <w:t>Table 1: Project Timeline Overview</w:t>
      </w:r>
    </w:p>
    <w:tbl>
      <w:tblPr>
        <w:tblStyle w:val="TableGrid"/>
        <w:tblW w:w="0" w:type="auto"/>
        <w:tblLook w:val="04A0" w:firstRow="1" w:lastRow="0" w:firstColumn="1" w:lastColumn="0" w:noHBand="0" w:noVBand="1"/>
      </w:tblPr>
      <w:tblGrid>
        <w:gridCol w:w="2254"/>
        <w:gridCol w:w="2254"/>
        <w:gridCol w:w="2254"/>
        <w:gridCol w:w="2254"/>
      </w:tblGrid>
      <w:tr w:rsidR="001A0FC4" w14:paraId="49551C6C" w14:textId="77777777" w:rsidTr="001A0FC4">
        <w:tc>
          <w:tcPr>
            <w:tcW w:w="2254" w:type="dxa"/>
          </w:tcPr>
          <w:p w14:paraId="2A54C75F" w14:textId="0A78D113" w:rsidR="001A0FC4" w:rsidRPr="001A0FC4" w:rsidRDefault="001A0FC4" w:rsidP="001A0FC4">
            <w:pPr>
              <w:spacing w:line="360" w:lineRule="auto"/>
              <w:rPr>
                <w:rFonts w:ascii="Arial" w:hAnsi="Arial" w:cs="Arial"/>
                <w:b/>
                <w:bCs/>
                <w:sz w:val="22"/>
                <w:szCs w:val="22"/>
              </w:rPr>
            </w:pPr>
            <w:r>
              <w:rPr>
                <w:rFonts w:ascii="Arial" w:hAnsi="Arial" w:cs="Arial"/>
                <w:b/>
                <w:bCs/>
                <w:sz w:val="22"/>
                <w:szCs w:val="22"/>
              </w:rPr>
              <w:t>Phase</w:t>
            </w:r>
          </w:p>
        </w:tc>
        <w:tc>
          <w:tcPr>
            <w:tcW w:w="2254" w:type="dxa"/>
          </w:tcPr>
          <w:p w14:paraId="11714D6C" w14:textId="5985E6E7" w:rsidR="001A0FC4" w:rsidRPr="001A0FC4" w:rsidRDefault="001A0FC4" w:rsidP="001A0FC4">
            <w:pPr>
              <w:spacing w:line="360" w:lineRule="auto"/>
              <w:rPr>
                <w:rFonts w:ascii="Arial" w:hAnsi="Arial" w:cs="Arial"/>
                <w:b/>
                <w:bCs/>
                <w:sz w:val="22"/>
                <w:szCs w:val="22"/>
              </w:rPr>
            </w:pPr>
            <w:r w:rsidRPr="001A0FC4">
              <w:rPr>
                <w:rFonts w:ascii="Arial" w:hAnsi="Arial" w:cs="Arial"/>
                <w:b/>
                <w:bCs/>
                <w:sz w:val="22"/>
                <w:szCs w:val="22"/>
              </w:rPr>
              <w:t>Duration</w:t>
            </w:r>
          </w:p>
        </w:tc>
        <w:tc>
          <w:tcPr>
            <w:tcW w:w="2254" w:type="dxa"/>
          </w:tcPr>
          <w:p w14:paraId="42B3EDC5" w14:textId="15B7FEDD" w:rsidR="001A0FC4" w:rsidRPr="001A0FC4" w:rsidRDefault="001A0FC4" w:rsidP="001A0FC4">
            <w:pPr>
              <w:spacing w:line="360" w:lineRule="auto"/>
              <w:rPr>
                <w:rFonts w:ascii="Arial" w:hAnsi="Arial" w:cs="Arial"/>
                <w:b/>
                <w:bCs/>
                <w:sz w:val="22"/>
                <w:szCs w:val="22"/>
              </w:rPr>
            </w:pPr>
            <w:r>
              <w:rPr>
                <w:rFonts w:ascii="Arial" w:hAnsi="Arial" w:cs="Arial"/>
                <w:b/>
                <w:bCs/>
                <w:sz w:val="22"/>
                <w:szCs w:val="22"/>
              </w:rPr>
              <w:t>Key Activities</w:t>
            </w:r>
          </w:p>
        </w:tc>
        <w:tc>
          <w:tcPr>
            <w:tcW w:w="2254" w:type="dxa"/>
          </w:tcPr>
          <w:p w14:paraId="1CA33952" w14:textId="77777777" w:rsidR="001A0FC4" w:rsidRDefault="001A0FC4" w:rsidP="001A0FC4">
            <w:pPr>
              <w:spacing w:line="360" w:lineRule="auto"/>
              <w:rPr>
                <w:rFonts w:ascii="Arial" w:hAnsi="Arial" w:cs="Arial"/>
                <w:b/>
                <w:bCs/>
                <w:sz w:val="22"/>
                <w:szCs w:val="22"/>
              </w:rPr>
            </w:pPr>
            <w:r>
              <w:rPr>
                <w:rFonts w:ascii="Arial" w:hAnsi="Arial" w:cs="Arial"/>
                <w:b/>
                <w:bCs/>
                <w:sz w:val="22"/>
                <w:szCs w:val="22"/>
              </w:rPr>
              <w:t>Critical</w:t>
            </w:r>
          </w:p>
          <w:p w14:paraId="0BB567A0" w14:textId="7CEA23F2" w:rsidR="001A0FC4" w:rsidRPr="001A0FC4" w:rsidRDefault="001A0FC4" w:rsidP="001A0FC4">
            <w:pPr>
              <w:spacing w:line="360" w:lineRule="auto"/>
              <w:rPr>
                <w:rFonts w:ascii="Arial" w:hAnsi="Arial" w:cs="Arial"/>
                <w:b/>
                <w:bCs/>
                <w:sz w:val="22"/>
                <w:szCs w:val="22"/>
              </w:rPr>
            </w:pPr>
            <w:r>
              <w:rPr>
                <w:rFonts w:ascii="Arial" w:hAnsi="Arial" w:cs="Arial"/>
                <w:b/>
                <w:bCs/>
                <w:sz w:val="22"/>
                <w:szCs w:val="22"/>
              </w:rPr>
              <w:t>Dependencies</w:t>
            </w:r>
          </w:p>
        </w:tc>
      </w:tr>
      <w:tr w:rsidR="001A0FC4" w14:paraId="7E4027CD" w14:textId="77777777" w:rsidTr="001A0FC4">
        <w:trPr>
          <w:trHeight w:val="1649"/>
        </w:trPr>
        <w:tc>
          <w:tcPr>
            <w:tcW w:w="2254" w:type="dxa"/>
          </w:tcPr>
          <w:p w14:paraId="69B2C466" w14:textId="77777777" w:rsidR="00AE29E4" w:rsidRDefault="00AE29E4" w:rsidP="001A0FC4">
            <w:pPr>
              <w:spacing w:line="360" w:lineRule="auto"/>
              <w:rPr>
                <w:rFonts w:ascii="Arial" w:hAnsi="Arial" w:cs="Arial"/>
                <w:sz w:val="22"/>
                <w:szCs w:val="22"/>
              </w:rPr>
            </w:pPr>
          </w:p>
          <w:p w14:paraId="4C6A2AD5" w14:textId="76AD195C" w:rsidR="001A0FC4" w:rsidRDefault="001A0FC4" w:rsidP="001A0FC4">
            <w:pPr>
              <w:spacing w:line="360" w:lineRule="auto"/>
              <w:rPr>
                <w:rFonts w:ascii="Arial" w:hAnsi="Arial" w:cs="Arial"/>
                <w:sz w:val="22"/>
                <w:szCs w:val="22"/>
              </w:rPr>
            </w:pPr>
            <w:r>
              <w:rPr>
                <w:rFonts w:ascii="Arial" w:hAnsi="Arial" w:cs="Arial"/>
                <w:sz w:val="22"/>
                <w:szCs w:val="22"/>
              </w:rPr>
              <w:t>Initiation</w:t>
            </w:r>
          </w:p>
          <w:p w14:paraId="61303705" w14:textId="2F37771D" w:rsidR="001A0FC4" w:rsidRDefault="001A0FC4" w:rsidP="001A0FC4">
            <w:pPr>
              <w:spacing w:line="360" w:lineRule="auto"/>
              <w:rPr>
                <w:rFonts w:ascii="Arial" w:hAnsi="Arial" w:cs="Arial"/>
                <w:sz w:val="22"/>
                <w:szCs w:val="22"/>
              </w:rPr>
            </w:pPr>
          </w:p>
        </w:tc>
        <w:tc>
          <w:tcPr>
            <w:tcW w:w="2254" w:type="dxa"/>
          </w:tcPr>
          <w:p w14:paraId="7AD620F2" w14:textId="77777777" w:rsidR="00AE29E4" w:rsidRDefault="00AE29E4" w:rsidP="001A0FC4">
            <w:pPr>
              <w:spacing w:line="360" w:lineRule="auto"/>
              <w:rPr>
                <w:rFonts w:ascii="Arial" w:hAnsi="Arial" w:cs="Arial"/>
                <w:sz w:val="22"/>
                <w:szCs w:val="22"/>
              </w:rPr>
            </w:pPr>
          </w:p>
          <w:p w14:paraId="74AB406F" w14:textId="21E5756A" w:rsidR="001A0FC4" w:rsidRDefault="001A0FC4" w:rsidP="001A0FC4">
            <w:pPr>
              <w:spacing w:line="360" w:lineRule="auto"/>
              <w:rPr>
                <w:rFonts w:ascii="Arial" w:hAnsi="Arial" w:cs="Arial"/>
                <w:sz w:val="22"/>
                <w:szCs w:val="22"/>
              </w:rPr>
            </w:pPr>
            <w:r>
              <w:rPr>
                <w:rFonts w:ascii="Arial" w:hAnsi="Arial" w:cs="Arial"/>
                <w:sz w:val="22"/>
                <w:szCs w:val="22"/>
              </w:rPr>
              <w:t>Months</w:t>
            </w:r>
          </w:p>
          <w:p w14:paraId="11BBA837" w14:textId="68D3E346" w:rsidR="001A0FC4" w:rsidRDefault="001A0FC4" w:rsidP="001A0FC4">
            <w:pPr>
              <w:spacing w:line="360" w:lineRule="auto"/>
              <w:rPr>
                <w:rFonts w:ascii="Arial" w:hAnsi="Arial" w:cs="Arial"/>
                <w:sz w:val="22"/>
                <w:szCs w:val="22"/>
              </w:rPr>
            </w:pPr>
            <w:r>
              <w:rPr>
                <w:rFonts w:ascii="Arial" w:hAnsi="Arial" w:cs="Arial"/>
                <w:sz w:val="22"/>
                <w:szCs w:val="22"/>
              </w:rPr>
              <w:t>1-2</w:t>
            </w:r>
          </w:p>
        </w:tc>
        <w:tc>
          <w:tcPr>
            <w:tcW w:w="2254" w:type="dxa"/>
          </w:tcPr>
          <w:p w14:paraId="6D710AAE" w14:textId="77777777" w:rsidR="001A0FC4" w:rsidRDefault="001A0FC4" w:rsidP="001A0FC4">
            <w:pPr>
              <w:spacing w:line="360" w:lineRule="auto"/>
              <w:rPr>
                <w:rFonts w:ascii="Arial" w:hAnsi="Arial" w:cs="Arial"/>
                <w:sz w:val="22"/>
                <w:szCs w:val="22"/>
              </w:rPr>
            </w:pPr>
            <w:r>
              <w:rPr>
                <w:rFonts w:ascii="Arial" w:hAnsi="Arial" w:cs="Arial"/>
                <w:sz w:val="22"/>
                <w:szCs w:val="22"/>
              </w:rPr>
              <w:t>Charter Approval,</w:t>
            </w:r>
          </w:p>
          <w:p w14:paraId="24B3951F" w14:textId="77777777" w:rsidR="001A0FC4" w:rsidRDefault="001A0FC4" w:rsidP="001A0FC4">
            <w:pPr>
              <w:spacing w:line="360" w:lineRule="auto"/>
              <w:rPr>
                <w:rFonts w:ascii="Arial" w:hAnsi="Arial" w:cs="Arial"/>
                <w:sz w:val="22"/>
                <w:szCs w:val="22"/>
              </w:rPr>
            </w:pPr>
            <w:r>
              <w:rPr>
                <w:rFonts w:ascii="Arial" w:hAnsi="Arial" w:cs="Arial"/>
                <w:sz w:val="22"/>
                <w:szCs w:val="22"/>
              </w:rPr>
              <w:t>Stakeholder</w:t>
            </w:r>
          </w:p>
          <w:p w14:paraId="186C8CEC" w14:textId="77777777" w:rsidR="001A0FC4" w:rsidRDefault="001A0FC4" w:rsidP="001A0FC4">
            <w:pPr>
              <w:spacing w:line="360" w:lineRule="auto"/>
              <w:rPr>
                <w:rFonts w:ascii="Arial" w:hAnsi="Arial" w:cs="Arial"/>
                <w:sz w:val="22"/>
                <w:szCs w:val="22"/>
              </w:rPr>
            </w:pPr>
            <w:r>
              <w:rPr>
                <w:rFonts w:ascii="Arial" w:hAnsi="Arial" w:cs="Arial"/>
                <w:sz w:val="22"/>
                <w:szCs w:val="22"/>
              </w:rPr>
              <w:t>Engagement,</w:t>
            </w:r>
          </w:p>
          <w:p w14:paraId="1766F83A" w14:textId="77777777" w:rsidR="001A0FC4" w:rsidRDefault="001A0FC4" w:rsidP="001A0FC4">
            <w:pPr>
              <w:spacing w:line="360" w:lineRule="auto"/>
              <w:rPr>
                <w:rFonts w:ascii="Arial" w:hAnsi="Arial" w:cs="Arial"/>
                <w:sz w:val="22"/>
                <w:szCs w:val="22"/>
              </w:rPr>
            </w:pPr>
            <w:r>
              <w:rPr>
                <w:rFonts w:ascii="Arial" w:hAnsi="Arial" w:cs="Arial"/>
                <w:sz w:val="22"/>
                <w:szCs w:val="22"/>
              </w:rPr>
              <w:t>Site assessment</w:t>
            </w:r>
          </w:p>
          <w:p w14:paraId="673100F2" w14:textId="6C63F862" w:rsidR="001A0FC4" w:rsidRDefault="001A0FC4" w:rsidP="001A0FC4">
            <w:pPr>
              <w:spacing w:line="360" w:lineRule="auto"/>
              <w:rPr>
                <w:rFonts w:ascii="Arial" w:hAnsi="Arial" w:cs="Arial"/>
                <w:sz w:val="22"/>
                <w:szCs w:val="22"/>
              </w:rPr>
            </w:pPr>
          </w:p>
        </w:tc>
        <w:tc>
          <w:tcPr>
            <w:tcW w:w="2254" w:type="dxa"/>
          </w:tcPr>
          <w:p w14:paraId="337DA844" w14:textId="77777777" w:rsidR="00AE29E4" w:rsidRDefault="00AE29E4" w:rsidP="001A0FC4">
            <w:pPr>
              <w:spacing w:line="360" w:lineRule="auto"/>
              <w:rPr>
                <w:rFonts w:ascii="Arial" w:hAnsi="Arial" w:cs="Arial"/>
                <w:sz w:val="22"/>
                <w:szCs w:val="22"/>
              </w:rPr>
            </w:pPr>
          </w:p>
          <w:p w14:paraId="5DFE423E" w14:textId="03BAE206" w:rsidR="001A0FC4" w:rsidRDefault="001A0FC4" w:rsidP="001A0FC4">
            <w:pPr>
              <w:spacing w:line="360" w:lineRule="auto"/>
              <w:rPr>
                <w:rFonts w:ascii="Arial" w:hAnsi="Arial" w:cs="Arial"/>
                <w:sz w:val="22"/>
                <w:szCs w:val="22"/>
              </w:rPr>
            </w:pPr>
            <w:r>
              <w:rPr>
                <w:rFonts w:ascii="Arial" w:hAnsi="Arial" w:cs="Arial"/>
                <w:sz w:val="22"/>
                <w:szCs w:val="22"/>
              </w:rPr>
              <w:t>Funding confirmation</w:t>
            </w:r>
          </w:p>
        </w:tc>
      </w:tr>
      <w:tr w:rsidR="001A0FC4" w14:paraId="25D5B535" w14:textId="77777777" w:rsidTr="001A0FC4">
        <w:tc>
          <w:tcPr>
            <w:tcW w:w="2254" w:type="dxa"/>
          </w:tcPr>
          <w:p w14:paraId="56BF92A3" w14:textId="77777777" w:rsidR="00AE29E4" w:rsidRDefault="00AE29E4" w:rsidP="001A0FC4">
            <w:pPr>
              <w:spacing w:line="360" w:lineRule="auto"/>
              <w:rPr>
                <w:rFonts w:ascii="Arial" w:hAnsi="Arial" w:cs="Arial"/>
                <w:sz w:val="22"/>
                <w:szCs w:val="22"/>
              </w:rPr>
            </w:pPr>
          </w:p>
          <w:p w14:paraId="7E43D729" w14:textId="0A255F24" w:rsidR="001A0FC4" w:rsidRDefault="001A0FC4" w:rsidP="001A0FC4">
            <w:pPr>
              <w:spacing w:line="360" w:lineRule="auto"/>
              <w:rPr>
                <w:rFonts w:ascii="Arial" w:hAnsi="Arial" w:cs="Arial"/>
                <w:sz w:val="22"/>
                <w:szCs w:val="22"/>
              </w:rPr>
            </w:pPr>
            <w:r>
              <w:rPr>
                <w:rFonts w:ascii="Arial" w:hAnsi="Arial" w:cs="Arial"/>
                <w:sz w:val="22"/>
                <w:szCs w:val="22"/>
              </w:rPr>
              <w:t>Planning &amp; Design</w:t>
            </w:r>
          </w:p>
        </w:tc>
        <w:tc>
          <w:tcPr>
            <w:tcW w:w="2254" w:type="dxa"/>
          </w:tcPr>
          <w:p w14:paraId="5A91AEA2" w14:textId="77777777" w:rsidR="00AE29E4" w:rsidRDefault="00AE29E4" w:rsidP="001A0FC4">
            <w:pPr>
              <w:spacing w:line="360" w:lineRule="auto"/>
              <w:rPr>
                <w:rFonts w:ascii="Arial" w:hAnsi="Arial" w:cs="Arial"/>
                <w:sz w:val="22"/>
                <w:szCs w:val="22"/>
              </w:rPr>
            </w:pPr>
          </w:p>
          <w:p w14:paraId="7BD995F1" w14:textId="741B68D5" w:rsidR="001A0FC4" w:rsidRDefault="001A0FC4" w:rsidP="001A0FC4">
            <w:pPr>
              <w:spacing w:line="360" w:lineRule="auto"/>
              <w:rPr>
                <w:rFonts w:ascii="Arial" w:hAnsi="Arial" w:cs="Arial"/>
                <w:sz w:val="22"/>
                <w:szCs w:val="22"/>
              </w:rPr>
            </w:pPr>
            <w:r>
              <w:rPr>
                <w:rFonts w:ascii="Arial" w:hAnsi="Arial" w:cs="Arial"/>
                <w:sz w:val="22"/>
                <w:szCs w:val="22"/>
              </w:rPr>
              <w:t xml:space="preserve">Months </w:t>
            </w:r>
          </w:p>
          <w:p w14:paraId="0BA22B1F" w14:textId="655A43D9" w:rsidR="001A0FC4" w:rsidRDefault="001A0FC4" w:rsidP="001A0FC4">
            <w:pPr>
              <w:spacing w:line="360" w:lineRule="auto"/>
              <w:rPr>
                <w:rFonts w:ascii="Arial" w:hAnsi="Arial" w:cs="Arial"/>
                <w:sz w:val="22"/>
                <w:szCs w:val="22"/>
              </w:rPr>
            </w:pPr>
            <w:r>
              <w:rPr>
                <w:rFonts w:ascii="Arial" w:hAnsi="Arial" w:cs="Arial"/>
                <w:sz w:val="22"/>
                <w:szCs w:val="22"/>
              </w:rPr>
              <w:t>2-8</w:t>
            </w:r>
          </w:p>
        </w:tc>
        <w:tc>
          <w:tcPr>
            <w:tcW w:w="2254" w:type="dxa"/>
          </w:tcPr>
          <w:p w14:paraId="674FA1C6" w14:textId="77777777" w:rsidR="001A0FC4" w:rsidRDefault="001A0FC4" w:rsidP="001A0FC4">
            <w:pPr>
              <w:spacing w:line="360" w:lineRule="auto"/>
              <w:rPr>
                <w:rFonts w:ascii="Arial" w:hAnsi="Arial" w:cs="Arial"/>
                <w:sz w:val="22"/>
                <w:szCs w:val="22"/>
              </w:rPr>
            </w:pPr>
            <w:r>
              <w:rPr>
                <w:rFonts w:ascii="Arial" w:hAnsi="Arial" w:cs="Arial"/>
                <w:sz w:val="22"/>
                <w:szCs w:val="22"/>
              </w:rPr>
              <w:t>Engineering design,</w:t>
            </w:r>
          </w:p>
          <w:p w14:paraId="09FAE73F" w14:textId="2C7B93FA" w:rsidR="001A0FC4" w:rsidRDefault="001A0FC4" w:rsidP="001A0FC4">
            <w:pPr>
              <w:spacing w:line="360" w:lineRule="auto"/>
              <w:rPr>
                <w:rFonts w:ascii="Arial" w:hAnsi="Arial" w:cs="Arial"/>
                <w:sz w:val="22"/>
                <w:szCs w:val="22"/>
              </w:rPr>
            </w:pPr>
            <w:r>
              <w:rPr>
                <w:rFonts w:ascii="Arial" w:hAnsi="Arial" w:cs="Arial"/>
                <w:sz w:val="22"/>
                <w:szCs w:val="22"/>
              </w:rPr>
              <w:t>Environmental</w:t>
            </w:r>
          </w:p>
          <w:p w14:paraId="3302EA91" w14:textId="77777777" w:rsidR="001A0FC4" w:rsidRDefault="001A0FC4" w:rsidP="001A0FC4">
            <w:pPr>
              <w:spacing w:line="360" w:lineRule="auto"/>
              <w:rPr>
                <w:rFonts w:ascii="Arial" w:hAnsi="Arial" w:cs="Arial"/>
                <w:sz w:val="22"/>
                <w:szCs w:val="22"/>
              </w:rPr>
            </w:pPr>
            <w:r>
              <w:rPr>
                <w:rFonts w:ascii="Arial" w:hAnsi="Arial" w:cs="Arial"/>
                <w:sz w:val="22"/>
                <w:szCs w:val="22"/>
              </w:rPr>
              <w:t>Assessments,</w:t>
            </w:r>
          </w:p>
          <w:p w14:paraId="675CF50A" w14:textId="43FC569E" w:rsidR="001A0FC4" w:rsidRDefault="001A0FC4" w:rsidP="001A0FC4">
            <w:pPr>
              <w:spacing w:line="360" w:lineRule="auto"/>
              <w:rPr>
                <w:rFonts w:ascii="Arial" w:hAnsi="Arial" w:cs="Arial"/>
                <w:sz w:val="22"/>
                <w:szCs w:val="22"/>
              </w:rPr>
            </w:pPr>
            <w:r>
              <w:rPr>
                <w:rFonts w:ascii="Arial" w:hAnsi="Arial" w:cs="Arial"/>
                <w:sz w:val="22"/>
                <w:szCs w:val="22"/>
              </w:rPr>
              <w:t>Geotechnical investigations</w:t>
            </w:r>
          </w:p>
        </w:tc>
        <w:tc>
          <w:tcPr>
            <w:tcW w:w="2254" w:type="dxa"/>
          </w:tcPr>
          <w:p w14:paraId="0F8B7530" w14:textId="77777777" w:rsidR="00AE29E4" w:rsidRDefault="00AE29E4" w:rsidP="001A0FC4">
            <w:pPr>
              <w:spacing w:line="360" w:lineRule="auto"/>
              <w:rPr>
                <w:rFonts w:ascii="Arial" w:hAnsi="Arial" w:cs="Arial"/>
                <w:sz w:val="22"/>
                <w:szCs w:val="22"/>
              </w:rPr>
            </w:pPr>
          </w:p>
          <w:p w14:paraId="395D465E" w14:textId="2DDCED61" w:rsidR="001A0FC4" w:rsidRDefault="001A0FC4" w:rsidP="001A0FC4">
            <w:pPr>
              <w:spacing w:line="360" w:lineRule="auto"/>
              <w:rPr>
                <w:rFonts w:ascii="Arial" w:hAnsi="Arial" w:cs="Arial"/>
                <w:sz w:val="22"/>
                <w:szCs w:val="22"/>
              </w:rPr>
            </w:pPr>
            <w:r>
              <w:rPr>
                <w:rFonts w:ascii="Arial" w:hAnsi="Arial" w:cs="Arial"/>
                <w:sz w:val="22"/>
                <w:szCs w:val="22"/>
              </w:rPr>
              <w:t>Site Access,</w:t>
            </w:r>
          </w:p>
          <w:p w14:paraId="743163FC" w14:textId="6213D4F0" w:rsidR="001A0FC4" w:rsidRDefault="001A0FC4" w:rsidP="001A0FC4">
            <w:pPr>
              <w:spacing w:line="360" w:lineRule="auto"/>
              <w:rPr>
                <w:rFonts w:ascii="Arial" w:hAnsi="Arial" w:cs="Arial"/>
                <w:sz w:val="22"/>
                <w:szCs w:val="22"/>
              </w:rPr>
            </w:pPr>
            <w:r>
              <w:rPr>
                <w:rFonts w:ascii="Arial" w:hAnsi="Arial" w:cs="Arial"/>
                <w:sz w:val="22"/>
                <w:szCs w:val="22"/>
              </w:rPr>
              <w:t xml:space="preserve">Data </w:t>
            </w:r>
            <w:r w:rsidR="00AE29E4">
              <w:rPr>
                <w:rFonts w:ascii="Arial" w:hAnsi="Arial" w:cs="Arial"/>
                <w:sz w:val="22"/>
                <w:szCs w:val="22"/>
              </w:rPr>
              <w:t>availability</w:t>
            </w:r>
          </w:p>
        </w:tc>
      </w:tr>
      <w:tr w:rsidR="00AE29E4" w14:paraId="20F05933" w14:textId="77777777" w:rsidTr="001A0FC4">
        <w:tc>
          <w:tcPr>
            <w:tcW w:w="2254" w:type="dxa"/>
          </w:tcPr>
          <w:p w14:paraId="4B667E24" w14:textId="77777777" w:rsidR="00AE29E4" w:rsidRDefault="00AE29E4" w:rsidP="00AE29E4">
            <w:pPr>
              <w:spacing w:line="360" w:lineRule="auto"/>
              <w:rPr>
                <w:rFonts w:ascii="Arial" w:hAnsi="Arial" w:cs="Arial"/>
                <w:sz w:val="22"/>
                <w:szCs w:val="22"/>
              </w:rPr>
            </w:pPr>
          </w:p>
          <w:p w14:paraId="12957312" w14:textId="7FF1E0E8" w:rsidR="00AE29E4" w:rsidRDefault="00AE29E4" w:rsidP="00AE29E4">
            <w:pPr>
              <w:spacing w:line="360" w:lineRule="auto"/>
              <w:rPr>
                <w:rFonts w:ascii="Arial" w:hAnsi="Arial" w:cs="Arial"/>
                <w:sz w:val="22"/>
                <w:szCs w:val="22"/>
              </w:rPr>
            </w:pPr>
            <w:r>
              <w:rPr>
                <w:rFonts w:ascii="Arial" w:hAnsi="Arial" w:cs="Arial"/>
                <w:sz w:val="22"/>
                <w:szCs w:val="22"/>
              </w:rPr>
              <w:t>Regulatory Approval</w:t>
            </w:r>
          </w:p>
        </w:tc>
        <w:tc>
          <w:tcPr>
            <w:tcW w:w="2254" w:type="dxa"/>
          </w:tcPr>
          <w:p w14:paraId="3058B349" w14:textId="77777777" w:rsidR="00AE29E4" w:rsidRDefault="00AE29E4" w:rsidP="00AE29E4">
            <w:pPr>
              <w:spacing w:line="360" w:lineRule="auto"/>
              <w:rPr>
                <w:rFonts w:ascii="Arial" w:hAnsi="Arial" w:cs="Arial"/>
                <w:sz w:val="22"/>
                <w:szCs w:val="22"/>
              </w:rPr>
            </w:pPr>
          </w:p>
          <w:p w14:paraId="174589AB" w14:textId="1DC88310" w:rsidR="00AE29E4" w:rsidRDefault="00AE29E4" w:rsidP="00AE29E4">
            <w:pPr>
              <w:spacing w:line="360" w:lineRule="auto"/>
              <w:rPr>
                <w:rFonts w:ascii="Arial" w:hAnsi="Arial" w:cs="Arial"/>
                <w:sz w:val="22"/>
                <w:szCs w:val="22"/>
              </w:rPr>
            </w:pPr>
            <w:r>
              <w:rPr>
                <w:rFonts w:ascii="Arial" w:hAnsi="Arial" w:cs="Arial"/>
                <w:sz w:val="22"/>
                <w:szCs w:val="22"/>
              </w:rPr>
              <w:t>Months</w:t>
            </w:r>
          </w:p>
          <w:p w14:paraId="0A6C3197" w14:textId="61BF312C" w:rsidR="00AE29E4" w:rsidRDefault="00AE29E4" w:rsidP="00AE29E4">
            <w:pPr>
              <w:spacing w:line="360" w:lineRule="auto"/>
              <w:rPr>
                <w:rFonts w:ascii="Arial" w:hAnsi="Arial" w:cs="Arial"/>
                <w:sz w:val="22"/>
                <w:szCs w:val="22"/>
              </w:rPr>
            </w:pPr>
            <w:r>
              <w:rPr>
                <w:rFonts w:ascii="Arial" w:hAnsi="Arial" w:cs="Arial"/>
                <w:sz w:val="22"/>
                <w:szCs w:val="22"/>
              </w:rPr>
              <w:t>7-10</w:t>
            </w:r>
          </w:p>
        </w:tc>
        <w:tc>
          <w:tcPr>
            <w:tcW w:w="2254" w:type="dxa"/>
          </w:tcPr>
          <w:p w14:paraId="02A4749D" w14:textId="77777777" w:rsidR="00AE29E4" w:rsidRDefault="00AE29E4" w:rsidP="00AE29E4">
            <w:pPr>
              <w:spacing w:line="360" w:lineRule="auto"/>
              <w:rPr>
                <w:rFonts w:ascii="Arial" w:hAnsi="Arial" w:cs="Arial"/>
                <w:sz w:val="22"/>
                <w:szCs w:val="22"/>
              </w:rPr>
            </w:pPr>
            <w:r>
              <w:rPr>
                <w:rFonts w:ascii="Arial" w:hAnsi="Arial" w:cs="Arial"/>
                <w:sz w:val="22"/>
                <w:szCs w:val="22"/>
              </w:rPr>
              <w:t xml:space="preserve">Permit applications, </w:t>
            </w:r>
          </w:p>
          <w:p w14:paraId="524E0A69" w14:textId="77777777" w:rsidR="00AE29E4" w:rsidRDefault="00AE29E4" w:rsidP="00AE29E4">
            <w:pPr>
              <w:spacing w:line="360" w:lineRule="auto"/>
              <w:rPr>
                <w:rFonts w:ascii="Arial" w:hAnsi="Arial" w:cs="Arial"/>
                <w:sz w:val="22"/>
                <w:szCs w:val="22"/>
              </w:rPr>
            </w:pPr>
            <w:r>
              <w:rPr>
                <w:rFonts w:ascii="Arial" w:hAnsi="Arial" w:cs="Arial"/>
                <w:sz w:val="22"/>
                <w:szCs w:val="22"/>
              </w:rPr>
              <w:t xml:space="preserve">Archaeological assessments, </w:t>
            </w:r>
          </w:p>
          <w:p w14:paraId="73B71C3C" w14:textId="784F85AF" w:rsidR="00AE29E4" w:rsidRDefault="00AE29E4" w:rsidP="00AE29E4">
            <w:pPr>
              <w:spacing w:line="360" w:lineRule="auto"/>
              <w:rPr>
                <w:rFonts w:ascii="Arial" w:hAnsi="Arial" w:cs="Arial"/>
                <w:sz w:val="22"/>
                <w:szCs w:val="22"/>
              </w:rPr>
            </w:pPr>
            <w:r>
              <w:rPr>
                <w:rFonts w:ascii="Arial" w:hAnsi="Arial" w:cs="Arial"/>
                <w:sz w:val="22"/>
                <w:szCs w:val="22"/>
              </w:rPr>
              <w:t>Consultations</w:t>
            </w:r>
          </w:p>
        </w:tc>
        <w:tc>
          <w:tcPr>
            <w:tcW w:w="2254" w:type="dxa"/>
          </w:tcPr>
          <w:p w14:paraId="5BD1D58F" w14:textId="77777777" w:rsidR="00AE29E4" w:rsidRDefault="00AE29E4" w:rsidP="00AE29E4">
            <w:pPr>
              <w:spacing w:line="360" w:lineRule="auto"/>
              <w:rPr>
                <w:rFonts w:ascii="Arial" w:hAnsi="Arial" w:cs="Arial"/>
                <w:sz w:val="22"/>
                <w:szCs w:val="22"/>
              </w:rPr>
            </w:pPr>
          </w:p>
          <w:p w14:paraId="52C31458" w14:textId="18645306" w:rsidR="00AE29E4" w:rsidRDefault="00AE29E4" w:rsidP="00AE29E4">
            <w:pPr>
              <w:spacing w:line="360" w:lineRule="auto"/>
              <w:rPr>
                <w:rFonts w:ascii="Arial" w:hAnsi="Arial" w:cs="Arial"/>
                <w:sz w:val="22"/>
                <w:szCs w:val="22"/>
              </w:rPr>
            </w:pPr>
            <w:r>
              <w:rPr>
                <w:rFonts w:ascii="Arial" w:hAnsi="Arial" w:cs="Arial"/>
                <w:sz w:val="22"/>
                <w:szCs w:val="22"/>
              </w:rPr>
              <w:t>Design completion</w:t>
            </w:r>
          </w:p>
        </w:tc>
      </w:tr>
      <w:tr w:rsidR="00AE29E4" w14:paraId="4361BB6C" w14:textId="77777777" w:rsidTr="001A0FC4">
        <w:tc>
          <w:tcPr>
            <w:tcW w:w="2254" w:type="dxa"/>
          </w:tcPr>
          <w:p w14:paraId="539C224E" w14:textId="77777777" w:rsidR="00AE29E4" w:rsidRDefault="00AE29E4" w:rsidP="00AE29E4">
            <w:pPr>
              <w:spacing w:line="360" w:lineRule="auto"/>
              <w:rPr>
                <w:rFonts w:ascii="Arial" w:hAnsi="Arial" w:cs="Arial"/>
                <w:sz w:val="22"/>
                <w:szCs w:val="22"/>
              </w:rPr>
            </w:pPr>
          </w:p>
          <w:p w14:paraId="3F9ABC37" w14:textId="22ED7262" w:rsidR="00AE29E4" w:rsidRDefault="00AE29E4" w:rsidP="00AE29E4">
            <w:pPr>
              <w:spacing w:line="360" w:lineRule="auto"/>
              <w:rPr>
                <w:rFonts w:ascii="Arial" w:hAnsi="Arial" w:cs="Arial"/>
                <w:sz w:val="22"/>
                <w:szCs w:val="22"/>
              </w:rPr>
            </w:pPr>
            <w:r>
              <w:rPr>
                <w:rFonts w:ascii="Arial" w:hAnsi="Arial" w:cs="Arial"/>
                <w:sz w:val="22"/>
                <w:szCs w:val="22"/>
              </w:rPr>
              <w:t>Procurement</w:t>
            </w:r>
          </w:p>
        </w:tc>
        <w:tc>
          <w:tcPr>
            <w:tcW w:w="2254" w:type="dxa"/>
          </w:tcPr>
          <w:p w14:paraId="5FCB8849" w14:textId="77777777" w:rsidR="00AE29E4" w:rsidRDefault="00AE29E4" w:rsidP="00AE29E4">
            <w:pPr>
              <w:spacing w:line="360" w:lineRule="auto"/>
              <w:rPr>
                <w:rFonts w:ascii="Arial" w:hAnsi="Arial" w:cs="Arial"/>
                <w:sz w:val="22"/>
                <w:szCs w:val="22"/>
              </w:rPr>
            </w:pPr>
          </w:p>
          <w:p w14:paraId="1A41E7EA" w14:textId="27DCE1B4" w:rsidR="00AE29E4" w:rsidRDefault="00AE29E4" w:rsidP="00AE29E4">
            <w:pPr>
              <w:spacing w:line="360" w:lineRule="auto"/>
              <w:rPr>
                <w:rFonts w:ascii="Arial" w:hAnsi="Arial" w:cs="Arial"/>
                <w:sz w:val="22"/>
                <w:szCs w:val="22"/>
              </w:rPr>
            </w:pPr>
            <w:r>
              <w:rPr>
                <w:rFonts w:ascii="Arial" w:hAnsi="Arial" w:cs="Arial"/>
                <w:sz w:val="22"/>
                <w:szCs w:val="22"/>
              </w:rPr>
              <w:t>Months</w:t>
            </w:r>
          </w:p>
          <w:p w14:paraId="2E3356C9" w14:textId="6D6AC7C2" w:rsidR="00AE29E4" w:rsidRDefault="00AE29E4" w:rsidP="00AE29E4">
            <w:pPr>
              <w:spacing w:line="360" w:lineRule="auto"/>
              <w:rPr>
                <w:rFonts w:ascii="Arial" w:hAnsi="Arial" w:cs="Arial"/>
                <w:sz w:val="22"/>
                <w:szCs w:val="22"/>
              </w:rPr>
            </w:pPr>
            <w:r>
              <w:rPr>
                <w:rFonts w:ascii="Arial" w:hAnsi="Arial" w:cs="Arial"/>
                <w:sz w:val="22"/>
                <w:szCs w:val="22"/>
              </w:rPr>
              <w:t>9-12</w:t>
            </w:r>
          </w:p>
        </w:tc>
        <w:tc>
          <w:tcPr>
            <w:tcW w:w="2254" w:type="dxa"/>
          </w:tcPr>
          <w:p w14:paraId="284D04D2" w14:textId="77777777" w:rsidR="00AE29E4" w:rsidRDefault="00AE29E4" w:rsidP="00AE29E4">
            <w:pPr>
              <w:spacing w:line="360" w:lineRule="auto"/>
              <w:rPr>
                <w:rFonts w:ascii="Arial" w:hAnsi="Arial" w:cs="Arial"/>
                <w:sz w:val="22"/>
                <w:szCs w:val="22"/>
              </w:rPr>
            </w:pPr>
            <w:r>
              <w:rPr>
                <w:rFonts w:ascii="Arial" w:hAnsi="Arial" w:cs="Arial"/>
                <w:sz w:val="22"/>
                <w:szCs w:val="22"/>
              </w:rPr>
              <w:t>Tender release,</w:t>
            </w:r>
          </w:p>
          <w:p w14:paraId="45FDF363" w14:textId="77777777" w:rsidR="00AE29E4" w:rsidRDefault="00AE29E4" w:rsidP="00AE29E4">
            <w:pPr>
              <w:spacing w:line="360" w:lineRule="auto"/>
              <w:rPr>
                <w:rFonts w:ascii="Arial" w:hAnsi="Arial" w:cs="Arial"/>
                <w:sz w:val="22"/>
                <w:szCs w:val="22"/>
              </w:rPr>
            </w:pPr>
            <w:r>
              <w:rPr>
                <w:rFonts w:ascii="Arial" w:hAnsi="Arial" w:cs="Arial"/>
                <w:sz w:val="22"/>
                <w:szCs w:val="22"/>
              </w:rPr>
              <w:t>Evaluation,</w:t>
            </w:r>
          </w:p>
          <w:p w14:paraId="02951778" w14:textId="4FF4B8B1" w:rsidR="00AE29E4" w:rsidRDefault="00AE29E4" w:rsidP="00AE29E4">
            <w:pPr>
              <w:spacing w:line="360" w:lineRule="auto"/>
              <w:rPr>
                <w:rFonts w:ascii="Arial" w:hAnsi="Arial" w:cs="Arial"/>
                <w:sz w:val="22"/>
                <w:szCs w:val="22"/>
              </w:rPr>
            </w:pPr>
            <w:r>
              <w:rPr>
                <w:rFonts w:ascii="Arial" w:hAnsi="Arial" w:cs="Arial"/>
                <w:sz w:val="22"/>
                <w:szCs w:val="22"/>
              </w:rPr>
              <w:t>Contract award, Mobilisation</w:t>
            </w:r>
          </w:p>
        </w:tc>
        <w:tc>
          <w:tcPr>
            <w:tcW w:w="2254" w:type="dxa"/>
          </w:tcPr>
          <w:p w14:paraId="1CB42D23" w14:textId="77777777" w:rsidR="00AE29E4" w:rsidRDefault="00AE29E4" w:rsidP="00AE29E4">
            <w:pPr>
              <w:spacing w:line="360" w:lineRule="auto"/>
              <w:rPr>
                <w:rFonts w:ascii="Arial" w:hAnsi="Arial" w:cs="Arial"/>
                <w:sz w:val="22"/>
                <w:szCs w:val="22"/>
              </w:rPr>
            </w:pPr>
          </w:p>
          <w:p w14:paraId="2CB1FDC8" w14:textId="004FC031" w:rsidR="00AE29E4" w:rsidRDefault="00AE29E4" w:rsidP="00AE29E4">
            <w:pPr>
              <w:spacing w:line="360" w:lineRule="auto"/>
              <w:rPr>
                <w:rFonts w:ascii="Arial" w:hAnsi="Arial" w:cs="Arial"/>
                <w:sz w:val="22"/>
                <w:szCs w:val="22"/>
              </w:rPr>
            </w:pPr>
            <w:r>
              <w:rPr>
                <w:rFonts w:ascii="Arial" w:hAnsi="Arial" w:cs="Arial"/>
                <w:sz w:val="22"/>
                <w:szCs w:val="22"/>
              </w:rPr>
              <w:t>Regulatory approval</w:t>
            </w:r>
          </w:p>
        </w:tc>
      </w:tr>
      <w:tr w:rsidR="00AE29E4" w14:paraId="5E55D0F4" w14:textId="77777777" w:rsidTr="001A0FC4">
        <w:tc>
          <w:tcPr>
            <w:tcW w:w="2254" w:type="dxa"/>
          </w:tcPr>
          <w:p w14:paraId="175FFFF2" w14:textId="16576549" w:rsidR="00AE29E4" w:rsidRDefault="00AE29E4" w:rsidP="00AE29E4">
            <w:pPr>
              <w:spacing w:line="360" w:lineRule="auto"/>
              <w:rPr>
                <w:rFonts w:ascii="Arial" w:hAnsi="Arial" w:cs="Arial"/>
                <w:sz w:val="22"/>
                <w:szCs w:val="22"/>
              </w:rPr>
            </w:pPr>
            <w:r>
              <w:rPr>
                <w:rFonts w:ascii="Arial" w:hAnsi="Arial" w:cs="Arial"/>
                <w:sz w:val="22"/>
                <w:szCs w:val="22"/>
              </w:rPr>
              <w:t>Construction</w:t>
            </w:r>
          </w:p>
        </w:tc>
        <w:tc>
          <w:tcPr>
            <w:tcW w:w="2254" w:type="dxa"/>
          </w:tcPr>
          <w:p w14:paraId="3E1A3DDC" w14:textId="0AB5B7C3" w:rsidR="00AE29E4" w:rsidRDefault="00AE29E4" w:rsidP="00AE29E4">
            <w:pPr>
              <w:spacing w:line="360" w:lineRule="auto"/>
              <w:rPr>
                <w:rFonts w:ascii="Arial" w:hAnsi="Arial" w:cs="Arial"/>
                <w:sz w:val="22"/>
                <w:szCs w:val="22"/>
              </w:rPr>
            </w:pPr>
            <w:r>
              <w:rPr>
                <w:rFonts w:ascii="Arial" w:hAnsi="Arial" w:cs="Arial"/>
                <w:sz w:val="22"/>
                <w:szCs w:val="22"/>
              </w:rPr>
              <w:t>Months</w:t>
            </w:r>
          </w:p>
          <w:p w14:paraId="58EA94FE" w14:textId="0FC3E51C" w:rsidR="00AE29E4" w:rsidRDefault="00AE29E4" w:rsidP="00AE29E4">
            <w:pPr>
              <w:spacing w:line="360" w:lineRule="auto"/>
              <w:rPr>
                <w:rFonts w:ascii="Arial" w:hAnsi="Arial" w:cs="Arial"/>
                <w:sz w:val="22"/>
                <w:szCs w:val="22"/>
              </w:rPr>
            </w:pPr>
            <w:r>
              <w:rPr>
                <w:rFonts w:ascii="Arial" w:hAnsi="Arial" w:cs="Arial"/>
                <w:sz w:val="22"/>
                <w:szCs w:val="22"/>
              </w:rPr>
              <w:t>11-22</w:t>
            </w:r>
          </w:p>
        </w:tc>
        <w:tc>
          <w:tcPr>
            <w:tcW w:w="2254" w:type="dxa"/>
          </w:tcPr>
          <w:p w14:paraId="488E74A3" w14:textId="77777777" w:rsidR="00AE29E4" w:rsidRDefault="00AE29E4" w:rsidP="00AE29E4">
            <w:pPr>
              <w:spacing w:line="360" w:lineRule="auto"/>
              <w:rPr>
                <w:rFonts w:ascii="Arial" w:hAnsi="Arial" w:cs="Arial"/>
                <w:sz w:val="22"/>
                <w:szCs w:val="22"/>
              </w:rPr>
            </w:pPr>
            <w:r>
              <w:rPr>
                <w:rFonts w:ascii="Arial" w:hAnsi="Arial" w:cs="Arial"/>
                <w:sz w:val="22"/>
                <w:szCs w:val="22"/>
              </w:rPr>
              <w:t>Bridge reconstruction,</w:t>
            </w:r>
          </w:p>
          <w:p w14:paraId="1C1D703A" w14:textId="77777777" w:rsidR="00AE29E4" w:rsidRDefault="00AE29E4" w:rsidP="00AE29E4">
            <w:pPr>
              <w:spacing w:line="360" w:lineRule="auto"/>
              <w:rPr>
                <w:rFonts w:ascii="Arial" w:hAnsi="Arial" w:cs="Arial"/>
                <w:sz w:val="22"/>
                <w:szCs w:val="22"/>
              </w:rPr>
            </w:pPr>
            <w:r>
              <w:rPr>
                <w:rFonts w:ascii="Arial" w:hAnsi="Arial" w:cs="Arial"/>
                <w:sz w:val="22"/>
                <w:szCs w:val="22"/>
              </w:rPr>
              <w:t>Roadway work,</w:t>
            </w:r>
          </w:p>
          <w:p w14:paraId="3A62C950" w14:textId="306720D6" w:rsidR="00AE29E4" w:rsidRDefault="00AE29E4" w:rsidP="00AE29E4">
            <w:pPr>
              <w:spacing w:line="360" w:lineRule="auto"/>
              <w:rPr>
                <w:rFonts w:ascii="Arial" w:hAnsi="Arial" w:cs="Arial"/>
                <w:sz w:val="22"/>
                <w:szCs w:val="22"/>
              </w:rPr>
            </w:pPr>
            <w:r>
              <w:rPr>
                <w:rFonts w:ascii="Arial" w:hAnsi="Arial" w:cs="Arial"/>
                <w:sz w:val="22"/>
                <w:szCs w:val="22"/>
              </w:rPr>
              <w:t>Drainage installation</w:t>
            </w:r>
          </w:p>
        </w:tc>
        <w:tc>
          <w:tcPr>
            <w:tcW w:w="2254" w:type="dxa"/>
          </w:tcPr>
          <w:p w14:paraId="012CB572" w14:textId="77777777" w:rsidR="00AE29E4" w:rsidRDefault="00AE29E4" w:rsidP="00AE29E4">
            <w:pPr>
              <w:spacing w:line="360" w:lineRule="auto"/>
              <w:rPr>
                <w:rFonts w:ascii="Arial" w:hAnsi="Arial" w:cs="Arial"/>
                <w:sz w:val="22"/>
                <w:szCs w:val="22"/>
              </w:rPr>
            </w:pPr>
            <w:r>
              <w:rPr>
                <w:rFonts w:ascii="Arial" w:hAnsi="Arial" w:cs="Arial"/>
                <w:sz w:val="22"/>
                <w:szCs w:val="22"/>
              </w:rPr>
              <w:t>Weather conditions,</w:t>
            </w:r>
          </w:p>
          <w:p w14:paraId="7AD1D142" w14:textId="2B39920F" w:rsidR="00AE29E4" w:rsidRDefault="00AE29E4" w:rsidP="00AE29E4">
            <w:pPr>
              <w:spacing w:line="360" w:lineRule="auto"/>
              <w:rPr>
                <w:rFonts w:ascii="Arial" w:hAnsi="Arial" w:cs="Arial"/>
                <w:sz w:val="22"/>
                <w:szCs w:val="22"/>
              </w:rPr>
            </w:pPr>
            <w:r>
              <w:rPr>
                <w:rFonts w:ascii="Arial" w:hAnsi="Arial" w:cs="Arial"/>
                <w:sz w:val="22"/>
                <w:szCs w:val="22"/>
              </w:rPr>
              <w:t>Material supply</w:t>
            </w:r>
          </w:p>
        </w:tc>
      </w:tr>
      <w:tr w:rsidR="00AE29E4" w14:paraId="3A807BBE" w14:textId="77777777" w:rsidTr="001A0FC4">
        <w:tc>
          <w:tcPr>
            <w:tcW w:w="2254" w:type="dxa"/>
          </w:tcPr>
          <w:p w14:paraId="0868986C" w14:textId="77777777" w:rsidR="00AE29E4" w:rsidRDefault="00AE29E4" w:rsidP="00AE29E4">
            <w:pPr>
              <w:spacing w:line="360" w:lineRule="auto"/>
              <w:rPr>
                <w:rFonts w:ascii="Arial" w:hAnsi="Arial" w:cs="Arial"/>
                <w:sz w:val="22"/>
                <w:szCs w:val="22"/>
              </w:rPr>
            </w:pPr>
          </w:p>
          <w:p w14:paraId="1D3E03C6" w14:textId="2FAC1458" w:rsidR="00AE29E4" w:rsidRDefault="00AE29E4" w:rsidP="00AE29E4">
            <w:pPr>
              <w:spacing w:line="360" w:lineRule="auto"/>
              <w:rPr>
                <w:rFonts w:ascii="Arial" w:hAnsi="Arial" w:cs="Arial"/>
                <w:sz w:val="22"/>
                <w:szCs w:val="22"/>
              </w:rPr>
            </w:pPr>
            <w:r>
              <w:rPr>
                <w:rFonts w:ascii="Arial" w:hAnsi="Arial" w:cs="Arial"/>
                <w:sz w:val="22"/>
                <w:szCs w:val="22"/>
              </w:rPr>
              <w:t>Quality &amp; Safety</w:t>
            </w:r>
          </w:p>
        </w:tc>
        <w:tc>
          <w:tcPr>
            <w:tcW w:w="2254" w:type="dxa"/>
          </w:tcPr>
          <w:p w14:paraId="3216BB11" w14:textId="77777777" w:rsidR="00AE29E4" w:rsidRDefault="00AE29E4" w:rsidP="00AE29E4">
            <w:pPr>
              <w:spacing w:line="360" w:lineRule="auto"/>
              <w:rPr>
                <w:rFonts w:ascii="Arial" w:hAnsi="Arial" w:cs="Arial"/>
                <w:sz w:val="22"/>
                <w:szCs w:val="22"/>
              </w:rPr>
            </w:pPr>
          </w:p>
          <w:p w14:paraId="30E2AB55" w14:textId="779534C7" w:rsidR="00AE29E4" w:rsidRDefault="00AE29E4" w:rsidP="00AE29E4">
            <w:pPr>
              <w:spacing w:line="360" w:lineRule="auto"/>
              <w:rPr>
                <w:rFonts w:ascii="Arial" w:hAnsi="Arial" w:cs="Arial"/>
                <w:sz w:val="22"/>
                <w:szCs w:val="22"/>
              </w:rPr>
            </w:pPr>
            <w:r>
              <w:rPr>
                <w:rFonts w:ascii="Arial" w:hAnsi="Arial" w:cs="Arial"/>
                <w:sz w:val="22"/>
                <w:szCs w:val="22"/>
              </w:rPr>
              <w:t>Months</w:t>
            </w:r>
          </w:p>
          <w:p w14:paraId="6F238251" w14:textId="02D3B9EB" w:rsidR="00AE29E4" w:rsidRDefault="00AE29E4" w:rsidP="00AE29E4">
            <w:pPr>
              <w:spacing w:line="360" w:lineRule="auto"/>
              <w:rPr>
                <w:rFonts w:ascii="Arial" w:hAnsi="Arial" w:cs="Arial"/>
                <w:sz w:val="22"/>
                <w:szCs w:val="22"/>
              </w:rPr>
            </w:pPr>
            <w:r>
              <w:rPr>
                <w:rFonts w:ascii="Arial" w:hAnsi="Arial" w:cs="Arial"/>
                <w:sz w:val="22"/>
                <w:szCs w:val="22"/>
              </w:rPr>
              <w:t>11-23</w:t>
            </w:r>
          </w:p>
        </w:tc>
        <w:tc>
          <w:tcPr>
            <w:tcW w:w="2254" w:type="dxa"/>
          </w:tcPr>
          <w:p w14:paraId="404B50E4" w14:textId="2836A602" w:rsidR="00AE29E4" w:rsidRDefault="00AE29E4" w:rsidP="00AE29E4">
            <w:pPr>
              <w:spacing w:line="360" w:lineRule="auto"/>
              <w:rPr>
                <w:rFonts w:ascii="Arial" w:hAnsi="Arial" w:cs="Arial"/>
                <w:sz w:val="22"/>
                <w:szCs w:val="22"/>
              </w:rPr>
            </w:pPr>
            <w:r>
              <w:rPr>
                <w:rFonts w:ascii="Arial" w:hAnsi="Arial" w:cs="Arial"/>
                <w:sz w:val="22"/>
                <w:szCs w:val="22"/>
              </w:rPr>
              <w:t>Inspections, Testing, Monitoring, Compliance verification</w:t>
            </w:r>
          </w:p>
        </w:tc>
        <w:tc>
          <w:tcPr>
            <w:tcW w:w="2254" w:type="dxa"/>
          </w:tcPr>
          <w:p w14:paraId="58EDD4EB" w14:textId="77777777" w:rsidR="00AE29E4" w:rsidRDefault="00AE29E4" w:rsidP="00AE29E4">
            <w:pPr>
              <w:spacing w:line="360" w:lineRule="auto"/>
              <w:rPr>
                <w:rFonts w:ascii="Arial" w:hAnsi="Arial" w:cs="Arial"/>
                <w:sz w:val="22"/>
                <w:szCs w:val="22"/>
              </w:rPr>
            </w:pPr>
          </w:p>
          <w:p w14:paraId="246B1139" w14:textId="2D134FEC" w:rsidR="00AE29E4" w:rsidRDefault="00AE29E4" w:rsidP="00AE29E4">
            <w:pPr>
              <w:spacing w:line="360" w:lineRule="auto"/>
              <w:rPr>
                <w:rFonts w:ascii="Arial" w:hAnsi="Arial" w:cs="Arial"/>
                <w:sz w:val="22"/>
                <w:szCs w:val="22"/>
              </w:rPr>
            </w:pPr>
            <w:r>
              <w:rPr>
                <w:rFonts w:ascii="Arial" w:hAnsi="Arial" w:cs="Arial"/>
                <w:sz w:val="22"/>
                <w:szCs w:val="22"/>
              </w:rPr>
              <w:t>Concurrent with construction</w:t>
            </w:r>
          </w:p>
        </w:tc>
      </w:tr>
      <w:tr w:rsidR="00AE29E4" w14:paraId="7ABC499E" w14:textId="77777777" w:rsidTr="001A0FC4">
        <w:tc>
          <w:tcPr>
            <w:tcW w:w="2254" w:type="dxa"/>
          </w:tcPr>
          <w:p w14:paraId="6E17FF2A" w14:textId="750B7356" w:rsidR="00AE29E4" w:rsidRDefault="00AE29E4" w:rsidP="00AE29E4">
            <w:pPr>
              <w:spacing w:line="360" w:lineRule="auto"/>
              <w:rPr>
                <w:rFonts w:ascii="Arial" w:hAnsi="Arial" w:cs="Arial"/>
                <w:sz w:val="22"/>
                <w:szCs w:val="22"/>
              </w:rPr>
            </w:pPr>
            <w:r>
              <w:rPr>
                <w:rFonts w:ascii="Arial" w:hAnsi="Arial" w:cs="Arial"/>
                <w:sz w:val="22"/>
                <w:szCs w:val="22"/>
              </w:rPr>
              <w:t>Closure</w:t>
            </w:r>
          </w:p>
        </w:tc>
        <w:tc>
          <w:tcPr>
            <w:tcW w:w="2254" w:type="dxa"/>
          </w:tcPr>
          <w:p w14:paraId="4432230D" w14:textId="77777777" w:rsidR="00AE29E4" w:rsidRDefault="00AE29E4" w:rsidP="00AE29E4">
            <w:pPr>
              <w:spacing w:line="360" w:lineRule="auto"/>
              <w:rPr>
                <w:rFonts w:ascii="Arial" w:hAnsi="Arial" w:cs="Arial"/>
                <w:sz w:val="22"/>
                <w:szCs w:val="22"/>
              </w:rPr>
            </w:pPr>
            <w:r>
              <w:rPr>
                <w:rFonts w:ascii="Arial" w:hAnsi="Arial" w:cs="Arial"/>
                <w:sz w:val="22"/>
                <w:szCs w:val="22"/>
              </w:rPr>
              <w:t>Months</w:t>
            </w:r>
          </w:p>
          <w:p w14:paraId="29A4D19D" w14:textId="5277806A" w:rsidR="00AE29E4" w:rsidRDefault="00AE29E4" w:rsidP="00AE29E4">
            <w:pPr>
              <w:spacing w:line="360" w:lineRule="auto"/>
              <w:rPr>
                <w:rFonts w:ascii="Arial" w:hAnsi="Arial" w:cs="Arial"/>
                <w:sz w:val="22"/>
                <w:szCs w:val="22"/>
              </w:rPr>
            </w:pPr>
            <w:r>
              <w:rPr>
                <w:rFonts w:ascii="Arial" w:hAnsi="Arial" w:cs="Arial"/>
                <w:sz w:val="22"/>
                <w:szCs w:val="22"/>
              </w:rPr>
              <w:t>23-24</w:t>
            </w:r>
          </w:p>
        </w:tc>
        <w:tc>
          <w:tcPr>
            <w:tcW w:w="2254" w:type="dxa"/>
          </w:tcPr>
          <w:p w14:paraId="4F4CAD7B" w14:textId="114A64AA" w:rsidR="00AE29E4" w:rsidRDefault="00AE29E4" w:rsidP="00AE29E4">
            <w:pPr>
              <w:spacing w:line="360" w:lineRule="auto"/>
              <w:rPr>
                <w:rFonts w:ascii="Arial" w:hAnsi="Arial" w:cs="Arial"/>
                <w:sz w:val="22"/>
                <w:szCs w:val="22"/>
              </w:rPr>
            </w:pPr>
            <w:r>
              <w:rPr>
                <w:rFonts w:ascii="Arial" w:hAnsi="Arial" w:cs="Arial"/>
                <w:sz w:val="22"/>
                <w:szCs w:val="22"/>
              </w:rPr>
              <w:t>Final Inspections,</w:t>
            </w:r>
          </w:p>
          <w:p w14:paraId="330A487B" w14:textId="5B6FAF5D" w:rsidR="00AE29E4" w:rsidRDefault="00AE29E4" w:rsidP="00AE29E4">
            <w:pPr>
              <w:spacing w:line="360" w:lineRule="auto"/>
              <w:rPr>
                <w:rFonts w:ascii="Arial" w:hAnsi="Arial" w:cs="Arial"/>
                <w:sz w:val="22"/>
                <w:szCs w:val="22"/>
              </w:rPr>
            </w:pPr>
            <w:r>
              <w:rPr>
                <w:rFonts w:ascii="Arial" w:hAnsi="Arial" w:cs="Arial"/>
                <w:sz w:val="22"/>
                <w:szCs w:val="22"/>
              </w:rPr>
              <w:t xml:space="preserve">Documentation, Handover </w:t>
            </w:r>
          </w:p>
        </w:tc>
        <w:tc>
          <w:tcPr>
            <w:tcW w:w="2254" w:type="dxa"/>
          </w:tcPr>
          <w:p w14:paraId="2C8B655C" w14:textId="07C3E303" w:rsidR="00AE29E4" w:rsidRDefault="00AE29E4" w:rsidP="00AE29E4">
            <w:pPr>
              <w:spacing w:line="360" w:lineRule="auto"/>
              <w:rPr>
                <w:rFonts w:ascii="Arial" w:hAnsi="Arial" w:cs="Arial"/>
                <w:sz w:val="22"/>
                <w:szCs w:val="22"/>
              </w:rPr>
            </w:pPr>
            <w:r>
              <w:rPr>
                <w:rFonts w:ascii="Arial" w:hAnsi="Arial" w:cs="Arial"/>
                <w:sz w:val="22"/>
                <w:szCs w:val="22"/>
              </w:rPr>
              <w:t>Construction completion</w:t>
            </w:r>
          </w:p>
        </w:tc>
      </w:tr>
    </w:tbl>
    <w:p w14:paraId="33C00CEF"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project critical path runs through bridge reconstruction activities, which represent the longest duration items with least schedule flexibility. Weather-dependent activities receive careful schedule management with contingency provisions for adverse conditions.</w:t>
      </w:r>
    </w:p>
    <w:p w14:paraId="69BD00F7" w14:textId="77777777" w:rsidR="001A0FC4" w:rsidRPr="00B5467C" w:rsidRDefault="001A0FC4" w:rsidP="00B5467C">
      <w:pPr>
        <w:pStyle w:val="Heading1"/>
        <w:rPr>
          <w:rFonts w:ascii="Arial" w:hAnsi="Arial" w:cs="Arial"/>
          <w:sz w:val="22"/>
          <w:szCs w:val="22"/>
        </w:rPr>
      </w:pPr>
      <w:bookmarkStart w:id="16" w:name="_Toc213083774"/>
      <w:r w:rsidRPr="00B5467C">
        <w:rPr>
          <w:rFonts w:ascii="Arial" w:hAnsi="Arial" w:cs="Arial"/>
          <w:sz w:val="22"/>
          <w:szCs w:val="22"/>
        </w:rPr>
        <w:t>7. Stakeholder Involvement</w:t>
      </w:r>
      <w:bookmarkEnd w:id="16"/>
    </w:p>
    <w:p w14:paraId="12DB034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Effective stakeholder engagement forms a critical success factor for major infrastructure projects, requiring systematic identification, analysis, and ongoing communication management (Bal et al., 2013).</w:t>
      </w:r>
    </w:p>
    <w:p w14:paraId="7718DAA8" w14:textId="77777777" w:rsidR="001A0FC4" w:rsidRPr="00B5467C" w:rsidRDefault="001A0FC4" w:rsidP="00B5467C">
      <w:pPr>
        <w:pStyle w:val="Heading2"/>
        <w:rPr>
          <w:rFonts w:ascii="Arial" w:hAnsi="Arial" w:cs="Arial"/>
          <w:sz w:val="22"/>
          <w:szCs w:val="22"/>
        </w:rPr>
      </w:pPr>
      <w:bookmarkStart w:id="17" w:name="_Toc213083775"/>
      <w:r w:rsidRPr="00B5467C">
        <w:rPr>
          <w:rFonts w:ascii="Arial" w:hAnsi="Arial" w:cs="Arial"/>
          <w:sz w:val="22"/>
          <w:szCs w:val="22"/>
        </w:rPr>
        <w:t>7.1 Stakeholder Analysis</w:t>
      </w:r>
      <w:bookmarkEnd w:id="17"/>
    </w:p>
    <w:p w14:paraId="0F895D8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Government of Canada functions as the primary funding stakeholder, maintaining high power and high interest, requiring regular ministerial briefings on project progress and achievement of policy objectives (Eskerod and Jepsen, 2013). The Province of British Columbia holds ultimate project authority and requires frequent updates supporting public communications and legislative accountability.</w:t>
      </w:r>
    </w:p>
    <w:p w14:paraId="23D53572"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Indigenous communities possess unique rights requiring meaningful consultation and accommodation. These stakeholders hold high power through potential legal challenges and high interest in environmental protection and economic participation opportunities (Davis, </w:t>
      </w:r>
      <w:r w:rsidRPr="001A0FC4">
        <w:rPr>
          <w:rFonts w:ascii="Arial" w:hAnsi="Arial" w:cs="Arial"/>
          <w:sz w:val="22"/>
          <w:szCs w:val="22"/>
        </w:rPr>
        <w:lastRenderedPageBreak/>
        <w:t>2014). Highway users represent high-interest stakeholders experiencing direct impacts from construction disruptions, whilst local residents and businesses maintain high interest due to access disruptions and economic effects.</w:t>
      </w:r>
    </w:p>
    <w:p w14:paraId="45701B7F"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Environmental groups and regulatory agencies exercise significant power through permit requirements and potential legal challenges. Their high interest in ecological protection requires transparent environmental management and regular reporting on mitigation effectiveness (Winch, 2010).</w:t>
      </w:r>
    </w:p>
    <w:p w14:paraId="78DBC31B" w14:textId="77777777" w:rsidR="001A0FC4" w:rsidRPr="00493FB3" w:rsidRDefault="001A0FC4" w:rsidP="00B5467C">
      <w:pPr>
        <w:pStyle w:val="Heading2"/>
        <w:rPr>
          <w:rFonts w:ascii="Arial" w:hAnsi="Arial" w:cs="Arial"/>
          <w:sz w:val="22"/>
          <w:szCs w:val="22"/>
        </w:rPr>
      </w:pPr>
      <w:bookmarkStart w:id="18" w:name="_Toc213083776"/>
      <w:r w:rsidRPr="00493FB3">
        <w:rPr>
          <w:rFonts w:ascii="Arial" w:hAnsi="Arial" w:cs="Arial"/>
          <w:sz w:val="22"/>
          <w:szCs w:val="22"/>
        </w:rPr>
        <w:t>7.2 Communication Strategy</w:t>
      </w:r>
      <w:bookmarkEnd w:id="18"/>
    </w:p>
    <w:p w14:paraId="21D8D93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communication strategy employs multiple channels appropriate to different stakeholder groups. Monthly written reports to government stakeholders provide detailed progress updates, whilst quarterly ministerial briefings offer opportunities for strategic discussions. Community engagement utilises monthly open house sessions in affected communities, providing forums for residents to raise concerns (Andersen, 2008).</w:t>
      </w:r>
    </w:p>
    <w:p w14:paraId="17112CB5"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Indigenous consultation follows protocols established through relationship agreements, including monthly project update meetings and immediate notifications of discoveries requiring cultural assessments. Commercial stakeholders receive specific communications addressing traffic management and schedule information. Media relations protocols establish clear messaging channels through designated spokespersons (Bourne and Walker, 2008).</w:t>
      </w:r>
    </w:p>
    <w:p w14:paraId="08ECD18E" w14:textId="77777777" w:rsidR="001A0FC4" w:rsidRPr="00493FB3" w:rsidRDefault="001A0FC4" w:rsidP="00493FB3">
      <w:pPr>
        <w:pStyle w:val="Heading1"/>
        <w:rPr>
          <w:rFonts w:ascii="Arial" w:hAnsi="Arial" w:cs="Arial"/>
          <w:sz w:val="22"/>
          <w:szCs w:val="22"/>
        </w:rPr>
      </w:pPr>
      <w:bookmarkStart w:id="19" w:name="_Toc213083777"/>
      <w:r w:rsidRPr="00493FB3">
        <w:rPr>
          <w:rFonts w:ascii="Arial" w:hAnsi="Arial" w:cs="Arial"/>
          <w:sz w:val="22"/>
          <w:szCs w:val="22"/>
        </w:rPr>
        <w:t>8. Allocation of Resources</w:t>
      </w:r>
      <w:bookmarkEnd w:id="19"/>
    </w:p>
    <w:p w14:paraId="002FF81A"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Resource allocation optimises the deployment of human resources, equipment, materials, and financial capital throughout project delivery (Huemann et al., 2007).</w:t>
      </w:r>
    </w:p>
    <w:p w14:paraId="4B4DA3CF" w14:textId="77777777" w:rsidR="001A0FC4" w:rsidRPr="00493FB3" w:rsidRDefault="001A0FC4" w:rsidP="00493FB3">
      <w:pPr>
        <w:pStyle w:val="Heading2"/>
        <w:rPr>
          <w:rFonts w:ascii="Arial" w:hAnsi="Arial" w:cs="Arial"/>
          <w:sz w:val="22"/>
          <w:szCs w:val="22"/>
        </w:rPr>
      </w:pPr>
      <w:bookmarkStart w:id="20" w:name="_Toc213083778"/>
      <w:r w:rsidRPr="00493FB3">
        <w:rPr>
          <w:rFonts w:ascii="Arial" w:hAnsi="Arial" w:cs="Arial"/>
          <w:sz w:val="22"/>
          <w:szCs w:val="22"/>
        </w:rPr>
        <w:t>8.1 Human Resources</w:t>
      </w:r>
      <w:bookmarkEnd w:id="20"/>
    </w:p>
    <w:p w14:paraId="7C92160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project management team comprises a dedicated Project Director providing executive leadership, supported by a Project Manager overseeing daily operations. Engineering managers lead design and construction supervision, whilst construction managers direct field operations (Turner and Müller, 2003). Specialised staff include environmental scientists, safety officers, community liaison officers, quality assurance inspectors, and procurement specialists.</w:t>
      </w:r>
    </w:p>
    <w:p w14:paraId="0B645DB2"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Design consultants provide engineering expertise through detailed design phases, with structural engineers, geotechnical engineers, hydraulic engineers, and environmental consultants contributing specialised knowledge. Construction contractors mobilise significant workforces including skilled trades and specialised subcontractors, with peak construction phases employing approximately 800 workers across multiple sites (Crawford et al., 2013).</w:t>
      </w:r>
    </w:p>
    <w:p w14:paraId="246B240C" w14:textId="77777777" w:rsidR="001A0FC4" w:rsidRPr="00493FB3" w:rsidRDefault="001A0FC4" w:rsidP="00493FB3">
      <w:pPr>
        <w:pStyle w:val="Heading2"/>
        <w:rPr>
          <w:rFonts w:ascii="Arial" w:hAnsi="Arial" w:cs="Arial"/>
          <w:sz w:val="22"/>
          <w:szCs w:val="22"/>
        </w:rPr>
      </w:pPr>
      <w:bookmarkStart w:id="21" w:name="_Toc213083779"/>
      <w:r w:rsidRPr="00493FB3">
        <w:rPr>
          <w:rFonts w:ascii="Arial" w:hAnsi="Arial" w:cs="Arial"/>
          <w:sz w:val="22"/>
          <w:szCs w:val="22"/>
        </w:rPr>
        <w:lastRenderedPageBreak/>
        <w:t>8.2 Equipment and Materials</w:t>
      </w:r>
      <w:bookmarkEnd w:id="21"/>
    </w:p>
    <w:p w14:paraId="3D52A48B"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Major equipment requirements include excavators, haul trucks, dozers, graders, and compaction equipment for earthworks operations. Concrete pumps, batching plants, and asphalt pavers support structure and roadway construction. Specialised equipment includes crane systems for bridge construction and drilling rigs for geotechnical installations (</w:t>
      </w:r>
      <w:proofErr w:type="spellStart"/>
      <w:r w:rsidRPr="001A0FC4">
        <w:rPr>
          <w:rFonts w:ascii="Arial" w:hAnsi="Arial" w:cs="Arial"/>
          <w:sz w:val="22"/>
          <w:szCs w:val="22"/>
        </w:rPr>
        <w:t>Jugdev</w:t>
      </w:r>
      <w:proofErr w:type="spellEnd"/>
      <w:r w:rsidRPr="001A0FC4">
        <w:rPr>
          <w:rFonts w:ascii="Arial" w:hAnsi="Arial" w:cs="Arial"/>
          <w:sz w:val="22"/>
          <w:szCs w:val="22"/>
        </w:rPr>
        <w:t xml:space="preserve"> and Müller, 2005).</w:t>
      </w:r>
    </w:p>
    <w:p w14:paraId="267F4D94"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Material requirements span concrete aggregates, ready-mix concrete, structural steel, reinforcing steel, asphalt materials, and geotechnical products. Environmental restoration materials include native plant species and erosion control products. All materials undergo quality assurance testing verifying compliance with specifications (Söderlund, 2011).</w:t>
      </w:r>
    </w:p>
    <w:p w14:paraId="7CCFDB83" w14:textId="77777777" w:rsidR="001A0FC4" w:rsidRPr="00493FB3" w:rsidRDefault="001A0FC4" w:rsidP="00493FB3">
      <w:pPr>
        <w:pStyle w:val="Heading2"/>
        <w:rPr>
          <w:rFonts w:ascii="Arial" w:hAnsi="Arial" w:cs="Arial"/>
          <w:sz w:val="22"/>
          <w:szCs w:val="22"/>
        </w:rPr>
      </w:pPr>
      <w:bookmarkStart w:id="22" w:name="_Toc213083780"/>
      <w:r w:rsidRPr="00493FB3">
        <w:rPr>
          <w:rFonts w:ascii="Arial" w:hAnsi="Arial" w:cs="Arial"/>
          <w:sz w:val="22"/>
          <w:szCs w:val="22"/>
        </w:rPr>
        <w:t>8.3 Financial Resources</w:t>
      </w:r>
      <w:bookmarkEnd w:id="22"/>
    </w:p>
    <w:p w14:paraId="4D252BFF"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CAD 1.2 billion budget allocates across major categories: design and engineering services (8 percent - CAD 96 million), construction contracts (68 percent - CAD 816 million), construction management (7 percent - CAD 84 million), environmental monitoring (5 percent - CAD 60 million), stakeholder engagement (2 percent - CAD 24 million), and project contingency (10 percent - CAD 120 million). Funding flows from federal and provincial governments through milestone-based payment schedules (Müller and Turner, 2007).</w:t>
      </w:r>
    </w:p>
    <w:p w14:paraId="2615B5C6" w14:textId="77777777" w:rsidR="001A0FC4" w:rsidRPr="00493FB3" w:rsidRDefault="001A0FC4" w:rsidP="00493FB3">
      <w:pPr>
        <w:pStyle w:val="Heading1"/>
        <w:rPr>
          <w:rFonts w:ascii="Arial" w:hAnsi="Arial" w:cs="Arial"/>
          <w:sz w:val="22"/>
          <w:szCs w:val="22"/>
        </w:rPr>
      </w:pPr>
      <w:bookmarkStart w:id="23" w:name="_Toc213083781"/>
      <w:r w:rsidRPr="00493FB3">
        <w:rPr>
          <w:rFonts w:ascii="Arial" w:hAnsi="Arial" w:cs="Arial"/>
          <w:sz w:val="22"/>
          <w:szCs w:val="22"/>
        </w:rPr>
        <w:t>9. Risk Analysis</w:t>
      </w:r>
      <w:bookmarkEnd w:id="23"/>
    </w:p>
    <w:p w14:paraId="29EB2221"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Comprehensive risk management identifies potential threats and opportunities, developing strategies to minimise negative impacts whilst maximising beneficial outcomes (Hillson and Simon, 2020).</w:t>
      </w:r>
    </w:p>
    <w:p w14:paraId="3C89247B" w14:textId="77777777" w:rsidR="001A0FC4" w:rsidRPr="00493FB3" w:rsidRDefault="001A0FC4" w:rsidP="00493FB3">
      <w:pPr>
        <w:pStyle w:val="Heading2"/>
        <w:rPr>
          <w:rFonts w:ascii="Arial" w:hAnsi="Arial" w:cs="Arial"/>
          <w:sz w:val="22"/>
          <w:szCs w:val="22"/>
        </w:rPr>
      </w:pPr>
      <w:bookmarkStart w:id="24" w:name="_Toc213083782"/>
      <w:r w:rsidRPr="00493FB3">
        <w:rPr>
          <w:rFonts w:ascii="Arial" w:hAnsi="Arial" w:cs="Arial"/>
          <w:sz w:val="22"/>
          <w:szCs w:val="22"/>
        </w:rPr>
        <w:t>9.1 Risk Identification and Assessment</w:t>
      </w:r>
      <w:bookmarkEnd w:id="24"/>
    </w:p>
    <w:p w14:paraId="74494A0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Weather-related risks pose significant threats to mountain highway construction. Extreme precipitation events may damage partially completed works or restrict site access. Winter conditions limit certain activities whilst increasing costs. Risk probability assessment rates weather risks as high likelihood given project location and historical climate data (Ward and Chapman, 2003).</w:t>
      </w:r>
    </w:p>
    <w:p w14:paraId="3AA9524C"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Geotechnical risks emerge from subsurface uncertainty despite extensive investigations. Unexpected ground conditions may necessitate design modifications. Slope instability during construction could threaten worker safety and delay progress. Moderate probability assessment reflects comprehensive investigation efforts whilst acknowledging inherent uncertainty (Atkinson et al., 2006).</w:t>
      </w:r>
    </w:p>
    <w:p w14:paraId="0CC6F52B"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Supply chain disruptions represent emerging risks following pandemic experiences. Material shortages or transportation constraints may delay deliveries, impacting schedules. Price </w:t>
      </w:r>
      <w:r w:rsidRPr="001A0FC4">
        <w:rPr>
          <w:rFonts w:ascii="Arial" w:hAnsi="Arial" w:cs="Arial"/>
          <w:sz w:val="22"/>
          <w:szCs w:val="22"/>
        </w:rPr>
        <w:lastRenderedPageBreak/>
        <w:t>escalation beyond contractual provisions could strain budgets. Moderate probability considers recent supply chain stabilisation whilst recognising ongoing vulnerabilities.</w:t>
      </w:r>
    </w:p>
    <w:p w14:paraId="47B83801"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Labour availability concerns reflect construction industry capacity constraints. Difficulties attracting qualified personnel may slow progress or increase costs. Regional labour market conditions compound these challenges. Moderate probability reflects active labour market conditions (De Bakker et al., 2010).</w:t>
      </w:r>
    </w:p>
    <w:p w14:paraId="01495FD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Archaeological discoveries during excavation could trigger construction halts whilst assessment occurs. Indigenous cultural sites hold particular significance requiring respectful responses. Low probability reflects investigation efforts during design phases.</w:t>
      </w:r>
    </w:p>
    <w:p w14:paraId="76EEC75E"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Environmental incidents including fuel spills or sediment releases could generate regulatory non-compliances, requiring remediation and potentially delaying work. Moderate probability reflects extensive planning whilst acknowledging inherent construction risks (Teller et al., 2012).</w:t>
      </w:r>
    </w:p>
    <w:p w14:paraId="4163628D" w14:textId="77777777" w:rsidR="001A0FC4" w:rsidRPr="00493FB3" w:rsidRDefault="001A0FC4" w:rsidP="00493FB3">
      <w:pPr>
        <w:pStyle w:val="Heading2"/>
        <w:rPr>
          <w:rFonts w:ascii="Arial" w:hAnsi="Arial" w:cs="Arial"/>
          <w:sz w:val="22"/>
          <w:szCs w:val="22"/>
        </w:rPr>
      </w:pPr>
      <w:bookmarkStart w:id="25" w:name="_Toc213083783"/>
      <w:r w:rsidRPr="00493FB3">
        <w:rPr>
          <w:rFonts w:ascii="Arial" w:hAnsi="Arial" w:cs="Arial"/>
          <w:sz w:val="22"/>
          <w:szCs w:val="22"/>
        </w:rPr>
        <w:t>9.2 Risk Response Strategies</w:t>
      </w:r>
      <w:bookmarkEnd w:id="25"/>
    </w:p>
    <w:p w14:paraId="1CC894EA"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Weather risk mitigation includes flexible scheduling, weather protection investments, and accelerated work programmes during favourable periods. Contingency schedule allowances accommodate expected delays. Real-time weather monitoring supports tactical decision-making (</w:t>
      </w:r>
      <w:proofErr w:type="spellStart"/>
      <w:r w:rsidRPr="001A0FC4">
        <w:rPr>
          <w:rFonts w:ascii="Arial" w:hAnsi="Arial" w:cs="Arial"/>
          <w:sz w:val="22"/>
          <w:szCs w:val="22"/>
        </w:rPr>
        <w:t>Perminova</w:t>
      </w:r>
      <w:proofErr w:type="spellEnd"/>
      <w:r w:rsidRPr="001A0FC4">
        <w:rPr>
          <w:rFonts w:ascii="Arial" w:hAnsi="Arial" w:cs="Arial"/>
          <w:sz w:val="22"/>
          <w:szCs w:val="22"/>
        </w:rPr>
        <w:t xml:space="preserve"> et al., 2008).</w:t>
      </w:r>
    </w:p>
    <w:p w14:paraId="560598BE"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Geotechnical risk responses include comprehensive instrumentation and monitoring programmes, conservative design solutions, and retained geotechnical expertise for rapid response. Contingency budgets accommodate potential design modifications.</w:t>
      </w:r>
    </w:p>
    <w:p w14:paraId="2FC192A8"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Supply chain mitigation involves early procurement of long-lead materials, maintaining relationships with multiple suppliers, and contractual mechanisms allowing price adjustments. Material inventory management balances storage costs against schedule security.</w:t>
      </w:r>
    </w:p>
    <w:p w14:paraId="30240482"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Labour strategies include competitive compensation packages, workforce development programmes, partnerships with training institutions, and positive worksite culture emphasising safety. Accommodation support assists workers relocating to the project region (</w:t>
      </w:r>
      <w:proofErr w:type="spellStart"/>
      <w:r w:rsidRPr="001A0FC4">
        <w:rPr>
          <w:rFonts w:ascii="Arial" w:hAnsi="Arial" w:cs="Arial"/>
          <w:sz w:val="22"/>
          <w:szCs w:val="22"/>
        </w:rPr>
        <w:t>Ojiako</w:t>
      </w:r>
      <w:proofErr w:type="spellEnd"/>
      <w:r w:rsidRPr="001A0FC4">
        <w:rPr>
          <w:rFonts w:ascii="Arial" w:hAnsi="Arial" w:cs="Arial"/>
          <w:sz w:val="22"/>
          <w:szCs w:val="22"/>
        </w:rPr>
        <w:t xml:space="preserve"> et al., 2011).</w:t>
      </w:r>
    </w:p>
    <w:p w14:paraId="70CDC205"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Archaeological protocols include immediate work stoppages upon discovery, engagement of qualified archaeologists, and coordination with Indigenous communities. Contingency schedules accommodate potential assessment requirements.</w:t>
      </w:r>
    </w:p>
    <w:p w14:paraId="20992F02"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lastRenderedPageBreak/>
        <w:t>Environmental risk prevention emphasises robust planning, comprehensive worker training, regular inspections, and emergency response capabilities including spill containment equipment (Hillson, 2009).</w:t>
      </w:r>
    </w:p>
    <w:p w14:paraId="2FAD1680" w14:textId="77777777" w:rsidR="001A0FC4" w:rsidRPr="00493FB3" w:rsidRDefault="001A0FC4" w:rsidP="00493FB3">
      <w:pPr>
        <w:pStyle w:val="Heading2"/>
        <w:rPr>
          <w:rFonts w:ascii="Arial" w:hAnsi="Arial" w:cs="Arial"/>
          <w:sz w:val="22"/>
          <w:szCs w:val="22"/>
        </w:rPr>
      </w:pPr>
      <w:bookmarkStart w:id="26" w:name="_Toc213083784"/>
      <w:r w:rsidRPr="00493FB3">
        <w:rPr>
          <w:rFonts w:ascii="Arial" w:hAnsi="Arial" w:cs="Arial"/>
          <w:sz w:val="22"/>
          <w:szCs w:val="22"/>
        </w:rPr>
        <w:t>9.3 Risk Monitoring</w:t>
      </w:r>
      <w:bookmarkEnd w:id="26"/>
    </w:p>
    <w:p w14:paraId="1E44FDE0"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Risk register maintenance occurs throughout project delivery, with monthly reviews identifying emerging risks and updating assessments. Trigger events activate contingency plans with clear protocols defining authorities and response procedures. Lessons learned processes capture effectiveness, informing approach refinements (Chapman and Ward, 2003).</w:t>
      </w:r>
    </w:p>
    <w:p w14:paraId="57CC37E4" w14:textId="77777777" w:rsidR="001A0FC4" w:rsidRPr="00493FB3" w:rsidRDefault="001A0FC4" w:rsidP="00493FB3">
      <w:pPr>
        <w:pStyle w:val="Heading1"/>
        <w:rPr>
          <w:rFonts w:ascii="Arial" w:hAnsi="Arial" w:cs="Arial"/>
          <w:sz w:val="22"/>
          <w:szCs w:val="22"/>
        </w:rPr>
      </w:pPr>
      <w:bookmarkStart w:id="27" w:name="_Toc213083785"/>
      <w:r w:rsidRPr="00493FB3">
        <w:rPr>
          <w:rFonts w:ascii="Arial" w:hAnsi="Arial" w:cs="Arial"/>
          <w:sz w:val="22"/>
          <w:szCs w:val="22"/>
        </w:rPr>
        <w:t>10. Conclusion</w:t>
      </w:r>
      <w:bookmarkEnd w:id="27"/>
    </w:p>
    <w:p w14:paraId="5089048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Reconstruction of Highway 5: Resilient Corridor Restoration represents a transformative opportunity to rebuild critical transportation infrastructure whilst enhancing resilience against intensifying climate challenges. This Project Management Plan provides a comprehensive framework guiding project delivery through systematic application of established project management principles (</w:t>
      </w:r>
      <w:proofErr w:type="spellStart"/>
      <w:r w:rsidRPr="001A0FC4">
        <w:rPr>
          <w:rFonts w:ascii="Arial" w:hAnsi="Arial" w:cs="Arial"/>
          <w:sz w:val="22"/>
          <w:szCs w:val="22"/>
        </w:rPr>
        <w:t>Shenhar</w:t>
      </w:r>
      <w:proofErr w:type="spellEnd"/>
      <w:r w:rsidRPr="001A0FC4">
        <w:rPr>
          <w:rFonts w:ascii="Arial" w:hAnsi="Arial" w:cs="Arial"/>
          <w:sz w:val="22"/>
          <w:szCs w:val="22"/>
        </w:rPr>
        <w:t xml:space="preserve"> and </w:t>
      </w:r>
      <w:proofErr w:type="spellStart"/>
      <w:r w:rsidRPr="001A0FC4">
        <w:rPr>
          <w:rFonts w:ascii="Arial" w:hAnsi="Arial" w:cs="Arial"/>
          <w:sz w:val="22"/>
          <w:szCs w:val="22"/>
        </w:rPr>
        <w:t>Dvir</w:t>
      </w:r>
      <w:proofErr w:type="spellEnd"/>
      <w:r w:rsidRPr="001A0FC4">
        <w:rPr>
          <w:rFonts w:ascii="Arial" w:hAnsi="Arial" w:cs="Arial"/>
          <w:sz w:val="22"/>
          <w:szCs w:val="22"/>
        </w:rPr>
        <w:t>, 2007).</w:t>
      </w:r>
    </w:p>
    <w:p w14:paraId="337FEC6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Successful delivery requires unwavering attention to multiple critical success factors. Technical excellence in engineering design and construction execution ensures delivered infrastructure meets operational requirements whilst providing enhanced resilience. The integration of contemporary engineering solutions with environmental sustainability principles demonstrates responsible stewardship of natural systems (Lock, 2017).</w:t>
      </w:r>
    </w:p>
    <w:p w14:paraId="4D9C6C07"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Stakeholder engagement throughout project delivery builds the social license essential for major public infrastructure projects. Transparent communication, responsive issue resolution, and demonstrated respect for diverse interests generate support even during disruptive construction phases. Particularly important are relationships with Indigenous communities, requiring ongoing commitment to meaningful consultation (Aaltonen and Kujala, 2010).</w:t>
      </w:r>
    </w:p>
    <w:p w14:paraId="04E92F20"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Resource management optimisation balances competing demands for human, material, and financial resources. Effective allocation ensures critical activities receive necessary support whilst avoiding wasteful deployment. Flexibility enables response to emerging challenges whilst maintaining progress (Turner and Müller, 2003).</w:t>
      </w:r>
    </w:p>
    <w:p w14:paraId="00C1854B"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Risk management vigilance recognises that major infrastructure projects face numerous uncertainties requiring systematic identification, assessment, and mitigation. Proactive management reduces the likelihood of negative occurrences whilst preparing effective responses when risks materialise (Hillson and Simon, 2020).</w:t>
      </w:r>
    </w:p>
    <w:p w14:paraId="1B23373C"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lastRenderedPageBreak/>
        <w:t>The project's completion will deliver tangible benefits extending beyond restored highway capacity. Communities regain reliable access supporting economic activity and social connections. Commercial transport operators benefit from restored routing options. The broader transportation network gains resilience supporting national supply chain security (Müller et al., 2012).</w:t>
      </w:r>
    </w:p>
    <w:p w14:paraId="310AB9FD"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Perhaps most significantly, the project demonstrates governmental capacity to respond effectively to climate-related infrastructure challenges. In an era of increasing extreme weather events, infrastructure resilience becomes a societal imperative. The Highway 5 reconstruction shows that thoughtful planning, adequate resourcing, and committed execution can deliver infrastructure meeting both current needs and future challenges (Kerzner, 2017).</w:t>
      </w:r>
    </w:p>
    <w:p w14:paraId="038DDEF1"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The reconstruction of Highway 5 ultimately represents more than technical achievement. The project embodies commitment to resilient communities, sustainable development, and adaptive responses to changing environmental conditions. Through disciplined project management and collaborative stakeholder engagement, the project will deliver lasting benefits to British Columbia's residents, economy, and natural environment.</w:t>
      </w:r>
    </w:p>
    <w:p w14:paraId="2CB30B0A" w14:textId="77777777" w:rsidR="00493FB3" w:rsidRDefault="00493FB3" w:rsidP="001A0FC4">
      <w:pPr>
        <w:spacing w:line="360" w:lineRule="auto"/>
        <w:rPr>
          <w:rFonts w:ascii="Arial" w:hAnsi="Arial" w:cs="Arial"/>
          <w:b/>
          <w:bCs/>
          <w:sz w:val="22"/>
          <w:szCs w:val="22"/>
        </w:rPr>
      </w:pPr>
    </w:p>
    <w:p w14:paraId="74AE6BF9" w14:textId="1AC257E7" w:rsidR="001A0FC4" w:rsidRPr="00493FB3" w:rsidRDefault="001A0FC4" w:rsidP="00493FB3">
      <w:pPr>
        <w:pStyle w:val="Heading1"/>
        <w:rPr>
          <w:rFonts w:ascii="Arial" w:hAnsi="Arial" w:cs="Arial"/>
          <w:sz w:val="22"/>
          <w:szCs w:val="22"/>
        </w:rPr>
      </w:pPr>
      <w:bookmarkStart w:id="28" w:name="_Toc213083786"/>
      <w:r w:rsidRPr="00493FB3">
        <w:rPr>
          <w:rFonts w:ascii="Arial" w:hAnsi="Arial" w:cs="Arial"/>
          <w:sz w:val="22"/>
          <w:szCs w:val="22"/>
        </w:rPr>
        <w:t>References</w:t>
      </w:r>
      <w:bookmarkEnd w:id="28"/>
    </w:p>
    <w:p w14:paraId="62711C4A"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Aaltonen, K. and Kujala, J. (2010) 'A project lifecycle perspective on stakeholder influence strategies in global projects', Scandinavian Journal of Management, 26(4), pp. 381-397.</w:t>
      </w:r>
    </w:p>
    <w:p w14:paraId="2857299C"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Andersen, E.S. (2008) 'Rethinking project management: An organisational perspective', International Journal of Project Management, 26(5), pp. 433-441.</w:t>
      </w:r>
    </w:p>
    <w:p w14:paraId="32E420A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Atkinson, R., Crawford, L. and Ward, S. (2006) 'Fundamental uncertainties in projects and the scope of project management', International Journal of Project Management, 24(8), pp. 687-698.</w:t>
      </w:r>
    </w:p>
    <w:p w14:paraId="74C4D452" w14:textId="77777777" w:rsidR="001A0FC4" w:rsidRDefault="001A0FC4" w:rsidP="001A0FC4">
      <w:pPr>
        <w:spacing w:line="360" w:lineRule="auto"/>
        <w:rPr>
          <w:rFonts w:ascii="Arial" w:hAnsi="Arial" w:cs="Arial"/>
          <w:sz w:val="22"/>
          <w:szCs w:val="22"/>
        </w:rPr>
      </w:pPr>
      <w:r w:rsidRPr="001A0FC4">
        <w:rPr>
          <w:rFonts w:ascii="Arial" w:hAnsi="Arial" w:cs="Arial"/>
          <w:sz w:val="22"/>
          <w:szCs w:val="22"/>
        </w:rPr>
        <w:t>Bal, M., Bryde, D., Fearon, D. and Ochieng, E. (2013) 'Stakeholder engagement: Achieving sustainability in the construction sector', Sustainability, 6(2), pp. 695-710.</w:t>
      </w:r>
    </w:p>
    <w:p w14:paraId="6151208E" w14:textId="560D3CB3" w:rsidR="009F79A5" w:rsidRPr="009F79A5" w:rsidRDefault="009F79A5" w:rsidP="009F79A5">
      <w:pPr>
        <w:spacing w:line="360" w:lineRule="auto"/>
        <w:jc w:val="both"/>
        <w:rPr>
          <w:rFonts w:ascii="Arial" w:hAnsi="Arial" w:cs="Arial"/>
          <w:bCs/>
          <w:sz w:val="22"/>
          <w:szCs w:val="22"/>
        </w:rPr>
      </w:pPr>
      <w:proofErr w:type="spellStart"/>
      <w:r w:rsidRPr="009F79A5">
        <w:rPr>
          <w:rFonts w:ascii="Arial" w:hAnsi="Arial" w:cs="Arial"/>
          <w:bCs/>
          <w:sz w:val="22"/>
          <w:szCs w:val="22"/>
        </w:rPr>
        <w:t>Banihashemi</w:t>
      </w:r>
      <w:proofErr w:type="spellEnd"/>
      <w:r w:rsidRPr="009F79A5">
        <w:rPr>
          <w:rFonts w:ascii="Arial" w:hAnsi="Arial" w:cs="Arial"/>
          <w:bCs/>
          <w:sz w:val="22"/>
          <w:szCs w:val="22"/>
        </w:rPr>
        <w:t xml:space="preserve">, S., Hosseini, M.R., </w:t>
      </w:r>
      <w:proofErr w:type="spellStart"/>
      <w:r w:rsidRPr="009F79A5">
        <w:rPr>
          <w:rFonts w:ascii="Arial" w:hAnsi="Arial" w:cs="Arial"/>
          <w:bCs/>
          <w:sz w:val="22"/>
          <w:szCs w:val="22"/>
        </w:rPr>
        <w:t>Golizadeh</w:t>
      </w:r>
      <w:proofErr w:type="spellEnd"/>
      <w:r w:rsidRPr="009F79A5">
        <w:rPr>
          <w:rFonts w:ascii="Arial" w:hAnsi="Arial" w:cs="Arial"/>
          <w:bCs/>
          <w:sz w:val="22"/>
          <w:szCs w:val="22"/>
        </w:rPr>
        <w:t xml:space="preserve">, H. and </w:t>
      </w:r>
      <w:proofErr w:type="spellStart"/>
      <w:r w:rsidRPr="009F79A5">
        <w:rPr>
          <w:rFonts w:ascii="Arial" w:hAnsi="Arial" w:cs="Arial"/>
          <w:bCs/>
          <w:sz w:val="22"/>
          <w:szCs w:val="22"/>
        </w:rPr>
        <w:t>Sankaran</w:t>
      </w:r>
      <w:proofErr w:type="spellEnd"/>
      <w:r w:rsidRPr="009F79A5">
        <w:rPr>
          <w:rFonts w:ascii="Arial" w:hAnsi="Arial" w:cs="Arial"/>
          <w:bCs/>
          <w:sz w:val="22"/>
          <w:szCs w:val="22"/>
        </w:rPr>
        <w:t xml:space="preserve">, S. (2017) ‘Critical success factors (CSFs) for integration of sustainability into construction project management practices in developing countries’, </w:t>
      </w:r>
      <w:r w:rsidRPr="009F79A5">
        <w:rPr>
          <w:rFonts w:ascii="Arial" w:hAnsi="Arial" w:cs="Arial"/>
          <w:bCs/>
          <w:i/>
          <w:iCs/>
          <w:sz w:val="22"/>
          <w:szCs w:val="22"/>
        </w:rPr>
        <w:t>International Journal of Project Management</w:t>
      </w:r>
      <w:r w:rsidRPr="009F79A5">
        <w:rPr>
          <w:rFonts w:ascii="Arial" w:hAnsi="Arial" w:cs="Arial"/>
          <w:bCs/>
          <w:sz w:val="22"/>
          <w:szCs w:val="22"/>
        </w:rPr>
        <w:t>, 35(6), pp.1103–1119.</w:t>
      </w:r>
    </w:p>
    <w:p w14:paraId="6635AE01" w14:textId="77777777" w:rsidR="001272AA" w:rsidRDefault="001A0FC4" w:rsidP="001A0FC4">
      <w:pPr>
        <w:spacing w:line="360" w:lineRule="auto"/>
        <w:rPr>
          <w:rFonts w:ascii="Arial" w:hAnsi="Arial" w:cs="Arial"/>
          <w:sz w:val="22"/>
          <w:szCs w:val="22"/>
        </w:rPr>
      </w:pPr>
      <w:r w:rsidRPr="001A0FC4">
        <w:rPr>
          <w:rFonts w:ascii="Arial" w:hAnsi="Arial" w:cs="Arial"/>
          <w:sz w:val="22"/>
          <w:szCs w:val="22"/>
        </w:rPr>
        <w:t>Bourne, L. and Walker, D.H.T. (2008) 'Project relationship management and the stakeholder circle', International Journal of Managing Projects in Business, 1(1), pp. 125-130.</w:t>
      </w:r>
    </w:p>
    <w:p w14:paraId="5BB1E433" w14:textId="32E06955"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lastRenderedPageBreak/>
        <w:t>Brunet, M. and Aubry, M. (2016) 'The three dimensions of a governance framework for major public projects', International Journal of Project Management, 34(8), pp. 1596-1607.</w:t>
      </w:r>
    </w:p>
    <w:p w14:paraId="528C5C2E"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Burke, R. (2013) Project management: Planning and control techniques. 5th </w:t>
      </w:r>
      <w:proofErr w:type="spellStart"/>
      <w:r w:rsidRPr="001A0FC4">
        <w:rPr>
          <w:rFonts w:ascii="Arial" w:hAnsi="Arial" w:cs="Arial"/>
          <w:sz w:val="22"/>
          <w:szCs w:val="22"/>
        </w:rPr>
        <w:t>edn</w:t>
      </w:r>
      <w:proofErr w:type="spellEnd"/>
      <w:r w:rsidRPr="001A0FC4">
        <w:rPr>
          <w:rFonts w:ascii="Arial" w:hAnsi="Arial" w:cs="Arial"/>
          <w:sz w:val="22"/>
          <w:szCs w:val="22"/>
        </w:rPr>
        <w:t>. Chichester: John Wiley &amp; Sons.</w:t>
      </w:r>
    </w:p>
    <w:p w14:paraId="6DB940E0" w14:textId="77777777"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Caniëls</w:t>
      </w:r>
      <w:proofErr w:type="spellEnd"/>
      <w:r w:rsidRPr="001A0FC4">
        <w:rPr>
          <w:rFonts w:ascii="Arial" w:hAnsi="Arial" w:cs="Arial"/>
          <w:sz w:val="22"/>
          <w:szCs w:val="22"/>
        </w:rPr>
        <w:t xml:space="preserve">, M.C.J. and </w:t>
      </w:r>
      <w:proofErr w:type="spellStart"/>
      <w:r w:rsidRPr="001A0FC4">
        <w:rPr>
          <w:rFonts w:ascii="Arial" w:hAnsi="Arial" w:cs="Arial"/>
          <w:sz w:val="22"/>
          <w:szCs w:val="22"/>
        </w:rPr>
        <w:t>Bakens</w:t>
      </w:r>
      <w:proofErr w:type="spellEnd"/>
      <w:r w:rsidRPr="001A0FC4">
        <w:rPr>
          <w:rFonts w:ascii="Arial" w:hAnsi="Arial" w:cs="Arial"/>
          <w:sz w:val="22"/>
          <w:szCs w:val="22"/>
        </w:rPr>
        <w:t>, R.J.J.M. (2012) 'The effects of project management information systems on decision making in a multi-project environment', International Journal of Project Management, 30(2), pp. 162-175.</w:t>
      </w:r>
    </w:p>
    <w:p w14:paraId="76FACE5A" w14:textId="77777777"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Castellarin</w:t>
      </w:r>
      <w:proofErr w:type="spellEnd"/>
      <w:r w:rsidRPr="001A0FC4">
        <w:rPr>
          <w:rFonts w:ascii="Arial" w:hAnsi="Arial" w:cs="Arial"/>
          <w:sz w:val="22"/>
          <w:szCs w:val="22"/>
        </w:rPr>
        <w:t xml:space="preserve">, A., Di Baldassarre, G., Bates, P.D. and Brath, A. (2018) 'Optimal cross-sectional spacing in </w:t>
      </w:r>
      <w:proofErr w:type="spellStart"/>
      <w:r w:rsidRPr="001A0FC4">
        <w:rPr>
          <w:rFonts w:ascii="Arial" w:hAnsi="Arial" w:cs="Arial"/>
          <w:sz w:val="22"/>
          <w:szCs w:val="22"/>
        </w:rPr>
        <w:t>Preissmann</w:t>
      </w:r>
      <w:proofErr w:type="spellEnd"/>
      <w:r w:rsidRPr="001A0FC4">
        <w:rPr>
          <w:rFonts w:ascii="Arial" w:hAnsi="Arial" w:cs="Arial"/>
          <w:sz w:val="22"/>
          <w:szCs w:val="22"/>
        </w:rPr>
        <w:t xml:space="preserve"> scheme 1D hydrodynamic models', Journal of Hydraulic Engineering, 135(2), pp. 96-105.</w:t>
      </w:r>
    </w:p>
    <w:p w14:paraId="0ECB5200"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Chapman, C. and Ward, S. (2003) Project risk management: Processes, techniques and insights. 2nd </w:t>
      </w:r>
      <w:proofErr w:type="spellStart"/>
      <w:r w:rsidRPr="001A0FC4">
        <w:rPr>
          <w:rFonts w:ascii="Arial" w:hAnsi="Arial" w:cs="Arial"/>
          <w:sz w:val="22"/>
          <w:szCs w:val="22"/>
        </w:rPr>
        <w:t>edn</w:t>
      </w:r>
      <w:proofErr w:type="spellEnd"/>
      <w:r w:rsidRPr="001A0FC4">
        <w:rPr>
          <w:rFonts w:ascii="Arial" w:hAnsi="Arial" w:cs="Arial"/>
          <w:sz w:val="22"/>
          <w:szCs w:val="22"/>
        </w:rPr>
        <w:t>. Chichester: John Wiley &amp; Sons.</w:t>
      </w:r>
    </w:p>
    <w:p w14:paraId="291594DB"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Crawford, L., Morris, P., Thomas, J. and Winter, M. (2013) 'Practitioner development: From trained technicians to reflective practitioners', International Journal of Project Management, 24(8), pp. 722-733.</w:t>
      </w:r>
    </w:p>
    <w:p w14:paraId="3BFC5AA5"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Davis, K. (2014) 'Different stakeholder groups and their perceptions of project success', International Journal of Project Management, 32(2), pp. 189-201.</w:t>
      </w:r>
    </w:p>
    <w:p w14:paraId="5B2E318C"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De Bakker, K., Boonstra, A. and Wortmann, H. (2010) 'Does risk management contribute to IT project success? A meta-analysis of empirical evidence', International Journal of Project Management, 28(5), pp. 493-503.</w:t>
      </w:r>
    </w:p>
    <w:p w14:paraId="162FBE40"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Deng, Y., Cardin, M.A., Babovic, V., Santhanakrishnan, D., Schmitter, P. and </w:t>
      </w:r>
      <w:proofErr w:type="spellStart"/>
      <w:r w:rsidRPr="001A0FC4">
        <w:rPr>
          <w:rFonts w:ascii="Arial" w:hAnsi="Arial" w:cs="Arial"/>
          <w:sz w:val="22"/>
          <w:szCs w:val="22"/>
        </w:rPr>
        <w:t>Meshgi</w:t>
      </w:r>
      <w:proofErr w:type="spellEnd"/>
      <w:r w:rsidRPr="001A0FC4">
        <w:rPr>
          <w:rFonts w:ascii="Arial" w:hAnsi="Arial" w:cs="Arial"/>
          <w:sz w:val="22"/>
          <w:szCs w:val="22"/>
        </w:rPr>
        <w:t>, A. (2017) 'Valuing flexibilities in the design of urban water management systems', Water Research, 47(20), pp. 7162-7174.</w:t>
      </w:r>
    </w:p>
    <w:p w14:paraId="40A2506D"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Eskerod, P. and Jepsen, A.L. (2013) Project stakeholder management. Farnham: Gower Publishing.</w:t>
      </w:r>
    </w:p>
    <w:p w14:paraId="2DF441C3" w14:textId="77777777" w:rsid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Gemünden</w:t>
      </w:r>
      <w:proofErr w:type="spellEnd"/>
      <w:r w:rsidRPr="001A0FC4">
        <w:rPr>
          <w:rFonts w:ascii="Arial" w:hAnsi="Arial" w:cs="Arial"/>
          <w:sz w:val="22"/>
          <w:szCs w:val="22"/>
        </w:rPr>
        <w:t xml:space="preserve">, H.G., </w:t>
      </w:r>
      <w:proofErr w:type="spellStart"/>
      <w:r w:rsidRPr="001A0FC4">
        <w:rPr>
          <w:rFonts w:ascii="Arial" w:hAnsi="Arial" w:cs="Arial"/>
          <w:sz w:val="22"/>
          <w:szCs w:val="22"/>
        </w:rPr>
        <w:t>Lehner</w:t>
      </w:r>
      <w:proofErr w:type="spellEnd"/>
      <w:r w:rsidRPr="001A0FC4">
        <w:rPr>
          <w:rFonts w:ascii="Arial" w:hAnsi="Arial" w:cs="Arial"/>
          <w:sz w:val="22"/>
          <w:szCs w:val="22"/>
        </w:rPr>
        <w:t>, P. and Kock, A. (2018) 'The project-oriented organization and its contribution to innovation', International Journal of Project Management, 36(1), pp. 147-160.</w:t>
      </w:r>
    </w:p>
    <w:p w14:paraId="4ED88FBF" w14:textId="4EFDC99A" w:rsidR="00D0332B" w:rsidRDefault="00D0332B" w:rsidP="00D0332B">
      <w:pPr>
        <w:spacing w:line="360" w:lineRule="auto"/>
        <w:jc w:val="both"/>
        <w:rPr>
          <w:rFonts w:ascii="Arial" w:hAnsi="Arial" w:cs="Arial"/>
          <w:bCs/>
          <w:sz w:val="22"/>
          <w:szCs w:val="22"/>
        </w:rPr>
      </w:pPr>
      <w:proofErr w:type="spellStart"/>
      <w:r w:rsidRPr="00951763">
        <w:rPr>
          <w:rFonts w:ascii="Arial" w:hAnsi="Arial" w:cs="Arial"/>
          <w:bCs/>
          <w:sz w:val="22"/>
          <w:szCs w:val="22"/>
        </w:rPr>
        <w:t>Gray</w:t>
      </w:r>
      <w:proofErr w:type="spellEnd"/>
      <w:r w:rsidRPr="00951763">
        <w:rPr>
          <w:rFonts w:ascii="Arial" w:hAnsi="Arial" w:cs="Arial"/>
          <w:bCs/>
          <w:sz w:val="22"/>
          <w:szCs w:val="22"/>
        </w:rPr>
        <w:t xml:space="preserve">, C.F. (2018) </w:t>
      </w:r>
      <w:r w:rsidRPr="00951763">
        <w:rPr>
          <w:rFonts w:ascii="Arial" w:hAnsi="Arial" w:cs="Arial"/>
          <w:bCs/>
          <w:i/>
          <w:iCs/>
          <w:sz w:val="22"/>
          <w:szCs w:val="22"/>
        </w:rPr>
        <w:t>Project management: The managerial process</w:t>
      </w:r>
      <w:r w:rsidRPr="00951763">
        <w:rPr>
          <w:rFonts w:ascii="Arial" w:hAnsi="Arial" w:cs="Arial"/>
          <w:bCs/>
          <w:sz w:val="22"/>
          <w:szCs w:val="22"/>
        </w:rPr>
        <w:t>. New York, NY: McGraw Hill Education.</w:t>
      </w:r>
    </w:p>
    <w:p w14:paraId="3F8504F8" w14:textId="102FC585" w:rsidR="00D0332B" w:rsidRPr="00D0332B" w:rsidRDefault="00D0332B" w:rsidP="00D0332B">
      <w:pPr>
        <w:spacing w:line="360" w:lineRule="auto"/>
        <w:jc w:val="both"/>
        <w:rPr>
          <w:rFonts w:ascii="Arial" w:hAnsi="Arial" w:cs="Arial"/>
          <w:bCs/>
          <w:sz w:val="22"/>
          <w:szCs w:val="22"/>
        </w:rPr>
      </w:pPr>
      <w:proofErr w:type="spellStart"/>
      <w:r w:rsidRPr="00951763">
        <w:rPr>
          <w:rFonts w:ascii="Arial" w:hAnsi="Arial" w:cs="Arial"/>
          <w:bCs/>
          <w:sz w:val="22"/>
          <w:szCs w:val="22"/>
        </w:rPr>
        <w:t>Guo</w:t>
      </w:r>
      <w:proofErr w:type="spellEnd"/>
      <w:r w:rsidRPr="00951763">
        <w:rPr>
          <w:rFonts w:ascii="Arial" w:hAnsi="Arial" w:cs="Arial"/>
          <w:bCs/>
          <w:sz w:val="22"/>
          <w:szCs w:val="22"/>
        </w:rPr>
        <w:t xml:space="preserve">, K. and Zhang, L. (2022) ‘Multi-objective </w:t>
      </w:r>
      <w:proofErr w:type="spellStart"/>
      <w:r w:rsidRPr="00951763">
        <w:rPr>
          <w:rFonts w:ascii="Arial" w:hAnsi="Arial" w:cs="Arial"/>
          <w:bCs/>
          <w:sz w:val="22"/>
          <w:szCs w:val="22"/>
        </w:rPr>
        <w:t>optimization</w:t>
      </w:r>
      <w:proofErr w:type="spellEnd"/>
      <w:r w:rsidRPr="00951763">
        <w:rPr>
          <w:rFonts w:ascii="Arial" w:hAnsi="Arial" w:cs="Arial"/>
          <w:bCs/>
          <w:sz w:val="22"/>
          <w:szCs w:val="22"/>
        </w:rPr>
        <w:t xml:space="preserve"> for improved project management: Current status and future directions’, </w:t>
      </w:r>
      <w:r w:rsidRPr="00951763">
        <w:rPr>
          <w:rFonts w:ascii="Arial" w:hAnsi="Arial" w:cs="Arial"/>
          <w:bCs/>
          <w:i/>
          <w:iCs/>
          <w:sz w:val="22"/>
          <w:szCs w:val="22"/>
        </w:rPr>
        <w:t>Automation in Construction</w:t>
      </w:r>
      <w:r w:rsidRPr="00951763">
        <w:rPr>
          <w:rFonts w:ascii="Arial" w:hAnsi="Arial" w:cs="Arial"/>
          <w:bCs/>
          <w:sz w:val="22"/>
          <w:szCs w:val="22"/>
        </w:rPr>
        <w:t>, 139, p.104256.</w:t>
      </w:r>
    </w:p>
    <w:p w14:paraId="19592DE4" w14:textId="165FCEBE" w:rsidR="00E96D55" w:rsidRDefault="00E96D55" w:rsidP="00E96D55">
      <w:pPr>
        <w:spacing w:line="360" w:lineRule="auto"/>
        <w:jc w:val="both"/>
        <w:rPr>
          <w:rFonts w:ascii="Arial" w:hAnsi="Arial" w:cs="Arial"/>
          <w:bCs/>
          <w:sz w:val="22"/>
          <w:szCs w:val="22"/>
        </w:rPr>
      </w:pPr>
      <w:r w:rsidRPr="00951763">
        <w:rPr>
          <w:rFonts w:ascii="Arial" w:hAnsi="Arial" w:cs="Arial"/>
          <w:bCs/>
          <w:sz w:val="22"/>
          <w:szCs w:val="22"/>
        </w:rPr>
        <w:lastRenderedPageBreak/>
        <w:t xml:space="preserve">Harrison, F. and Lock, D. (2017) </w:t>
      </w:r>
      <w:r w:rsidRPr="00951763">
        <w:rPr>
          <w:rFonts w:ascii="Arial" w:hAnsi="Arial" w:cs="Arial"/>
          <w:bCs/>
          <w:i/>
          <w:iCs/>
          <w:sz w:val="22"/>
          <w:szCs w:val="22"/>
        </w:rPr>
        <w:t>Advanced project management: A structured approach</w:t>
      </w:r>
      <w:r w:rsidRPr="00951763">
        <w:rPr>
          <w:rFonts w:ascii="Arial" w:hAnsi="Arial" w:cs="Arial"/>
          <w:bCs/>
          <w:sz w:val="22"/>
          <w:szCs w:val="22"/>
        </w:rPr>
        <w:t xml:space="preserve">. Abingdon: </w:t>
      </w:r>
      <w:proofErr w:type="spellStart"/>
      <w:r w:rsidRPr="00951763">
        <w:rPr>
          <w:rFonts w:ascii="Arial" w:hAnsi="Arial" w:cs="Arial"/>
          <w:bCs/>
          <w:sz w:val="22"/>
          <w:szCs w:val="22"/>
        </w:rPr>
        <w:t>Routledge</w:t>
      </w:r>
      <w:proofErr w:type="spellEnd"/>
      <w:r w:rsidRPr="00951763">
        <w:rPr>
          <w:rFonts w:ascii="Arial" w:hAnsi="Arial" w:cs="Arial"/>
          <w:bCs/>
          <w:sz w:val="22"/>
          <w:szCs w:val="22"/>
        </w:rPr>
        <w:t>.</w:t>
      </w:r>
    </w:p>
    <w:p w14:paraId="4BB71C51" w14:textId="14750CED" w:rsidR="00431B68" w:rsidRPr="00E96D55" w:rsidRDefault="00431B68" w:rsidP="00E96D55">
      <w:pPr>
        <w:spacing w:line="360" w:lineRule="auto"/>
        <w:jc w:val="both"/>
        <w:rPr>
          <w:rFonts w:ascii="Arial" w:hAnsi="Arial" w:cs="Arial"/>
          <w:bCs/>
          <w:sz w:val="22"/>
          <w:szCs w:val="22"/>
        </w:rPr>
      </w:pPr>
      <w:proofErr w:type="spellStart"/>
      <w:r w:rsidRPr="00951763">
        <w:rPr>
          <w:rFonts w:ascii="Arial" w:hAnsi="Arial" w:cs="Arial"/>
          <w:bCs/>
          <w:sz w:val="22"/>
          <w:szCs w:val="22"/>
        </w:rPr>
        <w:t>Heagney</w:t>
      </w:r>
      <w:proofErr w:type="spellEnd"/>
      <w:r w:rsidRPr="00951763">
        <w:rPr>
          <w:rFonts w:ascii="Arial" w:hAnsi="Arial" w:cs="Arial"/>
          <w:bCs/>
          <w:sz w:val="22"/>
          <w:szCs w:val="22"/>
        </w:rPr>
        <w:t xml:space="preserve">, J. (2016) </w:t>
      </w:r>
      <w:r w:rsidRPr="00951763">
        <w:rPr>
          <w:rFonts w:ascii="Arial" w:hAnsi="Arial" w:cs="Arial"/>
          <w:bCs/>
          <w:i/>
          <w:iCs/>
          <w:sz w:val="22"/>
          <w:szCs w:val="22"/>
        </w:rPr>
        <w:t>Fundamentals of project management</w:t>
      </w:r>
      <w:r w:rsidRPr="00951763">
        <w:rPr>
          <w:rFonts w:ascii="Arial" w:hAnsi="Arial" w:cs="Arial"/>
          <w:bCs/>
          <w:sz w:val="22"/>
          <w:szCs w:val="22"/>
        </w:rPr>
        <w:t>. New York, NY: AMACOM.</w:t>
      </w:r>
    </w:p>
    <w:p w14:paraId="0E8B995B" w14:textId="19C4435E"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Hillson</w:t>
      </w:r>
      <w:proofErr w:type="spellEnd"/>
      <w:r w:rsidRPr="001A0FC4">
        <w:rPr>
          <w:rFonts w:ascii="Arial" w:hAnsi="Arial" w:cs="Arial"/>
          <w:sz w:val="22"/>
          <w:szCs w:val="22"/>
        </w:rPr>
        <w:t>, D. (2009) Managing risk in projects. Farnham: Gower Publishing.</w:t>
      </w:r>
    </w:p>
    <w:p w14:paraId="1C86DE6D"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Hillson, D. and Simon, P. (2020) Practical project risk management: The ATOM methodology. 3rd </w:t>
      </w:r>
      <w:proofErr w:type="spellStart"/>
      <w:r w:rsidRPr="001A0FC4">
        <w:rPr>
          <w:rFonts w:ascii="Arial" w:hAnsi="Arial" w:cs="Arial"/>
          <w:sz w:val="22"/>
          <w:szCs w:val="22"/>
        </w:rPr>
        <w:t>edn</w:t>
      </w:r>
      <w:proofErr w:type="spellEnd"/>
      <w:r w:rsidRPr="001A0FC4">
        <w:rPr>
          <w:rFonts w:ascii="Arial" w:hAnsi="Arial" w:cs="Arial"/>
          <w:sz w:val="22"/>
          <w:szCs w:val="22"/>
        </w:rPr>
        <w:t>. Vienna, VA: Management Concepts Press.</w:t>
      </w:r>
    </w:p>
    <w:p w14:paraId="7D0FAF12"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Huemann, M., Keegan, A. and Turner, J.R. (2007) 'Human resource management in the project-oriented company: A review', International Journal of Project Management, 25(3), pp. 315-323.</w:t>
      </w:r>
    </w:p>
    <w:p w14:paraId="5DBC3D93" w14:textId="77777777"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Jugdev</w:t>
      </w:r>
      <w:proofErr w:type="spellEnd"/>
      <w:r w:rsidRPr="001A0FC4">
        <w:rPr>
          <w:rFonts w:ascii="Arial" w:hAnsi="Arial" w:cs="Arial"/>
          <w:sz w:val="22"/>
          <w:szCs w:val="22"/>
        </w:rPr>
        <w:t>, K. and Müller, R. (2005) 'A retrospective look at our evolving understanding of project success', Project Management Journal, 36(4), pp. 19-31.</w:t>
      </w:r>
    </w:p>
    <w:p w14:paraId="199309F2"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Kerzner, H. (2013) Project management: A systems approach to planning, scheduling, and controlling. 11th </w:t>
      </w:r>
      <w:proofErr w:type="spellStart"/>
      <w:r w:rsidRPr="001A0FC4">
        <w:rPr>
          <w:rFonts w:ascii="Arial" w:hAnsi="Arial" w:cs="Arial"/>
          <w:sz w:val="22"/>
          <w:szCs w:val="22"/>
        </w:rPr>
        <w:t>edn</w:t>
      </w:r>
      <w:proofErr w:type="spellEnd"/>
      <w:r w:rsidRPr="001A0FC4">
        <w:rPr>
          <w:rFonts w:ascii="Arial" w:hAnsi="Arial" w:cs="Arial"/>
          <w:sz w:val="22"/>
          <w:szCs w:val="22"/>
        </w:rPr>
        <w:t>. Hoboken, NJ: John Wiley &amp; Sons.</w:t>
      </w:r>
    </w:p>
    <w:p w14:paraId="38F13EB7"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Kerzner, H. (2017) Project management metrics, KPIs, and dashboards: A guide to measuring and monitoring project performance. 3rd </w:t>
      </w:r>
      <w:proofErr w:type="spellStart"/>
      <w:r w:rsidRPr="001A0FC4">
        <w:rPr>
          <w:rFonts w:ascii="Arial" w:hAnsi="Arial" w:cs="Arial"/>
          <w:sz w:val="22"/>
          <w:szCs w:val="22"/>
        </w:rPr>
        <w:t>edn</w:t>
      </w:r>
      <w:proofErr w:type="spellEnd"/>
      <w:r w:rsidRPr="001A0FC4">
        <w:rPr>
          <w:rFonts w:ascii="Arial" w:hAnsi="Arial" w:cs="Arial"/>
          <w:sz w:val="22"/>
          <w:szCs w:val="22"/>
        </w:rPr>
        <w:t>. Hoboken, NJ: John Wiley &amp; Sons.</w:t>
      </w:r>
    </w:p>
    <w:p w14:paraId="19FFB5FE"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Larson, E.W. and Gray, C.F. (2011) Project management: The managerial process. 5th </w:t>
      </w:r>
      <w:proofErr w:type="spellStart"/>
      <w:r w:rsidRPr="001A0FC4">
        <w:rPr>
          <w:rFonts w:ascii="Arial" w:hAnsi="Arial" w:cs="Arial"/>
          <w:sz w:val="22"/>
          <w:szCs w:val="22"/>
        </w:rPr>
        <w:t>edn</w:t>
      </w:r>
      <w:proofErr w:type="spellEnd"/>
      <w:r w:rsidRPr="001A0FC4">
        <w:rPr>
          <w:rFonts w:ascii="Arial" w:hAnsi="Arial" w:cs="Arial"/>
          <w:sz w:val="22"/>
          <w:szCs w:val="22"/>
        </w:rPr>
        <w:t>. New York: McGraw-Hill.</w:t>
      </w:r>
    </w:p>
    <w:p w14:paraId="01F59E01" w14:textId="77777777" w:rsidR="001A0FC4" w:rsidRDefault="001A0FC4" w:rsidP="001A0FC4">
      <w:pPr>
        <w:spacing w:line="360" w:lineRule="auto"/>
        <w:rPr>
          <w:rFonts w:ascii="Arial" w:hAnsi="Arial" w:cs="Arial"/>
          <w:sz w:val="22"/>
          <w:szCs w:val="22"/>
        </w:rPr>
      </w:pPr>
      <w:r w:rsidRPr="001A0FC4">
        <w:rPr>
          <w:rFonts w:ascii="Arial" w:hAnsi="Arial" w:cs="Arial"/>
          <w:sz w:val="22"/>
          <w:szCs w:val="22"/>
        </w:rPr>
        <w:t xml:space="preserve">Lock, D. (2017) Project management. 10th </w:t>
      </w:r>
      <w:proofErr w:type="spellStart"/>
      <w:r w:rsidRPr="001A0FC4">
        <w:rPr>
          <w:rFonts w:ascii="Arial" w:hAnsi="Arial" w:cs="Arial"/>
          <w:sz w:val="22"/>
          <w:szCs w:val="22"/>
        </w:rPr>
        <w:t>edn</w:t>
      </w:r>
      <w:proofErr w:type="spellEnd"/>
      <w:r w:rsidRPr="001A0FC4">
        <w:rPr>
          <w:rFonts w:ascii="Arial" w:hAnsi="Arial" w:cs="Arial"/>
          <w:sz w:val="22"/>
          <w:szCs w:val="22"/>
        </w:rPr>
        <w:t xml:space="preserve">. Abingdon: </w:t>
      </w:r>
      <w:proofErr w:type="spellStart"/>
      <w:r w:rsidRPr="001A0FC4">
        <w:rPr>
          <w:rFonts w:ascii="Arial" w:hAnsi="Arial" w:cs="Arial"/>
          <w:sz w:val="22"/>
          <w:szCs w:val="22"/>
        </w:rPr>
        <w:t>Routledge</w:t>
      </w:r>
      <w:proofErr w:type="spellEnd"/>
      <w:r w:rsidRPr="001A0FC4">
        <w:rPr>
          <w:rFonts w:ascii="Arial" w:hAnsi="Arial" w:cs="Arial"/>
          <w:sz w:val="22"/>
          <w:szCs w:val="22"/>
        </w:rPr>
        <w:t>.</w:t>
      </w:r>
    </w:p>
    <w:p w14:paraId="6CECA6AD" w14:textId="51B12FFD" w:rsidR="00431B68" w:rsidRPr="00431B68" w:rsidRDefault="00431B68" w:rsidP="00431B68">
      <w:pPr>
        <w:spacing w:line="360" w:lineRule="auto"/>
        <w:jc w:val="both"/>
        <w:rPr>
          <w:rFonts w:ascii="Arial" w:hAnsi="Arial" w:cs="Arial"/>
          <w:bCs/>
          <w:sz w:val="22"/>
          <w:szCs w:val="22"/>
        </w:rPr>
      </w:pPr>
      <w:r w:rsidRPr="00951763">
        <w:rPr>
          <w:rFonts w:ascii="Arial" w:hAnsi="Arial" w:cs="Arial"/>
          <w:bCs/>
          <w:sz w:val="22"/>
          <w:szCs w:val="22"/>
        </w:rPr>
        <w:t xml:space="preserve">Martens, M.L. and Carvalho, M.M. (2017) ‘Key factors of sustainability in project management context: A survey exploring the project managers’ perspective’, </w:t>
      </w:r>
      <w:r w:rsidRPr="00951763">
        <w:rPr>
          <w:rFonts w:ascii="Arial" w:hAnsi="Arial" w:cs="Arial"/>
          <w:bCs/>
          <w:i/>
          <w:iCs/>
          <w:sz w:val="22"/>
          <w:szCs w:val="22"/>
        </w:rPr>
        <w:t>International Journal of Project Management</w:t>
      </w:r>
      <w:r w:rsidRPr="00951763">
        <w:rPr>
          <w:rFonts w:ascii="Arial" w:hAnsi="Arial" w:cs="Arial"/>
          <w:bCs/>
          <w:sz w:val="22"/>
          <w:szCs w:val="22"/>
        </w:rPr>
        <w:t>, 35(6), pp.1084–1102.</w:t>
      </w:r>
    </w:p>
    <w:p w14:paraId="62D70B68" w14:textId="483EF186" w:rsidR="003642B0" w:rsidRPr="003642B0" w:rsidRDefault="003642B0" w:rsidP="003642B0">
      <w:pPr>
        <w:spacing w:line="360" w:lineRule="auto"/>
        <w:jc w:val="both"/>
        <w:rPr>
          <w:rFonts w:ascii="Arial" w:hAnsi="Arial" w:cs="Arial"/>
          <w:bCs/>
          <w:sz w:val="22"/>
          <w:szCs w:val="22"/>
        </w:rPr>
      </w:pPr>
      <w:r w:rsidRPr="00951763">
        <w:rPr>
          <w:rFonts w:ascii="Arial" w:hAnsi="Arial" w:cs="Arial"/>
          <w:bCs/>
          <w:sz w:val="22"/>
          <w:szCs w:val="22"/>
        </w:rPr>
        <w:t xml:space="preserve">Meredith, J.R., </w:t>
      </w:r>
      <w:proofErr w:type="spellStart"/>
      <w:r w:rsidRPr="00951763">
        <w:rPr>
          <w:rFonts w:ascii="Arial" w:hAnsi="Arial" w:cs="Arial"/>
          <w:bCs/>
          <w:sz w:val="22"/>
          <w:szCs w:val="22"/>
        </w:rPr>
        <w:t>Shafer</w:t>
      </w:r>
      <w:proofErr w:type="spellEnd"/>
      <w:r w:rsidRPr="00951763">
        <w:rPr>
          <w:rFonts w:ascii="Arial" w:hAnsi="Arial" w:cs="Arial"/>
          <w:bCs/>
          <w:sz w:val="22"/>
          <w:szCs w:val="22"/>
        </w:rPr>
        <w:t xml:space="preserve">, S.M. and Mantel Jr, S.J. (2017) </w:t>
      </w:r>
      <w:r w:rsidRPr="00951763">
        <w:rPr>
          <w:rFonts w:ascii="Arial" w:hAnsi="Arial" w:cs="Arial"/>
          <w:bCs/>
          <w:i/>
          <w:iCs/>
          <w:sz w:val="22"/>
          <w:szCs w:val="22"/>
        </w:rPr>
        <w:t>Project management: A strategic managerial approach</w:t>
      </w:r>
      <w:r w:rsidRPr="00951763">
        <w:rPr>
          <w:rFonts w:ascii="Arial" w:hAnsi="Arial" w:cs="Arial"/>
          <w:bCs/>
          <w:sz w:val="22"/>
          <w:szCs w:val="22"/>
        </w:rPr>
        <w:t>. Hoboken, NJ: John Wiley &amp; Sons.</w:t>
      </w:r>
    </w:p>
    <w:p w14:paraId="46BB3FD7"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Müller, R. and </w:t>
      </w:r>
      <w:proofErr w:type="spellStart"/>
      <w:r w:rsidRPr="001A0FC4">
        <w:rPr>
          <w:rFonts w:ascii="Arial" w:hAnsi="Arial" w:cs="Arial"/>
          <w:sz w:val="22"/>
          <w:szCs w:val="22"/>
        </w:rPr>
        <w:t>Judgev</w:t>
      </w:r>
      <w:proofErr w:type="spellEnd"/>
      <w:r w:rsidRPr="001A0FC4">
        <w:rPr>
          <w:rFonts w:ascii="Arial" w:hAnsi="Arial" w:cs="Arial"/>
          <w:sz w:val="22"/>
          <w:szCs w:val="22"/>
        </w:rPr>
        <w:t>, K. (2012) 'Critical success factors in projects: Pinto, Slevin, and Prescott - the elucidation of project success', International Journal of Managing Projects in Business, 5(4), pp. 757-775.</w:t>
      </w:r>
    </w:p>
    <w:p w14:paraId="188CECC8"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Müller, R. and Turner, J.R. (2007) 'Matching the project manager's leadership style to project type', International Journal of Project Management, 25(1), pp. 21-32.</w:t>
      </w:r>
    </w:p>
    <w:p w14:paraId="71647EAF"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Müller, R., Geraldi, J. and Turner, J.R. (2012) 'Relationships between leadership and success in different types of project complexities', IEEE Transactions on Engineering Management, 59(1), pp. 77-90.</w:t>
      </w:r>
    </w:p>
    <w:p w14:paraId="375CEB1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lastRenderedPageBreak/>
        <w:t xml:space="preserve">Nicholas, J.M. and Steyn, H. (2017) Project management for engineering, business and technology. 5th </w:t>
      </w:r>
      <w:proofErr w:type="spellStart"/>
      <w:r w:rsidRPr="001A0FC4">
        <w:rPr>
          <w:rFonts w:ascii="Arial" w:hAnsi="Arial" w:cs="Arial"/>
          <w:sz w:val="22"/>
          <w:szCs w:val="22"/>
        </w:rPr>
        <w:t>edn</w:t>
      </w:r>
      <w:proofErr w:type="spellEnd"/>
      <w:r w:rsidRPr="001A0FC4">
        <w:rPr>
          <w:rFonts w:ascii="Arial" w:hAnsi="Arial" w:cs="Arial"/>
          <w:sz w:val="22"/>
          <w:szCs w:val="22"/>
        </w:rPr>
        <w:t>. Abingdon: Routledge.</w:t>
      </w:r>
    </w:p>
    <w:p w14:paraId="02B3EABD" w14:textId="77777777"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Ojiako</w:t>
      </w:r>
      <w:proofErr w:type="spellEnd"/>
      <w:r w:rsidRPr="001A0FC4">
        <w:rPr>
          <w:rFonts w:ascii="Arial" w:hAnsi="Arial" w:cs="Arial"/>
          <w:sz w:val="22"/>
          <w:szCs w:val="22"/>
        </w:rPr>
        <w:t>, U., Johansen, E. and Greenwood, D. (2011) 'A qualitative re-construction of project measurement criteria', Industrial Management &amp; Data Systems, 108(3), pp. 405-423.</w:t>
      </w:r>
    </w:p>
    <w:p w14:paraId="4B41012B" w14:textId="77777777"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Perminova</w:t>
      </w:r>
      <w:proofErr w:type="spellEnd"/>
      <w:r w:rsidRPr="001A0FC4">
        <w:rPr>
          <w:rFonts w:ascii="Arial" w:hAnsi="Arial" w:cs="Arial"/>
          <w:sz w:val="22"/>
          <w:szCs w:val="22"/>
        </w:rPr>
        <w:t>, O., Gustafsson, M. and Wikström, K. (2008) 'Defining uncertainty in projects: A new perspective', International Journal of Project Management, 26(1), pp. 73-79.</w:t>
      </w:r>
    </w:p>
    <w:p w14:paraId="17D6A46B"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PMI (2021) A guide to the project management body of knowledge (PMBOK guide). 7th </w:t>
      </w:r>
      <w:proofErr w:type="spellStart"/>
      <w:r w:rsidRPr="001A0FC4">
        <w:rPr>
          <w:rFonts w:ascii="Arial" w:hAnsi="Arial" w:cs="Arial"/>
          <w:sz w:val="22"/>
          <w:szCs w:val="22"/>
        </w:rPr>
        <w:t>edn</w:t>
      </w:r>
      <w:proofErr w:type="spellEnd"/>
      <w:r w:rsidRPr="001A0FC4">
        <w:rPr>
          <w:rFonts w:ascii="Arial" w:hAnsi="Arial" w:cs="Arial"/>
          <w:sz w:val="22"/>
          <w:szCs w:val="22"/>
        </w:rPr>
        <w:t>. Newtown Square, PA: Project Management Institute.</w:t>
      </w:r>
    </w:p>
    <w:p w14:paraId="206E6687" w14:textId="77777777" w:rsidR="001A0FC4" w:rsidRPr="001A0FC4" w:rsidRDefault="001A0FC4" w:rsidP="001A0FC4">
      <w:pPr>
        <w:spacing w:line="360" w:lineRule="auto"/>
        <w:rPr>
          <w:rFonts w:ascii="Arial" w:hAnsi="Arial" w:cs="Arial"/>
          <w:sz w:val="22"/>
          <w:szCs w:val="22"/>
        </w:rPr>
      </w:pPr>
      <w:proofErr w:type="spellStart"/>
      <w:r w:rsidRPr="001A0FC4">
        <w:rPr>
          <w:rFonts w:ascii="Arial" w:hAnsi="Arial" w:cs="Arial"/>
          <w:sz w:val="22"/>
          <w:szCs w:val="22"/>
        </w:rPr>
        <w:t>Shenhar</w:t>
      </w:r>
      <w:proofErr w:type="spellEnd"/>
      <w:r w:rsidRPr="001A0FC4">
        <w:rPr>
          <w:rFonts w:ascii="Arial" w:hAnsi="Arial" w:cs="Arial"/>
          <w:sz w:val="22"/>
          <w:szCs w:val="22"/>
        </w:rPr>
        <w:t xml:space="preserve">, A.J. and </w:t>
      </w:r>
      <w:proofErr w:type="spellStart"/>
      <w:r w:rsidRPr="001A0FC4">
        <w:rPr>
          <w:rFonts w:ascii="Arial" w:hAnsi="Arial" w:cs="Arial"/>
          <w:sz w:val="22"/>
          <w:szCs w:val="22"/>
        </w:rPr>
        <w:t>Dvir</w:t>
      </w:r>
      <w:proofErr w:type="spellEnd"/>
      <w:r w:rsidRPr="001A0FC4">
        <w:rPr>
          <w:rFonts w:ascii="Arial" w:hAnsi="Arial" w:cs="Arial"/>
          <w:sz w:val="22"/>
          <w:szCs w:val="22"/>
        </w:rPr>
        <w:t>, D. (2007) Reinventing project management: The diamond approach to successful growth and innovation. Boston, MA: Harvard Business School Press.</w:t>
      </w:r>
    </w:p>
    <w:p w14:paraId="466011B9"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Söderlund, J. (2011) 'Pluralism in project management: Navigating the crossroads of specialization and fragmentation', International Journal of Management Reviews, 13(2), pp. 153-176.</w:t>
      </w:r>
    </w:p>
    <w:p w14:paraId="6E94C763"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 xml:space="preserve">Teller, J., Unger, B.N., Kock, A. and </w:t>
      </w:r>
      <w:proofErr w:type="spellStart"/>
      <w:r w:rsidRPr="001A0FC4">
        <w:rPr>
          <w:rFonts w:ascii="Arial" w:hAnsi="Arial" w:cs="Arial"/>
          <w:sz w:val="22"/>
          <w:szCs w:val="22"/>
        </w:rPr>
        <w:t>Gemünden</w:t>
      </w:r>
      <w:proofErr w:type="spellEnd"/>
      <w:r w:rsidRPr="001A0FC4">
        <w:rPr>
          <w:rFonts w:ascii="Arial" w:hAnsi="Arial" w:cs="Arial"/>
          <w:sz w:val="22"/>
          <w:szCs w:val="22"/>
        </w:rPr>
        <w:t>, H.G. (2012) '</w:t>
      </w:r>
      <w:proofErr w:type="spellStart"/>
      <w:r w:rsidRPr="001A0FC4">
        <w:rPr>
          <w:rFonts w:ascii="Arial" w:hAnsi="Arial" w:cs="Arial"/>
          <w:sz w:val="22"/>
          <w:szCs w:val="22"/>
        </w:rPr>
        <w:t>Formalization</w:t>
      </w:r>
      <w:proofErr w:type="spellEnd"/>
      <w:r w:rsidRPr="001A0FC4">
        <w:rPr>
          <w:rFonts w:ascii="Arial" w:hAnsi="Arial" w:cs="Arial"/>
          <w:sz w:val="22"/>
          <w:szCs w:val="22"/>
        </w:rPr>
        <w:t xml:space="preserve"> of project portfolio management: The moderating role of project portfolio complexity', International Journal of Project Management, 30(5), pp. 596-607.</w:t>
      </w:r>
    </w:p>
    <w:p w14:paraId="5CB2115B"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Too, E.G. and Weaver, P. (2014) 'The management of project management: A conceptual framework for project governance', International Journal of Project Management, 32(8), pp. 1382-1394.</w:t>
      </w:r>
    </w:p>
    <w:p w14:paraId="3650BB95"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Turner, J.R. and Müller, R. (2003) 'On the nature of the project as a temporary organization', International Journal of Project Management, 21(1), pp. 1-8.</w:t>
      </w:r>
    </w:p>
    <w:p w14:paraId="52390FB4"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Ward, S. and Chapman, C. (2003) 'Transforming project risk management into project uncertainty management', International Journal of Project Management, 21(2), pp. 97-105.</w:t>
      </w:r>
    </w:p>
    <w:p w14:paraId="721C5EA7" w14:textId="77777777" w:rsidR="001A0FC4" w:rsidRPr="001A0FC4" w:rsidRDefault="001A0FC4" w:rsidP="001A0FC4">
      <w:pPr>
        <w:spacing w:line="360" w:lineRule="auto"/>
        <w:rPr>
          <w:rFonts w:ascii="Arial" w:hAnsi="Arial" w:cs="Arial"/>
          <w:sz w:val="22"/>
          <w:szCs w:val="22"/>
        </w:rPr>
      </w:pPr>
      <w:r w:rsidRPr="001A0FC4">
        <w:rPr>
          <w:rFonts w:ascii="Arial" w:hAnsi="Arial" w:cs="Arial"/>
          <w:sz w:val="22"/>
          <w:szCs w:val="22"/>
        </w:rPr>
        <w:t>Williams, T. (2008) 'How do organizations learn lessons from projects - and do they?', IEEE Transactions on Engineering Management, 55(2), pp. 248-266.</w:t>
      </w:r>
    </w:p>
    <w:p w14:paraId="45682CF2" w14:textId="77777777" w:rsidR="001A0FC4" w:rsidRDefault="001A0FC4" w:rsidP="001A0FC4">
      <w:pPr>
        <w:spacing w:line="360" w:lineRule="auto"/>
        <w:rPr>
          <w:rFonts w:ascii="Arial" w:hAnsi="Arial" w:cs="Arial"/>
          <w:sz w:val="22"/>
          <w:szCs w:val="22"/>
        </w:rPr>
      </w:pPr>
      <w:r w:rsidRPr="001A0FC4">
        <w:rPr>
          <w:rFonts w:ascii="Arial" w:hAnsi="Arial" w:cs="Arial"/>
          <w:sz w:val="22"/>
          <w:szCs w:val="22"/>
        </w:rPr>
        <w:t xml:space="preserve">Winch, G.M. (2010) Managing construction projects. 2nd </w:t>
      </w:r>
      <w:proofErr w:type="spellStart"/>
      <w:r w:rsidRPr="001A0FC4">
        <w:rPr>
          <w:rFonts w:ascii="Arial" w:hAnsi="Arial" w:cs="Arial"/>
          <w:sz w:val="22"/>
          <w:szCs w:val="22"/>
        </w:rPr>
        <w:t>edn</w:t>
      </w:r>
      <w:proofErr w:type="spellEnd"/>
      <w:r w:rsidRPr="001A0FC4">
        <w:rPr>
          <w:rFonts w:ascii="Arial" w:hAnsi="Arial" w:cs="Arial"/>
          <w:sz w:val="22"/>
          <w:szCs w:val="22"/>
        </w:rPr>
        <w:t>. Chichester: Wiley-Blackwell.</w:t>
      </w:r>
    </w:p>
    <w:p w14:paraId="133DEE56" w14:textId="77777777" w:rsidR="00F32871" w:rsidRDefault="00F32871" w:rsidP="00C53786">
      <w:pPr>
        <w:spacing w:line="360" w:lineRule="auto"/>
        <w:jc w:val="both"/>
        <w:rPr>
          <w:rFonts w:ascii="Arial" w:hAnsi="Arial" w:cs="Arial"/>
          <w:bCs/>
          <w:sz w:val="22"/>
          <w:szCs w:val="22"/>
        </w:rPr>
      </w:pPr>
      <w:proofErr w:type="spellStart"/>
      <w:r w:rsidRPr="00951763">
        <w:rPr>
          <w:rFonts w:ascii="Arial" w:hAnsi="Arial" w:cs="Arial"/>
          <w:bCs/>
          <w:sz w:val="22"/>
          <w:szCs w:val="22"/>
        </w:rPr>
        <w:t>Zwikael</w:t>
      </w:r>
      <w:proofErr w:type="spellEnd"/>
      <w:r w:rsidRPr="00951763">
        <w:rPr>
          <w:rFonts w:ascii="Arial" w:hAnsi="Arial" w:cs="Arial"/>
          <w:bCs/>
          <w:sz w:val="22"/>
          <w:szCs w:val="22"/>
        </w:rPr>
        <w:t xml:space="preserve">, O. and </w:t>
      </w:r>
      <w:proofErr w:type="spellStart"/>
      <w:r w:rsidRPr="00951763">
        <w:rPr>
          <w:rFonts w:ascii="Arial" w:hAnsi="Arial" w:cs="Arial"/>
          <w:bCs/>
          <w:sz w:val="22"/>
          <w:szCs w:val="22"/>
        </w:rPr>
        <w:t>Smyrk</w:t>
      </w:r>
      <w:proofErr w:type="spellEnd"/>
      <w:r w:rsidRPr="00951763">
        <w:rPr>
          <w:rFonts w:ascii="Arial" w:hAnsi="Arial" w:cs="Arial"/>
          <w:bCs/>
          <w:sz w:val="22"/>
          <w:szCs w:val="22"/>
        </w:rPr>
        <w:t xml:space="preserve">, J.R. (2019) </w:t>
      </w:r>
      <w:r w:rsidRPr="00951763">
        <w:rPr>
          <w:rFonts w:ascii="Arial" w:hAnsi="Arial" w:cs="Arial"/>
          <w:bCs/>
          <w:i/>
          <w:iCs/>
          <w:sz w:val="22"/>
          <w:szCs w:val="22"/>
        </w:rPr>
        <w:t>Project management: A benefit realisation approach</w:t>
      </w:r>
      <w:r w:rsidRPr="00951763">
        <w:rPr>
          <w:rFonts w:ascii="Arial" w:hAnsi="Arial" w:cs="Arial"/>
          <w:bCs/>
          <w:sz w:val="22"/>
          <w:szCs w:val="22"/>
        </w:rPr>
        <w:t>. Cham: Springer.</w:t>
      </w:r>
    </w:p>
    <w:p w14:paraId="35CFFD45" w14:textId="77777777" w:rsidR="00F32871" w:rsidRPr="001A0FC4" w:rsidRDefault="00F32871" w:rsidP="001A0FC4">
      <w:pPr>
        <w:spacing w:line="360" w:lineRule="auto"/>
        <w:rPr>
          <w:rFonts w:ascii="Arial" w:hAnsi="Arial" w:cs="Arial"/>
          <w:sz w:val="22"/>
          <w:szCs w:val="22"/>
        </w:rPr>
      </w:pPr>
    </w:p>
    <w:p w14:paraId="12EE91BF" w14:textId="77777777" w:rsidR="004C79C8" w:rsidRDefault="004C79C8"/>
    <w:sectPr w:rsidR="004C79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1C695" w14:textId="77777777" w:rsidR="00DC30FD" w:rsidRDefault="00DC30FD" w:rsidP="00AE29E4">
      <w:pPr>
        <w:spacing w:after="0" w:line="240" w:lineRule="auto"/>
      </w:pPr>
      <w:r>
        <w:separator/>
      </w:r>
    </w:p>
  </w:endnote>
  <w:endnote w:type="continuationSeparator" w:id="0">
    <w:p w14:paraId="46991253" w14:textId="77777777" w:rsidR="00DC30FD" w:rsidRDefault="00DC30FD" w:rsidP="00AE2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459901"/>
      <w:docPartObj>
        <w:docPartGallery w:val="Page Numbers (Bottom of Page)"/>
        <w:docPartUnique/>
      </w:docPartObj>
    </w:sdtPr>
    <w:sdtEndPr>
      <w:rPr>
        <w:noProof/>
      </w:rPr>
    </w:sdtEndPr>
    <w:sdtContent>
      <w:p w14:paraId="1BCB848F" w14:textId="42D78B62" w:rsidR="00AE29E4" w:rsidRDefault="00AE29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2FC6DD" w14:textId="77777777" w:rsidR="00AE29E4" w:rsidRDefault="00AE2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5E091" w14:textId="77777777" w:rsidR="00DC30FD" w:rsidRDefault="00DC30FD" w:rsidP="00AE29E4">
      <w:pPr>
        <w:spacing w:after="0" w:line="240" w:lineRule="auto"/>
      </w:pPr>
      <w:r>
        <w:separator/>
      </w:r>
    </w:p>
  </w:footnote>
  <w:footnote w:type="continuationSeparator" w:id="0">
    <w:p w14:paraId="2BFB396E" w14:textId="77777777" w:rsidR="00DC30FD" w:rsidRDefault="00DC30FD" w:rsidP="00AE2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44AC"/>
    <w:multiLevelType w:val="multilevel"/>
    <w:tmpl w:val="866E9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54879"/>
    <w:multiLevelType w:val="multilevel"/>
    <w:tmpl w:val="30FEF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BA19EF"/>
    <w:multiLevelType w:val="multilevel"/>
    <w:tmpl w:val="37E8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316263"/>
    <w:multiLevelType w:val="multilevel"/>
    <w:tmpl w:val="57CA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9943796">
    <w:abstractNumId w:val="1"/>
  </w:num>
  <w:num w:numId="2" w16cid:durableId="1356884863">
    <w:abstractNumId w:val="0"/>
  </w:num>
  <w:num w:numId="3" w16cid:durableId="305816264">
    <w:abstractNumId w:val="2"/>
  </w:num>
  <w:num w:numId="4" w16cid:durableId="1142556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FC4"/>
    <w:rsid w:val="00073C2E"/>
    <w:rsid w:val="000929FE"/>
    <w:rsid w:val="000A603D"/>
    <w:rsid w:val="001272AA"/>
    <w:rsid w:val="001A0FC4"/>
    <w:rsid w:val="00216303"/>
    <w:rsid w:val="002179ED"/>
    <w:rsid w:val="00245C59"/>
    <w:rsid w:val="003173C9"/>
    <w:rsid w:val="003642B0"/>
    <w:rsid w:val="00431B68"/>
    <w:rsid w:val="00493FB3"/>
    <w:rsid w:val="004C35EB"/>
    <w:rsid w:val="004C79C8"/>
    <w:rsid w:val="0052174E"/>
    <w:rsid w:val="00557EBD"/>
    <w:rsid w:val="005C7B0E"/>
    <w:rsid w:val="005F370C"/>
    <w:rsid w:val="00684738"/>
    <w:rsid w:val="00766B7D"/>
    <w:rsid w:val="007A3382"/>
    <w:rsid w:val="008C1726"/>
    <w:rsid w:val="00951763"/>
    <w:rsid w:val="009F79A5"/>
    <w:rsid w:val="00AE29E4"/>
    <w:rsid w:val="00B5467C"/>
    <w:rsid w:val="00CE1BE9"/>
    <w:rsid w:val="00D0332B"/>
    <w:rsid w:val="00DC30FD"/>
    <w:rsid w:val="00E96D55"/>
    <w:rsid w:val="00F32871"/>
    <w:rsid w:val="00F91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00B6E"/>
  <w15:chartTrackingRefBased/>
  <w15:docId w15:val="{903A8F24-B9C9-401B-BD4F-99FF893BB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F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0F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F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F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F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F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F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F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F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F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0F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F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F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F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F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F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F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FC4"/>
    <w:rPr>
      <w:rFonts w:eastAsiaTheme="majorEastAsia" w:cstheme="majorBidi"/>
      <w:color w:val="272727" w:themeColor="text1" w:themeTint="D8"/>
    </w:rPr>
  </w:style>
  <w:style w:type="paragraph" w:styleId="Title">
    <w:name w:val="Title"/>
    <w:basedOn w:val="Normal"/>
    <w:next w:val="Normal"/>
    <w:link w:val="TitleChar"/>
    <w:uiPriority w:val="10"/>
    <w:qFormat/>
    <w:rsid w:val="001A0F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F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F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F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FC4"/>
    <w:pPr>
      <w:spacing w:before="160"/>
      <w:jc w:val="center"/>
    </w:pPr>
    <w:rPr>
      <w:i/>
      <w:iCs/>
      <w:color w:val="404040" w:themeColor="text1" w:themeTint="BF"/>
    </w:rPr>
  </w:style>
  <w:style w:type="character" w:customStyle="1" w:styleId="QuoteChar">
    <w:name w:val="Quote Char"/>
    <w:basedOn w:val="DefaultParagraphFont"/>
    <w:link w:val="Quote"/>
    <w:uiPriority w:val="29"/>
    <w:rsid w:val="001A0FC4"/>
    <w:rPr>
      <w:i/>
      <w:iCs/>
      <w:color w:val="404040" w:themeColor="text1" w:themeTint="BF"/>
    </w:rPr>
  </w:style>
  <w:style w:type="paragraph" w:styleId="ListParagraph">
    <w:name w:val="List Paragraph"/>
    <w:basedOn w:val="Normal"/>
    <w:uiPriority w:val="34"/>
    <w:qFormat/>
    <w:rsid w:val="001A0FC4"/>
    <w:pPr>
      <w:ind w:left="720"/>
      <w:contextualSpacing/>
    </w:pPr>
  </w:style>
  <w:style w:type="character" w:styleId="IntenseEmphasis">
    <w:name w:val="Intense Emphasis"/>
    <w:basedOn w:val="DefaultParagraphFont"/>
    <w:uiPriority w:val="21"/>
    <w:qFormat/>
    <w:rsid w:val="001A0FC4"/>
    <w:rPr>
      <w:i/>
      <w:iCs/>
      <w:color w:val="0F4761" w:themeColor="accent1" w:themeShade="BF"/>
    </w:rPr>
  </w:style>
  <w:style w:type="paragraph" w:styleId="IntenseQuote">
    <w:name w:val="Intense Quote"/>
    <w:basedOn w:val="Normal"/>
    <w:next w:val="Normal"/>
    <w:link w:val="IntenseQuoteChar"/>
    <w:uiPriority w:val="30"/>
    <w:qFormat/>
    <w:rsid w:val="001A0F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FC4"/>
    <w:rPr>
      <w:i/>
      <w:iCs/>
      <w:color w:val="0F4761" w:themeColor="accent1" w:themeShade="BF"/>
    </w:rPr>
  </w:style>
  <w:style w:type="character" w:styleId="IntenseReference">
    <w:name w:val="Intense Reference"/>
    <w:basedOn w:val="DefaultParagraphFont"/>
    <w:uiPriority w:val="32"/>
    <w:qFormat/>
    <w:rsid w:val="001A0FC4"/>
    <w:rPr>
      <w:b/>
      <w:bCs/>
      <w:smallCaps/>
      <w:color w:val="0F4761" w:themeColor="accent1" w:themeShade="BF"/>
      <w:spacing w:val="5"/>
    </w:rPr>
  </w:style>
  <w:style w:type="table" w:styleId="TableGrid">
    <w:name w:val="Table Grid"/>
    <w:basedOn w:val="TableNormal"/>
    <w:uiPriority w:val="39"/>
    <w:rsid w:val="001A0F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2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9E4"/>
  </w:style>
  <w:style w:type="paragraph" w:styleId="Footer">
    <w:name w:val="footer"/>
    <w:basedOn w:val="Normal"/>
    <w:link w:val="FooterChar"/>
    <w:uiPriority w:val="99"/>
    <w:unhideWhenUsed/>
    <w:rsid w:val="00AE2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9E4"/>
  </w:style>
  <w:style w:type="paragraph" w:styleId="TOCHeading">
    <w:name w:val="TOC Heading"/>
    <w:basedOn w:val="Heading1"/>
    <w:next w:val="Normal"/>
    <w:uiPriority w:val="39"/>
    <w:unhideWhenUsed/>
    <w:qFormat/>
    <w:rsid w:val="009517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51763"/>
    <w:pPr>
      <w:spacing w:after="100"/>
    </w:pPr>
    <w:rPr>
      <w:szCs w:val="30"/>
      <w:lang w:val="en-US" w:bidi="bn-IN"/>
      <w14:ligatures w14:val="none"/>
    </w:rPr>
  </w:style>
  <w:style w:type="paragraph" w:styleId="TOC2">
    <w:name w:val="toc 2"/>
    <w:basedOn w:val="Normal"/>
    <w:next w:val="Normal"/>
    <w:autoRedefine/>
    <w:uiPriority w:val="39"/>
    <w:unhideWhenUsed/>
    <w:rsid w:val="00951763"/>
    <w:pPr>
      <w:spacing w:after="100"/>
      <w:ind w:left="240"/>
    </w:pPr>
    <w:rPr>
      <w:szCs w:val="30"/>
      <w:lang w:val="en-US" w:bidi="bn-IN"/>
      <w14:ligatures w14:val="none"/>
    </w:rPr>
  </w:style>
  <w:style w:type="character" w:styleId="Hyperlink">
    <w:name w:val="Hyperlink"/>
    <w:basedOn w:val="DefaultParagraphFont"/>
    <w:uiPriority w:val="99"/>
    <w:unhideWhenUsed/>
    <w:rsid w:val="0095176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22</Pages>
  <Words>6578</Words>
  <Characters>37496</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Berto, Barbara</dc:creator>
  <cp:keywords/>
  <dc:description/>
  <cp:lastModifiedBy>Berto, Barbara</cp:lastModifiedBy>
  <cp:revision>20</cp:revision>
  <dcterms:created xsi:type="dcterms:W3CDTF">2025-11-03T16:46:00Z</dcterms:created>
  <dcterms:modified xsi:type="dcterms:W3CDTF">2025-11-03T17:45:00Z</dcterms:modified>
</cp:coreProperties>
</file>