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758E2" w14:textId="77777777" w:rsidR="00106AA3" w:rsidRDefault="00106AA3" w:rsidP="00164E53">
      <w:pPr>
        <w:spacing w:after="160" w:line="259" w:lineRule="auto"/>
        <w:jc w:val="center"/>
        <w:rPr>
          <w:rFonts w:eastAsia="Calibri"/>
          <w:kern w:val="2"/>
          <w:sz w:val="24"/>
          <w:szCs w:val="24"/>
          <w:lang w:eastAsia="en-US"/>
          <w14:ligatures w14:val="standardContextual"/>
        </w:rPr>
      </w:pPr>
    </w:p>
    <w:p w14:paraId="1E03A779" w14:textId="77777777" w:rsidR="00106AA3" w:rsidRDefault="00106AA3" w:rsidP="00164E53">
      <w:pPr>
        <w:spacing w:after="160" w:line="259" w:lineRule="auto"/>
        <w:jc w:val="center"/>
        <w:rPr>
          <w:rFonts w:eastAsia="Calibri"/>
          <w:kern w:val="2"/>
          <w:sz w:val="24"/>
          <w:szCs w:val="24"/>
          <w:lang w:eastAsia="en-US"/>
          <w14:ligatures w14:val="standardContextual"/>
        </w:rPr>
      </w:pPr>
    </w:p>
    <w:p w14:paraId="05620EA4" w14:textId="13D99A5D" w:rsidR="00164E53" w:rsidRPr="00B8537A" w:rsidRDefault="00164E53" w:rsidP="00164E53">
      <w:pPr>
        <w:spacing w:after="160" w:line="259" w:lineRule="auto"/>
        <w:jc w:val="center"/>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BA (Hons) Leadership and Management Skills for the Workplace</w:t>
      </w:r>
    </w:p>
    <w:p w14:paraId="3413B9A6" w14:textId="77777777" w:rsidR="00EF01BC" w:rsidRPr="00B8537A" w:rsidRDefault="00EF01BC" w:rsidP="00EF01BC">
      <w:pPr>
        <w:spacing w:before="120" w:after="120"/>
        <w:jc w:val="center"/>
        <w:rPr>
          <w:rFonts w:ascii="Arial" w:hAnsi="Arial" w:cs="Arial"/>
          <w:sz w:val="22"/>
          <w:szCs w:val="22"/>
        </w:rPr>
      </w:pPr>
      <w:r w:rsidRPr="00B8537A">
        <w:rPr>
          <w:rFonts w:ascii="Arial" w:hAnsi="Arial" w:cs="Arial"/>
          <w:sz w:val="22"/>
          <w:szCs w:val="22"/>
        </w:rPr>
        <w:t xml:space="preserve">Leading and Implementing </w:t>
      </w:r>
      <w:proofErr w:type="gramStart"/>
      <w:r w:rsidRPr="00B8537A">
        <w:rPr>
          <w:rFonts w:ascii="Arial" w:hAnsi="Arial" w:cs="Arial"/>
          <w:sz w:val="22"/>
          <w:szCs w:val="22"/>
        </w:rPr>
        <w:t>Change  (</w:t>
      </w:r>
      <w:proofErr w:type="gramEnd"/>
      <w:r w:rsidRPr="00B8537A">
        <w:rPr>
          <w:rFonts w:ascii="Arial" w:hAnsi="Arial" w:cs="Arial"/>
          <w:sz w:val="22"/>
          <w:szCs w:val="22"/>
        </w:rPr>
        <w:t>LIC)</w:t>
      </w:r>
    </w:p>
    <w:p w14:paraId="5F3F8799" w14:textId="77777777" w:rsidR="00527DA7" w:rsidRPr="00B8537A" w:rsidRDefault="00164E53" w:rsidP="00527DA7">
      <w:pPr>
        <w:spacing w:after="160" w:line="259" w:lineRule="auto"/>
        <w:jc w:val="center"/>
        <w:rPr>
          <w:rFonts w:eastAsia="Calibri"/>
          <w:kern w:val="2"/>
          <w:sz w:val="24"/>
          <w:szCs w:val="24"/>
          <w:lang w:val="es-ES" w:eastAsia="en-US"/>
          <w14:ligatures w14:val="standardContextual"/>
        </w:rPr>
      </w:pPr>
      <w:r w:rsidRPr="00B8537A">
        <w:rPr>
          <w:rFonts w:eastAsia="Calibri"/>
          <w:kern w:val="2"/>
          <w:sz w:val="24"/>
          <w:szCs w:val="24"/>
          <w:lang w:eastAsia="en-US"/>
          <w14:ligatures w14:val="standardContextual"/>
        </w:rPr>
        <w:t xml:space="preserve">Module leader: </w:t>
      </w:r>
      <w:r w:rsidR="00527DA7" w:rsidRPr="00B8537A">
        <w:rPr>
          <w:rFonts w:eastAsia="Calibri"/>
          <w:kern w:val="2"/>
          <w:sz w:val="24"/>
          <w:szCs w:val="24"/>
          <w:lang w:val="es-ES" w:eastAsia="en-US"/>
          <w14:ligatures w14:val="standardContextual"/>
        </w:rPr>
        <w:t>Nadeem Mirza</w:t>
      </w:r>
    </w:p>
    <w:p w14:paraId="26D007C8" w14:textId="23B21DA3" w:rsidR="00164E53" w:rsidRPr="00B8537A" w:rsidRDefault="00164E53" w:rsidP="00164E53">
      <w:pPr>
        <w:spacing w:after="160" w:line="259" w:lineRule="auto"/>
        <w:jc w:val="center"/>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Student name:</w:t>
      </w:r>
      <w:r w:rsidR="00527DA7" w:rsidRPr="00B8537A">
        <w:rPr>
          <w:rFonts w:eastAsia="Calibri"/>
          <w:kern w:val="2"/>
          <w:sz w:val="24"/>
          <w:szCs w:val="24"/>
          <w:lang w:eastAsia="en-US"/>
          <w14:ligatures w14:val="standardContextual"/>
        </w:rPr>
        <w:t xml:space="preserve"> Claudia Rebeca Gorgan</w:t>
      </w:r>
    </w:p>
    <w:p w14:paraId="15C738DC" w14:textId="77777777" w:rsidR="00164E53" w:rsidRPr="00B8537A" w:rsidRDefault="00164E53" w:rsidP="00164E53">
      <w:pPr>
        <w:spacing w:after="160" w:line="259" w:lineRule="auto"/>
        <w:jc w:val="center"/>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Student ID number:</w:t>
      </w:r>
    </w:p>
    <w:p w14:paraId="16DD020D" w14:textId="77777777" w:rsidR="00164E53" w:rsidRPr="00B8537A" w:rsidRDefault="00164E53" w:rsidP="00164E53">
      <w:pPr>
        <w:spacing w:after="160" w:line="259" w:lineRule="auto"/>
        <w:jc w:val="center"/>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Submission date:</w:t>
      </w:r>
    </w:p>
    <w:p w14:paraId="2443D5DD" w14:textId="77777777" w:rsidR="00527DA7" w:rsidRPr="00B8537A" w:rsidRDefault="00527DA7" w:rsidP="00164E53">
      <w:pPr>
        <w:spacing w:after="160" w:line="259" w:lineRule="auto"/>
        <w:jc w:val="center"/>
        <w:rPr>
          <w:rFonts w:eastAsia="Calibri"/>
          <w:kern w:val="2"/>
          <w:sz w:val="24"/>
          <w:szCs w:val="24"/>
          <w:lang w:eastAsia="en-US"/>
          <w14:ligatures w14:val="standardContextual"/>
        </w:rPr>
      </w:pPr>
    </w:p>
    <w:p w14:paraId="3ECE1CDC"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26047722"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08DBC2BC"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7C0DC526"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427C015F"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789CB1DF"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500941D5"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4BBAE5CC"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3A8AA6B7"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1CF9A876"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60FBC0CB"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2C1AF3C8"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2630C86B"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71E2EAEE"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3BE2142E"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370A20F1"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4F11C0CC"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5A1EAB3E"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39D375CC"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3C662AC2"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61C2B76A"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4543D96F"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35E50758"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7008E579"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76502B17"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06EFB85C" w14:textId="77777777" w:rsidR="00051AE5" w:rsidRPr="00B8537A" w:rsidRDefault="00051AE5" w:rsidP="00164E53">
      <w:pPr>
        <w:spacing w:after="160" w:line="259" w:lineRule="auto"/>
        <w:jc w:val="center"/>
        <w:rPr>
          <w:rFonts w:eastAsia="Calibri"/>
          <w:kern w:val="2"/>
          <w:sz w:val="24"/>
          <w:szCs w:val="24"/>
          <w:lang w:eastAsia="en-US"/>
          <w14:ligatures w14:val="standardContextual"/>
        </w:rPr>
      </w:pPr>
    </w:p>
    <w:p w14:paraId="2A7F78C3" w14:textId="1CE84FFE" w:rsidR="008D78D8" w:rsidRPr="00B8537A" w:rsidRDefault="00051AE5" w:rsidP="008D78D8">
      <w:pPr>
        <w:spacing w:before="120" w:after="120"/>
        <w:jc w:val="center"/>
        <w:rPr>
          <w:rFonts w:ascii="Arial" w:hAnsi="Arial" w:cs="Arial"/>
          <w:sz w:val="22"/>
          <w:szCs w:val="22"/>
        </w:rPr>
      </w:pPr>
      <w:r w:rsidRPr="00B8537A">
        <w:rPr>
          <w:rFonts w:ascii="Arial" w:hAnsi="Arial" w:cs="Arial"/>
          <w:sz w:val="22"/>
          <w:szCs w:val="22"/>
        </w:rPr>
        <w:t>A Strategic Change Plan</w:t>
      </w:r>
      <w:r w:rsidR="00B0259F" w:rsidRPr="00B8537A">
        <w:rPr>
          <w:rFonts w:ascii="Arial" w:hAnsi="Arial" w:cs="Arial"/>
          <w:sz w:val="22"/>
          <w:szCs w:val="22"/>
        </w:rPr>
        <w:t xml:space="preserve">, based on the study case of </w:t>
      </w:r>
      <w:r w:rsidR="009B1B26">
        <w:rPr>
          <w:rFonts w:ascii="Arial" w:hAnsi="Arial" w:cs="Arial"/>
          <w:sz w:val="22"/>
          <w:szCs w:val="22"/>
        </w:rPr>
        <w:t>JLR</w:t>
      </w:r>
      <w:r w:rsidR="008D78D8" w:rsidRPr="00B8537A">
        <w:rPr>
          <w:rFonts w:ascii="Arial" w:hAnsi="Arial" w:cs="Arial"/>
          <w:sz w:val="22"/>
          <w:szCs w:val="22"/>
        </w:rPr>
        <w:t>(JLR)</w:t>
      </w:r>
    </w:p>
    <w:p w14:paraId="1EB79C7F" w14:textId="77777777" w:rsidR="008D78D8" w:rsidRPr="00B8537A" w:rsidRDefault="008D78D8" w:rsidP="008D78D8">
      <w:pPr>
        <w:spacing w:before="120" w:after="120"/>
        <w:rPr>
          <w:rFonts w:ascii="Arial" w:hAnsi="Arial" w:cs="Arial"/>
          <w:sz w:val="22"/>
          <w:szCs w:val="22"/>
        </w:rPr>
      </w:pPr>
    </w:p>
    <w:p w14:paraId="3C389E68" w14:textId="77777777" w:rsidR="008D78D8" w:rsidRPr="00B8537A" w:rsidRDefault="008D78D8" w:rsidP="008D78D8">
      <w:pPr>
        <w:spacing w:before="120" w:after="120"/>
        <w:rPr>
          <w:rFonts w:ascii="Arial" w:hAnsi="Arial" w:cs="Arial"/>
          <w:sz w:val="22"/>
          <w:szCs w:val="22"/>
        </w:rPr>
      </w:pPr>
    </w:p>
    <w:p w14:paraId="21A8C1FB" w14:textId="77777777" w:rsidR="008D78D8" w:rsidRPr="00B8537A" w:rsidRDefault="008D78D8" w:rsidP="008D78D8">
      <w:pPr>
        <w:spacing w:before="120" w:after="120"/>
        <w:rPr>
          <w:rFonts w:ascii="Arial" w:hAnsi="Arial" w:cs="Arial"/>
          <w:sz w:val="22"/>
          <w:szCs w:val="22"/>
        </w:rPr>
      </w:pPr>
    </w:p>
    <w:p w14:paraId="7C48E483" w14:textId="77777777" w:rsidR="008D78D8" w:rsidRPr="00B8537A" w:rsidRDefault="008D78D8" w:rsidP="008D78D8">
      <w:pPr>
        <w:spacing w:before="120" w:after="120"/>
        <w:rPr>
          <w:rFonts w:ascii="Arial" w:hAnsi="Arial" w:cs="Arial"/>
          <w:sz w:val="22"/>
          <w:szCs w:val="22"/>
        </w:rPr>
      </w:pPr>
    </w:p>
    <w:p w14:paraId="508BD248" w14:textId="77777777" w:rsidR="008D78D8" w:rsidRPr="00B8537A" w:rsidRDefault="008D78D8" w:rsidP="008D78D8">
      <w:pPr>
        <w:spacing w:before="120" w:after="120"/>
        <w:rPr>
          <w:rFonts w:ascii="Arial" w:hAnsi="Arial" w:cs="Arial"/>
          <w:sz w:val="22"/>
          <w:szCs w:val="22"/>
        </w:rPr>
      </w:pPr>
    </w:p>
    <w:p w14:paraId="1BA4B79D" w14:textId="77777777" w:rsidR="008D78D8" w:rsidRPr="00B8537A" w:rsidRDefault="008D78D8" w:rsidP="008D78D8">
      <w:pPr>
        <w:spacing w:before="120" w:after="120"/>
        <w:rPr>
          <w:rFonts w:ascii="Arial" w:hAnsi="Arial" w:cs="Arial"/>
          <w:sz w:val="22"/>
          <w:szCs w:val="22"/>
        </w:rPr>
      </w:pPr>
    </w:p>
    <w:p w14:paraId="2FEF98CA" w14:textId="77777777" w:rsidR="008D78D8" w:rsidRPr="00B8537A" w:rsidRDefault="008D78D8" w:rsidP="008D78D8">
      <w:pPr>
        <w:spacing w:before="120" w:after="120"/>
        <w:rPr>
          <w:rFonts w:ascii="Arial" w:hAnsi="Arial" w:cs="Arial"/>
          <w:sz w:val="22"/>
          <w:szCs w:val="22"/>
        </w:rPr>
      </w:pPr>
    </w:p>
    <w:p w14:paraId="4D3D2810" w14:textId="77777777" w:rsidR="008D78D8" w:rsidRPr="00B8537A" w:rsidRDefault="008D78D8" w:rsidP="008D78D8">
      <w:pPr>
        <w:spacing w:before="120" w:after="120"/>
        <w:rPr>
          <w:rFonts w:ascii="Arial" w:hAnsi="Arial" w:cs="Arial"/>
          <w:sz w:val="22"/>
          <w:szCs w:val="22"/>
        </w:rPr>
      </w:pPr>
    </w:p>
    <w:p w14:paraId="55B30D8E" w14:textId="77777777" w:rsidR="008D78D8" w:rsidRPr="00B8537A" w:rsidRDefault="008D78D8" w:rsidP="008D78D8">
      <w:pPr>
        <w:spacing w:before="120" w:after="120"/>
        <w:rPr>
          <w:rFonts w:ascii="Arial" w:hAnsi="Arial" w:cs="Arial"/>
          <w:sz w:val="22"/>
          <w:szCs w:val="22"/>
        </w:rPr>
      </w:pPr>
    </w:p>
    <w:p w14:paraId="3751D9D8" w14:textId="77777777" w:rsidR="008D78D8" w:rsidRPr="00B8537A" w:rsidRDefault="008D78D8" w:rsidP="008D78D8">
      <w:pPr>
        <w:spacing w:before="120" w:after="120"/>
        <w:rPr>
          <w:rFonts w:ascii="Arial" w:hAnsi="Arial" w:cs="Arial"/>
          <w:sz w:val="22"/>
          <w:szCs w:val="22"/>
        </w:rPr>
      </w:pPr>
    </w:p>
    <w:p w14:paraId="73A4C900" w14:textId="77777777" w:rsidR="008D78D8" w:rsidRPr="00B8537A" w:rsidRDefault="008D78D8" w:rsidP="008D78D8">
      <w:pPr>
        <w:spacing w:before="120" w:after="120"/>
        <w:rPr>
          <w:rFonts w:ascii="Arial" w:hAnsi="Arial" w:cs="Arial"/>
          <w:sz w:val="22"/>
          <w:szCs w:val="22"/>
        </w:rPr>
      </w:pPr>
    </w:p>
    <w:p w14:paraId="44B4BA54" w14:textId="77777777" w:rsidR="008D78D8" w:rsidRPr="00B8537A" w:rsidRDefault="008D78D8" w:rsidP="008D78D8">
      <w:pPr>
        <w:spacing w:before="120" w:after="120"/>
        <w:rPr>
          <w:rFonts w:ascii="Arial" w:hAnsi="Arial" w:cs="Arial"/>
          <w:sz w:val="22"/>
          <w:szCs w:val="22"/>
        </w:rPr>
      </w:pPr>
    </w:p>
    <w:p w14:paraId="618EB371" w14:textId="77777777" w:rsidR="008D78D8" w:rsidRPr="00B8537A" w:rsidRDefault="008D78D8" w:rsidP="008D78D8">
      <w:pPr>
        <w:spacing w:before="120" w:after="120"/>
        <w:rPr>
          <w:rFonts w:ascii="Arial" w:hAnsi="Arial" w:cs="Arial"/>
          <w:sz w:val="22"/>
          <w:szCs w:val="22"/>
        </w:rPr>
      </w:pPr>
    </w:p>
    <w:p w14:paraId="62BC7A29" w14:textId="77777777" w:rsidR="008D78D8" w:rsidRPr="00B8537A" w:rsidRDefault="008D78D8" w:rsidP="008D78D8">
      <w:pPr>
        <w:spacing w:before="120" w:after="120"/>
        <w:rPr>
          <w:rFonts w:ascii="Arial" w:hAnsi="Arial" w:cs="Arial"/>
          <w:sz w:val="22"/>
          <w:szCs w:val="22"/>
        </w:rPr>
      </w:pPr>
    </w:p>
    <w:p w14:paraId="76551C82" w14:textId="77777777" w:rsidR="008D78D8" w:rsidRPr="00B8537A" w:rsidRDefault="008D78D8" w:rsidP="008D78D8">
      <w:pPr>
        <w:spacing w:before="120" w:after="120"/>
        <w:rPr>
          <w:rFonts w:ascii="Arial" w:hAnsi="Arial" w:cs="Arial"/>
          <w:sz w:val="22"/>
          <w:szCs w:val="22"/>
        </w:rPr>
      </w:pPr>
    </w:p>
    <w:p w14:paraId="67B9DA97" w14:textId="77777777" w:rsidR="008D78D8" w:rsidRPr="00B8537A" w:rsidRDefault="008D78D8" w:rsidP="008D78D8">
      <w:pPr>
        <w:spacing w:before="120" w:after="120"/>
        <w:rPr>
          <w:rFonts w:ascii="Arial" w:hAnsi="Arial" w:cs="Arial"/>
          <w:sz w:val="22"/>
          <w:szCs w:val="22"/>
        </w:rPr>
      </w:pPr>
    </w:p>
    <w:p w14:paraId="09D3C585" w14:textId="77777777" w:rsidR="008D78D8" w:rsidRPr="00B8537A" w:rsidRDefault="008D78D8" w:rsidP="008D78D8">
      <w:pPr>
        <w:spacing w:before="120" w:after="120"/>
        <w:rPr>
          <w:rFonts w:ascii="Arial" w:hAnsi="Arial" w:cs="Arial"/>
          <w:sz w:val="22"/>
          <w:szCs w:val="22"/>
        </w:rPr>
      </w:pPr>
    </w:p>
    <w:p w14:paraId="56DF1BB9" w14:textId="77777777" w:rsidR="008D78D8" w:rsidRPr="00B8537A" w:rsidRDefault="008D78D8" w:rsidP="008D78D8">
      <w:pPr>
        <w:spacing w:before="120" w:after="120"/>
        <w:rPr>
          <w:rFonts w:ascii="Arial" w:hAnsi="Arial" w:cs="Arial"/>
          <w:sz w:val="22"/>
          <w:szCs w:val="22"/>
        </w:rPr>
      </w:pPr>
    </w:p>
    <w:p w14:paraId="0EE1A1BC" w14:textId="77777777" w:rsidR="008D78D8" w:rsidRPr="00B8537A" w:rsidRDefault="008D78D8" w:rsidP="008D78D8">
      <w:pPr>
        <w:spacing w:before="120" w:after="120"/>
        <w:rPr>
          <w:rFonts w:ascii="Arial" w:hAnsi="Arial" w:cs="Arial"/>
          <w:sz w:val="22"/>
          <w:szCs w:val="22"/>
        </w:rPr>
      </w:pPr>
    </w:p>
    <w:p w14:paraId="6C6406A0" w14:textId="77777777" w:rsidR="008D78D8" w:rsidRPr="00B8537A" w:rsidRDefault="008D78D8" w:rsidP="008D78D8">
      <w:pPr>
        <w:spacing w:before="120" w:after="120"/>
        <w:rPr>
          <w:rFonts w:ascii="Arial" w:hAnsi="Arial" w:cs="Arial"/>
          <w:sz w:val="22"/>
          <w:szCs w:val="22"/>
        </w:rPr>
      </w:pPr>
    </w:p>
    <w:p w14:paraId="5ED4FBAB" w14:textId="77777777" w:rsidR="008D78D8" w:rsidRPr="00B8537A" w:rsidRDefault="008D78D8" w:rsidP="008D78D8">
      <w:pPr>
        <w:spacing w:before="120" w:after="120"/>
        <w:rPr>
          <w:rFonts w:ascii="Arial" w:hAnsi="Arial" w:cs="Arial"/>
          <w:sz w:val="22"/>
          <w:szCs w:val="22"/>
        </w:rPr>
      </w:pPr>
    </w:p>
    <w:p w14:paraId="2880F652" w14:textId="77777777" w:rsidR="008D78D8" w:rsidRPr="00B8537A" w:rsidRDefault="008D78D8" w:rsidP="008D78D8">
      <w:pPr>
        <w:spacing w:before="120" w:after="120"/>
        <w:rPr>
          <w:rFonts w:ascii="Arial" w:hAnsi="Arial" w:cs="Arial"/>
          <w:sz w:val="22"/>
          <w:szCs w:val="22"/>
        </w:rPr>
      </w:pPr>
    </w:p>
    <w:p w14:paraId="3A40FBB5" w14:textId="77777777" w:rsidR="008D78D8" w:rsidRPr="00B8537A" w:rsidRDefault="008D78D8" w:rsidP="008D78D8">
      <w:pPr>
        <w:spacing w:before="120" w:after="120"/>
        <w:rPr>
          <w:rFonts w:ascii="Arial" w:hAnsi="Arial" w:cs="Arial"/>
          <w:sz w:val="22"/>
          <w:szCs w:val="22"/>
        </w:rPr>
      </w:pPr>
    </w:p>
    <w:p w14:paraId="5F8F07F2" w14:textId="77777777" w:rsidR="008D78D8" w:rsidRPr="00B8537A" w:rsidRDefault="008D78D8" w:rsidP="008D78D8">
      <w:pPr>
        <w:spacing w:before="120" w:after="120"/>
        <w:rPr>
          <w:rFonts w:ascii="Arial" w:hAnsi="Arial" w:cs="Arial"/>
          <w:sz w:val="22"/>
          <w:szCs w:val="22"/>
        </w:rPr>
      </w:pPr>
    </w:p>
    <w:p w14:paraId="213F2956" w14:textId="77777777" w:rsidR="008D78D8" w:rsidRPr="00B8537A" w:rsidRDefault="008D78D8" w:rsidP="008D78D8">
      <w:pPr>
        <w:spacing w:before="120" w:after="120"/>
        <w:rPr>
          <w:rFonts w:ascii="Arial" w:hAnsi="Arial" w:cs="Arial"/>
          <w:sz w:val="22"/>
          <w:szCs w:val="22"/>
        </w:rPr>
      </w:pPr>
    </w:p>
    <w:p w14:paraId="149F3BFB" w14:textId="77777777" w:rsidR="008D78D8" w:rsidRPr="00B8537A" w:rsidRDefault="008D78D8" w:rsidP="008D78D8">
      <w:pPr>
        <w:spacing w:before="120" w:after="120"/>
        <w:rPr>
          <w:rFonts w:ascii="Arial" w:hAnsi="Arial" w:cs="Arial"/>
          <w:sz w:val="22"/>
          <w:szCs w:val="22"/>
        </w:rPr>
      </w:pPr>
    </w:p>
    <w:p w14:paraId="3B656B19" w14:textId="77777777" w:rsidR="008D78D8" w:rsidRPr="00B8537A" w:rsidRDefault="008D78D8" w:rsidP="008D78D8">
      <w:pPr>
        <w:spacing w:before="120" w:after="120"/>
        <w:rPr>
          <w:rFonts w:ascii="Arial" w:hAnsi="Arial" w:cs="Arial"/>
          <w:sz w:val="22"/>
          <w:szCs w:val="22"/>
        </w:rPr>
      </w:pPr>
    </w:p>
    <w:p w14:paraId="3DFA2F52" w14:textId="77777777" w:rsidR="008D78D8" w:rsidRPr="00B8537A" w:rsidRDefault="008D78D8" w:rsidP="008D78D8">
      <w:pPr>
        <w:spacing w:before="120" w:after="120"/>
        <w:rPr>
          <w:rFonts w:ascii="Arial" w:hAnsi="Arial" w:cs="Arial"/>
          <w:sz w:val="22"/>
          <w:szCs w:val="22"/>
        </w:rPr>
      </w:pPr>
    </w:p>
    <w:p w14:paraId="1E020B82" w14:textId="77777777" w:rsidR="008D78D8" w:rsidRPr="00B8537A" w:rsidRDefault="008D78D8" w:rsidP="008D78D8">
      <w:pPr>
        <w:spacing w:before="120" w:after="120"/>
        <w:rPr>
          <w:rFonts w:ascii="Arial" w:hAnsi="Arial" w:cs="Arial"/>
          <w:sz w:val="22"/>
          <w:szCs w:val="22"/>
        </w:rPr>
      </w:pPr>
    </w:p>
    <w:p w14:paraId="04185C0C" w14:textId="77777777" w:rsidR="008D78D8" w:rsidRPr="00B8537A" w:rsidRDefault="008D78D8" w:rsidP="008D78D8">
      <w:pPr>
        <w:spacing w:before="120" w:after="120"/>
        <w:rPr>
          <w:rFonts w:ascii="Arial" w:hAnsi="Arial" w:cs="Arial"/>
          <w:sz w:val="22"/>
          <w:szCs w:val="22"/>
        </w:rPr>
      </w:pPr>
    </w:p>
    <w:p w14:paraId="6F3A2CAF" w14:textId="77777777" w:rsidR="008D78D8" w:rsidRPr="00B8537A" w:rsidRDefault="008D78D8" w:rsidP="008D78D8">
      <w:pPr>
        <w:spacing w:before="120" w:after="120"/>
        <w:rPr>
          <w:rFonts w:ascii="Arial" w:hAnsi="Arial" w:cs="Arial"/>
          <w:sz w:val="22"/>
          <w:szCs w:val="22"/>
        </w:rPr>
      </w:pPr>
    </w:p>
    <w:sdt>
      <w:sdtPr>
        <w:id w:val="-1926568936"/>
        <w:docPartObj>
          <w:docPartGallery w:val="Table of Contents"/>
          <w:docPartUnique/>
        </w:docPartObj>
      </w:sdtPr>
      <w:sdtEndPr>
        <w:rPr>
          <w:rFonts w:ascii="Times New Roman" w:eastAsia="Times New Roman" w:hAnsi="Times New Roman" w:cs="Times New Roman"/>
          <w:b/>
          <w:bCs/>
          <w:color w:val="auto"/>
          <w:sz w:val="20"/>
          <w:szCs w:val="20"/>
        </w:rPr>
      </w:sdtEndPr>
      <w:sdtContent>
        <w:p w14:paraId="73D258EB" w14:textId="7056A219" w:rsidR="00E6708C" w:rsidRDefault="00E6708C">
          <w:pPr>
            <w:pStyle w:val="TOCHeading"/>
          </w:pPr>
          <w:r>
            <w:t>Table of Contents</w:t>
          </w:r>
        </w:p>
        <w:p w14:paraId="62E65FA2" w14:textId="1F974CF1" w:rsidR="00E6708C" w:rsidRDefault="00E6708C">
          <w:pPr>
            <w:pStyle w:val="TOC1"/>
            <w:tabs>
              <w:tab w:val="right" w:leader="dot" w:pos="9016"/>
            </w:tabs>
            <w:rPr>
              <w:noProof/>
            </w:rPr>
          </w:pPr>
          <w:r>
            <w:fldChar w:fldCharType="begin"/>
          </w:r>
          <w:r>
            <w:instrText xml:space="preserve"> TOC \o "1-3" \h \z \u </w:instrText>
          </w:r>
          <w:r>
            <w:fldChar w:fldCharType="separate"/>
          </w:r>
          <w:hyperlink w:anchor="_Toc235093239" w:history="1">
            <w:r w:rsidRPr="0000646E">
              <w:rPr>
                <w:rStyle w:val="Hyperlink"/>
                <w:rFonts w:eastAsia="Calibri"/>
                <w:noProof/>
                <w:lang w:eastAsia="en-US"/>
              </w:rPr>
              <w:t>1. Introduction</w:t>
            </w:r>
            <w:r>
              <w:rPr>
                <w:noProof/>
                <w:webHidden/>
              </w:rPr>
              <w:tab/>
            </w:r>
            <w:r>
              <w:rPr>
                <w:noProof/>
                <w:webHidden/>
              </w:rPr>
              <w:fldChar w:fldCharType="begin"/>
            </w:r>
            <w:r>
              <w:rPr>
                <w:noProof/>
                <w:webHidden/>
              </w:rPr>
              <w:instrText xml:space="preserve"> PAGEREF _Toc235093239 \h </w:instrText>
            </w:r>
            <w:r>
              <w:rPr>
                <w:noProof/>
                <w:webHidden/>
              </w:rPr>
            </w:r>
            <w:r>
              <w:rPr>
                <w:noProof/>
                <w:webHidden/>
              </w:rPr>
              <w:fldChar w:fldCharType="separate"/>
            </w:r>
            <w:r>
              <w:rPr>
                <w:noProof/>
                <w:webHidden/>
              </w:rPr>
              <w:t>4</w:t>
            </w:r>
            <w:r>
              <w:rPr>
                <w:noProof/>
                <w:webHidden/>
              </w:rPr>
              <w:fldChar w:fldCharType="end"/>
            </w:r>
          </w:hyperlink>
        </w:p>
        <w:p w14:paraId="3AEFC5DC" w14:textId="737C4BC2" w:rsidR="00E6708C" w:rsidRDefault="00E6708C">
          <w:pPr>
            <w:pStyle w:val="TOC2"/>
            <w:tabs>
              <w:tab w:val="right" w:leader="dot" w:pos="9016"/>
            </w:tabs>
            <w:rPr>
              <w:noProof/>
            </w:rPr>
          </w:pPr>
          <w:hyperlink w:anchor="_Toc235093240" w:history="1">
            <w:r w:rsidRPr="0000646E">
              <w:rPr>
                <w:rStyle w:val="Hyperlink"/>
                <w:rFonts w:eastAsia="Calibri"/>
                <w:noProof/>
                <w:lang w:eastAsia="en-US"/>
              </w:rPr>
              <w:t>1.1 Background of Jaguar Land Rover</w:t>
            </w:r>
            <w:r>
              <w:rPr>
                <w:noProof/>
                <w:webHidden/>
              </w:rPr>
              <w:tab/>
            </w:r>
            <w:r>
              <w:rPr>
                <w:noProof/>
                <w:webHidden/>
              </w:rPr>
              <w:fldChar w:fldCharType="begin"/>
            </w:r>
            <w:r>
              <w:rPr>
                <w:noProof/>
                <w:webHidden/>
              </w:rPr>
              <w:instrText xml:space="preserve"> PAGEREF _Toc235093240 \h </w:instrText>
            </w:r>
            <w:r>
              <w:rPr>
                <w:noProof/>
                <w:webHidden/>
              </w:rPr>
            </w:r>
            <w:r>
              <w:rPr>
                <w:noProof/>
                <w:webHidden/>
              </w:rPr>
              <w:fldChar w:fldCharType="separate"/>
            </w:r>
            <w:r>
              <w:rPr>
                <w:noProof/>
                <w:webHidden/>
              </w:rPr>
              <w:t>4</w:t>
            </w:r>
            <w:r>
              <w:rPr>
                <w:noProof/>
                <w:webHidden/>
              </w:rPr>
              <w:fldChar w:fldCharType="end"/>
            </w:r>
          </w:hyperlink>
        </w:p>
        <w:p w14:paraId="1B865401" w14:textId="1C7618F2" w:rsidR="00E6708C" w:rsidRDefault="00E6708C">
          <w:pPr>
            <w:pStyle w:val="TOC2"/>
            <w:tabs>
              <w:tab w:val="right" w:leader="dot" w:pos="9016"/>
            </w:tabs>
            <w:rPr>
              <w:noProof/>
            </w:rPr>
          </w:pPr>
          <w:hyperlink w:anchor="_Toc235093241" w:history="1">
            <w:r w:rsidRPr="0000646E">
              <w:rPr>
                <w:rStyle w:val="Hyperlink"/>
                <w:rFonts w:eastAsia="Calibri"/>
                <w:noProof/>
                <w:lang w:eastAsia="en-US"/>
              </w:rPr>
              <w:t>1.2 Purpose of the Report</w:t>
            </w:r>
            <w:r>
              <w:rPr>
                <w:noProof/>
                <w:webHidden/>
              </w:rPr>
              <w:tab/>
            </w:r>
            <w:r>
              <w:rPr>
                <w:noProof/>
                <w:webHidden/>
              </w:rPr>
              <w:fldChar w:fldCharType="begin"/>
            </w:r>
            <w:r>
              <w:rPr>
                <w:noProof/>
                <w:webHidden/>
              </w:rPr>
              <w:instrText xml:space="preserve"> PAGEREF _Toc235093241 \h </w:instrText>
            </w:r>
            <w:r>
              <w:rPr>
                <w:noProof/>
                <w:webHidden/>
              </w:rPr>
            </w:r>
            <w:r>
              <w:rPr>
                <w:noProof/>
                <w:webHidden/>
              </w:rPr>
              <w:fldChar w:fldCharType="separate"/>
            </w:r>
            <w:r>
              <w:rPr>
                <w:noProof/>
                <w:webHidden/>
              </w:rPr>
              <w:t>4</w:t>
            </w:r>
            <w:r>
              <w:rPr>
                <w:noProof/>
                <w:webHidden/>
              </w:rPr>
              <w:fldChar w:fldCharType="end"/>
            </w:r>
          </w:hyperlink>
        </w:p>
        <w:p w14:paraId="0B515DFE" w14:textId="30D559F2" w:rsidR="00E6708C" w:rsidRDefault="00E6708C">
          <w:pPr>
            <w:pStyle w:val="TOC2"/>
            <w:tabs>
              <w:tab w:val="right" w:leader="dot" w:pos="9016"/>
            </w:tabs>
            <w:rPr>
              <w:noProof/>
            </w:rPr>
          </w:pPr>
          <w:hyperlink w:anchor="_Toc235093242" w:history="1">
            <w:r w:rsidRPr="0000646E">
              <w:rPr>
                <w:rStyle w:val="Hyperlink"/>
                <w:rFonts w:eastAsia="Calibri"/>
                <w:noProof/>
                <w:lang w:eastAsia="en-US"/>
              </w:rPr>
              <w:t>1.3 Scope of the Report</w:t>
            </w:r>
            <w:r>
              <w:rPr>
                <w:noProof/>
                <w:webHidden/>
              </w:rPr>
              <w:tab/>
            </w:r>
            <w:r>
              <w:rPr>
                <w:noProof/>
                <w:webHidden/>
              </w:rPr>
              <w:fldChar w:fldCharType="begin"/>
            </w:r>
            <w:r>
              <w:rPr>
                <w:noProof/>
                <w:webHidden/>
              </w:rPr>
              <w:instrText xml:space="preserve"> PAGEREF _Toc235093242 \h </w:instrText>
            </w:r>
            <w:r>
              <w:rPr>
                <w:noProof/>
                <w:webHidden/>
              </w:rPr>
            </w:r>
            <w:r>
              <w:rPr>
                <w:noProof/>
                <w:webHidden/>
              </w:rPr>
              <w:fldChar w:fldCharType="separate"/>
            </w:r>
            <w:r>
              <w:rPr>
                <w:noProof/>
                <w:webHidden/>
              </w:rPr>
              <w:t>4</w:t>
            </w:r>
            <w:r>
              <w:rPr>
                <w:noProof/>
                <w:webHidden/>
              </w:rPr>
              <w:fldChar w:fldCharType="end"/>
            </w:r>
          </w:hyperlink>
        </w:p>
        <w:p w14:paraId="4B8F9285" w14:textId="03E3D1B1" w:rsidR="00E6708C" w:rsidRDefault="00E6708C">
          <w:pPr>
            <w:pStyle w:val="TOC1"/>
            <w:tabs>
              <w:tab w:val="right" w:leader="dot" w:pos="9016"/>
            </w:tabs>
            <w:rPr>
              <w:noProof/>
            </w:rPr>
          </w:pPr>
          <w:hyperlink w:anchor="_Toc235093243" w:history="1">
            <w:r w:rsidRPr="0000646E">
              <w:rPr>
                <w:rStyle w:val="Hyperlink"/>
                <w:rFonts w:eastAsia="Calibri"/>
                <w:noProof/>
                <w:lang w:eastAsia="en-US"/>
              </w:rPr>
              <w:t>2. Overview of Jaguar Land Rover</w:t>
            </w:r>
            <w:r>
              <w:rPr>
                <w:noProof/>
                <w:webHidden/>
              </w:rPr>
              <w:tab/>
            </w:r>
            <w:r>
              <w:rPr>
                <w:noProof/>
                <w:webHidden/>
              </w:rPr>
              <w:fldChar w:fldCharType="begin"/>
            </w:r>
            <w:r>
              <w:rPr>
                <w:noProof/>
                <w:webHidden/>
              </w:rPr>
              <w:instrText xml:space="preserve"> PAGEREF _Toc235093243 \h </w:instrText>
            </w:r>
            <w:r>
              <w:rPr>
                <w:noProof/>
                <w:webHidden/>
              </w:rPr>
            </w:r>
            <w:r>
              <w:rPr>
                <w:noProof/>
                <w:webHidden/>
              </w:rPr>
              <w:fldChar w:fldCharType="separate"/>
            </w:r>
            <w:r>
              <w:rPr>
                <w:noProof/>
                <w:webHidden/>
              </w:rPr>
              <w:t>5</w:t>
            </w:r>
            <w:r>
              <w:rPr>
                <w:noProof/>
                <w:webHidden/>
              </w:rPr>
              <w:fldChar w:fldCharType="end"/>
            </w:r>
          </w:hyperlink>
        </w:p>
        <w:p w14:paraId="5DF4C976" w14:textId="77DBBFAC" w:rsidR="00E6708C" w:rsidRDefault="00E6708C">
          <w:pPr>
            <w:pStyle w:val="TOC2"/>
            <w:tabs>
              <w:tab w:val="right" w:leader="dot" w:pos="9016"/>
            </w:tabs>
            <w:rPr>
              <w:noProof/>
            </w:rPr>
          </w:pPr>
          <w:hyperlink w:anchor="_Toc235093244" w:history="1">
            <w:r w:rsidRPr="0000646E">
              <w:rPr>
                <w:rStyle w:val="Hyperlink"/>
                <w:rFonts w:eastAsia="Calibri"/>
                <w:noProof/>
                <w:lang w:eastAsia="en-US"/>
              </w:rPr>
              <w:t>2.1 Company History</w:t>
            </w:r>
            <w:r>
              <w:rPr>
                <w:noProof/>
                <w:webHidden/>
              </w:rPr>
              <w:tab/>
            </w:r>
            <w:r>
              <w:rPr>
                <w:noProof/>
                <w:webHidden/>
              </w:rPr>
              <w:fldChar w:fldCharType="begin"/>
            </w:r>
            <w:r>
              <w:rPr>
                <w:noProof/>
                <w:webHidden/>
              </w:rPr>
              <w:instrText xml:space="preserve"> PAGEREF _Toc235093244 \h </w:instrText>
            </w:r>
            <w:r>
              <w:rPr>
                <w:noProof/>
                <w:webHidden/>
              </w:rPr>
            </w:r>
            <w:r>
              <w:rPr>
                <w:noProof/>
                <w:webHidden/>
              </w:rPr>
              <w:fldChar w:fldCharType="separate"/>
            </w:r>
            <w:r>
              <w:rPr>
                <w:noProof/>
                <w:webHidden/>
              </w:rPr>
              <w:t>5</w:t>
            </w:r>
            <w:r>
              <w:rPr>
                <w:noProof/>
                <w:webHidden/>
              </w:rPr>
              <w:fldChar w:fldCharType="end"/>
            </w:r>
          </w:hyperlink>
        </w:p>
        <w:p w14:paraId="12E1A935" w14:textId="0E954012" w:rsidR="00E6708C" w:rsidRDefault="00E6708C">
          <w:pPr>
            <w:pStyle w:val="TOC2"/>
            <w:tabs>
              <w:tab w:val="right" w:leader="dot" w:pos="9016"/>
            </w:tabs>
            <w:rPr>
              <w:noProof/>
            </w:rPr>
          </w:pPr>
          <w:hyperlink w:anchor="_Toc235093245" w:history="1">
            <w:r w:rsidRPr="0000646E">
              <w:rPr>
                <w:rStyle w:val="Hyperlink"/>
                <w:rFonts w:eastAsia="Calibri"/>
                <w:noProof/>
                <w:lang w:eastAsia="en-US"/>
              </w:rPr>
              <w:t>2.2 Vision, Mission and Core Values</w:t>
            </w:r>
            <w:r>
              <w:rPr>
                <w:noProof/>
                <w:webHidden/>
              </w:rPr>
              <w:tab/>
            </w:r>
            <w:r>
              <w:rPr>
                <w:noProof/>
                <w:webHidden/>
              </w:rPr>
              <w:fldChar w:fldCharType="begin"/>
            </w:r>
            <w:r>
              <w:rPr>
                <w:noProof/>
                <w:webHidden/>
              </w:rPr>
              <w:instrText xml:space="preserve"> PAGEREF _Toc235093245 \h </w:instrText>
            </w:r>
            <w:r>
              <w:rPr>
                <w:noProof/>
                <w:webHidden/>
              </w:rPr>
            </w:r>
            <w:r>
              <w:rPr>
                <w:noProof/>
                <w:webHidden/>
              </w:rPr>
              <w:fldChar w:fldCharType="separate"/>
            </w:r>
            <w:r>
              <w:rPr>
                <w:noProof/>
                <w:webHidden/>
              </w:rPr>
              <w:t>5</w:t>
            </w:r>
            <w:r>
              <w:rPr>
                <w:noProof/>
                <w:webHidden/>
              </w:rPr>
              <w:fldChar w:fldCharType="end"/>
            </w:r>
          </w:hyperlink>
        </w:p>
        <w:p w14:paraId="76251AF6" w14:textId="1F5AB50C" w:rsidR="00E6708C" w:rsidRDefault="00E6708C">
          <w:pPr>
            <w:pStyle w:val="TOC2"/>
            <w:tabs>
              <w:tab w:val="right" w:leader="dot" w:pos="9016"/>
            </w:tabs>
            <w:rPr>
              <w:noProof/>
            </w:rPr>
          </w:pPr>
          <w:hyperlink w:anchor="_Toc235093246" w:history="1">
            <w:r w:rsidRPr="0000646E">
              <w:rPr>
                <w:rStyle w:val="Hyperlink"/>
                <w:rFonts w:eastAsia="Calibri"/>
                <w:noProof/>
                <w:lang w:eastAsia="en-US"/>
              </w:rPr>
              <w:t>2.3 Products and Market Position</w:t>
            </w:r>
            <w:r>
              <w:rPr>
                <w:noProof/>
                <w:webHidden/>
              </w:rPr>
              <w:tab/>
            </w:r>
            <w:r>
              <w:rPr>
                <w:noProof/>
                <w:webHidden/>
              </w:rPr>
              <w:fldChar w:fldCharType="begin"/>
            </w:r>
            <w:r>
              <w:rPr>
                <w:noProof/>
                <w:webHidden/>
              </w:rPr>
              <w:instrText xml:space="preserve"> PAGEREF _Toc235093246 \h </w:instrText>
            </w:r>
            <w:r>
              <w:rPr>
                <w:noProof/>
                <w:webHidden/>
              </w:rPr>
            </w:r>
            <w:r>
              <w:rPr>
                <w:noProof/>
                <w:webHidden/>
              </w:rPr>
              <w:fldChar w:fldCharType="separate"/>
            </w:r>
            <w:r>
              <w:rPr>
                <w:noProof/>
                <w:webHidden/>
              </w:rPr>
              <w:t>6</w:t>
            </w:r>
            <w:r>
              <w:rPr>
                <w:noProof/>
                <w:webHidden/>
              </w:rPr>
              <w:fldChar w:fldCharType="end"/>
            </w:r>
          </w:hyperlink>
        </w:p>
        <w:p w14:paraId="08883EDD" w14:textId="373E0240" w:rsidR="00E6708C" w:rsidRDefault="00E6708C">
          <w:pPr>
            <w:pStyle w:val="TOC2"/>
            <w:tabs>
              <w:tab w:val="right" w:leader="dot" w:pos="9016"/>
            </w:tabs>
            <w:rPr>
              <w:noProof/>
            </w:rPr>
          </w:pPr>
          <w:hyperlink w:anchor="_Toc235093247" w:history="1">
            <w:r w:rsidRPr="0000646E">
              <w:rPr>
                <w:rStyle w:val="Hyperlink"/>
                <w:rFonts w:eastAsia="Calibri"/>
                <w:noProof/>
                <w:lang w:eastAsia="en-US"/>
              </w:rPr>
              <w:t>2.4 Current Business Performance</w:t>
            </w:r>
            <w:r>
              <w:rPr>
                <w:noProof/>
                <w:webHidden/>
              </w:rPr>
              <w:tab/>
            </w:r>
            <w:r>
              <w:rPr>
                <w:noProof/>
                <w:webHidden/>
              </w:rPr>
              <w:fldChar w:fldCharType="begin"/>
            </w:r>
            <w:r>
              <w:rPr>
                <w:noProof/>
                <w:webHidden/>
              </w:rPr>
              <w:instrText xml:space="preserve"> PAGEREF _Toc235093247 \h </w:instrText>
            </w:r>
            <w:r>
              <w:rPr>
                <w:noProof/>
                <w:webHidden/>
              </w:rPr>
            </w:r>
            <w:r>
              <w:rPr>
                <w:noProof/>
                <w:webHidden/>
              </w:rPr>
              <w:fldChar w:fldCharType="separate"/>
            </w:r>
            <w:r>
              <w:rPr>
                <w:noProof/>
                <w:webHidden/>
              </w:rPr>
              <w:t>7</w:t>
            </w:r>
            <w:r>
              <w:rPr>
                <w:noProof/>
                <w:webHidden/>
              </w:rPr>
              <w:fldChar w:fldCharType="end"/>
            </w:r>
          </w:hyperlink>
        </w:p>
        <w:p w14:paraId="6DE0628C" w14:textId="6C496179" w:rsidR="00E6708C" w:rsidRDefault="00E6708C">
          <w:pPr>
            <w:pStyle w:val="TOC1"/>
            <w:tabs>
              <w:tab w:val="right" w:leader="dot" w:pos="9016"/>
            </w:tabs>
            <w:rPr>
              <w:noProof/>
            </w:rPr>
          </w:pPr>
          <w:hyperlink w:anchor="_Toc235093248" w:history="1">
            <w:r w:rsidRPr="0000646E">
              <w:rPr>
                <w:rStyle w:val="Hyperlink"/>
                <w:rFonts w:eastAsia="Calibri"/>
                <w:noProof/>
                <w:lang w:eastAsia="en-US"/>
              </w:rPr>
              <w:t>3. Internal and External Environmental Analysis</w:t>
            </w:r>
            <w:r>
              <w:rPr>
                <w:noProof/>
                <w:webHidden/>
              </w:rPr>
              <w:tab/>
            </w:r>
            <w:r>
              <w:rPr>
                <w:noProof/>
                <w:webHidden/>
              </w:rPr>
              <w:fldChar w:fldCharType="begin"/>
            </w:r>
            <w:r>
              <w:rPr>
                <w:noProof/>
                <w:webHidden/>
              </w:rPr>
              <w:instrText xml:space="preserve"> PAGEREF _Toc235093248 \h </w:instrText>
            </w:r>
            <w:r>
              <w:rPr>
                <w:noProof/>
                <w:webHidden/>
              </w:rPr>
            </w:r>
            <w:r>
              <w:rPr>
                <w:noProof/>
                <w:webHidden/>
              </w:rPr>
              <w:fldChar w:fldCharType="separate"/>
            </w:r>
            <w:r>
              <w:rPr>
                <w:noProof/>
                <w:webHidden/>
              </w:rPr>
              <w:t>8</w:t>
            </w:r>
            <w:r>
              <w:rPr>
                <w:noProof/>
                <w:webHidden/>
              </w:rPr>
              <w:fldChar w:fldCharType="end"/>
            </w:r>
          </w:hyperlink>
        </w:p>
        <w:p w14:paraId="543192E3" w14:textId="23EDCD8F" w:rsidR="00E6708C" w:rsidRDefault="00E6708C">
          <w:pPr>
            <w:pStyle w:val="TOC2"/>
            <w:tabs>
              <w:tab w:val="right" w:leader="dot" w:pos="9016"/>
            </w:tabs>
            <w:rPr>
              <w:noProof/>
            </w:rPr>
          </w:pPr>
          <w:hyperlink w:anchor="_Toc235093249" w:history="1">
            <w:r w:rsidRPr="0000646E">
              <w:rPr>
                <w:rStyle w:val="Hyperlink"/>
                <w:rFonts w:eastAsia="Calibri"/>
                <w:noProof/>
                <w:lang w:eastAsia="en-US"/>
              </w:rPr>
              <w:t>3.1 Internal Environment Analysis</w:t>
            </w:r>
            <w:r>
              <w:rPr>
                <w:noProof/>
                <w:webHidden/>
              </w:rPr>
              <w:tab/>
            </w:r>
            <w:r>
              <w:rPr>
                <w:noProof/>
                <w:webHidden/>
              </w:rPr>
              <w:fldChar w:fldCharType="begin"/>
            </w:r>
            <w:r>
              <w:rPr>
                <w:noProof/>
                <w:webHidden/>
              </w:rPr>
              <w:instrText xml:space="preserve"> PAGEREF _Toc235093249 \h </w:instrText>
            </w:r>
            <w:r>
              <w:rPr>
                <w:noProof/>
                <w:webHidden/>
              </w:rPr>
            </w:r>
            <w:r>
              <w:rPr>
                <w:noProof/>
                <w:webHidden/>
              </w:rPr>
              <w:fldChar w:fldCharType="separate"/>
            </w:r>
            <w:r>
              <w:rPr>
                <w:noProof/>
                <w:webHidden/>
              </w:rPr>
              <w:t>8</w:t>
            </w:r>
            <w:r>
              <w:rPr>
                <w:noProof/>
                <w:webHidden/>
              </w:rPr>
              <w:fldChar w:fldCharType="end"/>
            </w:r>
          </w:hyperlink>
        </w:p>
        <w:p w14:paraId="0CDCFC63" w14:textId="44914A11" w:rsidR="00E6708C" w:rsidRDefault="00E6708C">
          <w:pPr>
            <w:pStyle w:val="TOC2"/>
            <w:tabs>
              <w:tab w:val="right" w:leader="dot" w:pos="9016"/>
            </w:tabs>
            <w:rPr>
              <w:noProof/>
            </w:rPr>
          </w:pPr>
          <w:hyperlink w:anchor="_Toc235093250" w:history="1">
            <w:r w:rsidRPr="0000646E">
              <w:rPr>
                <w:rStyle w:val="Hyperlink"/>
                <w:rFonts w:eastAsia="Calibri"/>
                <w:noProof/>
                <w:lang w:eastAsia="en-US"/>
              </w:rPr>
              <w:t>3.2 External Environment Analysis (PESTLE)</w:t>
            </w:r>
            <w:r>
              <w:rPr>
                <w:noProof/>
                <w:webHidden/>
              </w:rPr>
              <w:tab/>
            </w:r>
            <w:r>
              <w:rPr>
                <w:noProof/>
                <w:webHidden/>
              </w:rPr>
              <w:fldChar w:fldCharType="begin"/>
            </w:r>
            <w:r>
              <w:rPr>
                <w:noProof/>
                <w:webHidden/>
              </w:rPr>
              <w:instrText xml:space="preserve"> PAGEREF _Toc235093250 \h </w:instrText>
            </w:r>
            <w:r>
              <w:rPr>
                <w:noProof/>
                <w:webHidden/>
              </w:rPr>
            </w:r>
            <w:r>
              <w:rPr>
                <w:noProof/>
                <w:webHidden/>
              </w:rPr>
              <w:fldChar w:fldCharType="separate"/>
            </w:r>
            <w:r>
              <w:rPr>
                <w:noProof/>
                <w:webHidden/>
              </w:rPr>
              <w:t>9</w:t>
            </w:r>
            <w:r>
              <w:rPr>
                <w:noProof/>
                <w:webHidden/>
              </w:rPr>
              <w:fldChar w:fldCharType="end"/>
            </w:r>
          </w:hyperlink>
        </w:p>
        <w:p w14:paraId="14CB275A" w14:textId="073CA19D" w:rsidR="00E6708C" w:rsidRDefault="00E6708C">
          <w:pPr>
            <w:pStyle w:val="TOC2"/>
            <w:tabs>
              <w:tab w:val="right" w:leader="dot" w:pos="9016"/>
            </w:tabs>
            <w:rPr>
              <w:noProof/>
            </w:rPr>
          </w:pPr>
          <w:hyperlink w:anchor="_Toc235093251" w:history="1">
            <w:r w:rsidRPr="0000646E">
              <w:rPr>
                <w:rStyle w:val="Hyperlink"/>
                <w:rFonts w:eastAsia="Calibri"/>
                <w:noProof/>
                <w:lang w:eastAsia="en-US"/>
              </w:rPr>
              <w:t>3.3 Industry Analysis (Porter's Five Forces)</w:t>
            </w:r>
            <w:r>
              <w:rPr>
                <w:noProof/>
                <w:webHidden/>
              </w:rPr>
              <w:tab/>
            </w:r>
            <w:r>
              <w:rPr>
                <w:noProof/>
                <w:webHidden/>
              </w:rPr>
              <w:fldChar w:fldCharType="begin"/>
            </w:r>
            <w:r>
              <w:rPr>
                <w:noProof/>
                <w:webHidden/>
              </w:rPr>
              <w:instrText xml:space="preserve"> PAGEREF _Toc235093251 \h </w:instrText>
            </w:r>
            <w:r>
              <w:rPr>
                <w:noProof/>
                <w:webHidden/>
              </w:rPr>
            </w:r>
            <w:r>
              <w:rPr>
                <w:noProof/>
                <w:webHidden/>
              </w:rPr>
              <w:fldChar w:fldCharType="separate"/>
            </w:r>
            <w:r>
              <w:rPr>
                <w:noProof/>
                <w:webHidden/>
              </w:rPr>
              <w:t>11</w:t>
            </w:r>
            <w:r>
              <w:rPr>
                <w:noProof/>
                <w:webHidden/>
              </w:rPr>
              <w:fldChar w:fldCharType="end"/>
            </w:r>
          </w:hyperlink>
        </w:p>
        <w:p w14:paraId="50B162D0" w14:textId="6879ACF7" w:rsidR="00E6708C" w:rsidRDefault="00E6708C">
          <w:pPr>
            <w:pStyle w:val="TOC2"/>
            <w:tabs>
              <w:tab w:val="right" w:leader="dot" w:pos="9016"/>
            </w:tabs>
            <w:rPr>
              <w:noProof/>
            </w:rPr>
          </w:pPr>
          <w:hyperlink w:anchor="_Toc235093252" w:history="1">
            <w:r w:rsidRPr="0000646E">
              <w:rPr>
                <w:rStyle w:val="Hyperlink"/>
                <w:rFonts w:eastAsia="Calibri"/>
                <w:noProof/>
                <w:lang w:eastAsia="en-US"/>
              </w:rPr>
              <w:t>3.4 Digital Disruption, Digitalisation and Artificial Intelligence</w:t>
            </w:r>
            <w:r>
              <w:rPr>
                <w:noProof/>
                <w:webHidden/>
              </w:rPr>
              <w:tab/>
            </w:r>
            <w:r>
              <w:rPr>
                <w:noProof/>
                <w:webHidden/>
              </w:rPr>
              <w:fldChar w:fldCharType="begin"/>
            </w:r>
            <w:r>
              <w:rPr>
                <w:noProof/>
                <w:webHidden/>
              </w:rPr>
              <w:instrText xml:space="preserve"> PAGEREF _Toc235093252 \h </w:instrText>
            </w:r>
            <w:r>
              <w:rPr>
                <w:noProof/>
                <w:webHidden/>
              </w:rPr>
            </w:r>
            <w:r>
              <w:rPr>
                <w:noProof/>
                <w:webHidden/>
              </w:rPr>
              <w:fldChar w:fldCharType="separate"/>
            </w:r>
            <w:r>
              <w:rPr>
                <w:noProof/>
                <w:webHidden/>
              </w:rPr>
              <w:t>13</w:t>
            </w:r>
            <w:r>
              <w:rPr>
                <w:noProof/>
                <w:webHidden/>
              </w:rPr>
              <w:fldChar w:fldCharType="end"/>
            </w:r>
          </w:hyperlink>
        </w:p>
        <w:p w14:paraId="4028AB77" w14:textId="17D34B30" w:rsidR="00E6708C" w:rsidRDefault="00E6708C">
          <w:pPr>
            <w:pStyle w:val="TOC2"/>
            <w:tabs>
              <w:tab w:val="right" w:leader="dot" w:pos="9016"/>
            </w:tabs>
            <w:rPr>
              <w:noProof/>
            </w:rPr>
          </w:pPr>
          <w:hyperlink w:anchor="_Toc235093253" w:history="1">
            <w:r w:rsidRPr="0000646E">
              <w:rPr>
                <w:rStyle w:val="Hyperlink"/>
                <w:rFonts w:eastAsia="Calibri"/>
                <w:noProof/>
                <w:lang w:eastAsia="en-US"/>
              </w:rPr>
              <w:t>3.5 Drivers for Strategic Change</w:t>
            </w:r>
            <w:r>
              <w:rPr>
                <w:noProof/>
                <w:webHidden/>
              </w:rPr>
              <w:tab/>
            </w:r>
            <w:r>
              <w:rPr>
                <w:noProof/>
                <w:webHidden/>
              </w:rPr>
              <w:fldChar w:fldCharType="begin"/>
            </w:r>
            <w:r>
              <w:rPr>
                <w:noProof/>
                <w:webHidden/>
              </w:rPr>
              <w:instrText xml:space="preserve"> PAGEREF _Toc235093253 \h </w:instrText>
            </w:r>
            <w:r>
              <w:rPr>
                <w:noProof/>
                <w:webHidden/>
              </w:rPr>
            </w:r>
            <w:r>
              <w:rPr>
                <w:noProof/>
                <w:webHidden/>
              </w:rPr>
              <w:fldChar w:fldCharType="separate"/>
            </w:r>
            <w:r>
              <w:rPr>
                <w:noProof/>
                <w:webHidden/>
              </w:rPr>
              <w:t>13</w:t>
            </w:r>
            <w:r>
              <w:rPr>
                <w:noProof/>
                <w:webHidden/>
              </w:rPr>
              <w:fldChar w:fldCharType="end"/>
            </w:r>
          </w:hyperlink>
        </w:p>
        <w:p w14:paraId="7346CF44" w14:textId="11A2AA59" w:rsidR="00E6708C" w:rsidRDefault="00E6708C">
          <w:pPr>
            <w:pStyle w:val="TOC1"/>
            <w:tabs>
              <w:tab w:val="right" w:leader="dot" w:pos="9016"/>
            </w:tabs>
            <w:rPr>
              <w:noProof/>
            </w:rPr>
          </w:pPr>
          <w:hyperlink w:anchor="_Toc235093254" w:history="1">
            <w:r w:rsidRPr="0000646E">
              <w:rPr>
                <w:rStyle w:val="Hyperlink"/>
                <w:rFonts w:eastAsia="Calibri"/>
                <w:noProof/>
                <w:lang w:eastAsia="en-US"/>
              </w:rPr>
              <w:t>4. Evaluation of Change Management</w:t>
            </w:r>
            <w:r>
              <w:rPr>
                <w:noProof/>
                <w:webHidden/>
              </w:rPr>
              <w:tab/>
            </w:r>
            <w:r>
              <w:rPr>
                <w:noProof/>
                <w:webHidden/>
              </w:rPr>
              <w:fldChar w:fldCharType="begin"/>
            </w:r>
            <w:r>
              <w:rPr>
                <w:noProof/>
                <w:webHidden/>
              </w:rPr>
              <w:instrText xml:space="preserve"> PAGEREF _Toc235093254 \h </w:instrText>
            </w:r>
            <w:r>
              <w:rPr>
                <w:noProof/>
                <w:webHidden/>
              </w:rPr>
            </w:r>
            <w:r>
              <w:rPr>
                <w:noProof/>
                <w:webHidden/>
              </w:rPr>
              <w:fldChar w:fldCharType="separate"/>
            </w:r>
            <w:r>
              <w:rPr>
                <w:noProof/>
                <w:webHidden/>
              </w:rPr>
              <w:t>14</w:t>
            </w:r>
            <w:r>
              <w:rPr>
                <w:noProof/>
                <w:webHidden/>
              </w:rPr>
              <w:fldChar w:fldCharType="end"/>
            </w:r>
          </w:hyperlink>
        </w:p>
        <w:p w14:paraId="7E8A5823" w14:textId="1B0D6963" w:rsidR="00E6708C" w:rsidRDefault="00E6708C">
          <w:pPr>
            <w:pStyle w:val="TOC2"/>
            <w:tabs>
              <w:tab w:val="right" w:leader="dot" w:pos="9016"/>
            </w:tabs>
            <w:rPr>
              <w:noProof/>
            </w:rPr>
          </w:pPr>
          <w:hyperlink w:anchor="_Toc235093255" w:history="1">
            <w:r w:rsidRPr="0000646E">
              <w:rPr>
                <w:rStyle w:val="Hyperlink"/>
                <w:rFonts w:eastAsia="Calibri"/>
                <w:noProof/>
                <w:lang w:eastAsia="en-US"/>
              </w:rPr>
              <w:t>4.1 Strategic Change at Jaguar Land Rover</w:t>
            </w:r>
            <w:r>
              <w:rPr>
                <w:noProof/>
                <w:webHidden/>
              </w:rPr>
              <w:tab/>
            </w:r>
            <w:r>
              <w:rPr>
                <w:noProof/>
                <w:webHidden/>
              </w:rPr>
              <w:fldChar w:fldCharType="begin"/>
            </w:r>
            <w:r>
              <w:rPr>
                <w:noProof/>
                <w:webHidden/>
              </w:rPr>
              <w:instrText xml:space="preserve"> PAGEREF _Toc235093255 \h </w:instrText>
            </w:r>
            <w:r>
              <w:rPr>
                <w:noProof/>
                <w:webHidden/>
              </w:rPr>
            </w:r>
            <w:r>
              <w:rPr>
                <w:noProof/>
                <w:webHidden/>
              </w:rPr>
              <w:fldChar w:fldCharType="separate"/>
            </w:r>
            <w:r>
              <w:rPr>
                <w:noProof/>
                <w:webHidden/>
              </w:rPr>
              <w:t>14</w:t>
            </w:r>
            <w:r>
              <w:rPr>
                <w:noProof/>
                <w:webHidden/>
              </w:rPr>
              <w:fldChar w:fldCharType="end"/>
            </w:r>
          </w:hyperlink>
        </w:p>
        <w:p w14:paraId="1C644169" w14:textId="05B4B466" w:rsidR="00E6708C" w:rsidRDefault="00E6708C">
          <w:pPr>
            <w:pStyle w:val="TOC2"/>
            <w:tabs>
              <w:tab w:val="right" w:leader="dot" w:pos="9016"/>
            </w:tabs>
            <w:rPr>
              <w:noProof/>
            </w:rPr>
          </w:pPr>
          <w:hyperlink w:anchor="_Toc235093256" w:history="1">
            <w:r w:rsidRPr="0000646E">
              <w:rPr>
                <w:rStyle w:val="Hyperlink"/>
                <w:rFonts w:eastAsia="Calibri"/>
                <w:noProof/>
                <w:lang w:eastAsia="en-US"/>
              </w:rPr>
              <w:t>4.2 Lewin's Change Management Model</w:t>
            </w:r>
            <w:r>
              <w:rPr>
                <w:noProof/>
                <w:webHidden/>
              </w:rPr>
              <w:tab/>
            </w:r>
            <w:r>
              <w:rPr>
                <w:noProof/>
                <w:webHidden/>
              </w:rPr>
              <w:fldChar w:fldCharType="begin"/>
            </w:r>
            <w:r>
              <w:rPr>
                <w:noProof/>
                <w:webHidden/>
              </w:rPr>
              <w:instrText xml:space="preserve"> PAGEREF _Toc235093256 \h </w:instrText>
            </w:r>
            <w:r>
              <w:rPr>
                <w:noProof/>
                <w:webHidden/>
              </w:rPr>
            </w:r>
            <w:r>
              <w:rPr>
                <w:noProof/>
                <w:webHidden/>
              </w:rPr>
              <w:fldChar w:fldCharType="separate"/>
            </w:r>
            <w:r>
              <w:rPr>
                <w:noProof/>
                <w:webHidden/>
              </w:rPr>
              <w:t>14</w:t>
            </w:r>
            <w:r>
              <w:rPr>
                <w:noProof/>
                <w:webHidden/>
              </w:rPr>
              <w:fldChar w:fldCharType="end"/>
            </w:r>
          </w:hyperlink>
        </w:p>
        <w:p w14:paraId="4D2E1503" w14:textId="4BC98F75" w:rsidR="00E6708C" w:rsidRDefault="00E6708C">
          <w:pPr>
            <w:pStyle w:val="TOC2"/>
            <w:tabs>
              <w:tab w:val="right" w:leader="dot" w:pos="9016"/>
            </w:tabs>
            <w:rPr>
              <w:noProof/>
            </w:rPr>
          </w:pPr>
          <w:hyperlink w:anchor="_Toc235093257" w:history="1">
            <w:r w:rsidRPr="0000646E">
              <w:rPr>
                <w:rStyle w:val="Hyperlink"/>
                <w:rFonts w:eastAsia="Calibri"/>
                <w:noProof/>
                <w:lang w:eastAsia="en-US"/>
              </w:rPr>
              <w:t>4.3 Kotter's Eight-Step Change Model</w:t>
            </w:r>
            <w:r>
              <w:rPr>
                <w:noProof/>
                <w:webHidden/>
              </w:rPr>
              <w:tab/>
            </w:r>
            <w:r>
              <w:rPr>
                <w:noProof/>
                <w:webHidden/>
              </w:rPr>
              <w:fldChar w:fldCharType="begin"/>
            </w:r>
            <w:r>
              <w:rPr>
                <w:noProof/>
                <w:webHidden/>
              </w:rPr>
              <w:instrText xml:space="preserve"> PAGEREF _Toc235093257 \h </w:instrText>
            </w:r>
            <w:r>
              <w:rPr>
                <w:noProof/>
                <w:webHidden/>
              </w:rPr>
            </w:r>
            <w:r>
              <w:rPr>
                <w:noProof/>
                <w:webHidden/>
              </w:rPr>
              <w:fldChar w:fldCharType="separate"/>
            </w:r>
            <w:r>
              <w:rPr>
                <w:noProof/>
                <w:webHidden/>
              </w:rPr>
              <w:t>16</w:t>
            </w:r>
            <w:r>
              <w:rPr>
                <w:noProof/>
                <w:webHidden/>
              </w:rPr>
              <w:fldChar w:fldCharType="end"/>
            </w:r>
          </w:hyperlink>
        </w:p>
        <w:p w14:paraId="7BE8F2F2" w14:textId="78672F65" w:rsidR="00E6708C" w:rsidRDefault="00E6708C">
          <w:pPr>
            <w:pStyle w:val="TOC2"/>
            <w:tabs>
              <w:tab w:val="right" w:leader="dot" w:pos="9016"/>
            </w:tabs>
            <w:rPr>
              <w:noProof/>
            </w:rPr>
          </w:pPr>
          <w:hyperlink w:anchor="_Toc235093258" w:history="1">
            <w:r w:rsidRPr="0000646E">
              <w:rPr>
                <w:rStyle w:val="Hyperlink"/>
                <w:rFonts w:eastAsia="Calibri"/>
                <w:noProof/>
                <w:lang w:eastAsia="en-US"/>
              </w:rPr>
              <w:t>4.4 Evaluation of the Change Process</w:t>
            </w:r>
            <w:r>
              <w:rPr>
                <w:noProof/>
                <w:webHidden/>
              </w:rPr>
              <w:tab/>
            </w:r>
            <w:r>
              <w:rPr>
                <w:noProof/>
                <w:webHidden/>
              </w:rPr>
              <w:fldChar w:fldCharType="begin"/>
            </w:r>
            <w:r>
              <w:rPr>
                <w:noProof/>
                <w:webHidden/>
              </w:rPr>
              <w:instrText xml:space="preserve"> PAGEREF _Toc235093258 \h </w:instrText>
            </w:r>
            <w:r>
              <w:rPr>
                <w:noProof/>
                <w:webHidden/>
              </w:rPr>
            </w:r>
            <w:r>
              <w:rPr>
                <w:noProof/>
                <w:webHidden/>
              </w:rPr>
              <w:fldChar w:fldCharType="separate"/>
            </w:r>
            <w:r>
              <w:rPr>
                <w:noProof/>
                <w:webHidden/>
              </w:rPr>
              <w:t>17</w:t>
            </w:r>
            <w:r>
              <w:rPr>
                <w:noProof/>
                <w:webHidden/>
              </w:rPr>
              <w:fldChar w:fldCharType="end"/>
            </w:r>
          </w:hyperlink>
        </w:p>
        <w:p w14:paraId="32BD2C78" w14:textId="6852CD90" w:rsidR="00E6708C" w:rsidRDefault="00E6708C">
          <w:pPr>
            <w:pStyle w:val="TOC1"/>
            <w:tabs>
              <w:tab w:val="right" w:leader="dot" w:pos="9016"/>
            </w:tabs>
            <w:rPr>
              <w:noProof/>
            </w:rPr>
          </w:pPr>
          <w:hyperlink w:anchor="_Toc235093259" w:history="1">
            <w:r w:rsidRPr="0000646E">
              <w:rPr>
                <w:rStyle w:val="Hyperlink"/>
                <w:rFonts w:eastAsia="Calibri"/>
                <w:noProof/>
                <w:lang w:eastAsia="en-US"/>
              </w:rPr>
              <w:t>5. Leadership and Organisational Culture</w:t>
            </w:r>
            <w:r>
              <w:rPr>
                <w:noProof/>
                <w:webHidden/>
              </w:rPr>
              <w:tab/>
            </w:r>
            <w:r>
              <w:rPr>
                <w:noProof/>
                <w:webHidden/>
              </w:rPr>
              <w:fldChar w:fldCharType="begin"/>
            </w:r>
            <w:r>
              <w:rPr>
                <w:noProof/>
                <w:webHidden/>
              </w:rPr>
              <w:instrText xml:space="preserve"> PAGEREF _Toc235093259 \h </w:instrText>
            </w:r>
            <w:r>
              <w:rPr>
                <w:noProof/>
                <w:webHidden/>
              </w:rPr>
            </w:r>
            <w:r>
              <w:rPr>
                <w:noProof/>
                <w:webHidden/>
              </w:rPr>
              <w:fldChar w:fldCharType="separate"/>
            </w:r>
            <w:r>
              <w:rPr>
                <w:noProof/>
                <w:webHidden/>
              </w:rPr>
              <w:t>18</w:t>
            </w:r>
            <w:r>
              <w:rPr>
                <w:noProof/>
                <w:webHidden/>
              </w:rPr>
              <w:fldChar w:fldCharType="end"/>
            </w:r>
          </w:hyperlink>
        </w:p>
        <w:p w14:paraId="1E5FC97E" w14:textId="1086B1DE" w:rsidR="00E6708C" w:rsidRDefault="00E6708C">
          <w:pPr>
            <w:pStyle w:val="TOC2"/>
            <w:tabs>
              <w:tab w:val="right" w:leader="dot" w:pos="9016"/>
            </w:tabs>
            <w:rPr>
              <w:noProof/>
            </w:rPr>
          </w:pPr>
          <w:hyperlink w:anchor="_Toc235093260" w:history="1">
            <w:r w:rsidRPr="0000646E">
              <w:rPr>
                <w:rStyle w:val="Hyperlink"/>
                <w:rFonts w:eastAsia="Calibri"/>
                <w:noProof/>
                <w:lang w:eastAsia="en-US"/>
              </w:rPr>
              <w:t>5.1 Leadership Style</w:t>
            </w:r>
            <w:r>
              <w:rPr>
                <w:noProof/>
                <w:webHidden/>
              </w:rPr>
              <w:tab/>
            </w:r>
            <w:r>
              <w:rPr>
                <w:noProof/>
                <w:webHidden/>
              </w:rPr>
              <w:fldChar w:fldCharType="begin"/>
            </w:r>
            <w:r>
              <w:rPr>
                <w:noProof/>
                <w:webHidden/>
              </w:rPr>
              <w:instrText xml:space="preserve"> PAGEREF _Toc235093260 \h </w:instrText>
            </w:r>
            <w:r>
              <w:rPr>
                <w:noProof/>
                <w:webHidden/>
              </w:rPr>
            </w:r>
            <w:r>
              <w:rPr>
                <w:noProof/>
                <w:webHidden/>
              </w:rPr>
              <w:fldChar w:fldCharType="separate"/>
            </w:r>
            <w:r>
              <w:rPr>
                <w:noProof/>
                <w:webHidden/>
              </w:rPr>
              <w:t>18</w:t>
            </w:r>
            <w:r>
              <w:rPr>
                <w:noProof/>
                <w:webHidden/>
              </w:rPr>
              <w:fldChar w:fldCharType="end"/>
            </w:r>
          </w:hyperlink>
        </w:p>
        <w:p w14:paraId="5BC1AEB4" w14:textId="49FC6C06" w:rsidR="00E6708C" w:rsidRDefault="00E6708C">
          <w:pPr>
            <w:pStyle w:val="TOC2"/>
            <w:tabs>
              <w:tab w:val="right" w:leader="dot" w:pos="9016"/>
            </w:tabs>
            <w:rPr>
              <w:noProof/>
            </w:rPr>
          </w:pPr>
          <w:hyperlink w:anchor="_Toc235093261" w:history="1">
            <w:r w:rsidRPr="0000646E">
              <w:rPr>
                <w:rStyle w:val="Hyperlink"/>
                <w:rFonts w:eastAsia="Calibri"/>
                <w:noProof/>
                <w:lang w:eastAsia="en-US"/>
              </w:rPr>
              <w:t>5.2 Leadership's Role in Managing Change</w:t>
            </w:r>
            <w:r>
              <w:rPr>
                <w:noProof/>
                <w:webHidden/>
              </w:rPr>
              <w:tab/>
            </w:r>
            <w:r>
              <w:rPr>
                <w:noProof/>
                <w:webHidden/>
              </w:rPr>
              <w:fldChar w:fldCharType="begin"/>
            </w:r>
            <w:r>
              <w:rPr>
                <w:noProof/>
                <w:webHidden/>
              </w:rPr>
              <w:instrText xml:space="preserve"> PAGEREF _Toc235093261 \h </w:instrText>
            </w:r>
            <w:r>
              <w:rPr>
                <w:noProof/>
                <w:webHidden/>
              </w:rPr>
            </w:r>
            <w:r>
              <w:rPr>
                <w:noProof/>
                <w:webHidden/>
              </w:rPr>
              <w:fldChar w:fldCharType="separate"/>
            </w:r>
            <w:r>
              <w:rPr>
                <w:noProof/>
                <w:webHidden/>
              </w:rPr>
              <w:t>18</w:t>
            </w:r>
            <w:r>
              <w:rPr>
                <w:noProof/>
                <w:webHidden/>
              </w:rPr>
              <w:fldChar w:fldCharType="end"/>
            </w:r>
          </w:hyperlink>
        </w:p>
        <w:p w14:paraId="3058179E" w14:textId="03789AF6" w:rsidR="00E6708C" w:rsidRDefault="00E6708C">
          <w:pPr>
            <w:pStyle w:val="TOC2"/>
            <w:tabs>
              <w:tab w:val="right" w:leader="dot" w:pos="9016"/>
            </w:tabs>
            <w:rPr>
              <w:noProof/>
            </w:rPr>
          </w:pPr>
          <w:hyperlink w:anchor="_Toc235093262" w:history="1">
            <w:r w:rsidRPr="0000646E">
              <w:rPr>
                <w:rStyle w:val="Hyperlink"/>
                <w:rFonts w:eastAsia="Calibri"/>
                <w:noProof/>
                <w:lang w:eastAsia="en-US"/>
              </w:rPr>
              <w:t>5.3 Organisational Culture</w:t>
            </w:r>
            <w:r>
              <w:rPr>
                <w:noProof/>
                <w:webHidden/>
              </w:rPr>
              <w:tab/>
            </w:r>
            <w:r>
              <w:rPr>
                <w:noProof/>
                <w:webHidden/>
              </w:rPr>
              <w:fldChar w:fldCharType="begin"/>
            </w:r>
            <w:r>
              <w:rPr>
                <w:noProof/>
                <w:webHidden/>
              </w:rPr>
              <w:instrText xml:space="preserve"> PAGEREF _Toc235093262 \h </w:instrText>
            </w:r>
            <w:r>
              <w:rPr>
                <w:noProof/>
                <w:webHidden/>
              </w:rPr>
            </w:r>
            <w:r>
              <w:rPr>
                <w:noProof/>
                <w:webHidden/>
              </w:rPr>
              <w:fldChar w:fldCharType="separate"/>
            </w:r>
            <w:r>
              <w:rPr>
                <w:noProof/>
                <w:webHidden/>
              </w:rPr>
              <w:t>19</w:t>
            </w:r>
            <w:r>
              <w:rPr>
                <w:noProof/>
                <w:webHidden/>
              </w:rPr>
              <w:fldChar w:fldCharType="end"/>
            </w:r>
          </w:hyperlink>
        </w:p>
        <w:p w14:paraId="3E8ED546" w14:textId="02B795B6" w:rsidR="00E6708C" w:rsidRDefault="00E6708C">
          <w:pPr>
            <w:pStyle w:val="TOC2"/>
            <w:tabs>
              <w:tab w:val="right" w:leader="dot" w:pos="9016"/>
            </w:tabs>
            <w:rPr>
              <w:noProof/>
            </w:rPr>
          </w:pPr>
          <w:hyperlink w:anchor="_Toc235093263" w:history="1">
            <w:r w:rsidRPr="0000646E">
              <w:rPr>
                <w:rStyle w:val="Hyperlink"/>
                <w:rFonts w:eastAsia="Calibri"/>
                <w:noProof/>
                <w:lang w:eastAsia="en-US"/>
              </w:rPr>
              <w:t>5.4 Impact of Organisational Culture on Change Management</w:t>
            </w:r>
            <w:r>
              <w:rPr>
                <w:noProof/>
                <w:webHidden/>
              </w:rPr>
              <w:tab/>
            </w:r>
            <w:r>
              <w:rPr>
                <w:noProof/>
                <w:webHidden/>
              </w:rPr>
              <w:fldChar w:fldCharType="begin"/>
            </w:r>
            <w:r>
              <w:rPr>
                <w:noProof/>
                <w:webHidden/>
              </w:rPr>
              <w:instrText xml:space="preserve"> PAGEREF _Toc235093263 \h </w:instrText>
            </w:r>
            <w:r>
              <w:rPr>
                <w:noProof/>
                <w:webHidden/>
              </w:rPr>
            </w:r>
            <w:r>
              <w:rPr>
                <w:noProof/>
                <w:webHidden/>
              </w:rPr>
              <w:fldChar w:fldCharType="separate"/>
            </w:r>
            <w:r>
              <w:rPr>
                <w:noProof/>
                <w:webHidden/>
              </w:rPr>
              <w:t>19</w:t>
            </w:r>
            <w:r>
              <w:rPr>
                <w:noProof/>
                <w:webHidden/>
              </w:rPr>
              <w:fldChar w:fldCharType="end"/>
            </w:r>
          </w:hyperlink>
        </w:p>
        <w:p w14:paraId="0898C636" w14:textId="3DDB09DC" w:rsidR="00E6708C" w:rsidRDefault="00E6708C">
          <w:pPr>
            <w:pStyle w:val="TOC1"/>
            <w:tabs>
              <w:tab w:val="right" w:leader="dot" w:pos="9016"/>
            </w:tabs>
            <w:rPr>
              <w:noProof/>
            </w:rPr>
          </w:pPr>
          <w:hyperlink w:anchor="_Toc235093264" w:history="1">
            <w:r w:rsidRPr="0000646E">
              <w:rPr>
                <w:rStyle w:val="Hyperlink"/>
                <w:rFonts w:eastAsia="Calibri"/>
                <w:noProof/>
                <w:lang w:eastAsia="en-US"/>
              </w:rPr>
              <w:t>6. Proposed Strategic Change Management Plan</w:t>
            </w:r>
            <w:r>
              <w:rPr>
                <w:noProof/>
                <w:webHidden/>
              </w:rPr>
              <w:tab/>
            </w:r>
            <w:r>
              <w:rPr>
                <w:noProof/>
                <w:webHidden/>
              </w:rPr>
              <w:fldChar w:fldCharType="begin"/>
            </w:r>
            <w:r>
              <w:rPr>
                <w:noProof/>
                <w:webHidden/>
              </w:rPr>
              <w:instrText xml:space="preserve"> PAGEREF _Toc235093264 \h </w:instrText>
            </w:r>
            <w:r>
              <w:rPr>
                <w:noProof/>
                <w:webHidden/>
              </w:rPr>
            </w:r>
            <w:r>
              <w:rPr>
                <w:noProof/>
                <w:webHidden/>
              </w:rPr>
              <w:fldChar w:fldCharType="separate"/>
            </w:r>
            <w:r>
              <w:rPr>
                <w:noProof/>
                <w:webHidden/>
              </w:rPr>
              <w:t>20</w:t>
            </w:r>
            <w:r>
              <w:rPr>
                <w:noProof/>
                <w:webHidden/>
              </w:rPr>
              <w:fldChar w:fldCharType="end"/>
            </w:r>
          </w:hyperlink>
        </w:p>
        <w:p w14:paraId="67F8A8AE" w14:textId="43E47A7D" w:rsidR="00E6708C" w:rsidRDefault="00E6708C">
          <w:pPr>
            <w:pStyle w:val="TOC2"/>
            <w:tabs>
              <w:tab w:val="right" w:leader="dot" w:pos="9016"/>
            </w:tabs>
            <w:rPr>
              <w:noProof/>
            </w:rPr>
          </w:pPr>
          <w:hyperlink w:anchor="_Toc235093265" w:history="1">
            <w:r w:rsidRPr="0000646E">
              <w:rPr>
                <w:rStyle w:val="Hyperlink"/>
                <w:rFonts w:eastAsia="Calibri"/>
                <w:noProof/>
                <w:lang w:eastAsia="en-US"/>
              </w:rPr>
              <w:t>6.1 Proposed Change Initiative</w:t>
            </w:r>
            <w:r>
              <w:rPr>
                <w:noProof/>
                <w:webHidden/>
              </w:rPr>
              <w:tab/>
            </w:r>
            <w:r>
              <w:rPr>
                <w:noProof/>
                <w:webHidden/>
              </w:rPr>
              <w:fldChar w:fldCharType="begin"/>
            </w:r>
            <w:r>
              <w:rPr>
                <w:noProof/>
                <w:webHidden/>
              </w:rPr>
              <w:instrText xml:space="preserve"> PAGEREF _Toc235093265 \h </w:instrText>
            </w:r>
            <w:r>
              <w:rPr>
                <w:noProof/>
                <w:webHidden/>
              </w:rPr>
            </w:r>
            <w:r>
              <w:rPr>
                <w:noProof/>
                <w:webHidden/>
              </w:rPr>
              <w:fldChar w:fldCharType="separate"/>
            </w:r>
            <w:r>
              <w:rPr>
                <w:noProof/>
                <w:webHidden/>
              </w:rPr>
              <w:t>20</w:t>
            </w:r>
            <w:r>
              <w:rPr>
                <w:noProof/>
                <w:webHidden/>
              </w:rPr>
              <w:fldChar w:fldCharType="end"/>
            </w:r>
          </w:hyperlink>
        </w:p>
        <w:p w14:paraId="496C1BB6" w14:textId="27AD793A" w:rsidR="00E6708C" w:rsidRDefault="00E6708C">
          <w:pPr>
            <w:pStyle w:val="TOC2"/>
            <w:tabs>
              <w:tab w:val="right" w:leader="dot" w:pos="9016"/>
            </w:tabs>
            <w:rPr>
              <w:noProof/>
            </w:rPr>
          </w:pPr>
          <w:hyperlink w:anchor="_Toc235093266" w:history="1">
            <w:r w:rsidRPr="0000646E">
              <w:rPr>
                <w:rStyle w:val="Hyperlink"/>
                <w:rFonts w:eastAsia="Calibri"/>
                <w:noProof/>
                <w:lang w:eastAsia="en-US"/>
              </w:rPr>
              <w:t>6.2 Strategic Objectives</w:t>
            </w:r>
            <w:r>
              <w:rPr>
                <w:noProof/>
                <w:webHidden/>
              </w:rPr>
              <w:tab/>
            </w:r>
            <w:r>
              <w:rPr>
                <w:noProof/>
                <w:webHidden/>
              </w:rPr>
              <w:fldChar w:fldCharType="begin"/>
            </w:r>
            <w:r>
              <w:rPr>
                <w:noProof/>
                <w:webHidden/>
              </w:rPr>
              <w:instrText xml:space="preserve"> PAGEREF _Toc235093266 \h </w:instrText>
            </w:r>
            <w:r>
              <w:rPr>
                <w:noProof/>
                <w:webHidden/>
              </w:rPr>
            </w:r>
            <w:r>
              <w:rPr>
                <w:noProof/>
                <w:webHidden/>
              </w:rPr>
              <w:fldChar w:fldCharType="separate"/>
            </w:r>
            <w:r>
              <w:rPr>
                <w:noProof/>
                <w:webHidden/>
              </w:rPr>
              <w:t>20</w:t>
            </w:r>
            <w:r>
              <w:rPr>
                <w:noProof/>
                <w:webHidden/>
              </w:rPr>
              <w:fldChar w:fldCharType="end"/>
            </w:r>
          </w:hyperlink>
        </w:p>
        <w:p w14:paraId="537002A9" w14:textId="2189E78A" w:rsidR="00E6708C" w:rsidRDefault="00E6708C">
          <w:pPr>
            <w:pStyle w:val="TOC2"/>
            <w:tabs>
              <w:tab w:val="right" w:leader="dot" w:pos="9016"/>
            </w:tabs>
            <w:rPr>
              <w:noProof/>
            </w:rPr>
          </w:pPr>
          <w:hyperlink w:anchor="_Toc235093267" w:history="1">
            <w:r w:rsidRPr="0000646E">
              <w:rPr>
                <w:rStyle w:val="Hyperlink"/>
                <w:rFonts w:eastAsia="Calibri"/>
                <w:noProof/>
                <w:lang w:eastAsia="en-US"/>
              </w:rPr>
              <w:t>6.3 Implementation Plan</w:t>
            </w:r>
            <w:r>
              <w:rPr>
                <w:noProof/>
                <w:webHidden/>
              </w:rPr>
              <w:tab/>
            </w:r>
            <w:r>
              <w:rPr>
                <w:noProof/>
                <w:webHidden/>
              </w:rPr>
              <w:fldChar w:fldCharType="begin"/>
            </w:r>
            <w:r>
              <w:rPr>
                <w:noProof/>
                <w:webHidden/>
              </w:rPr>
              <w:instrText xml:space="preserve"> PAGEREF _Toc235093267 \h </w:instrText>
            </w:r>
            <w:r>
              <w:rPr>
                <w:noProof/>
                <w:webHidden/>
              </w:rPr>
            </w:r>
            <w:r>
              <w:rPr>
                <w:noProof/>
                <w:webHidden/>
              </w:rPr>
              <w:fldChar w:fldCharType="separate"/>
            </w:r>
            <w:r>
              <w:rPr>
                <w:noProof/>
                <w:webHidden/>
              </w:rPr>
              <w:t>20</w:t>
            </w:r>
            <w:r>
              <w:rPr>
                <w:noProof/>
                <w:webHidden/>
              </w:rPr>
              <w:fldChar w:fldCharType="end"/>
            </w:r>
          </w:hyperlink>
        </w:p>
        <w:p w14:paraId="0B22FCAB" w14:textId="6AC35417" w:rsidR="00E6708C" w:rsidRDefault="00E6708C">
          <w:pPr>
            <w:pStyle w:val="TOC2"/>
            <w:tabs>
              <w:tab w:val="right" w:leader="dot" w:pos="9016"/>
            </w:tabs>
            <w:rPr>
              <w:noProof/>
            </w:rPr>
          </w:pPr>
          <w:hyperlink w:anchor="_Toc235093268" w:history="1">
            <w:r w:rsidRPr="0000646E">
              <w:rPr>
                <w:rStyle w:val="Hyperlink"/>
                <w:rFonts w:eastAsia="Calibri"/>
                <w:noProof/>
                <w:lang w:eastAsia="en-US"/>
              </w:rPr>
              <w:t>6.4 Financial Plan</w:t>
            </w:r>
            <w:r>
              <w:rPr>
                <w:noProof/>
                <w:webHidden/>
              </w:rPr>
              <w:tab/>
            </w:r>
            <w:r>
              <w:rPr>
                <w:noProof/>
                <w:webHidden/>
              </w:rPr>
              <w:fldChar w:fldCharType="begin"/>
            </w:r>
            <w:r>
              <w:rPr>
                <w:noProof/>
                <w:webHidden/>
              </w:rPr>
              <w:instrText xml:space="preserve"> PAGEREF _Toc235093268 \h </w:instrText>
            </w:r>
            <w:r>
              <w:rPr>
                <w:noProof/>
                <w:webHidden/>
              </w:rPr>
            </w:r>
            <w:r>
              <w:rPr>
                <w:noProof/>
                <w:webHidden/>
              </w:rPr>
              <w:fldChar w:fldCharType="separate"/>
            </w:r>
            <w:r>
              <w:rPr>
                <w:noProof/>
                <w:webHidden/>
              </w:rPr>
              <w:t>21</w:t>
            </w:r>
            <w:r>
              <w:rPr>
                <w:noProof/>
                <w:webHidden/>
              </w:rPr>
              <w:fldChar w:fldCharType="end"/>
            </w:r>
          </w:hyperlink>
        </w:p>
        <w:p w14:paraId="5843D57B" w14:textId="10B433D0" w:rsidR="00E6708C" w:rsidRDefault="00E6708C">
          <w:pPr>
            <w:pStyle w:val="TOC2"/>
            <w:tabs>
              <w:tab w:val="right" w:leader="dot" w:pos="9016"/>
            </w:tabs>
            <w:rPr>
              <w:noProof/>
            </w:rPr>
          </w:pPr>
          <w:hyperlink w:anchor="_Toc235093269" w:history="1">
            <w:r w:rsidRPr="0000646E">
              <w:rPr>
                <w:rStyle w:val="Hyperlink"/>
                <w:rFonts w:eastAsia="Calibri"/>
                <w:noProof/>
                <w:lang w:eastAsia="en-US"/>
              </w:rPr>
              <w:t>6.5 Communication Plan</w:t>
            </w:r>
            <w:r>
              <w:rPr>
                <w:noProof/>
                <w:webHidden/>
              </w:rPr>
              <w:tab/>
            </w:r>
            <w:r>
              <w:rPr>
                <w:noProof/>
                <w:webHidden/>
              </w:rPr>
              <w:fldChar w:fldCharType="begin"/>
            </w:r>
            <w:r>
              <w:rPr>
                <w:noProof/>
                <w:webHidden/>
              </w:rPr>
              <w:instrText xml:space="preserve"> PAGEREF _Toc235093269 \h </w:instrText>
            </w:r>
            <w:r>
              <w:rPr>
                <w:noProof/>
                <w:webHidden/>
              </w:rPr>
            </w:r>
            <w:r>
              <w:rPr>
                <w:noProof/>
                <w:webHidden/>
              </w:rPr>
              <w:fldChar w:fldCharType="separate"/>
            </w:r>
            <w:r>
              <w:rPr>
                <w:noProof/>
                <w:webHidden/>
              </w:rPr>
              <w:t>22</w:t>
            </w:r>
            <w:r>
              <w:rPr>
                <w:noProof/>
                <w:webHidden/>
              </w:rPr>
              <w:fldChar w:fldCharType="end"/>
            </w:r>
          </w:hyperlink>
        </w:p>
        <w:p w14:paraId="3D61B3B7" w14:textId="31387F6F" w:rsidR="00E6708C" w:rsidRDefault="00E6708C">
          <w:pPr>
            <w:pStyle w:val="TOC2"/>
            <w:tabs>
              <w:tab w:val="right" w:leader="dot" w:pos="9016"/>
            </w:tabs>
            <w:rPr>
              <w:noProof/>
            </w:rPr>
          </w:pPr>
          <w:hyperlink w:anchor="_Toc235093270" w:history="1">
            <w:r w:rsidRPr="0000646E">
              <w:rPr>
                <w:rStyle w:val="Hyperlink"/>
                <w:rFonts w:eastAsia="Calibri"/>
                <w:noProof/>
                <w:lang w:eastAsia="en-US"/>
              </w:rPr>
              <w:t>6.6 Risk Management Plan</w:t>
            </w:r>
            <w:r>
              <w:rPr>
                <w:noProof/>
                <w:webHidden/>
              </w:rPr>
              <w:tab/>
            </w:r>
            <w:r>
              <w:rPr>
                <w:noProof/>
                <w:webHidden/>
              </w:rPr>
              <w:fldChar w:fldCharType="begin"/>
            </w:r>
            <w:r>
              <w:rPr>
                <w:noProof/>
                <w:webHidden/>
              </w:rPr>
              <w:instrText xml:space="preserve"> PAGEREF _Toc235093270 \h </w:instrText>
            </w:r>
            <w:r>
              <w:rPr>
                <w:noProof/>
                <w:webHidden/>
              </w:rPr>
            </w:r>
            <w:r>
              <w:rPr>
                <w:noProof/>
                <w:webHidden/>
              </w:rPr>
              <w:fldChar w:fldCharType="separate"/>
            </w:r>
            <w:r>
              <w:rPr>
                <w:noProof/>
                <w:webHidden/>
              </w:rPr>
              <w:t>23</w:t>
            </w:r>
            <w:r>
              <w:rPr>
                <w:noProof/>
                <w:webHidden/>
              </w:rPr>
              <w:fldChar w:fldCharType="end"/>
            </w:r>
          </w:hyperlink>
        </w:p>
        <w:p w14:paraId="683839C3" w14:textId="71DF9976" w:rsidR="00E6708C" w:rsidRDefault="00E6708C">
          <w:pPr>
            <w:pStyle w:val="TOC1"/>
            <w:tabs>
              <w:tab w:val="right" w:leader="dot" w:pos="9016"/>
            </w:tabs>
            <w:rPr>
              <w:noProof/>
            </w:rPr>
          </w:pPr>
          <w:hyperlink w:anchor="_Toc235093271" w:history="1">
            <w:r w:rsidRPr="0000646E">
              <w:rPr>
                <w:rStyle w:val="Hyperlink"/>
                <w:rFonts w:eastAsia="Calibri"/>
                <w:noProof/>
                <w:lang w:eastAsia="en-US"/>
              </w:rPr>
              <w:t>7. Conclusion and recommendations</w:t>
            </w:r>
            <w:r>
              <w:rPr>
                <w:noProof/>
                <w:webHidden/>
              </w:rPr>
              <w:tab/>
            </w:r>
            <w:r>
              <w:rPr>
                <w:noProof/>
                <w:webHidden/>
              </w:rPr>
              <w:fldChar w:fldCharType="begin"/>
            </w:r>
            <w:r>
              <w:rPr>
                <w:noProof/>
                <w:webHidden/>
              </w:rPr>
              <w:instrText xml:space="preserve"> PAGEREF _Toc235093271 \h </w:instrText>
            </w:r>
            <w:r>
              <w:rPr>
                <w:noProof/>
                <w:webHidden/>
              </w:rPr>
            </w:r>
            <w:r>
              <w:rPr>
                <w:noProof/>
                <w:webHidden/>
              </w:rPr>
              <w:fldChar w:fldCharType="separate"/>
            </w:r>
            <w:r>
              <w:rPr>
                <w:noProof/>
                <w:webHidden/>
              </w:rPr>
              <w:t>24</w:t>
            </w:r>
            <w:r>
              <w:rPr>
                <w:noProof/>
                <w:webHidden/>
              </w:rPr>
              <w:fldChar w:fldCharType="end"/>
            </w:r>
          </w:hyperlink>
        </w:p>
        <w:p w14:paraId="500CD637" w14:textId="247FD1A3" w:rsidR="00E6708C" w:rsidRDefault="00E6708C">
          <w:pPr>
            <w:pStyle w:val="TOC1"/>
            <w:tabs>
              <w:tab w:val="right" w:leader="dot" w:pos="9016"/>
            </w:tabs>
            <w:rPr>
              <w:noProof/>
            </w:rPr>
          </w:pPr>
          <w:hyperlink w:anchor="_Toc235093272" w:history="1">
            <w:r w:rsidRPr="0000646E">
              <w:rPr>
                <w:rStyle w:val="Hyperlink"/>
                <w:rFonts w:eastAsia="Calibri"/>
                <w:noProof/>
                <w:lang w:eastAsia="en-US"/>
              </w:rPr>
              <w:t>8. List of references</w:t>
            </w:r>
            <w:r>
              <w:rPr>
                <w:noProof/>
                <w:webHidden/>
              </w:rPr>
              <w:tab/>
            </w:r>
            <w:r>
              <w:rPr>
                <w:noProof/>
                <w:webHidden/>
              </w:rPr>
              <w:fldChar w:fldCharType="begin"/>
            </w:r>
            <w:r>
              <w:rPr>
                <w:noProof/>
                <w:webHidden/>
              </w:rPr>
              <w:instrText xml:space="preserve"> PAGEREF _Toc235093272 \h </w:instrText>
            </w:r>
            <w:r>
              <w:rPr>
                <w:noProof/>
                <w:webHidden/>
              </w:rPr>
            </w:r>
            <w:r>
              <w:rPr>
                <w:noProof/>
                <w:webHidden/>
              </w:rPr>
              <w:fldChar w:fldCharType="separate"/>
            </w:r>
            <w:r>
              <w:rPr>
                <w:noProof/>
                <w:webHidden/>
              </w:rPr>
              <w:t>25</w:t>
            </w:r>
            <w:r>
              <w:rPr>
                <w:noProof/>
                <w:webHidden/>
              </w:rPr>
              <w:fldChar w:fldCharType="end"/>
            </w:r>
          </w:hyperlink>
        </w:p>
        <w:p w14:paraId="67AA2575" w14:textId="569A164E" w:rsidR="00E6708C" w:rsidRDefault="00E6708C">
          <w:r>
            <w:rPr>
              <w:b/>
              <w:bCs/>
            </w:rPr>
            <w:fldChar w:fldCharType="end"/>
          </w:r>
        </w:p>
      </w:sdtContent>
    </w:sdt>
    <w:p w14:paraId="359BAE88" w14:textId="77777777" w:rsidR="008D78D8" w:rsidRPr="00B8537A" w:rsidRDefault="008D78D8" w:rsidP="008D78D8">
      <w:pPr>
        <w:spacing w:before="120" w:after="120"/>
        <w:rPr>
          <w:rFonts w:ascii="Arial" w:hAnsi="Arial" w:cs="Arial"/>
          <w:sz w:val="22"/>
          <w:szCs w:val="22"/>
        </w:rPr>
      </w:pPr>
    </w:p>
    <w:p w14:paraId="14B66AB7" w14:textId="77777777" w:rsidR="00051AE5" w:rsidRPr="00B8537A" w:rsidRDefault="00051AE5" w:rsidP="005B567D">
      <w:pPr>
        <w:spacing w:after="160" w:line="259" w:lineRule="auto"/>
        <w:rPr>
          <w:rFonts w:eastAsia="Calibri"/>
          <w:kern w:val="2"/>
          <w:sz w:val="24"/>
          <w:szCs w:val="24"/>
          <w:lang w:eastAsia="en-US"/>
          <w14:ligatures w14:val="standardContextual"/>
        </w:rPr>
      </w:pPr>
    </w:p>
    <w:p w14:paraId="1FC76619" w14:textId="77777777" w:rsidR="005B567D" w:rsidRPr="00B8537A" w:rsidRDefault="005B567D" w:rsidP="005B567D">
      <w:pPr>
        <w:spacing w:after="160" w:line="259" w:lineRule="auto"/>
        <w:rPr>
          <w:rFonts w:eastAsia="Calibri"/>
          <w:kern w:val="2"/>
          <w:sz w:val="24"/>
          <w:szCs w:val="24"/>
          <w:lang w:eastAsia="en-US"/>
          <w14:ligatures w14:val="standardContextual"/>
        </w:rPr>
      </w:pPr>
    </w:p>
    <w:p w14:paraId="2EDF428B" w14:textId="77777777" w:rsidR="00E6708C" w:rsidRDefault="0078268E" w:rsidP="00E6708C">
      <w:pPr>
        <w:pStyle w:val="Heading1"/>
        <w:rPr>
          <w:rFonts w:eastAsia="Calibri"/>
          <w:lang w:eastAsia="en-US"/>
        </w:rPr>
      </w:pPr>
      <w:bookmarkStart w:id="0" w:name="_Toc235093239"/>
      <w:r w:rsidRPr="00B8537A">
        <w:rPr>
          <w:rFonts w:eastAsia="Calibri"/>
          <w:bCs w:val="0"/>
          <w:lang w:eastAsia="en-US"/>
        </w:rPr>
        <w:lastRenderedPageBreak/>
        <w:t>1. Introduction</w:t>
      </w:r>
      <w:bookmarkEnd w:id="0"/>
      <w:r w:rsidRPr="00B8537A">
        <w:rPr>
          <w:rFonts w:eastAsia="Calibri"/>
          <w:bCs w:val="0"/>
          <w:lang w:eastAsia="en-US"/>
        </w:rPr>
        <w:br/>
      </w:r>
    </w:p>
    <w:p w14:paraId="4B8FBDB7" w14:textId="5EB05CA6" w:rsidR="0078268E" w:rsidRPr="00B8537A" w:rsidRDefault="0078268E" w:rsidP="00E6708C">
      <w:pPr>
        <w:pStyle w:val="Heading2"/>
        <w:rPr>
          <w:rFonts w:eastAsia="Calibri"/>
          <w:lang w:eastAsia="en-US"/>
        </w:rPr>
      </w:pPr>
      <w:bookmarkStart w:id="1" w:name="_Toc235093240"/>
      <w:r w:rsidRPr="00B8537A">
        <w:rPr>
          <w:rFonts w:eastAsia="Calibri"/>
          <w:lang w:eastAsia="en-US"/>
        </w:rPr>
        <w:t>1.1 Background of Jaguar Land Rover</w:t>
      </w:r>
      <w:bookmarkEnd w:id="1"/>
    </w:p>
    <w:p w14:paraId="1A56FEF3" w14:textId="59152CD4" w:rsidR="009F3158" w:rsidRPr="00B8537A" w:rsidRDefault="009F3158" w:rsidP="009F3158">
      <w:pPr>
        <w:spacing w:after="160" w:line="259" w:lineRule="auto"/>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 xml:space="preserve">The largest luxury car maker in the </w:t>
      </w:r>
      <w:r w:rsidR="009B1B26">
        <w:rPr>
          <w:rFonts w:eastAsia="Calibri"/>
          <w:kern w:val="2"/>
          <w:sz w:val="24"/>
          <w:szCs w:val="24"/>
          <w:lang w:eastAsia="en-US"/>
          <w14:ligatures w14:val="standardContextual"/>
        </w:rPr>
        <w:t>UK</w:t>
      </w:r>
      <w:r w:rsidRPr="00B8537A">
        <w:rPr>
          <w:rFonts w:eastAsia="Calibri"/>
          <w:kern w:val="2"/>
          <w:sz w:val="24"/>
          <w:szCs w:val="24"/>
          <w:lang w:eastAsia="en-US"/>
          <w14:ligatures w14:val="standardContextual"/>
        </w:rPr>
        <w:t xml:space="preserve"> is </w:t>
      </w:r>
      <w:r w:rsidR="009B1B26">
        <w:rPr>
          <w:rFonts w:eastAsia="Calibri"/>
          <w:kern w:val="2"/>
          <w:sz w:val="24"/>
          <w:szCs w:val="24"/>
          <w:lang w:eastAsia="en-US"/>
          <w14:ligatures w14:val="standardContextual"/>
        </w:rPr>
        <w:t>JLR</w:t>
      </w:r>
      <w:r w:rsidRPr="00B8537A">
        <w:rPr>
          <w:rFonts w:eastAsia="Calibri"/>
          <w:kern w:val="2"/>
          <w:sz w:val="24"/>
          <w:szCs w:val="24"/>
          <w:lang w:eastAsia="en-US"/>
          <w14:ligatures w14:val="standardContextual"/>
        </w:rPr>
        <w:t xml:space="preserve">(JLR), which has been a wholly owned subsidiary of Tata Motors following its takeover from Ford Motor Company in 2008. JLR has its international headquarters at Whitley, Coventry, with </w:t>
      </w:r>
      <w:r w:rsidR="007450C5">
        <w:rPr>
          <w:rFonts w:eastAsia="Calibri"/>
          <w:kern w:val="2"/>
          <w:sz w:val="24"/>
          <w:szCs w:val="24"/>
          <w:lang w:eastAsia="en-US"/>
          <w14:ligatures w14:val="standardContextual"/>
        </w:rPr>
        <w:t xml:space="preserve">the </w:t>
      </w:r>
      <w:r w:rsidRPr="00B8537A">
        <w:rPr>
          <w:rFonts w:eastAsia="Calibri"/>
          <w:kern w:val="2"/>
          <w:sz w:val="24"/>
          <w:szCs w:val="24"/>
          <w:lang w:eastAsia="en-US"/>
          <w14:ligatures w14:val="standardContextual"/>
        </w:rPr>
        <w:t xml:space="preserve">vehicle manufacture in various UK plants, Solihull, Halewood and Wolverhampton. The Range Rover, Defender, Discovery and Jaguar make up the products range designed, engineered and marketed by JLR to be sold in over 120 nations worldwide. For the financial year ending 31 March 2025, the revenues of JLR amounted to £29.0 billion, with an employment of some 43,000 workers. The sale figures indicate the importance of the international markets in generating </w:t>
      </w:r>
      <w:proofErr w:type="gramStart"/>
      <w:r w:rsidRPr="00B8537A">
        <w:rPr>
          <w:rFonts w:eastAsia="Calibri"/>
          <w:kern w:val="2"/>
          <w:sz w:val="24"/>
          <w:szCs w:val="24"/>
          <w:lang w:eastAsia="en-US"/>
          <w14:ligatures w14:val="standardContextual"/>
        </w:rPr>
        <w:t>the majority of</w:t>
      </w:r>
      <w:proofErr w:type="gramEnd"/>
      <w:r w:rsidRPr="00B8537A">
        <w:rPr>
          <w:rFonts w:eastAsia="Calibri"/>
          <w:kern w:val="2"/>
          <w:sz w:val="24"/>
          <w:szCs w:val="24"/>
          <w:lang w:eastAsia="en-US"/>
          <w14:ligatures w14:val="standardContextual"/>
        </w:rPr>
        <w:t xml:space="preserve"> sales and the company's importance to the UK's manufacturing and export sectors (Jaguar Land Rover, 2025).</w:t>
      </w:r>
    </w:p>
    <w:p w14:paraId="2417AFE9" w14:textId="77777777" w:rsidR="009F3158" w:rsidRPr="00B8537A" w:rsidRDefault="009F3158" w:rsidP="009F3158">
      <w:pPr>
        <w:spacing w:after="160" w:line="259" w:lineRule="auto"/>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The importance of JLR in relation to the UK automotive industry is not based only on production volumes but rather due to the company's leading position in the industry as far as the movement towards electrification, software-defined cars and digital manufacturing are concerned. JLR Reimagine strategy sees Jaguar becoming an all-electric luxury car brand, whereas electrification is being extended to Range Rover, Defender and Discovery products. Such a move results from the regulatory environment pressures associated with the UK's Zero Emission Vehicle (ZEV) Mandate, carbon emissions reductions and rising competition from established automotive companies and electric vehicle newcomers. JLR can thus serve as a good case study in analysing the impact of external environmental influences and technological disruptions along with the organisational capabilities on strategy making process (Jaguar Land Rover, 2025; SMMT, 2025).</w:t>
      </w:r>
      <w:r w:rsidR="0078268E" w:rsidRPr="00B8537A">
        <w:rPr>
          <w:rFonts w:eastAsia="Calibri"/>
          <w:kern w:val="2"/>
          <w:sz w:val="24"/>
          <w:szCs w:val="24"/>
          <w:lang w:eastAsia="en-US"/>
          <w14:ligatures w14:val="standardContextual"/>
        </w:rPr>
        <w:br/>
      </w:r>
    </w:p>
    <w:p w14:paraId="7F24E73D" w14:textId="77777777" w:rsidR="00350BF1" w:rsidRPr="00B8537A" w:rsidRDefault="0078268E" w:rsidP="00E6708C">
      <w:pPr>
        <w:pStyle w:val="Heading2"/>
        <w:rPr>
          <w:rFonts w:eastAsia="Calibri"/>
          <w:lang w:eastAsia="en-US"/>
        </w:rPr>
      </w:pPr>
      <w:bookmarkStart w:id="2" w:name="_Toc235093241"/>
      <w:r w:rsidRPr="00B8537A">
        <w:rPr>
          <w:rFonts w:eastAsia="Calibri"/>
          <w:lang w:eastAsia="en-US"/>
        </w:rPr>
        <w:t>1.2 Purpose of the Report</w:t>
      </w:r>
      <w:bookmarkEnd w:id="2"/>
    </w:p>
    <w:p w14:paraId="64155654" w14:textId="48E3D60F" w:rsidR="00350BF1" w:rsidRPr="00B8537A" w:rsidRDefault="00350BF1" w:rsidP="009F3158">
      <w:pPr>
        <w:spacing w:after="160" w:line="259" w:lineRule="auto"/>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 xml:space="preserve">This report analyses the internal and external forces that drive strategic change for </w:t>
      </w:r>
      <w:proofErr w:type="spellStart"/>
      <w:r w:rsidR="009B1B26">
        <w:rPr>
          <w:rFonts w:eastAsia="Calibri"/>
          <w:kern w:val="2"/>
          <w:sz w:val="24"/>
          <w:szCs w:val="24"/>
          <w:lang w:eastAsia="en-US"/>
          <w14:ligatures w14:val="standardContextual"/>
        </w:rPr>
        <w:t>JLR</w:t>
      </w:r>
      <w:r w:rsidRPr="00B8537A">
        <w:rPr>
          <w:rFonts w:eastAsia="Calibri"/>
          <w:kern w:val="2"/>
          <w:sz w:val="24"/>
          <w:szCs w:val="24"/>
          <w:lang w:eastAsia="en-US"/>
          <w14:ligatures w14:val="standardContextual"/>
        </w:rPr>
        <w:t>in</w:t>
      </w:r>
      <w:proofErr w:type="spellEnd"/>
      <w:r w:rsidRPr="00B8537A">
        <w:rPr>
          <w:rFonts w:eastAsia="Calibri"/>
          <w:kern w:val="2"/>
          <w:sz w:val="24"/>
          <w:szCs w:val="24"/>
          <w:lang w:eastAsia="en-US"/>
          <w14:ligatures w14:val="standardContextual"/>
        </w:rPr>
        <w:t xml:space="preserve"> the automotive industry in the UK. In this report, the strategic change management practices of </w:t>
      </w:r>
      <w:proofErr w:type="spellStart"/>
      <w:r w:rsidR="009B1B26">
        <w:rPr>
          <w:rFonts w:eastAsia="Calibri"/>
          <w:kern w:val="2"/>
          <w:sz w:val="24"/>
          <w:szCs w:val="24"/>
          <w:lang w:eastAsia="en-US"/>
          <w14:ligatures w14:val="standardContextual"/>
        </w:rPr>
        <w:t>JLR</w:t>
      </w:r>
      <w:r w:rsidRPr="00B8537A">
        <w:rPr>
          <w:rFonts w:eastAsia="Calibri"/>
          <w:kern w:val="2"/>
          <w:sz w:val="24"/>
          <w:szCs w:val="24"/>
          <w:lang w:eastAsia="en-US"/>
          <w14:ligatures w14:val="standardContextual"/>
        </w:rPr>
        <w:t>are</w:t>
      </w:r>
      <w:proofErr w:type="spellEnd"/>
      <w:r w:rsidRPr="00B8537A">
        <w:rPr>
          <w:rFonts w:eastAsia="Calibri"/>
          <w:kern w:val="2"/>
          <w:sz w:val="24"/>
          <w:szCs w:val="24"/>
          <w:lang w:eastAsia="en-US"/>
          <w14:ligatures w14:val="standardContextual"/>
        </w:rPr>
        <w:t xml:space="preserve"> critically </w:t>
      </w:r>
      <w:r w:rsidR="00CA5E9D" w:rsidRPr="00B8537A">
        <w:rPr>
          <w:rFonts w:eastAsia="Calibri"/>
          <w:kern w:val="2"/>
          <w:sz w:val="24"/>
          <w:szCs w:val="24"/>
          <w:lang w:eastAsia="en-US"/>
          <w14:ligatures w14:val="standardContextual"/>
        </w:rPr>
        <w:t>analysed</w:t>
      </w:r>
      <w:r w:rsidRPr="00B8537A">
        <w:rPr>
          <w:rFonts w:eastAsia="Calibri"/>
          <w:kern w:val="2"/>
          <w:sz w:val="24"/>
          <w:szCs w:val="24"/>
          <w:lang w:eastAsia="en-US"/>
          <w14:ligatures w14:val="standardContextual"/>
        </w:rPr>
        <w:t xml:space="preserve">. The contribution of the leaders and organizational culture in the management of strategic change is examined in the report. Strategic change management plan is also formulated for </w:t>
      </w:r>
      <w:r w:rsidR="007450C5">
        <w:rPr>
          <w:rFonts w:eastAsia="Calibri"/>
          <w:kern w:val="2"/>
          <w:sz w:val="24"/>
          <w:szCs w:val="24"/>
          <w:lang w:eastAsia="en-US"/>
          <w14:ligatures w14:val="standardContextual"/>
        </w:rPr>
        <w:t>JLR.</w:t>
      </w:r>
    </w:p>
    <w:p w14:paraId="7233F89E" w14:textId="017E4478" w:rsidR="0078268E" w:rsidRPr="00B8537A" w:rsidRDefault="0078268E" w:rsidP="00E6708C">
      <w:pPr>
        <w:pStyle w:val="Heading2"/>
        <w:rPr>
          <w:rFonts w:eastAsia="Calibri"/>
          <w:lang w:eastAsia="en-US"/>
        </w:rPr>
      </w:pPr>
      <w:bookmarkStart w:id="3" w:name="_Toc235093242"/>
      <w:r w:rsidRPr="00B8537A">
        <w:rPr>
          <w:rFonts w:eastAsia="Calibri"/>
          <w:lang w:eastAsia="en-US"/>
        </w:rPr>
        <w:t>1.3 Scope of the Report</w:t>
      </w:r>
      <w:bookmarkEnd w:id="3"/>
    </w:p>
    <w:p w14:paraId="24B3E1D2" w14:textId="7B665D01" w:rsidR="005B567D" w:rsidRPr="00B8537A" w:rsidRDefault="00E93EB5" w:rsidP="005B567D">
      <w:pPr>
        <w:spacing w:after="160" w:line="259" w:lineRule="auto"/>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 xml:space="preserve">The report analyses the business environment both within and outside </w:t>
      </w:r>
      <w:proofErr w:type="spellStart"/>
      <w:r w:rsidR="009B1B26">
        <w:rPr>
          <w:rFonts w:eastAsia="Calibri"/>
          <w:kern w:val="2"/>
          <w:sz w:val="24"/>
          <w:szCs w:val="24"/>
          <w:lang w:eastAsia="en-US"/>
          <w14:ligatures w14:val="standardContextual"/>
        </w:rPr>
        <w:t>JLR</w:t>
      </w:r>
      <w:r w:rsidRPr="00B8537A">
        <w:rPr>
          <w:rFonts w:eastAsia="Calibri"/>
          <w:kern w:val="2"/>
          <w:sz w:val="24"/>
          <w:szCs w:val="24"/>
          <w:lang w:eastAsia="en-US"/>
          <w14:ligatures w14:val="standardContextual"/>
        </w:rPr>
        <w:t>in</w:t>
      </w:r>
      <w:proofErr w:type="spellEnd"/>
      <w:r w:rsidRPr="00B8537A">
        <w:rPr>
          <w:rFonts w:eastAsia="Calibri"/>
          <w:kern w:val="2"/>
          <w:sz w:val="24"/>
          <w:szCs w:val="24"/>
          <w:lang w:eastAsia="en-US"/>
          <w14:ligatures w14:val="standardContextual"/>
        </w:rPr>
        <w:t xml:space="preserve"> order to determine the driving forces behind the need for strategic changes. The report utilises theories associated with change management and leadership. In addition, the report analyses the effect of organizational culture on change implementation. This is then followed by the strategic change management plan.</w:t>
      </w:r>
    </w:p>
    <w:p w14:paraId="4EB932FF" w14:textId="77777777" w:rsidR="00E93EB5" w:rsidRPr="00B8537A" w:rsidRDefault="00E93EB5" w:rsidP="005B567D">
      <w:pPr>
        <w:spacing w:after="160" w:line="259" w:lineRule="auto"/>
        <w:rPr>
          <w:rFonts w:eastAsia="Calibri"/>
          <w:kern w:val="2"/>
          <w:sz w:val="24"/>
          <w:szCs w:val="24"/>
          <w:lang w:eastAsia="en-US"/>
          <w14:ligatures w14:val="standardContextual"/>
        </w:rPr>
      </w:pPr>
    </w:p>
    <w:p w14:paraId="0A9F22F3" w14:textId="77777777" w:rsidR="005B567D" w:rsidRPr="00B8537A" w:rsidRDefault="005B567D" w:rsidP="005B567D">
      <w:pPr>
        <w:spacing w:after="160" w:line="259" w:lineRule="auto"/>
        <w:rPr>
          <w:rFonts w:eastAsia="Calibri"/>
          <w:kern w:val="2"/>
          <w:sz w:val="24"/>
          <w:szCs w:val="24"/>
          <w:lang w:eastAsia="en-US"/>
          <w14:ligatures w14:val="standardContextual"/>
        </w:rPr>
      </w:pPr>
    </w:p>
    <w:p w14:paraId="5CA05228" w14:textId="77777777" w:rsidR="00E6708C" w:rsidRDefault="00E93EB5" w:rsidP="00E6708C">
      <w:pPr>
        <w:pStyle w:val="Heading1"/>
        <w:rPr>
          <w:rFonts w:eastAsia="Calibri"/>
          <w:lang w:eastAsia="en-US"/>
        </w:rPr>
      </w:pPr>
      <w:bookmarkStart w:id="4" w:name="_Toc235093243"/>
      <w:r w:rsidRPr="00B8537A">
        <w:rPr>
          <w:rFonts w:eastAsia="Calibri"/>
          <w:bCs w:val="0"/>
          <w:lang w:eastAsia="en-US"/>
        </w:rPr>
        <w:lastRenderedPageBreak/>
        <w:t>2. Overview of Jaguar Land Rover</w:t>
      </w:r>
      <w:bookmarkEnd w:id="4"/>
      <w:r w:rsidRPr="00B8537A">
        <w:rPr>
          <w:rFonts w:eastAsia="Calibri"/>
          <w:bCs w:val="0"/>
          <w:lang w:eastAsia="en-US"/>
        </w:rPr>
        <w:br/>
      </w:r>
    </w:p>
    <w:p w14:paraId="33C1AA66" w14:textId="6A5511FF" w:rsidR="00E93EB5" w:rsidRPr="00B8537A" w:rsidRDefault="00E93EB5" w:rsidP="00E6708C">
      <w:pPr>
        <w:pStyle w:val="Heading2"/>
        <w:rPr>
          <w:rFonts w:eastAsia="Calibri"/>
          <w:lang w:eastAsia="en-US"/>
        </w:rPr>
      </w:pPr>
      <w:bookmarkStart w:id="5" w:name="_Toc235093244"/>
      <w:r w:rsidRPr="00B8537A">
        <w:rPr>
          <w:rFonts w:eastAsia="Calibri"/>
          <w:lang w:eastAsia="en-US"/>
        </w:rPr>
        <w:t>2.1 Company History</w:t>
      </w:r>
      <w:bookmarkEnd w:id="5"/>
    </w:p>
    <w:p w14:paraId="0CB35E20" w14:textId="77777777" w:rsidR="00B8537A" w:rsidRPr="00B8537A" w:rsidRDefault="00B8537A" w:rsidP="00E93EB5">
      <w:pPr>
        <w:spacing w:after="160" w:line="259" w:lineRule="auto"/>
        <w:rPr>
          <w:rFonts w:eastAsia="Calibri"/>
          <w:kern w:val="2"/>
          <w:sz w:val="24"/>
          <w:szCs w:val="24"/>
          <w:lang w:eastAsia="en-US"/>
          <w14:ligatures w14:val="standardContextual"/>
        </w:rPr>
      </w:pPr>
    </w:p>
    <w:p w14:paraId="5B8FA5E0" w14:textId="6DD39DAE" w:rsidR="00B8537A" w:rsidRPr="00B8537A" w:rsidRDefault="00B8537A" w:rsidP="00B8537A">
      <w:pPr>
        <w:spacing w:after="160" w:line="259" w:lineRule="auto"/>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 xml:space="preserve">In 2008, JLR appeared due to acquisition of the brand names from the Ford Motor Company by the Indian company Tata Motors for $2.3 billion – one of the largest cross-border acquisitions in the global automotive industry (Mukherjee, 2016). Instead of integrating the newly acquired company into their own activities, Tata Motors chose to use the decentralised management system preserving the Britishness, engineering skills and operational independence of JLR. It helped the company to further develop its premium positioning and invest heavily into the development, innovations and manufacturing (Borah, </w:t>
      </w:r>
      <w:proofErr w:type="spellStart"/>
      <w:r w:rsidRPr="00B8537A">
        <w:rPr>
          <w:rFonts w:eastAsia="Calibri"/>
          <w:kern w:val="2"/>
          <w:sz w:val="24"/>
          <w:szCs w:val="24"/>
          <w:lang w:eastAsia="en-US"/>
          <w14:ligatures w14:val="standardContextual"/>
        </w:rPr>
        <w:t>Karabag</w:t>
      </w:r>
      <w:proofErr w:type="spellEnd"/>
      <w:r w:rsidRPr="00B8537A">
        <w:rPr>
          <w:rFonts w:eastAsia="Calibri"/>
          <w:kern w:val="2"/>
          <w:sz w:val="24"/>
          <w:szCs w:val="24"/>
          <w:lang w:eastAsia="en-US"/>
          <w14:ligatures w14:val="standardContextual"/>
        </w:rPr>
        <w:t xml:space="preserve"> and </w:t>
      </w:r>
      <w:r w:rsidR="008246AE">
        <w:rPr>
          <w:rFonts w:eastAsia="Calibri"/>
          <w:kern w:val="2"/>
          <w:sz w:val="24"/>
          <w:szCs w:val="24"/>
          <w:lang w:eastAsia="en-US"/>
          <w14:ligatures w14:val="standardContextual"/>
        </w:rPr>
        <w:t>Berggren</w:t>
      </w:r>
      <w:r w:rsidRPr="00B8537A">
        <w:rPr>
          <w:rFonts w:eastAsia="Calibri"/>
          <w:kern w:val="2"/>
          <w:sz w:val="24"/>
          <w:szCs w:val="24"/>
          <w:lang w:eastAsia="en-US"/>
          <w14:ligatures w14:val="standardContextual"/>
        </w:rPr>
        <w:t>, 2015).</w:t>
      </w:r>
    </w:p>
    <w:p w14:paraId="6EE5882E" w14:textId="165817C9" w:rsidR="00B8537A" w:rsidRPr="00B8537A" w:rsidRDefault="00B8537A" w:rsidP="00B8537A">
      <w:pPr>
        <w:spacing w:after="160" w:line="259" w:lineRule="auto"/>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During the next decade, JLR saw a huge growth in terms of developing new products such as Range Rover Evoque, Jaguar F-PACE and recently released Defender that raised global demand. At the same time, the company continued investing into manufacturing in the UK with launching the Engine Manufacturing Centre in Wolverhampton in 2014, where the company has started producing advanced low-emission Ingenium engines for its vehicles. The next stage of strategic development of the company is associated with the move towards sustainable mobility after introducing Reimagine Strategy in 2021, according to which Jaguar will be transformed into an electric luxury brand, whereas all of Land Rover products will become electrified (Jaguar Land Rover, 2021). The strategy reflects regulatory, technological and consumer pressures in the global automotive industry.</w:t>
      </w:r>
    </w:p>
    <w:p w14:paraId="47CB2364" w14:textId="77777777" w:rsidR="00B8537A" w:rsidRDefault="00B8537A" w:rsidP="00B8537A">
      <w:pPr>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 xml:space="preserve">From the history of JLR </w:t>
      </w:r>
      <w:proofErr w:type="gramStart"/>
      <w:r w:rsidRPr="00B8537A">
        <w:rPr>
          <w:rFonts w:eastAsia="Calibri"/>
          <w:kern w:val="2"/>
          <w:sz w:val="24"/>
          <w:szCs w:val="24"/>
          <w:lang w:eastAsia="en-US"/>
          <w14:ligatures w14:val="standardContextual"/>
        </w:rPr>
        <w:t>it can be seen that the</w:t>
      </w:r>
      <w:proofErr w:type="gramEnd"/>
      <w:r w:rsidRPr="00B8537A">
        <w:rPr>
          <w:rFonts w:eastAsia="Calibri"/>
          <w:kern w:val="2"/>
          <w:sz w:val="24"/>
          <w:szCs w:val="24"/>
          <w:lang w:eastAsia="en-US"/>
          <w14:ligatures w14:val="standardContextual"/>
        </w:rPr>
        <w:t xml:space="preserve"> success of this company is not just about the change of ownership, but about the ability to successfully adapt the strategy to the changed environment. The acquisition of JLR by Tata Motors gave it financial stability and opportunities for investments, while product and digital innovations helped JLR to evolve from vehicle manufacturer into modern luxury business using the latest technologies. Thus, it gives good ground to </w:t>
      </w:r>
      <w:r w:rsidRPr="00B8537A">
        <w:rPr>
          <w:rFonts w:eastAsia="Calibri"/>
          <w:kern w:val="2"/>
          <w:sz w:val="24"/>
          <w:szCs w:val="24"/>
          <w:lang w:eastAsia="en-US"/>
          <w14:ligatures w14:val="standardContextual"/>
        </w:rPr>
        <w:t>analyse</w:t>
      </w:r>
      <w:r w:rsidRPr="00B8537A">
        <w:rPr>
          <w:rFonts w:eastAsia="Calibri"/>
          <w:kern w:val="2"/>
          <w:sz w:val="24"/>
          <w:szCs w:val="24"/>
          <w:lang w:eastAsia="en-US"/>
          <w14:ligatures w14:val="standardContextual"/>
        </w:rPr>
        <w:t xml:space="preserve"> the impact of strategic change on JLR.</w:t>
      </w:r>
      <w:r w:rsidR="00E93EB5" w:rsidRPr="00B8537A">
        <w:rPr>
          <w:rFonts w:eastAsia="Calibri"/>
          <w:kern w:val="2"/>
          <w:sz w:val="24"/>
          <w:szCs w:val="24"/>
          <w:lang w:eastAsia="en-US"/>
          <w14:ligatures w14:val="standardContextual"/>
        </w:rPr>
        <w:br/>
      </w:r>
    </w:p>
    <w:p w14:paraId="0C6EA0E5" w14:textId="0B1F389A" w:rsidR="00B8537A" w:rsidRDefault="00E93EB5" w:rsidP="00E6708C">
      <w:pPr>
        <w:pStyle w:val="Heading2"/>
        <w:rPr>
          <w:rFonts w:eastAsia="Calibri"/>
          <w:lang w:eastAsia="en-US"/>
        </w:rPr>
      </w:pPr>
      <w:bookmarkStart w:id="6" w:name="_Toc235093245"/>
      <w:r w:rsidRPr="00B8537A">
        <w:rPr>
          <w:rFonts w:eastAsia="Calibri"/>
          <w:lang w:eastAsia="en-US"/>
        </w:rPr>
        <w:t>2.2 Vision, Mission and Core Values</w:t>
      </w:r>
      <w:bookmarkEnd w:id="6"/>
    </w:p>
    <w:p w14:paraId="077905A6" w14:textId="77777777" w:rsidR="00E6708C" w:rsidRDefault="00E6708C" w:rsidP="00504562">
      <w:pPr>
        <w:rPr>
          <w:rFonts w:eastAsia="Calibri"/>
          <w:kern w:val="2"/>
          <w:sz w:val="24"/>
          <w:szCs w:val="24"/>
          <w:lang w:eastAsia="en-US"/>
          <w14:ligatures w14:val="standardContextual"/>
        </w:rPr>
      </w:pPr>
    </w:p>
    <w:p w14:paraId="06C76406" w14:textId="0B47E200" w:rsidR="00504562" w:rsidRPr="00504562" w:rsidRDefault="00504562" w:rsidP="00504562">
      <w:pPr>
        <w:rPr>
          <w:rFonts w:eastAsia="Calibri"/>
          <w:kern w:val="2"/>
          <w:sz w:val="24"/>
          <w:szCs w:val="24"/>
          <w:lang w:eastAsia="en-US"/>
          <w14:ligatures w14:val="standardContextual"/>
        </w:rPr>
      </w:pPr>
      <w:r w:rsidRPr="00504562">
        <w:rPr>
          <w:rFonts w:eastAsia="Calibri"/>
          <w:kern w:val="2"/>
          <w:sz w:val="24"/>
          <w:szCs w:val="24"/>
          <w:lang w:eastAsia="en-US"/>
          <w14:ligatures w14:val="standardContextual"/>
        </w:rPr>
        <w:t xml:space="preserve">The vision of </w:t>
      </w:r>
      <w:r w:rsidR="009B1B26">
        <w:rPr>
          <w:rFonts w:eastAsia="Calibri"/>
          <w:kern w:val="2"/>
          <w:sz w:val="24"/>
          <w:szCs w:val="24"/>
          <w:lang w:eastAsia="en-US"/>
          <w14:ligatures w14:val="standardContextual"/>
        </w:rPr>
        <w:t>JLR</w:t>
      </w:r>
      <w:r w:rsidR="008E0C4B">
        <w:rPr>
          <w:rFonts w:eastAsia="Calibri"/>
          <w:kern w:val="2"/>
          <w:sz w:val="24"/>
          <w:szCs w:val="24"/>
          <w:lang w:eastAsia="en-US"/>
          <w14:ligatures w14:val="standardContextual"/>
        </w:rPr>
        <w:t xml:space="preserve"> </w:t>
      </w:r>
      <w:r w:rsidRPr="00504562">
        <w:rPr>
          <w:rFonts w:eastAsia="Calibri"/>
          <w:kern w:val="2"/>
          <w:sz w:val="24"/>
          <w:szCs w:val="24"/>
          <w:lang w:eastAsia="en-US"/>
          <w14:ligatures w14:val="standardContextual"/>
        </w:rPr>
        <w:t>is to "be the proud creators of the world's most desirable modern luxury brands for the most discerning clients" through its Reimagine strategy (Jaguar Land Rover, 2025).</w:t>
      </w:r>
    </w:p>
    <w:p w14:paraId="2A54F347" w14:textId="77777777" w:rsidR="00504562" w:rsidRPr="00504562" w:rsidRDefault="00504562" w:rsidP="00504562">
      <w:pPr>
        <w:rPr>
          <w:rFonts w:eastAsia="Calibri"/>
          <w:kern w:val="2"/>
          <w:sz w:val="24"/>
          <w:szCs w:val="24"/>
          <w:lang w:eastAsia="en-US"/>
          <w14:ligatures w14:val="standardContextual"/>
        </w:rPr>
      </w:pPr>
    </w:p>
    <w:p w14:paraId="1805AE02" w14:textId="5A30555E" w:rsidR="00504562" w:rsidRPr="00504562" w:rsidRDefault="00504562" w:rsidP="00504562">
      <w:pPr>
        <w:rPr>
          <w:rFonts w:eastAsia="Calibri"/>
          <w:kern w:val="2"/>
          <w:sz w:val="24"/>
          <w:szCs w:val="24"/>
          <w:lang w:eastAsia="en-US"/>
          <w14:ligatures w14:val="standardContextual"/>
        </w:rPr>
      </w:pPr>
      <w:r w:rsidRPr="00504562">
        <w:rPr>
          <w:rFonts w:eastAsia="Calibri"/>
          <w:kern w:val="2"/>
          <w:sz w:val="24"/>
          <w:szCs w:val="24"/>
          <w:lang w:eastAsia="en-US"/>
          <w14:ligatures w14:val="standardContextual"/>
        </w:rPr>
        <w:t xml:space="preserve">The mission of </w:t>
      </w:r>
      <w:r w:rsidR="009B1B26">
        <w:rPr>
          <w:rFonts w:eastAsia="Calibri"/>
          <w:kern w:val="2"/>
          <w:sz w:val="24"/>
          <w:szCs w:val="24"/>
          <w:lang w:eastAsia="en-US"/>
          <w14:ligatures w14:val="standardContextual"/>
        </w:rPr>
        <w:t>JLR</w:t>
      </w:r>
      <w:r w:rsidR="008E0C4B">
        <w:rPr>
          <w:rFonts w:eastAsia="Calibri"/>
          <w:kern w:val="2"/>
          <w:sz w:val="24"/>
          <w:szCs w:val="24"/>
          <w:lang w:eastAsia="en-US"/>
          <w14:ligatures w14:val="standardContextual"/>
        </w:rPr>
        <w:t xml:space="preserve"> </w:t>
      </w:r>
      <w:r w:rsidRPr="00504562">
        <w:rPr>
          <w:rFonts w:eastAsia="Calibri"/>
          <w:kern w:val="2"/>
          <w:sz w:val="24"/>
          <w:szCs w:val="24"/>
          <w:lang w:eastAsia="en-US"/>
          <w14:ligatures w14:val="standardContextual"/>
        </w:rPr>
        <w:t>is to offer modern luxury experiences with unique design, engineering excellence and sustainable mobility. The mission ensures investments in electric cars, connectivity, and advanced manufacturing.</w:t>
      </w:r>
    </w:p>
    <w:p w14:paraId="2CF13395" w14:textId="77777777" w:rsidR="00504562" w:rsidRPr="00504562" w:rsidRDefault="00504562" w:rsidP="00504562">
      <w:pPr>
        <w:rPr>
          <w:rFonts w:eastAsia="Calibri"/>
          <w:kern w:val="2"/>
          <w:sz w:val="24"/>
          <w:szCs w:val="24"/>
          <w:lang w:eastAsia="en-US"/>
          <w14:ligatures w14:val="standardContextual"/>
        </w:rPr>
      </w:pPr>
    </w:p>
    <w:p w14:paraId="02739494" w14:textId="5FB5CE39" w:rsidR="00DD0FF0" w:rsidRDefault="00504562" w:rsidP="00504562">
      <w:pPr>
        <w:rPr>
          <w:rFonts w:eastAsia="Calibri"/>
          <w:kern w:val="2"/>
          <w:sz w:val="24"/>
          <w:szCs w:val="24"/>
          <w:lang w:eastAsia="en-US"/>
          <w14:ligatures w14:val="standardContextual"/>
        </w:rPr>
      </w:pPr>
      <w:r w:rsidRPr="00504562">
        <w:rPr>
          <w:rFonts w:eastAsia="Calibri"/>
          <w:kern w:val="2"/>
          <w:sz w:val="24"/>
          <w:szCs w:val="24"/>
          <w:lang w:eastAsia="en-US"/>
          <w14:ligatures w14:val="standardContextual"/>
        </w:rPr>
        <w:t xml:space="preserve">Core values of </w:t>
      </w:r>
      <w:r w:rsidR="009B1B26">
        <w:rPr>
          <w:rFonts w:eastAsia="Calibri"/>
          <w:kern w:val="2"/>
          <w:sz w:val="24"/>
          <w:szCs w:val="24"/>
          <w:lang w:eastAsia="en-US"/>
          <w14:ligatures w14:val="standardContextual"/>
        </w:rPr>
        <w:t>JLR</w:t>
      </w:r>
      <w:r w:rsidR="008E0C4B">
        <w:rPr>
          <w:rFonts w:eastAsia="Calibri"/>
          <w:kern w:val="2"/>
          <w:sz w:val="24"/>
          <w:szCs w:val="24"/>
          <w:lang w:eastAsia="en-US"/>
          <w14:ligatures w14:val="standardContextual"/>
        </w:rPr>
        <w:t xml:space="preserve"> </w:t>
      </w:r>
      <w:r w:rsidRPr="00504562">
        <w:rPr>
          <w:rFonts w:eastAsia="Calibri"/>
          <w:kern w:val="2"/>
          <w:sz w:val="24"/>
          <w:szCs w:val="24"/>
          <w:lang w:eastAsia="en-US"/>
          <w14:ligatures w14:val="standardContextual"/>
        </w:rPr>
        <w:t xml:space="preserve">include integrity, understanding, excellence, unity, and responsibility, which are the same values that define the Tata Group (Jaguar Land Rover, 2025; Tata Group, 2024). The shared values encourage ethical behaviour, teamwork, innovation, and responsibility in the organization. This common value system will facilitate strategic change because it promotes a corporate culture ready to cope with the disruption from the </w:t>
      </w:r>
      <w:r w:rsidRPr="00504562">
        <w:rPr>
          <w:rFonts w:eastAsia="Calibri"/>
          <w:kern w:val="2"/>
          <w:sz w:val="24"/>
          <w:szCs w:val="24"/>
          <w:lang w:eastAsia="en-US"/>
          <w14:ligatures w14:val="standardContextual"/>
        </w:rPr>
        <w:lastRenderedPageBreak/>
        <w:t>technological change and implement digital transformation to achieve the goals set out in the Reimagine strategy.</w:t>
      </w:r>
      <w:r w:rsidR="00E93EB5" w:rsidRPr="00B8537A">
        <w:rPr>
          <w:rFonts w:eastAsia="Calibri"/>
          <w:kern w:val="2"/>
          <w:sz w:val="24"/>
          <w:szCs w:val="24"/>
          <w:lang w:eastAsia="en-US"/>
          <w14:ligatures w14:val="standardContextual"/>
        </w:rPr>
        <w:br/>
      </w:r>
    </w:p>
    <w:p w14:paraId="535E73D9" w14:textId="77777777" w:rsidR="00DD0FF0" w:rsidRDefault="00E93EB5" w:rsidP="00E6708C">
      <w:pPr>
        <w:pStyle w:val="Heading2"/>
        <w:rPr>
          <w:rFonts w:eastAsia="Calibri"/>
          <w:lang w:eastAsia="en-US"/>
        </w:rPr>
      </w:pPr>
      <w:bookmarkStart w:id="7" w:name="_Toc235093246"/>
      <w:r w:rsidRPr="00B8537A">
        <w:rPr>
          <w:rFonts w:eastAsia="Calibri"/>
          <w:lang w:eastAsia="en-US"/>
        </w:rPr>
        <w:t>2.3 Products and Market Position</w:t>
      </w:r>
      <w:bookmarkEnd w:id="7"/>
    </w:p>
    <w:p w14:paraId="28E61460" w14:textId="77777777" w:rsidR="00E6708C" w:rsidRDefault="00E6708C" w:rsidP="00A2361C">
      <w:pPr>
        <w:rPr>
          <w:rFonts w:eastAsia="Calibri"/>
          <w:kern w:val="2"/>
          <w:sz w:val="24"/>
          <w:szCs w:val="24"/>
          <w:lang w:eastAsia="en-US"/>
          <w14:ligatures w14:val="standardContextual"/>
        </w:rPr>
      </w:pPr>
    </w:p>
    <w:p w14:paraId="772CF3EC" w14:textId="5CB551B3" w:rsidR="00A2361C" w:rsidRPr="00A2361C" w:rsidRDefault="009B1B26" w:rsidP="00A2361C">
      <w:pPr>
        <w:rPr>
          <w:rFonts w:eastAsia="Calibri"/>
          <w:kern w:val="2"/>
          <w:sz w:val="24"/>
          <w:szCs w:val="24"/>
          <w:lang w:eastAsia="en-US"/>
          <w14:ligatures w14:val="standardContextual"/>
        </w:rPr>
      </w:pPr>
      <w:r>
        <w:rPr>
          <w:rFonts w:eastAsia="Calibri"/>
          <w:kern w:val="2"/>
          <w:sz w:val="24"/>
          <w:szCs w:val="24"/>
          <w:lang w:eastAsia="en-US"/>
          <w14:ligatures w14:val="standardContextual"/>
        </w:rPr>
        <w:t>JLR</w:t>
      </w:r>
      <w:r w:rsidR="008E0C4B">
        <w:rPr>
          <w:rFonts w:eastAsia="Calibri"/>
          <w:kern w:val="2"/>
          <w:sz w:val="24"/>
          <w:szCs w:val="24"/>
          <w:lang w:eastAsia="en-US"/>
          <w14:ligatures w14:val="standardContextual"/>
        </w:rPr>
        <w:t xml:space="preserve"> </w:t>
      </w:r>
      <w:r w:rsidR="00A2361C" w:rsidRPr="00A2361C">
        <w:rPr>
          <w:rFonts w:eastAsia="Calibri"/>
          <w:kern w:val="2"/>
          <w:sz w:val="24"/>
          <w:szCs w:val="24"/>
          <w:lang w:eastAsia="en-US"/>
          <w14:ligatures w14:val="standardContextual"/>
        </w:rPr>
        <w:t>operates in the global premium automotive sector by offering four unique brands of Range Rover, Defender, Discovery, and Jaguar. The company's product offerings include luxury sport utility vehicles (SUVs), premium saloons and performance cars. However, owing to strategic orientation and focus, the company currently concentrates on lucrative luxury SUVs due to the consistent increase in demand for the Range Rover and Defender models. Range Rover, Range Rover Sport and Defender occupied 67% of JLR's order book during the 2024/25 fiscal year (</w:t>
      </w:r>
      <w:proofErr w:type="spellStart"/>
      <w:r>
        <w:rPr>
          <w:rFonts w:eastAsia="Calibri"/>
          <w:kern w:val="2"/>
          <w:sz w:val="24"/>
          <w:szCs w:val="24"/>
          <w:lang w:eastAsia="en-US"/>
          <w14:ligatures w14:val="standardContextual"/>
        </w:rPr>
        <w:t>JLR</w:t>
      </w:r>
      <w:r w:rsidR="00A2361C" w:rsidRPr="00A2361C">
        <w:rPr>
          <w:rFonts w:eastAsia="Calibri"/>
          <w:kern w:val="2"/>
          <w:sz w:val="24"/>
          <w:szCs w:val="24"/>
          <w:lang w:eastAsia="en-US"/>
          <w14:ligatures w14:val="standardContextual"/>
        </w:rPr>
        <w:t>Automotive</w:t>
      </w:r>
      <w:proofErr w:type="spellEnd"/>
      <w:r w:rsidR="00A2361C" w:rsidRPr="00A2361C">
        <w:rPr>
          <w:rFonts w:eastAsia="Calibri"/>
          <w:kern w:val="2"/>
          <w:sz w:val="24"/>
          <w:szCs w:val="24"/>
          <w:lang w:eastAsia="en-US"/>
          <w14:ligatures w14:val="standardContextual"/>
        </w:rPr>
        <w:t xml:space="preserve"> plc, 2025).</w:t>
      </w:r>
    </w:p>
    <w:p w14:paraId="1296ABAF" w14:textId="77777777" w:rsidR="00A2361C" w:rsidRPr="00A2361C" w:rsidRDefault="00A2361C" w:rsidP="00A2361C">
      <w:pPr>
        <w:rPr>
          <w:rFonts w:eastAsia="Calibri"/>
          <w:kern w:val="2"/>
          <w:sz w:val="24"/>
          <w:szCs w:val="24"/>
          <w:lang w:eastAsia="en-US"/>
          <w14:ligatures w14:val="standardContextual"/>
        </w:rPr>
      </w:pPr>
    </w:p>
    <w:p w14:paraId="3945114C" w14:textId="517ACD50" w:rsidR="00A2361C" w:rsidRPr="00A2361C" w:rsidRDefault="00A2361C" w:rsidP="00A2361C">
      <w:pPr>
        <w:rPr>
          <w:rFonts w:eastAsia="Calibri"/>
          <w:kern w:val="2"/>
          <w:sz w:val="24"/>
          <w:szCs w:val="24"/>
          <w:lang w:eastAsia="en-US"/>
          <w14:ligatures w14:val="standardContextual"/>
        </w:rPr>
      </w:pPr>
      <w:r w:rsidRPr="00A2361C">
        <w:rPr>
          <w:rFonts w:eastAsia="Calibri"/>
          <w:kern w:val="2"/>
          <w:sz w:val="24"/>
          <w:szCs w:val="24"/>
          <w:lang w:eastAsia="en-US"/>
          <w14:ligatures w14:val="standardContextual"/>
        </w:rPr>
        <w:t>The target audience of JLR consists of wealthy individuals and businesses requiring high-quality, innovative and sustainable mobility services. The company operates in more than 120 countries across the globe, with the major regional markets being North America, Europe, China and United Kingdom. The company benefits from the geographic diversification of its operations in terms of additional revenue opportunities, but is exposed to geopolitical risks, uncertainties associated with trade policies and changes in demand in other countries (</w:t>
      </w:r>
      <w:proofErr w:type="spellStart"/>
      <w:r w:rsidR="009B1B26">
        <w:rPr>
          <w:rFonts w:eastAsia="Calibri"/>
          <w:kern w:val="2"/>
          <w:sz w:val="24"/>
          <w:szCs w:val="24"/>
          <w:lang w:eastAsia="en-US"/>
          <w14:ligatures w14:val="standardContextual"/>
        </w:rPr>
        <w:t>JLR</w:t>
      </w:r>
      <w:r w:rsidRPr="00A2361C">
        <w:rPr>
          <w:rFonts w:eastAsia="Calibri"/>
          <w:kern w:val="2"/>
          <w:sz w:val="24"/>
          <w:szCs w:val="24"/>
          <w:lang w:eastAsia="en-US"/>
          <w14:ligatures w14:val="standardContextual"/>
        </w:rPr>
        <w:t>Automotive</w:t>
      </w:r>
      <w:proofErr w:type="spellEnd"/>
      <w:r w:rsidRPr="00A2361C">
        <w:rPr>
          <w:rFonts w:eastAsia="Calibri"/>
          <w:kern w:val="2"/>
          <w:sz w:val="24"/>
          <w:szCs w:val="24"/>
          <w:lang w:eastAsia="en-US"/>
          <w14:ligatures w14:val="standardContextual"/>
        </w:rPr>
        <w:t xml:space="preserve"> plc, 2025).</w:t>
      </w:r>
    </w:p>
    <w:p w14:paraId="29B55758" w14:textId="77777777" w:rsidR="00A2361C" w:rsidRPr="00A2361C" w:rsidRDefault="00A2361C" w:rsidP="00A2361C">
      <w:pPr>
        <w:rPr>
          <w:rFonts w:eastAsia="Calibri"/>
          <w:kern w:val="2"/>
          <w:sz w:val="24"/>
          <w:szCs w:val="24"/>
          <w:lang w:eastAsia="en-US"/>
          <w14:ligatures w14:val="standardContextual"/>
        </w:rPr>
      </w:pPr>
    </w:p>
    <w:p w14:paraId="6A250BA9" w14:textId="330C1692" w:rsidR="00A2361C" w:rsidRDefault="009B1B26" w:rsidP="00A2361C">
      <w:pPr>
        <w:rPr>
          <w:rFonts w:eastAsia="Calibri"/>
          <w:kern w:val="2"/>
          <w:sz w:val="24"/>
          <w:szCs w:val="24"/>
          <w:lang w:eastAsia="en-US"/>
          <w14:ligatures w14:val="standardContextual"/>
        </w:rPr>
      </w:pPr>
      <w:r>
        <w:rPr>
          <w:rFonts w:eastAsia="Calibri"/>
          <w:kern w:val="2"/>
          <w:sz w:val="24"/>
          <w:szCs w:val="24"/>
          <w:lang w:eastAsia="en-US"/>
          <w14:ligatures w14:val="standardContextual"/>
        </w:rPr>
        <w:t>JLR</w:t>
      </w:r>
      <w:r w:rsidR="008E0C4B">
        <w:rPr>
          <w:rFonts w:eastAsia="Calibri"/>
          <w:kern w:val="2"/>
          <w:sz w:val="24"/>
          <w:szCs w:val="24"/>
          <w:lang w:eastAsia="en-US"/>
          <w14:ligatures w14:val="standardContextual"/>
        </w:rPr>
        <w:t xml:space="preserve"> </w:t>
      </w:r>
      <w:r w:rsidR="00A2361C" w:rsidRPr="00A2361C">
        <w:rPr>
          <w:rFonts w:eastAsia="Calibri"/>
          <w:kern w:val="2"/>
          <w:sz w:val="24"/>
          <w:szCs w:val="24"/>
          <w:lang w:eastAsia="en-US"/>
          <w14:ligatures w14:val="standardContextual"/>
        </w:rPr>
        <w:t xml:space="preserve">occupies a </w:t>
      </w:r>
      <w:r w:rsidR="00E6708C" w:rsidRPr="00A2361C">
        <w:rPr>
          <w:rFonts w:eastAsia="Calibri"/>
          <w:kern w:val="2"/>
          <w:sz w:val="24"/>
          <w:szCs w:val="24"/>
          <w:lang w:eastAsia="en-US"/>
          <w14:ligatures w14:val="standardContextual"/>
        </w:rPr>
        <w:t>favourable</w:t>
      </w:r>
      <w:r w:rsidR="00A2361C" w:rsidRPr="00A2361C">
        <w:rPr>
          <w:rFonts w:eastAsia="Calibri"/>
          <w:kern w:val="2"/>
          <w:sz w:val="24"/>
          <w:szCs w:val="24"/>
          <w:lang w:eastAsia="en-US"/>
          <w14:ligatures w14:val="standardContextual"/>
        </w:rPr>
        <w:t xml:space="preserve"> position in the premium automotive </w:t>
      </w:r>
      <w:proofErr w:type="gramStart"/>
      <w:r w:rsidR="00A2361C" w:rsidRPr="00A2361C">
        <w:rPr>
          <w:rFonts w:eastAsia="Calibri"/>
          <w:kern w:val="2"/>
          <w:sz w:val="24"/>
          <w:szCs w:val="24"/>
          <w:lang w:eastAsia="en-US"/>
          <w14:ligatures w14:val="standardContextual"/>
        </w:rPr>
        <w:t>market, but</w:t>
      </w:r>
      <w:proofErr w:type="gramEnd"/>
      <w:r w:rsidR="00A2361C" w:rsidRPr="00A2361C">
        <w:rPr>
          <w:rFonts w:eastAsia="Calibri"/>
          <w:kern w:val="2"/>
          <w:sz w:val="24"/>
          <w:szCs w:val="24"/>
          <w:lang w:eastAsia="en-US"/>
          <w14:ligatures w14:val="standardContextual"/>
        </w:rPr>
        <w:t xml:space="preserve"> faces stiff competition from legacy automotive players like BMW Group, Mercedes-Benz Group, Audi (Volkswagen Group), Volvo Cars, Lexus and Porsche. In addition, the firm has new competitors that offer electric vehicles, including Tesla. Competitive advantage in this market requires not only traditional engineering excellence, but also electrification, connectivity, advanced software solutions and customer experience. Therefore, the company's Reimagine strategy can be seen as the answer to current industry dynamics, which require JLR to transform itself into a player of the modern luxury, digital and electrified age. Such an approach will help JLR to compete against rivals based on the brand exclusiveness and the structural change in the global automotive industry (Silva, 2024; European Automobile Manufacturers' Association, 2024).</w:t>
      </w:r>
    </w:p>
    <w:p w14:paraId="6C985859" w14:textId="77777777" w:rsidR="00671F82" w:rsidRDefault="00671F82" w:rsidP="00504562">
      <w:pPr>
        <w:rPr>
          <w:rFonts w:eastAsia="Calibri"/>
          <w:kern w:val="2"/>
          <w:sz w:val="24"/>
          <w:szCs w:val="24"/>
          <w:lang w:eastAsia="en-US"/>
          <w14:ligatures w14:val="standardContextual"/>
        </w:rPr>
      </w:pPr>
    </w:p>
    <w:p w14:paraId="03E8D7DD" w14:textId="77777777" w:rsidR="00B17FA0" w:rsidRDefault="00B17FA0" w:rsidP="00504562">
      <w:pPr>
        <w:rPr>
          <w:rFonts w:eastAsia="Calibri"/>
          <w:kern w:val="2"/>
          <w:sz w:val="24"/>
          <w:szCs w:val="24"/>
          <w:lang w:eastAsia="en-US"/>
          <w14:ligatures w14:val="standardContextual"/>
        </w:rPr>
      </w:pPr>
    </w:p>
    <w:p w14:paraId="2A271D97" w14:textId="77777777" w:rsidR="00B17FA0" w:rsidRDefault="00B17FA0" w:rsidP="00504562">
      <w:pPr>
        <w:rPr>
          <w:rFonts w:eastAsia="Calibri"/>
          <w:kern w:val="2"/>
          <w:sz w:val="24"/>
          <w:szCs w:val="24"/>
          <w:lang w:eastAsia="en-US"/>
          <w14:ligatures w14:val="standardContextu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13"/>
        <w:gridCol w:w="6903"/>
      </w:tblGrid>
      <w:tr w:rsidR="00B17FA0" w:rsidRPr="00B17FA0" w14:paraId="097E8F8B" w14:textId="77777777" w:rsidTr="00B17FA0">
        <w:trPr>
          <w:tblHeader/>
          <w:tblCellSpacing w:w="15" w:type="dxa"/>
        </w:trPr>
        <w:tc>
          <w:tcPr>
            <w:tcW w:w="0" w:type="auto"/>
            <w:vAlign w:val="center"/>
            <w:hideMark/>
          </w:tcPr>
          <w:p w14:paraId="7C5AF895" w14:textId="77777777" w:rsidR="00B17FA0" w:rsidRPr="00B17FA0" w:rsidRDefault="00B17FA0" w:rsidP="00B17FA0">
            <w:pPr>
              <w:rPr>
                <w:rFonts w:eastAsia="Calibri"/>
                <w:b/>
                <w:bCs/>
                <w:kern w:val="2"/>
                <w:sz w:val="24"/>
                <w:szCs w:val="24"/>
                <w:lang w:eastAsia="en-US"/>
                <w14:ligatures w14:val="standardContextual"/>
              </w:rPr>
            </w:pPr>
            <w:r w:rsidRPr="00B17FA0">
              <w:rPr>
                <w:rFonts w:eastAsia="Calibri"/>
                <w:b/>
                <w:bCs/>
                <w:kern w:val="2"/>
                <w:sz w:val="24"/>
                <w:szCs w:val="24"/>
                <w:lang w:eastAsia="en-US"/>
                <w14:ligatures w14:val="standardContextual"/>
              </w:rPr>
              <w:t>Aspect</w:t>
            </w:r>
          </w:p>
        </w:tc>
        <w:tc>
          <w:tcPr>
            <w:tcW w:w="0" w:type="auto"/>
            <w:vAlign w:val="center"/>
            <w:hideMark/>
          </w:tcPr>
          <w:p w14:paraId="48FF697C" w14:textId="4B8B9025" w:rsidR="00B17FA0" w:rsidRPr="00B17FA0" w:rsidRDefault="00B17FA0" w:rsidP="00B17FA0">
            <w:pPr>
              <w:rPr>
                <w:rFonts w:eastAsia="Calibri"/>
                <w:b/>
                <w:bCs/>
                <w:kern w:val="2"/>
                <w:sz w:val="24"/>
                <w:szCs w:val="24"/>
                <w:lang w:eastAsia="en-US"/>
                <w14:ligatures w14:val="standardContextual"/>
              </w:rPr>
            </w:pPr>
            <w:r>
              <w:rPr>
                <w:rFonts w:eastAsia="Calibri"/>
                <w:b/>
                <w:bCs/>
                <w:kern w:val="2"/>
                <w:sz w:val="24"/>
                <w:szCs w:val="24"/>
                <w:lang w:eastAsia="en-US"/>
                <w14:ligatures w14:val="standardContextual"/>
              </w:rPr>
              <w:t xml:space="preserve">Application to </w:t>
            </w:r>
            <w:r w:rsidR="00587369" w:rsidRPr="00587369">
              <w:rPr>
                <w:rFonts w:eastAsia="Calibri"/>
                <w:b/>
                <w:bCs/>
                <w:kern w:val="2"/>
                <w:sz w:val="24"/>
                <w:szCs w:val="24"/>
                <w:lang w:eastAsia="en-US"/>
                <w14:ligatures w14:val="standardContextual"/>
              </w:rPr>
              <w:t>JLR</w:t>
            </w:r>
          </w:p>
        </w:tc>
      </w:tr>
      <w:tr w:rsidR="00B17FA0" w:rsidRPr="00B17FA0" w14:paraId="31FE4B46" w14:textId="77777777" w:rsidTr="00B17FA0">
        <w:trPr>
          <w:tblCellSpacing w:w="15" w:type="dxa"/>
        </w:trPr>
        <w:tc>
          <w:tcPr>
            <w:tcW w:w="0" w:type="auto"/>
            <w:vAlign w:val="center"/>
            <w:hideMark/>
          </w:tcPr>
          <w:p w14:paraId="575584A3"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Product Portfolio</w:t>
            </w:r>
          </w:p>
        </w:tc>
        <w:tc>
          <w:tcPr>
            <w:tcW w:w="0" w:type="auto"/>
            <w:vAlign w:val="center"/>
            <w:hideMark/>
          </w:tcPr>
          <w:p w14:paraId="06CE4373"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Range Rover, Defender, Discovery, Jaguar</w:t>
            </w:r>
          </w:p>
        </w:tc>
      </w:tr>
      <w:tr w:rsidR="00B17FA0" w:rsidRPr="00B17FA0" w14:paraId="47936074" w14:textId="77777777" w:rsidTr="00B17FA0">
        <w:trPr>
          <w:tblCellSpacing w:w="15" w:type="dxa"/>
        </w:trPr>
        <w:tc>
          <w:tcPr>
            <w:tcW w:w="0" w:type="auto"/>
            <w:vAlign w:val="center"/>
            <w:hideMark/>
          </w:tcPr>
          <w:p w14:paraId="039A94A0"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Main Vehicle Types</w:t>
            </w:r>
          </w:p>
        </w:tc>
        <w:tc>
          <w:tcPr>
            <w:tcW w:w="0" w:type="auto"/>
            <w:vAlign w:val="center"/>
            <w:hideMark/>
          </w:tcPr>
          <w:p w14:paraId="5C446995"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Luxury SUVs, premium saloons, performance vehicles</w:t>
            </w:r>
          </w:p>
        </w:tc>
      </w:tr>
      <w:tr w:rsidR="00B17FA0" w:rsidRPr="00B17FA0" w14:paraId="28EFFF05" w14:textId="77777777" w:rsidTr="00B17FA0">
        <w:trPr>
          <w:tblCellSpacing w:w="15" w:type="dxa"/>
        </w:trPr>
        <w:tc>
          <w:tcPr>
            <w:tcW w:w="0" w:type="auto"/>
            <w:vAlign w:val="center"/>
            <w:hideMark/>
          </w:tcPr>
          <w:p w14:paraId="7BE82E7C"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Strategic Focus</w:t>
            </w:r>
          </w:p>
        </w:tc>
        <w:tc>
          <w:tcPr>
            <w:tcW w:w="0" w:type="auto"/>
            <w:vAlign w:val="center"/>
            <w:hideMark/>
          </w:tcPr>
          <w:p w14:paraId="154C3DEA"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Modern luxury, electrification, digital innovation</w:t>
            </w:r>
          </w:p>
        </w:tc>
      </w:tr>
      <w:tr w:rsidR="00B17FA0" w:rsidRPr="00B17FA0" w14:paraId="255B0E79" w14:textId="77777777" w:rsidTr="00B17FA0">
        <w:trPr>
          <w:tblCellSpacing w:w="15" w:type="dxa"/>
        </w:trPr>
        <w:tc>
          <w:tcPr>
            <w:tcW w:w="0" w:type="auto"/>
            <w:vAlign w:val="center"/>
            <w:hideMark/>
          </w:tcPr>
          <w:p w14:paraId="1A172176"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Best-selling Models</w:t>
            </w:r>
          </w:p>
        </w:tc>
        <w:tc>
          <w:tcPr>
            <w:tcW w:w="0" w:type="auto"/>
            <w:vAlign w:val="center"/>
            <w:hideMark/>
          </w:tcPr>
          <w:p w14:paraId="046B59A7"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Range Rover, Range Rover Sport, Defender</w:t>
            </w:r>
          </w:p>
        </w:tc>
      </w:tr>
      <w:tr w:rsidR="00B17FA0" w:rsidRPr="00B17FA0" w14:paraId="4E999D7F" w14:textId="77777777" w:rsidTr="00B17FA0">
        <w:trPr>
          <w:tblCellSpacing w:w="15" w:type="dxa"/>
        </w:trPr>
        <w:tc>
          <w:tcPr>
            <w:tcW w:w="0" w:type="auto"/>
            <w:vAlign w:val="center"/>
            <w:hideMark/>
          </w:tcPr>
          <w:p w14:paraId="3146F147"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Order Book</w:t>
            </w:r>
          </w:p>
        </w:tc>
        <w:tc>
          <w:tcPr>
            <w:tcW w:w="0" w:type="auto"/>
            <w:vAlign w:val="center"/>
            <w:hideMark/>
          </w:tcPr>
          <w:p w14:paraId="09A308EA"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67% from Range Rover, Range Rover Sport and Defender</w:t>
            </w:r>
          </w:p>
        </w:tc>
      </w:tr>
      <w:tr w:rsidR="00B17FA0" w:rsidRPr="00B17FA0" w14:paraId="5483D18B" w14:textId="77777777" w:rsidTr="00B17FA0">
        <w:trPr>
          <w:tblCellSpacing w:w="15" w:type="dxa"/>
        </w:trPr>
        <w:tc>
          <w:tcPr>
            <w:tcW w:w="0" w:type="auto"/>
            <w:vAlign w:val="center"/>
            <w:hideMark/>
          </w:tcPr>
          <w:p w14:paraId="763BFC95"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Target Customers</w:t>
            </w:r>
          </w:p>
        </w:tc>
        <w:tc>
          <w:tcPr>
            <w:tcW w:w="0" w:type="auto"/>
            <w:vAlign w:val="center"/>
            <w:hideMark/>
          </w:tcPr>
          <w:p w14:paraId="7655CC19"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Affluent private buyers, corporate customers</w:t>
            </w:r>
          </w:p>
        </w:tc>
      </w:tr>
      <w:tr w:rsidR="00B17FA0" w:rsidRPr="00B17FA0" w14:paraId="6AC23B8E" w14:textId="77777777" w:rsidTr="00B17FA0">
        <w:trPr>
          <w:tblCellSpacing w:w="15" w:type="dxa"/>
        </w:trPr>
        <w:tc>
          <w:tcPr>
            <w:tcW w:w="0" w:type="auto"/>
            <w:vAlign w:val="center"/>
            <w:hideMark/>
          </w:tcPr>
          <w:p w14:paraId="600AA214"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Global Presence</w:t>
            </w:r>
          </w:p>
        </w:tc>
        <w:tc>
          <w:tcPr>
            <w:tcW w:w="0" w:type="auto"/>
            <w:vAlign w:val="center"/>
            <w:hideMark/>
          </w:tcPr>
          <w:p w14:paraId="12F8B847"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More than 120 markets</w:t>
            </w:r>
          </w:p>
        </w:tc>
      </w:tr>
      <w:tr w:rsidR="00B17FA0" w:rsidRPr="00B17FA0" w14:paraId="6FA87133" w14:textId="77777777" w:rsidTr="00B17FA0">
        <w:trPr>
          <w:tblCellSpacing w:w="15" w:type="dxa"/>
        </w:trPr>
        <w:tc>
          <w:tcPr>
            <w:tcW w:w="0" w:type="auto"/>
            <w:vAlign w:val="center"/>
            <w:hideMark/>
          </w:tcPr>
          <w:p w14:paraId="3873A688"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Key Markets</w:t>
            </w:r>
          </w:p>
        </w:tc>
        <w:tc>
          <w:tcPr>
            <w:tcW w:w="0" w:type="auto"/>
            <w:vAlign w:val="center"/>
            <w:hideMark/>
          </w:tcPr>
          <w:p w14:paraId="47C8711E"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North America, Europe, China, United Kingdom</w:t>
            </w:r>
          </w:p>
        </w:tc>
      </w:tr>
      <w:tr w:rsidR="00B17FA0" w:rsidRPr="00B17FA0" w14:paraId="4358AF30" w14:textId="77777777" w:rsidTr="00B17FA0">
        <w:trPr>
          <w:tblCellSpacing w:w="15" w:type="dxa"/>
        </w:trPr>
        <w:tc>
          <w:tcPr>
            <w:tcW w:w="0" w:type="auto"/>
            <w:vAlign w:val="center"/>
            <w:hideMark/>
          </w:tcPr>
          <w:p w14:paraId="2C0BA18C"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Market Position</w:t>
            </w:r>
          </w:p>
        </w:tc>
        <w:tc>
          <w:tcPr>
            <w:tcW w:w="0" w:type="auto"/>
            <w:vAlign w:val="center"/>
            <w:hideMark/>
          </w:tcPr>
          <w:p w14:paraId="5541409D"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Premium luxury automotive manufacturer</w:t>
            </w:r>
          </w:p>
        </w:tc>
      </w:tr>
      <w:tr w:rsidR="00B17FA0" w:rsidRPr="00B17FA0" w14:paraId="732736B3" w14:textId="77777777" w:rsidTr="00B17FA0">
        <w:trPr>
          <w:tblCellSpacing w:w="15" w:type="dxa"/>
        </w:trPr>
        <w:tc>
          <w:tcPr>
            <w:tcW w:w="0" w:type="auto"/>
            <w:vAlign w:val="center"/>
            <w:hideMark/>
          </w:tcPr>
          <w:p w14:paraId="3C458A59"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Main Competitors</w:t>
            </w:r>
          </w:p>
        </w:tc>
        <w:tc>
          <w:tcPr>
            <w:tcW w:w="0" w:type="auto"/>
            <w:vAlign w:val="center"/>
            <w:hideMark/>
          </w:tcPr>
          <w:p w14:paraId="52D93DDD"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BMW, Mercedes-Benz, Audi, Volvo, Lexus, Porsche, Tesla</w:t>
            </w:r>
          </w:p>
        </w:tc>
      </w:tr>
      <w:tr w:rsidR="00B17FA0" w:rsidRPr="00B17FA0" w14:paraId="2B11DB5D" w14:textId="77777777" w:rsidTr="00B17FA0">
        <w:trPr>
          <w:tblCellSpacing w:w="15" w:type="dxa"/>
        </w:trPr>
        <w:tc>
          <w:tcPr>
            <w:tcW w:w="0" w:type="auto"/>
            <w:vAlign w:val="center"/>
            <w:hideMark/>
          </w:tcPr>
          <w:p w14:paraId="426A750D"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lastRenderedPageBreak/>
              <w:t>Competitive Strength</w:t>
            </w:r>
          </w:p>
        </w:tc>
        <w:tc>
          <w:tcPr>
            <w:tcW w:w="0" w:type="auto"/>
            <w:vAlign w:val="center"/>
            <w:hideMark/>
          </w:tcPr>
          <w:p w14:paraId="09194FAA"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Brand heritage, luxury positioning, engineering excellence</w:t>
            </w:r>
          </w:p>
        </w:tc>
      </w:tr>
      <w:tr w:rsidR="00B17FA0" w:rsidRPr="00B17FA0" w14:paraId="6FC91F97" w14:textId="77777777" w:rsidTr="00B17FA0">
        <w:trPr>
          <w:tblCellSpacing w:w="15" w:type="dxa"/>
        </w:trPr>
        <w:tc>
          <w:tcPr>
            <w:tcW w:w="0" w:type="auto"/>
            <w:vAlign w:val="center"/>
            <w:hideMark/>
          </w:tcPr>
          <w:p w14:paraId="671957DF"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Strategic Challenges</w:t>
            </w:r>
          </w:p>
        </w:tc>
        <w:tc>
          <w:tcPr>
            <w:tcW w:w="0" w:type="auto"/>
            <w:vAlign w:val="center"/>
            <w:hideMark/>
          </w:tcPr>
          <w:p w14:paraId="524D0517" w14:textId="77777777" w:rsidR="00B17FA0" w:rsidRPr="00B17FA0" w:rsidRDefault="00B17FA0" w:rsidP="00B17FA0">
            <w:pPr>
              <w:rPr>
                <w:rFonts w:eastAsia="Calibri"/>
                <w:kern w:val="2"/>
                <w:sz w:val="24"/>
                <w:szCs w:val="24"/>
                <w:lang w:eastAsia="en-US"/>
                <w14:ligatures w14:val="standardContextual"/>
              </w:rPr>
            </w:pPr>
            <w:r w:rsidRPr="00B17FA0">
              <w:rPr>
                <w:rFonts w:eastAsia="Calibri"/>
                <w:kern w:val="2"/>
                <w:sz w:val="24"/>
                <w:szCs w:val="24"/>
                <w:lang w:eastAsia="en-US"/>
                <w14:ligatures w14:val="standardContextual"/>
              </w:rPr>
              <w:t>Electrification, software capability, global competition, regulatory change</w:t>
            </w:r>
          </w:p>
        </w:tc>
      </w:tr>
    </w:tbl>
    <w:p w14:paraId="06005661" w14:textId="77777777" w:rsidR="00587369" w:rsidRDefault="00587369" w:rsidP="00E6708C">
      <w:pPr>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Table 1: main p</w:t>
      </w:r>
      <w:r w:rsidRPr="00587369">
        <w:rPr>
          <w:rFonts w:eastAsia="Calibri"/>
          <w:kern w:val="2"/>
          <w:sz w:val="24"/>
          <w:szCs w:val="24"/>
          <w:lang w:eastAsia="en-US"/>
          <w14:ligatures w14:val="standardContextual"/>
        </w:rPr>
        <w:t xml:space="preserve">roducts and </w:t>
      </w:r>
      <w:r>
        <w:rPr>
          <w:rFonts w:eastAsia="Calibri"/>
          <w:kern w:val="2"/>
          <w:sz w:val="24"/>
          <w:szCs w:val="24"/>
          <w:lang w:eastAsia="en-US"/>
          <w14:ligatures w14:val="standardContextual"/>
        </w:rPr>
        <w:t>current market p</w:t>
      </w:r>
      <w:r w:rsidRPr="00587369">
        <w:rPr>
          <w:rFonts w:eastAsia="Calibri"/>
          <w:kern w:val="2"/>
          <w:sz w:val="24"/>
          <w:szCs w:val="24"/>
          <w:lang w:eastAsia="en-US"/>
          <w14:ligatures w14:val="standardContextual"/>
        </w:rPr>
        <w:t>osition</w:t>
      </w:r>
      <w:r>
        <w:rPr>
          <w:rFonts w:eastAsia="Calibri"/>
          <w:kern w:val="2"/>
          <w:sz w:val="24"/>
          <w:szCs w:val="24"/>
          <w:lang w:eastAsia="en-US"/>
          <w14:ligatures w14:val="standardContextual"/>
        </w:rPr>
        <w:t xml:space="preserve"> JLR</w:t>
      </w:r>
    </w:p>
    <w:p w14:paraId="32831FB3" w14:textId="77777777" w:rsidR="00587369" w:rsidRDefault="00587369" w:rsidP="00E6708C">
      <w:pPr>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p>
    <w:p w14:paraId="73A11D22" w14:textId="77777777" w:rsidR="00587369" w:rsidRDefault="00587369" w:rsidP="00504562">
      <w:pPr>
        <w:rPr>
          <w:rFonts w:eastAsia="Calibri"/>
          <w:kern w:val="2"/>
          <w:sz w:val="24"/>
          <w:szCs w:val="24"/>
          <w:lang w:eastAsia="en-US"/>
          <w14:ligatures w14:val="standardContextual"/>
        </w:rPr>
      </w:pPr>
    </w:p>
    <w:p w14:paraId="1B9D51CA" w14:textId="6B63EDA7" w:rsidR="00E93EB5" w:rsidRDefault="00E93EB5" w:rsidP="00E6708C">
      <w:pPr>
        <w:pStyle w:val="Heading2"/>
        <w:rPr>
          <w:rFonts w:eastAsia="Calibri"/>
          <w:lang w:eastAsia="en-US"/>
        </w:rPr>
      </w:pPr>
      <w:r w:rsidRPr="00B8537A">
        <w:rPr>
          <w:rFonts w:eastAsia="Calibri"/>
          <w:lang w:eastAsia="en-US"/>
        </w:rPr>
        <w:br/>
      </w:r>
      <w:bookmarkStart w:id="8" w:name="_Toc235093247"/>
      <w:r w:rsidRPr="00B8537A">
        <w:rPr>
          <w:rFonts w:eastAsia="Calibri"/>
          <w:lang w:eastAsia="en-US"/>
        </w:rPr>
        <w:t>2.4 Current Business Performance</w:t>
      </w:r>
      <w:bookmarkEnd w:id="8"/>
    </w:p>
    <w:p w14:paraId="24A3280F" w14:textId="77777777" w:rsidR="00C05F60" w:rsidRPr="00B8537A" w:rsidRDefault="00C05F60" w:rsidP="00504562">
      <w:pPr>
        <w:rPr>
          <w:rFonts w:eastAsia="Calibri"/>
          <w:kern w:val="2"/>
          <w:sz w:val="24"/>
          <w:szCs w:val="24"/>
          <w:lang w:eastAsia="en-US"/>
          <w14:ligatures w14:val="standardContextual"/>
        </w:rPr>
      </w:pPr>
    </w:p>
    <w:p w14:paraId="2C2F9A59" w14:textId="6FE61D52" w:rsidR="004D3E62" w:rsidRPr="004D3E62" w:rsidRDefault="004D3E62" w:rsidP="004D3E62">
      <w:pPr>
        <w:spacing w:after="160" w:line="259" w:lineRule="auto"/>
        <w:rPr>
          <w:rFonts w:eastAsia="Calibri"/>
          <w:kern w:val="2"/>
          <w:sz w:val="24"/>
          <w:szCs w:val="24"/>
          <w:lang w:eastAsia="en-US"/>
          <w14:ligatures w14:val="standardContextual"/>
        </w:rPr>
      </w:pPr>
      <w:r w:rsidRPr="004D3E62">
        <w:rPr>
          <w:rFonts w:eastAsia="Calibri"/>
          <w:kern w:val="2"/>
          <w:sz w:val="24"/>
          <w:szCs w:val="24"/>
          <w:lang w:eastAsia="en-US"/>
          <w14:ligatures w14:val="standardContextual"/>
        </w:rPr>
        <w:t xml:space="preserve">A clear indication of the positive progress made by </w:t>
      </w:r>
      <w:r w:rsidR="009B1B26">
        <w:rPr>
          <w:rFonts w:eastAsia="Calibri"/>
          <w:kern w:val="2"/>
          <w:sz w:val="24"/>
          <w:szCs w:val="24"/>
          <w:lang w:eastAsia="en-US"/>
          <w14:ligatures w14:val="standardContextual"/>
        </w:rPr>
        <w:t>JLR</w:t>
      </w:r>
      <w:r w:rsidRPr="004D3E62">
        <w:rPr>
          <w:rFonts w:eastAsia="Calibri"/>
          <w:kern w:val="2"/>
          <w:sz w:val="24"/>
          <w:szCs w:val="24"/>
          <w:lang w:eastAsia="en-US"/>
          <w14:ligatures w14:val="standardContextual"/>
        </w:rPr>
        <w:t xml:space="preserve">(JLR) can be seen in the company's improved financial performance. For example, JLR reported a record revenue of £29.0 billion for the financial year ended 31 March 2025. The profit before tax and exceptional items rose to £2.5 billion, which represents the highest level of profitability seen in JLR over the past ten years. Free cash flows stood at £1.5 billion while the balance sheet was back in positive net cash position (£278 million), thus showing a greater level of financial resilience after </w:t>
      </w:r>
      <w:proofErr w:type="gramStart"/>
      <w:r w:rsidRPr="004D3E62">
        <w:rPr>
          <w:rFonts w:eastAsia="Calibri"/>
          <w:kern w:val="2"/>
          <w:sz w:val="24"/>
          <w:szCs w:val="24"/>
          <w:lang w:eastAsia="en-US"/>
          <w14:ligatures w14:val="standardContextual"/>
        </w:rPr>
        <w:t>a number of</w:t>
      </w:r>
      <w:proofErr w:type="gramEnd"/>
      <w:r w:rsidRPr="004D3E62">
        <w:rPr>
          <w:rFonts w:eastAsia="Calibri"/>
          <w:kern w:val="2"/>
          <w:sz w:val="24"/>
          <w:szCs w:val="24"/>
          <w:lang w:eastAsia="en-US"/>
          <w14:ligatures w14:val="standardContextual"/>
        </w:rPr>
        <w:t xml:space="preserve"> tough years associated with supply chain disruptions and semiconductor shortages. All these positive financial results show that the strategic move to shift its focus to luxury vehicles has paid off. In particular, the profitability of JLR has been improved </w:t>
      </w:r>
      <w:proofErr w:type="gramStart"/>
      <w:r w:rsidRPr="004D3E62">
        <w:rPr>
          <w:rFonts w:eastAsia="Calibri"/>
          <w:kern w:val="2"/>
          <w:sz w:val="24"/>
          <w:szCs w:val="24"/>
          <w:lang w:eastAsia="en-US"/>
          <w14:ligatures w14:val="standardContextual"/>
        </w:rPr>
        <w:t>due to the fact that</w:t>
      </w:r>
      <w:proofErr w:type="gramEnd"/>
      <w:r w:rsidRPr="004D3E62">
        <w:rPr>
          <w:rFonts w:eastAsia="Calibri"/>
          <w:kern w:val="2"/>
          <w:sz w:val="24"/>
          <w:szCs w:val="24"/>
          <w:lang w:eastAsia="en-US"/>
          <w14:ligatures w14:val="standardContextual"/>
        </w:rPr>
        <w:t xml:space="preserve"> its strategic repositioning has been implemented without increasing the volumes of production of vehicles (Jaguar Land Rover, 2025).</w:t>
      </w:r>
    </w:p>
    <w:p w14:paraId="124D2938" w14:textId="77777777" w:rsidR="004D3E62" w:rsidRPr="004D3E62" w:rsidRDefault="004D3E62" w:rsidP="004D3E62">
      <w:pPr>
        <w:spacing w:after="160" w:line="259" w:lineRule="auto"/>
        <w:rPr>
          <w:rFonts w:eastAsia="Calibri"/>
          <w:kern w:val="2"/>
          <w:sz w:val="24"/>
          <w:szCs w:val="24"/>
          <w:lang w:eastAsia="en-US"/>
          <w14:ligatures w14:val="standardContextual"/>
        </w:rPr>
      </w:pPr>
      <w:r w:rsidRPr="004D3E62">
        <w:rPr>
          <w:rFonts w:eastAsia="Calibri"/>
          <w:kern w:val="2"/>
          <w:sz w:val="24"/>
          <w:szCs w:val="24"/>
          <w:lang w:eastAsia="en-US"/>
          <w14:ligatures w14:val="standardContextual"/>
        </w:rPr>
        <w:t xml:space="preserve">As far as JLR's operational performance is concerned, one may see a similar picture of strategic improvement. The company sold 400,898 wholesale vehicles in 2024/25 financial year. However, the demand for cars remained stable only for the most profitable products. </w:t>
      </w:r>
      <w:proofErr w:type="gramStart"/>
      <w:r w:rsidRPr="004D3E62">
        <w:rPr>
          <w:rFonts w:eastAsia="Calibri"/>
          <w:kern w:val="2"/>
          <w:sz w:val="24"/>
          <w:szCs w:val="24"/>
          <w:lang w:eastAsia="en-US"/>
          <w14:ligatures w14:val="standardContextual"/>
        </w:rPr>
        <w:t>In particular, about</w:t>
      </w:r>
      <w:proofErr w:type="gramEnd"/>
      <w:r w:rsidRPr="004D3E62">
        <w:rPr>
          <w:rFonts w:eastAsia="Calibri"/>
          <w:kern w:val="2"/>
          <w:sz w:val="24"/>
          <w:szCs w:val="24"/>
          <w:lang w:eastAsia="en-US"/>
          <w14:ligatures w14:val="standardContextual"/>
        </w:rPr>
        <w:t xml:space="preserve"> 67% of all orders were related to Range Rover, Range Rover Sport and Defender. It is evident that customer demands have moved towards premium sport utility vehicles with high contribution margins. As a result, the operational performance of JLR has been improved despite economic instability and fluctuations in the level of demand for different types of vehicles across the globe. This performance shows that, today, competitive advantage in premium automotive industry can be achieved not by increasing production volumes, but by creating a value through brand positioning and differentiation (PwC, 2025).</w:t>
      </w:r>
    </w:p>
    <w:p w14:paraId="37A4740E" w14:textId="5C697C2B" w:rsidR="00164E53" w:rsidRDefault="004D3E62" w:rsidP="004D3E62">
      <w:pPr>
        <w:spacing w:after="160" w:line="259" w:lineRule="auto"/>
        <w:rPr>
          <w:rFonts w:eastAsia="Calibri"/>
          <w:kern w:val="2"/>
          <w:sz w:val="24"/>
          <w:szCs w:val="24"/>
          <w:lang w:eastAsia="en-US"/>
          <w14:ligatures w14:val="standardContextual"/>
        </w:rPr>
      </w:pPr>
      <w:r w:rsidRPr="004D3E62">
        <w:rPr>
          <w:rFonts w:eastAsia="Calibri"/>
          <w:kern w:val="2"/>
          <w:sz w:val="24"/>
          <w:szCs w:val="24"/>
          <w:lang w:eastAsia="en-US"/>
          <w14:ligatures w14:val="standardContextual"/>
        </w:rPr>
        <w:t xml:space="preserve">On the other hand, the current performance of JLR has helped the company to achieve its strategic objective and invest into electrification and digital transformation. </w:t>
      </w:r>
      <w:proofErr w:type="gramStart"/>
      <w:r w:rsidRPr="004D3E62">
        <w:rPr>
          <w:rFonts w:eastAsia="Calibri"/>
          <w:kern w:val="2"/>
          <w:sz w:val="24"/>
          <w:szCs w:val="24"/>
          <w:lang w:eastAsia="en-US"/>
          <w14:ligatures w14:val="standardContextual"/>
        </w:rPr>
        <w:t>In particular, JLR</w:t>
      </w:r>
      <w:proofErr w:type="gramEnd"/>
      <w:r w:rsidRPr="004D3E62">
        <w:rPr>
          <w:rFonts w:eastAsia="Calibri"/>
          <w:kern w:val="2"/>
          <w:sz w:val="24"/>
          <w:szCs w:val="24"/>
          <w:lang w:eastAsia="en-US"/>
          <w14:ligatures w14:val="standardContextual"/>
        </w:rPr>
        <w:t xml:space="preserve"> has invested £15 billion over five years in development of battery electric vehicles, software-defined vehicle platforms, artificial intelligence, autonomous driving systems and advanced manufacturing technology. These actions have reflected general industry trends as European manufacturers continue to accelerate their electrification programs amid new emissions regulations and consumer preferences. Thus, European battery electric vehicle registrations amounted to 15% of new passenger car registrations in 2024. In this regard, the current financial performance of JLR gives a capital required to finance such strategic transformation. </w:t>
      </w:r>
      <w:r w:rsidR="00106AA3" w:rsidRPr="004D3E62">
        <w:rPr>
          <w:rFonts w:eastAsia="Calibri"/>
          <w:kern w:val="2"/>
          <w:sz w:val="24"/>
          <w:szCs w:val="24"/>
          <w:lang w:eastAsia="en-US"/>
          <w14:ligatures w14:val="standardContextual"/>
        </w:rPr>
        <w:t>However</w:t>
      </w:r>
      <w:r w:rsidRPr="004D3E62">
        <w:rPr>
          <w:rFonts w:eastAsia="Calibri"/>
          <w:kern w:val="2"/>
          <w:sz w:val="24"/>
          <w:szCs w:val="24"/>
          <w:lang w:eastAsia="en-US"/>
          <w14:ligatures w14:val="standardContextual"/>
        </w:rPr>
        <w:t>, further success</w:t>
      </w:r>
      <w:r w:rsidR="008E73D6">
        <w:rPr>
          <w:rFonts w:eastAsia="Calibri"/>
          <w:kern w:val="2"/>
          <w:sz w:val="24"/>
          <w:szCs w:val="24"/>
          <w:lang w:eastAsia="en-US"/>
          <w14:ligatures w14:val="standardContextual"/>
        </w:rPr>
        <w:t xml:space="preserve"> FOR the company will be based on a s</w:t>
      </w:r>
      <w:r w:rsidRPr="004D3E62">
        <w:rPr>
          <w:rFonts w:eastAsia="Calibri"/>
          <w:kern w:val="2"/>
          <w:sz w:val="24"/>
          <w:szCs w:val="24"/>
          <w:lang w:eastAsia="en-US"/>
          <w14:ligatures w14:val="standardContextual"/>
        </w:rPr>
        <w:t>uccessful commercialization of these investments.</w:t>
      </w:r>
    </w:p>
    <w:p w14:paraId="0E91405B" w14:textId="77777777" w:rsidR="00E6708C" w:rsidRDefault="00106AA3" w:rsidP="00E6708C">
      <w:pPr>
        <w:pStyle w:val="Heading1"/>
        <w:rPr>
          <w:rFonts w:eastAsia="Calibri"/>
          <w:lang w:eastAsia="en-US"/>
        </w:rPr>
      </w:pPr>
      <w:bookmarkStart w:id="9" w:name="_Toc235093248"/>
      <w:r w:rsidRPr="00106AA3">
        <w:rPr>
          <w:rFonts w:eastAsia="Calibri"/>
          <w:lang w:eastAsia="en-US"/>
        </w:rPr>
        <w:lastRenderedPageBreak/>
        <w:t>3. Internal and External Environmental Analysis</w:t>
      </w:r>
      <w:bookmarkEnd w:id="9"/>
      <w:r w:rsidRPr="00106AA3">
        <w:rPr>
          <w:rFonts w:eastAsia="Calibri"/>
          <w:lang w:eastAsia="en-US"/>
        </w:rPr>
        <w:br/>
      </w:r>
    </w:p>
    <w:p w14:paraId="1A813E28" w14:textId="651C6D12" w:rsidR="00106AA3" w:rsidRDefault="00106AA3" w:rsidP="00E6708C">
      <w:pPr>
        <w:pStyle w:val="Heading2"/>
        <w:rPr>
          <w:rFonts w:eastAsia="Calibri"/>
          <w:lang w:eastAsia="en-US"/>
        </w:rPr>
      </w:pPr>
      <w:bookmarkStart w:id="10" w:name="_Toc235093249"/>
      <w:r w:rsidRPr="00106AA3">
        <w:rPr>
          <w:rFonts w:eastAsia="Calibri"/>
          <w:lang w:eastAsia="en-US"/>
        </w:rPr>
        <w:t>3.1 Internal Environment Analysis</w:t>
      </w:r>
      <w:bookmarkEnd w:id="10"/>
    </w:p>
    <w:p w14:paraId="3121398C" w14:textId="77777777" w:rsidR="00F50218" w:rsidRPr="00F50218" w:rsidRDefault="00F50218" w:rsidP="00F50218">
      <w:pPr>
        <w:spacing w:after="160" w:line="259" w:lineRule="auto"/>
        <w:rPr>
          <w:rFonts w:eastAsia="Calibri"/>
          <w:kern w:val="2"/>
          <w:sz w:val="24"/>
          <w:szCs w:val="24"/>
          <w:lang w:eastAsia="en-US"/>
          <w14:ligatures w14:val="standardContextual"/>
        </w:rPr>
      </w:pPr>
      <w:r w:rsidRPr="00F50218">
        <w:rPr>
          <w:rFonts w:eastAsia="Calibri"/>
          <w:kern w:val="2"/>
          <w:sz w:val="24"/>
          <w:szCs w:val="24"/>
          <w:lang w:eastAsia="en-US"/>
          <w14:ligatures w14:val="standardContextual"/>
        </w:rPr>
        <w:t xml:space="preserve">SWOT analysis is a technique used by organisations for identifying their internal strengths and weaknesses, as well as their external opportunities and threats for strategic decision making. The technique enables an organisation to understand what capabilities it possesses </w:t>
      </w:r>
      <w:proofErr w:type="gramStart"/>
      <w:r w:rsidRPr="00F50218">
        <w:rPr>
          <w:rFonts w:eastAsia="Calibri"/>
          <w:kern w:val="2"/>
          <w:sz w:val="24"/>
          <w:szCs w:val="24"/>
          <w:lang w:eastAsia="en-US"/>
          <w14:ligatures w14:val="standardContextual"/>
        </w:rPr>
        <w:t>in order to</w:t>
      </w:r>
      <w:proofErr w:type="gramEnd"/>
      <w:r w:rsidRPr="00F50218">
        <w:rPr>
          <w:rFonts w:eastAsia="Calibri"/>
          <w:kern w:val="2"/>
          <w:sz w:val="24"/>
          <w:szCs w:val="24"/>
          <w:lang w:eastAsia="en-US"/>
          <w14:ligatures w14:val="standardContextual"/>
        </w:rPr>
        <w:t xml:space="preserve"> obtain a competitive advantage and what internal constraints and external circumstances can impact its future performance (Helms and Nixon, 2010).</w:t>
      </w:r>
    </w:p>
    <w:p w14:paraId="1E1CDDCE" w14:textId="1568365F" w:rsidR="00F50218" w:rsidRPr="00F50218" w:rsidRDefault="00F50218" w:rsidP="00F50218">
      <w:pPr>
        <w:spacing w:after="160" w:line="259" w:lineRule="auto"/>
        <w:rPr>
          <w:rFonts w:eastAsia="Calibri"/>
          <w:kern w:val="2"/>
          <w:sz w:val="24"/>
          <w:szCs w:val="24"/>
          <w:lang w:eastAsia="en-US"/>
          <w14:ligatures w14:val="standardContextual"/>
        </w:rPr>
      </w:pPr>
      <w:r w:rsidRPr="00F50218">
        <w:rPr>
          <w:rFonts w:eastAsia="Calibri"/>
          <w:kern w:val="2"/>
          <w:sz w:val="24"/>
          <w:szCs w:val="24"/>
          <w:lang w:eastAsia="en-US"/>
          <w14:ligatures w14:val="standardContextual"/>
        </w:rPr>
        <w:t xml:space="preserve">SWOT analysis is relevant to apply to the case of </w:t>
      </w:r>
      <w:r w:rsidR="009B1B26">
        <w:rPr>
          <w:rFonts w:eastAsia="Calibri"/>
          <w:kern w:val="2"/>
          <w:sz w:val="24"/>
          <w:szCs w:val="24"/>
          <w:lang w:eastAsia="en-US"/>
          <w14:ligatures w14:val="standardContextual"/>
        </w:rPr>
        <w:t>JLR</w:t>
      </w:r>
      <w:r w:rsidRPr="00F50218">
        <w:rPr>
          <w:rFonts w:eastAsia="Calibri"/>
          <w:kern w:val="2"/>
          <w:sz w:val="24"/>
          <w:szCs w:val="24"/>
          <w:lang w:eastAsia="en-US"/>
          <w14:ligatures w14:val="standardContextual"/>
        </w:rPr>
        <w:t>(JLR) as the company's electrification and digital transformation depend on the right combination of the internal and external environment. Therefore, the framework will enable the identification of the organisational aspects that contribute to or hinder the process of strategic change prior to analysing the business environment (Gürel and Tat, 2017).</w:t>
      </w:r>
    </w:p>
    <w:p w14:paraId="490696C0" w14:textId="77777777" w:rsidR="00F50218" w:rsidRPr="00F50218" w:rsidRDefault="00F50218" w:rsidP="00F50218">
      <w:pPr>
        <w:spacing w:after="160" w:line="259" w:lineRule="auto"/>
        <w:rPr>
          <w:rFonts w:eastAsia="Calibri"/>
          <w:kern w:val="2"/>
          <w:sz w:val="24"/>
          <w:szCs w:val="24"/>
          <w:lang w:eastAsia="en-US"/>
          <w14:ligatures w14:val="standardContextual"/>
        </w:rPr>
      </w:pPr>
      <w:r w:rsidRPr="00F50218">
        <w:rPr>
          <w:rFonts w:eastAsia="Calibri"/>
          <w:kern w:val="2"/>
          <w:sz w:val="24"/>
          <w:szCs w:val="24"/>
          <w:lang w:eastAsia="en-US"/>
          <w14:ligatures w14:val="standardContextual"/>
        </w:rPr>
        <w:t>The main strength of the organisation is related to the premium brand portfolio and strong financial capabilities of the company that enable strategic investments. In the 2024/25 financial year, JLR earned £29.0 billion revenue, £2.5 billion profit before tax, and £1.5 billion of free cash flow which provided sufficient resources for further investments in electrification, software-defined vehicles and advanced manufacturing processes. Financial resources enable JLR to have strategic options that are superior to many competitors' (Jaguar Land Rover, 2025).</w:t>
      </w:r>
    </w:p>
    <w:p w14:paraId="44D9EF1D" w14:textId="77777777" w:rsidR="00F50218" w:rsidRPr="00F50218" w:rsidRDefault="00F50218" w:rsidP="00F50218">
      <w:pPr>
        <w:spacing w:after="160" w:line="259" w:lineRule="auto"/>
        <w:rPr>
          <w:rFonts w:eastAsia="Calibri"/>
          <w:kern w:val="2"/>
          <w:sz w:val="24"/>
          <w:szCs w:val="24"/>
          <w:lang w:eastAsia="en-US"/>
          <w14:ligatures w14:val="standardContextual"/>
        </w:rPr>
      </w:pPr>
      <w:r w:rsidRPr="00F50218">
        <w:rPr>
          <w:rFonts w:eastAsia="Calibri"/>
          <w:kern w:val="2"/>
          <w:sz w:val="24"/>
          <w:szCs w:val="24"/>
          <w:lang w:eastAsia="en-US"/>
          <w14:ligatures w14:val="standardContextual"/>
        </w:rPr>
        <w:t xml:space="preserve">The main weakness of the company is the dependence on international supply chains and unique skills and competencies. JLR has highly integrated international supply chain and relies on just-in-time manufacturing, which makes it more exposed to any external disruptions related to the logistics, trading and availability of the suppliers. According to Bailey and De </w:t>
      </w:r>
      <w:proofErr w:type="spellStart"/>
      <w:r w:rsidRPr="00F50218">
        <w:rPr>
          <w:rFonts w:eastAsia="Calibri"/>
          <w:kern w:val="2"/>
          <w:sz w:val="24"/>
          <w:szCs w:val="24"/>
          <w:lang w:eastAsia="en-US"/>
          <w14:ligatures w14:val="standardContextual"/>
        </w:rPr>
        <w:t>Propris</w:t>
      </w:r>
      <w:proofErr w:type="spellEnd"/>
      <w:r w:rsidRPr="00F50218">
        <w:rPr>
          <w:rFonts w:eastAsia="Calibri"/>
          <w:kern w:val="2"/>
          <w:sz w:val="24"/>
          <w:szCs w:val="24"/>
          <w:lang w:eastAsia="en-US"/>
          <w14:ligatures w14:val="standardContextual"/>
        </w:rPr>
        <w:t xml:space="preserve"> (2017), the changes to the UK-EU trade arrangements led to higher administrative costs and inefficiency of supply chains in the UK automotive sector. Hence, JLR is vulnerable to any external disturbance </w:t>
      </w:r>
      <w:proofErr w:type="gramStart"/>
      <w:r w:rsidRPr="00F50218">
        <w:rPr>
          <w:rFonts w:eastAsia="Calibri"/>
          <w:kern w:val="2"/>
          <w:sz w:val="24"/>
          <w:szCs w:val="24"/>
          <w:lang w:eastAsia="en-US"/>
          <w14:ligatures w14:val="standardContextual"/>
        </w:rPr>
        <w:t>as a result of</w:t>
      </w:r>
      <w:proofErr w:type="gramEnd"/>
      <w:r w:rsidRPr="00F50218">
        <w:rPr>
          <w:rFonts w:eastAsia="Calibri"/>
          <w:kern w:val="2"/>
          <w:sz w:val="24"/>
          <w:szCs w:val="24"/>
          <w:lang w:eastAsia="en-US"/>
          <w14:ligatures w14:val="standardContextual"/>
        </w:rPr>
        <w:t xml:space="preserve"> its internal production processes.</w:t>
      </w:r>
    </w:p>
    <w:p w14:paraId="4178DB04" w14:textId="77777777" w:rsidR="00F50218" w:rsidRPr="00F50218" w:rsidRDefault="00F50218" w:rsidP="00F50218">
      <w:pPr>
        <w:spacing w:after="160" w:line="259" w:lineRule="auto"/>
        <w:rPr>
          <w:rFonts w:eastAsia="Calibri"/>
          <w:kern w:val="2"/>
          <w:sz w:val="24"/>
          <w:szCs w:val="24"/>
          <w:lang w:eastAsia="en-US"/>
          <w14:ligatures w14:val="standardContextual"/>
        </w:rPr>
      </w:pPr>
      <w:r w:rsidRPr="00F50218">
        <w:rPr>
          <w:rFonts w:eastAsia="Calibri"/>
          <w:kern w:val="2"/>
          <w:sz w:val="24"/>
          <w:szCs w:val="24"/>
          <w:lang w:eastAsia="en-US"/>
          <w14:ligatures w14:val="standardContextual"/>
        </w:rPr>
        <w:t>The biggest opportunity that JLR faces is related to the rapid development of the electric and digital mobility. JLR invests £15 billion over five years into battery electric vehicles, artificial intelligence, autonomous driving and digital services within the framework of the Reimagine strategy (International Energy Agency, 2025). It helps the company to satisfy the growing demand for premium electric vehicles and to remain competitive in the modern technology-driven automotive industry.</w:t>
      </w:r>
    </w:p>
    <w:p w14:paraId="3754CA6E" w14:textId="0BC40FBB" w:rsidR="00106AA3" w:rsidRDefault="00F50218" w:rsidP="00F50218">
      <w:pPr>
        <w:spacing w:after="160" w:line="259" w:lineRule="auto"/>
        <w:rPr>
          <w:rFonts w:eastAsia="Calibri"/>
          <w:kern w:val="2"/>
          <w:sz w:val="24"/>
          <w:szCs w:val="24"/>
          <w:lang w:eastAsia="en-US"/>
          <w14:ligatures w14:val="standardContextual"/>
        </w:rPr>
      </w:pPr>
      <w:r w:rsidRPr="00F50218">
        <w:rPr>
          <w:rFonts w:eastAsia="Calibri"/>
          <w:kern w:val="2"/>
          <w:sz w:val="24"/>
          <w:szCs w:val="24"/>
          <w:lang w:eastAsia="en-US"/>
          <w14:ligatures w14:val="standardContextual"/>
        </w:rPr>
        <w:t>The biggest threat that JLR faces is the growing competition in the premium electric vehicle market. Manufacturers such as BMW, Mercedes-Benz, Audi, Tesla and BYD continue developing their electric vehicle line and investing in software and battery capabilities (McKinsey &amp; Company, 2024).</w:t>
      </w:r>
      <w:r w:rsidR="00980CD5">
        <w:rPr>
          <w:rFonts w:eastAsia="Calibri"/>
          <w:kern w:val="2"/>
          <w:sz w:val="24"/>
          <w:szCs w:val="24"/>
          <w:lang w:eastAsia="en-US"/>
          <w14:ligatures w14:val="standardContextual"/>
        </w:rPr>
        <w:t xml:space="preserve"> That means that </w:t>
      </w:r>
      <w:r w:rsidRPr="00F50218">
        <w:rPr>
          <w:rFonts w:eastAsia="Calibri"/>
          <w:kern w:val="2"/>
          <w:sz w:val="24"/>
          <w:szCs w:val="24"/>
          <w:lang w:eastAsia="en-US"/>
          <w14:ligatures w14:val="standardContextual"/>
        </w:rPr>
        <w:t xml:space="preserve">JLR finds itself under the pressure of growing competition and </w:t>
      </w:r>
      <w:proofErr w:type="gramStart"/>
      <w:r w:rsidRPr="00F50218">
        <w:rPr>
          <w:rFonts w:eastAsia="Calibri"/>
          <w:kern w:val="2"/>
          <w:sz w:val="24"/>
          <w:szCs w:val="24"/>
          <w:lang w:eastAsia="en-US"/>
          <w14:ligatures w14:val="standardContextual"/>
        </w:rPr>
        <w:t>has to</w:t>
      </w:r>
      <w:proofErr w:type="gramEnd"/>
      <w:r w:rsidRPr="00F50218">
        <w:rPr>
          <w:rFonts w:eastAsia="Calibri"/>
          <w:kern w:val="2"/>
          <w:sz w:val="24"/>
          <w:szCs w:val="24"/>
          <w:lang w:eastAsia="en-US"/>
          <w14:ligatures w14:val="standardContextual"/>
        </w:rPr>
        <w:t xml:space="preserve"> innovate continuously.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92"/>
        <w:gridCol w:w="5224"/>
      </w:tblGrid>
      <w:tr w:rsidR="00E26F9D" w:rsidRPr="00E26F9D" w14:paraId="377FC724" w14:textId="77777777" w:rsidTr="00E26F9D">
        <w:trPr>
          <w:tblHeader/>
          <w:tblCellSpacing w:w="15" w:type="dxa"/>
        </w:trPr>
        <w:tc>
          <w:tcPr>
            <w:tcW w:w="0" w:type="auto"/>
            <w:vAlign w:val="center"/>
            <w:hideMark/>
          </w:tcPr>
          <w:p w14:paraId="4AE26F8A" w14:textId="77777777" w:rsidR="00E26F9D" w:rsidRPr="00E26F9D" w:rsidRDefault="00E26F9D" w:rsidP="00E26F9D">
            <w:pPr>
              <w:spacing w:after="160" w:line="259" w:lineRule="auto"/>
              <w:rPr>
                <w:rFonts w:eastAsia="Calibri"/>
                <w:b/>
                <w:bCs/>
                <w:kern w:val="2"/>
                <w:sz w:val="24"/>
                <w:szCs w:val="24"/>
                <w:lang w:eastAsia="en-US"/>
                <w14:ligatures w14:val="standardContextual"/>
              </w:rPr>
            </w:pPr>
            <w:r w:rsidRPr="00E26F9D">
              <w:rPr>
                <w:rFonts w:eastAsia="Calibri"/>
                <w:b/>
                <w:bCs/>
                <w:kern w:val="2"/>
                <w:sz w:val="24"/>
                <w:szCs w:val="24"/>
                <w:lang w:eastAsia="en-US"/>
                <w14:ligatures w14:val="standardContextual"/>
              </w:rPr>
              <w:t>Strengths</w:t>
            </w:r>
          </w:p>
        </w:tc>
        <w:tc>
          <w:tcPr>
            <w:tcW w:w="0" w:type="auto"/>
            <w:vAlign w:val="center"/>
            <w:hideMark/>
          </w:tcPr>
          <w:p w14:paraId="6BDDCFF4" w14:textId="77777777" w:rsidR="00E26F9D" w:rsidRPr="00E26F9D" w:rsidRDefault="00E26F9D" w:rsidP="00E26F9D">
            <w:pPr>
              <w:spacing w:after="160" w:line="259" w:lineRule="auto"/>
              <w:rPr>
                <w:rFonts w:eastAsia="Calibri"/>
                <w:b/>
                <w:bCs/>
                <w:kern w:val="2"/>
                <w:sz w:val="24"/>
                <w:szCs w:val="24"/>
                <w:lang w:eastAsia="en-US"/>
                <w14:ligatures w14:val="standardContextual"/>
              </w:rPr>
            </w:pPr>
            <w:r w:rsidRPr="00E26F9D">
              <w:rPr>
                <w:rFonts w:eastAsia="Calibri"/>
                <w:b/>
                <w:bCs/>
                <w:kern w:val="2"/>
                <w:sz w:val="24"/>
                <w:szCs w:val="24"/>
                <w:lang w:eastAsia="en-US"/>
                <w14:ligatures w14:val="standardContextual"/>
              </w:rPr>
              <w:t>Weaknesses</w:t>
            </w:r>
          </w:p>
        </w:tc>
      </w:tr>
      <w:tr w:rsidR="00E26F9D" w:rsidRPr="00E26F9D" w14:paraId="471901A2" w14:textId="77777777" w:rsidTr="00E26F9D">
        <w:trPr>
          <w:tblCellSpacing w:w="15" w:type="dxa"/>
        </w:trPr>
        <w:tc>
          <w:tcPr>
            <w:tcW w:w="0" w:type="auto"/>
            <w:vAlign w:val="center"/>
            <w:hideMark/>
          </w:tcPr>
          <w:p w14:paraId="3C078187"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Premium luxury brands</w:t>
            </w:r>
          </w:p>
        </w:tc>
        <w:tc>
          <w:tcPr>
            <w:tcW w:w="0" w:type="auto"/>
            <w:vAlign w:val="center"/>
            <w:hideMark/>
          </w:tcPr>
          <w:p w14:paraId="0700DC88"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Complex global supply chain</w:t>
            </w:r>
          </w:p>
        </w:tc>
      </w:tr>
      <w:tr w:rsidR="00E26F9D" w:rsidRPr="00E26F9D" w14:paraId="359BF20B" w14:textId="77777777" w:rsidTr="00E26F9D">
        <w:trPr>
          <w:tblCellSpacing w:w="15" w:type="dxa"/>
        </w:trPr>
        <w:tc>
          <w:tcPr>
            <w:tcW w:w="0" w:type="auto"/>
            <w:vAlign w:val="center"/>
            <w:hideMark/>
          </w:tcPr>
          <w:p w14:paraId="25606E7B"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lastRenderedPageBreak/>
              <w:t>Strong financial performance</w:t>
            </w:r>
          </w:p>
        </w:tc>
        <w:tc>
          <w:tcPr>
            <w:tcW w:w="0" w:type="auto"/>
            <w:vAlign w:val="center"/>
            <w:hideMark/>
          </w:tcPr>
          <w:p w14:paraId="7F7B3B39"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Dependence on specialist skills</w:t>
            </w:r>
          </w:p>
        </w:tc>
      </w:tr>
      <w:tr w:rsidR="00E26F9D" w:rsidRPr="00E26F9D" w14:paraId="26C213A5" w14:textId="77777777" w:rsidTr="00E26F9D">
        <w:trPr>
          <w:tblCellSpacing w:w="15" w:type="dxa"/>
        </w:trPr>
        <w:tc>
          <w:tcPr>
            <w:tcW w:w="0" w:type="auto"/>
            <w:vAlign w:val="center"/>
            <w:hideMark/>
          </w:tcPr>
          <w:p w14:paraId="3AA15F0C"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Significant investment capacity</w:t>
            </w:r>
          </w:p>
        </w:tc>
        <w:tc>
          <w:tcPr>
            <w:tcW w:w="0" w:type="auto"/>
            <w:vAlign w:val="center"/>
            <w:hideMark/>
          </w:tcPr>
          <w:p w14:paraId="5BC81B09"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High electrification costs</w:t>
            </w:r>
          </w:p>
        </w:tc>
      </w:tr>
      <w:tr w:rsidR="00E26F9D" w:rsidRPr="00E26F9D" w14:paraId="3A7275AC" w14:textId="77777777" w:rsidTr="00E26F9D">
        <w:trPr>
          <w:tblCellSpacing w:w="15" w:type="dxa"/>
        </w:trPr>
        <w:tc>
          <w:tcPr>
            <w:tcW w:w="0" w:type="auto"/>
            <w:vAlign w:val="center"/>
            <w:hideMark/>
          </w:tcPr>
          <w:p w14:paraId="7E785F94"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Engineering and manufacturing expertise</w:t>
            </w:r>
          </w:p>
        </w:tc>
        <w:tc>
          <w:tcPr>
            <w:tcW w:w="0" w:type="auto"/>
            <w:vAlign w:val="center"/>
            <w:hideMark/>
          </w:tcPr>
          <w:p w14:paraId="6AF7AB45"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Reliance on premium vehicle demand</w:t>
            </w:r>
          </w:p>
        </w:tc>
      </w:tr>
      <w:tr w:rsidR="00E26F9D" w:rsidRPr="00E26F9D" w14:paraId="1EAB9028" w14:textId="77777777" w:rsidTr="00E26F9D">
        <w:trPr>
          <w:tblCellSpacing w:w="15" w:type="dxa"/>
        </w:trPr>
        <w:tc>
          <w:tcPr>
            <w:tcW w:w="0" w:type="auto"/>
            <w:vAlign w:val="center"/>
            <w:hideMark/>
          </w:tcPr>
          <w:p w14:paraId="712327D9" w14:textId="77777777" w:rsidR="00E26F9D" w:rsidRPr="00E26F9D" w:rsidRDefault="00E26F9D" w:rsidP="00E26F9D">
            <w:pPr>
              <w:spacing w:after="160" w:line="259" w:lineRule="auto"/>
              <w:rPr>
                <w:rFonts w:eastAsia="Calibri"/>
                <w:b/>
                <w:bCs/>
                <w:kern w:val="2"/>
                <w:sz w:val="24"/>
                <w:szCs w:val="24"/>
                <w:lang w:eastAsia="en-US"/>
                <w14:ligatures w14:val="standardContextual"/>
              </w:rPr>
            </w:pPr>
            <w:r w:rsidRPr="00E26F9D">
              <w:rPr>
                <w:rFonts w:eastAsia="Calibri"/>
                <w:b/>
                <w:bCs/>
                <w:kern w:val="2"/>
                <w:sz w:val="24"/>
                <w:szCs w:val="24"/>
                <w:lang w:eastAsia="en-US"/>
                <w14:ligatures w14:val="standardContextual"/>
              </w:rPr>
              <w:t>Opportunities</w:t>
            </w:r>
          </w:p>
        </w:tc>
        <w:tc>
          <w:tcPr>
            <w:tcW w:w="0" w:type="auto"/>
            <w:vAlign w:val="center"/>
            <w:hideMark/>
          </w:tcPr>
          <w:p w14:paraId="6CBCB653" w14:textId="77777777" w:rsidR="00E26F9D" w:rsidRPr="00E26F9D" w:rsidRDefault="00E26F9D" w:rsidP="00E26F9D">
            <w:pPr>
              <w:spacing w:after="160" w:line="259" w:lineRule="auto"/>
              <w:rPr>
                <w:rFonts w:eastAsia="Calibri"/>
                <w:b/>
                <w:bCs/>
                <w:kern w:val="2"/>
                <w:sz w:val="24"/>
                <w:szCs w:val="24"/>
                <w:lang w:eastAsia="en-US"/>
                <w14:ligatures w14:val="standardContextual"/>
              </w:rPr>
            </w:pPr>
            <w:r w:rsidRPr="00E26F9D">
              <w:rPr>
                <w:rFonts w:eastAsia="Calibri"/>
                <w:b/>
                <w:bCs/>
                <w:kern w:val="2"/>
                <w:sz w:val="24"/>
                <w:szCs w:val="24"/>
                <w:lang w:eastAsia="en-US"/>
                <w14:ligatures w14:val="standardContextual"/>
              </w:rPr>
              <w:t>Threats</w:t>
            </w:r>
          </w:p>
        </w:tc>
      </w:tr>
      <w:tr w:rsidR="00E26F9D" w:rsidRPr="00E26F9D" w14:paraId="4D2D0A22" w14:textId="77777777" w:rsidTr="00E26F9D">
        <w:trPr>
          <w:tblCellSpacing w:w="15" w:type="dxa"/>
        </w:trPr>
        <w:tc>
          <w:tcPr>
            <w:tcW w:w="0" w:type="auto"/>
            <w:vAlign w:val="center"/>
            <w:hideMark/>
          </w:tcPr>
          <w:p w14:paraId="36C607B4"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Growth in electric vehicles</w:t>
            </w:r>
          </w:p>
        </w:tc>
        <w:tc>
          <w:tcPr>
            <w:tcW w:w="0" w:type="auto"/>
            <w:vAlign w:val="center"/>
            <w:hideMark/>
          </w:tcPr>
          <w:p w14:paraId="66224E91"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Competition from BMW, Tesla, BYD and Mercedes-Benz</w:t>
            </w:r>
          </w:p>
        </w:tc>
      </w:tr>
      <w:tr w:rsidR="00E26F9D" w:rsidRPr="00E26F9D" w14:paraId="59DD25BF" w14:textId="77777777" w:rsidTr="00E26F9D">
        <w:trPr>
          <w:tblCellSpacing w:w="15" w:type="dxa"/>
        </w:trPr>
        <w:tc>
          <w:tcPr>
            <w:tcW w:w="0" w:type="auto"/>
            <w:vAlign w:val="center"/>
            <w:hideMark/>
          </w:tcPr>
          <w:p w14:paraId="53EAA50C"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Artificial intelligence adoption</w:t>
            </w:r>
          </w:p>
        </w:tc>
        <w:tc>
          <w:tcPr>
            <w:tcW w:w="0" w:type="auto"/>
            <w:vAlign w:val="center"/>
            <w:hideMark/>
          </w:tcPr>
          <w:p w14:paraId="6BCAB05F"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Regulatory and emissions requirements</w:t>
            </w:r>
          </w:p>
        </w:tc>
      </w:tr>
      <w:tr w:rsidR="00E26F9D" w:rsidRPr="00E26F9D" w14:paraId="7B16C418" w14:textId="77777777" w:rsidTr="00E26F9D">
        <w:trPr>
          <w:tblCellSpacing w:w="15" w:type="dxa"/>
        </w:trPr>
        <w:tc>
          <w:tcPr>
            <w:tcW w:w="0" w:type="auto"/>
            <w:vAlign w:val="center"/>
            <w:hideMark/>
          </w:tcPr>
          <w:p w14:paraId="13FDE655"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Digital manufacturing</w:t>
            </w:r>
          </w:p>
        </w:tc>
        <w:tc>
          <w:tcPr>
            <w:tcW w:w="0" w:type="auto"/>
            <w:vAlign w:val="center"/>
            <w:hideMark/>
          </w:tcPr>
          <w:p w14:paraId="0E7A0B78"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Supply chain disruption</w:t>
            </w:r>
          </w:p>
        </w:tc>
      </w:tr>
      <w:tr w:rsidR="00E26F9D" w:rsidRPr="00E26F9D" w14:paraId="1016CD91" w14:textId="77777777" w:rsidTr="00E26F9D">
        <w:trPr>
          <w:tblCellSpacing w:w="15" w:type="dxa"/>
        </w:trPr>
        <w:tc>
          <w:tcPr>
            <w:tcW w:w="0" w:type="auto"/>
            <w:vAlign w:val="center"/>
            <w:hideMark/>
          </w:tcPr>
          <w:p w14:paraId="336DD431"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Sustainable mobility</w:t>
            </w:r>
          </w:p>
        </w:tc>
        <w:tc>
          <w:tcPr>
            <w:tcW w:w="0" w:type="auto"/>
            <w:vAlign w:val="center"/>
            <w:hideMark/>
          </w:tcPr>
          <w:p w14:paraId="17721EDD" w14:textId="77777777" w:rsidR="00E26F9D" w:rsidRPr="00E26F9D" w:rsidRDefault="00E26F9D" w:rsidP="00E26F9D">
            <w:pPr>
              <w:spacing w:after="160" w:line="259" w:lineRule="auto"/>
              <w:rPr>
                <w:rFonts w:eastAsia="Calibri"/>
                <w:kern w:val="2"/>
                <w:sz w:val="24"/>
                <w:szCs w:val="24"/>
                <w:lang w:eastAsia="en-US"/>
                <w14:ligatures w14:val="standardContextual"/>
              </w:rPr>
            </w:pPr>
            <w:r w:rsidRPr="00E26F9D">
              <w:rPr>
                <w:rFonts w:eastAsia="Calibri"/>
                <w:kern w:val="2"/>
                <w:sz w:val="24"/>
                <w:szCs w:val="24"/>
                <w:lang w:eastAsia="en-US"/>
                <w14:ligatures w14:val="standardContextual"/>
              </w:rPr>
              <w:t>Volatile global economic conditions</w:t>
            </w:r>
          </w:p>
        </w:tc>
      </w:tr>
    </w:tbl>
    <w:p w14:paraId="6190E490" w14:textId="77777777" w:rsidR="00AB6506" w:rsidRDefault="00AB6506" w:rsidP="00E6708C">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Table 2: SWOT analysis JLR summarised</w:t>
      </w:r>
    </w:p>
    <w:p w14:paraId="766E9F6D" w14:textId="77777777" w:rsidR="00AB6506" w:rsidRDefault="00AB6506" w:rsidP="00E6708C">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p>
    <w:p w14:paraId="6F09C055" w14:textId="35B4DC27" w:rsidR="00E26F9D" w:rsidRDefault="00106AA3" w:rsidP="00E6708C">
      <w:pPr>
        <w:pStyle w:val="Heading2"/>
        <w:rPr>
          <w:rFonts w:eastAsia="Calibri"/>
          <w:lang w:eastAsia="en-US"/>
        </w:rPr>
      </w:pPr>
      <w:r w:rsidRPr="00106AA3">
        <w:rPr>
          <w:rFonts w:eastAsia="Calibri"/>
          <w:lang w:eastAsia="en-US"/>
        </w:rPr>
        <w:br/>
      </w:r>
      <w:bookmarkStart w:id="11" w:name="_Toc235093250"/>
      <w:r w:rsidRPr="00106AA3">
        <w:rPr>
          <w:rFonts w:eastAsia="Calibri"/>
          <w:lang w:eastAsia="en-US"/>
        </w:rPr>
        <w:t>3.2 External Environment Analysis (PESTLE)</w:t>
      </w:r>
      <w:bookmarkEnd w:id="11"/>
    </w:p>
    <w:p w14:paraId="493CA380" w14:textId="16FACA14" w:rsidR="00857BB9" w:rsidRPr="00857BB9" w:rsidRDefault="00857BB9" w:rsidP="00857BB9">
      <w:pPr>
        <w:spacing w:after="160" w:line="259" w:lineRule="auto"/>
        <w:rPr>
          <w:rFonts w:eastAsia="Calibri"/>
          <w:kern w:val="2"/>
          <w:sz w:val="24"/>
          <w:szCs w:val="24"/>
          <w:lang w:eastAsia="en-US"/>
          <w14:ligatures w14:val="standardContextual"/>
        </w:rPr>
      </w:pPr>
      <w:r w:rsidRPr="00857BB9">
        <w:rPr>
          <w:rFonts w:eastAsia="Calibri"/>
          <w:kern w:val="2"/>
          <w:sz w:val="24"/>
          <w:szCs w:val="24"/>
          <w:lang w:eastAsia="en-US"/>
          <w14:ligatures w14:val="standardContextual"/>
        </w:rPr>
        <w:t>PESTLE analysis is used to consider the political, economic, social, technological, legal and environmental environment that surrounds an organization. This enables strategic decision-making through the categorization of external factors that affect an organization, though managers need to determine the relative priority and interactions of such factors rather than considering them as a checklist (Rastogi and Trivedi, 2016).</w:t>
      </w:r>
    </w:p>
    <w:p w14:paraId="1A276F89" w14:textId="71CAB102" w:rsidR="00857BB9" w:rsidRPr="00857BB9" w:rsidRDefault="00857BB9" w:rsidP="00857BB9">
      <w:pPr>
        <w:spacing w:after="160" w:line="259" w:lineRule="auto"/>
        <w:rPr>
          <w:rFonts w:eastAsia="Calibri"/>
          <w:kern w:val="2"/>
          <w:sz w:val="24"/>
          <w:szCs w:val="24"/>
          <w:lang w:eastAsia="en-US"/>
          <w14:ligatures w14:val="standardContextual"/>
        </w:rPr>
      </w:pPr>
      <w:r w:rsidRPr="00857BB9">
        <w:rPr>
          <w:rFonts w:eastAsia="Calibri"/>
          <w:kern w:val="2"/>
          <w:sz w:val="24"/>
          <w:szCs w:val="24"/>
          <w:lang w:eastAsia="en-US"/>
          <w14:ligatures w14:val="standardContextual"/>
        </w:rPr>
        <w:t xml:space="preserve">PESTLE analysis can be appropriate for </w:t>
      </w:r>
      <w:r w:rsidR="009B1B26">
        <w:rPr>
          <w:rFonts w:eastAsia="Calibri"/>
          <w:kern w:val="2"/>
          <w:sz w:val="24"/>
          <w:szCs w:val="24"/>
          <w:lang w:eastAsia="en-US"/>
          <w14:ligatures w14:val="standardContextual"/>
        </w:rPr>
        <w:t>JLR</w:t>
      </w:r>
      <w:r w:rsidR="008E0C4B">
        <w:rPr>
          <w:rFonts w:eastAsia="Calibri"/>
          <w:kern w:val="2"/>
          <w:sz w:val="24"/>
          <w:szCs w:val="24"/>
          <w:lang w:eastAsia="en-US"/>
          <w14:ligatures w14:val="standardContextual"/>
        </w:rPr>
        <w:t xml:space="preserve"> </w:t>
      </w:r>
      <w:r w:rsidRPr="00857BB9">
        <w:rPr>
          <w:rFonts w:eastAsia="Calibri"/>
          <w:kern w:val="2"/>
          <w:sz w:val="24"/>
          <w:szCs w:val="24"/>
          <w:lang w:eastAsia="en-US"/>
          <w14:ligatures w14:val="standardContextual"/>
        </w:rPr>
        <w:t xml:space="preserve">due to the significant role of government policies, trade relationships, economic situation, technology and environmental regulation in the manufacture of cars. JLR needs to understand these factors </w:t>
      </w:r>
      <w:proofErr w:type="gramStart"/>
      <w:r w:rsidRPr="00857BB9">
        <w:rPr>
          <w:rFonts w:eastAsia="Calibri"/>
          <w:kern w:val="2"/>
          <w:sz w:val="24"/>
          <w:szCs w:val="24"/>
          <w:lang w:eastAsia="en-US"/>
          <w14:ligatures w14:val="standardContextual"/>
        </w:rPr>
        <w:t>in order to</w:t>
      </w:r>
      <w:proofErr w:type="gramEnd"/>
      <w:r w:rsidRPr="00857BB9">
        <w:rPr>
          <w:rFonts w:eastAsia="Calibri"/>
          <w:kern w:val="2"/>
          <w:sz w:val="24"/>
          <w:szCs w:val="24"/>
          <w:lang w:eastAsia="en-US"/>
          <w14:ligatures w14:val="standardContextual"/>
        </w:rPr>
        <w:t xml:space="preserve"> allocate investments in different segments including combustion cars, electric vehicles, software and production facilities (Ho, 2014).</w:t>
      </w:r>
    </w:p>
    <w:p w14:paraId="6018276A" w14:textId="77777777" w:rsidR="00857BB9" w:rsidRPr="00857BB9" w:rsidRDefault="00857BB9" w:rsidP="00857BB9">
      <w:pPr>
        <w:spacing w:after="160" w:line="259" w:lineRule="auto"/>
        <w:rPr>
          <w:rFonts w:eastAsia="Calibri"/>
          <w:kern w:val="2"/>
          <w:sz w:val="24"/>
          <w:szCs w:val="24"/>
          <w:lang w:eastAsia="en-US"/>
          <w14:ligatures w14:val="standardContextual"/>
        </w:rPr>
      </w:pPr>
      <w:r w:rsidRPr="00857BB9">
        <w:rPr>
          <w:rFonts w:eastAsia="Calibri"/>
          <w:kern w:val="2"/>
          <w:sz w:val="24"/>
          <w:szCs w:val="24"/>
          <w:lang w:eastAsia="en-US"/>
          <w14:ligatures w14:val="standardContextual"/>
        </w:rPr>
        <w:t>Post-Brexit trade frictions are part of the political environment, which makes JLR suffer. According to the UK-EU Trade and Cooperation Agreement, vehicles traded without rules-of-origin requirements would incur a 10 per cent tariff. JLR needs to prove the origin of batteries and components, while customs declarations and checks would disrupt the schedule needed by just-in-time production system. In fact, Brexit increases the costs and uncertainties of JLR despite the absence of a general tariff on qualified vehicles (Bailey et al., 2022).</w:t>
      </w:r>
    </w:p>
    <w:p w14:paraId="1A3107A0" w14:textId="77777777" w:rsidR="00857BB9" w:rsidRPr="00857BB9" w:rsidRDefault="00857BB9" w:rsidP="00857BB9">
      <w:pPr>
        <w:spacing w:after="160" w:line="259" w:lineRule="auto"/>
        <w:rPr>
          <w:rFonts w:eastAsia="Calibri"/>
          <w:kern w:val="2"/>
          <w:sz w:val="24"/>
          <w:szCs w:val="24"/>
          <w:lang w:eastAsia="en-US"/>
          <w14:ligatures w14:val="standardContextual"/>
        </w:rPr>
      </w:pPr>
      <w:r w:rsidRPr="00857BB9">
        <w:rPr>
          <w:rFonts w:eastAsia="Calibri"/>
          <w:kern w:val="2"/>
          <w:sz w:val="24"/>
          <w:szCs w:val="24"/>
          <w:lang w:eastAsia="en-US"/>
          <w14:ligatures w14:val="standardContextual"/>
        </w:rPr>
        <w:t xml:space="preserve">Sterling depreciation and semiconductor shortages are examples of issues in the economic environment. The depreciation of sterling may increase the cost of imported electronic, batteries and components, though sales in foreign currency could provide sterling income. On the other hand, the semiconductor shortage has shown how a few upstream suppliers can reduce the production of vehicles. JLR has premium pricing as a safety net, but the weak </w:t>
      </w:r>
      <w:r w:rsidRPr="00857BB9">
        <w:rPr>
          <w:rFonts w:eastAsia="Calibri"/>
          <w:kern w:val="2"/>
          <w:sz w:val="24"/>
          <w:szCs w:val="24"/>
          <w:lang w:eastAsia="en-US"/>
          <w14:ligatures w14:val="standardContextual"/>
        </w:rPr>
        <w:lastRenderedPageBreak/>
        <w:t>growth in any market region such as China, Europe or North America would reduce discretionary spending on luxury vehicles (Li et al., 2019).</w:t>
      </w:r>
    </w:p>
    <w:p w14:paraId="67E1DA2E" w14:textId="77777777" w:rsidR="00857BB9" w:rsidRPr="00857BB9" w:rsidRDefault="00857BB9" w:rsidP="00857BB9">
      <w:pPr>
        <w:spacing w:after="160" w:line="259" w:lineRule="auto"/>
        <w:rPr>
          <w:rFonts w:eastAsia="Calibri"/>
          <w:kern w:val="2"/>
          <w:sz w:val="24"/>
          <w:szCs w:val="24"/>
          <w:lang w:eastAsia="en-US"/>
          <w14:ligatures w14:val="standardContextual"/>
        </w:rPr>
      </w:pPr>
      <w:r w:rsidRPr="00857BB9">
        <w:rPr>
          <w:rFonts w:eastAsia="Calibri"/>
          <w:kern w:val="2"/>
          <w:sz w:val="24"/>
          <w:szCs w:val="24"/>
          <w:lang w:eastAsia="en-US"/>
          <w14:ligatures w14:val="standardContextual"/>
        </w:rPr>
        <w:t xml:space="preserve">There is a paradox in the social environment. Although UK consumers know that electric vehicles are environmentally friendly, their purchase is limited by high cost, lack of chargers, range limitation and uncertainty in terms of battery life. JLR </w:t>
      </w:r>
      <w:proofErr w:type="gramStart"/>
      <w:r w:rsidRPr="00857BB9">
        <w:rPr>
          <w:rFonts w:eastAsia="Calibri"/>
          <w:kern w:val="2"/>
          <w:sz w:val="24"/>
          <w:szCs w:val="24"/>
          <w:lang w:eastAsia="en-US"/>
          <w14:ligatures w14:val="standardContextual"/>
        </w:rPr>
        <w:t>has to</w:t>
      </w:r>
      <w:proofErr w:type="gramEnd"/>
      <w:r w:rsidRPr="00857BB9">
        <w:rPr>
          <w:rFonts w:eastAsia="Calibri"/>
          <w:kern w:val="2"/>
          <w:sz w:val="24"/>
          <w:szCs w:val="24"/>
          <w:lang w:eastAsia="en-US"/>
          <w14:ligatures w14:val="standardContextual"/>
        </w:rPr>
        <w:t xml:space="preserve"> convince customers in the feasibility of owning electric luxury, because reliable charging, residual value and usability of electric </w:t>
      </w:r>
      <w:proofErr w:type="spellStart"/>
      <w:r w:rsidRPr="00857BB9">
        <w:rPr>
          <w:rFonts w:eastAsia="Calibri"/>
          <w:kern w:val="2"/>
          <w:sz w:val="24"/>
          <w:szCs w:val="24"/>
          <w:lang w:eastAsia="en-US"/>
          <w14:ligatures w14:val="standardContextual"/>
        </w:rPr>
        <w:t>Jaguarts</w:t>
      </w:r>
      <w:proofErr w:type="spellEnd"/>
      <w:r w:rsidRPr="00857BB9">
        <w:rPr>
          <w:rFonts w:eastAsia="Calibri"/>
          <w:kern w:val="2"/>
          <w:sz w:val="24"/>
          <w:szCs w:val="24"/>
          <w:lang w:eastAsia="en-US"/>
          <w14:ligatures w14:val="standardContextual"/>
        </w:rPr>
        <w:t xml:space="preserve"> and Range Rovers will play key roles (Berkeley, Jarvis and Jones, 2018).</w:t>
      </w:r>
    </w:p>
    <w:p w14:paraId="160CFD88" w14:textId="493A9F02" w:rsidR="00857BB9" w:rsidRPr="00857BB9" w:rsidRDefault="00857BB9" w:rsidP="00857BB9">
      <w:pPr>
        <w:spacing w:after="160" w:line="259" w:lineRule="auto"/>
        <w:rPr>
          <w:rFonts w:eastAsia="Calibri"/>
          <w:kern w:val="2"/>
          <w:sz w:val="24"/>
          <w:szCs w:val="24"/>
          <w:lang w:eastAsia="en-US"/>
          <w14:ligatures w14:val="standardContextual"/>
        </w:rPr>
      </w:pPr>
      <w:r w:rsidRPr="00857BB9">
        <w:rPr>
          <w:rFonts w:eastAsia="Calibri"/>
          <w:kern w:val="2"/>
          <w:sz w:val="24"/>
          <w:szCs w:val="24"/>
          <w:lang w:eastAsia="en-US"/>
          <w14:ligatures w14:val="standardContextual"/>
        </w:rPr>
        <w:t xml:space="preserve">In the technological environment, competition moves from mechanical engineering towards software-defined vehicles, connected services and artificial intelligence. AI can be used for predictive maintenance, automatic inspection, forecasting and personalized features of a car, but complexity of software increases cyber security and integration risks. JLR requires software development skills along with design and engineering </w:t>
      </w:r>
      <w:proofErr w:type="gramStart"/>
      <w:r w:rsidRPr="00857BB9">
        <w:rPr>
          <w:rFonts w:eastAsia="Calibri"/>
          <w:kern w:val="2"/>
          <w:sz w:val="24"/>
          <w:szCs w:val="24"/>
          <w:lang w:eastAsia="en-US"/>
          <w14:ligatures w14:val="standardContextual"/>
        </w:rPr>
        <w:t>in order to</w:t>
      </w:r>
      <w:proofErr w:type="gramEnd"/>
      <w:r w:rsidRPr="00857BB9">
        <w:rPr>
          <w:rFonts w:eastAsia="Calibri"/>
          <w:kern w:val="2"/>
          <w:sz w:val="24"/>
          <w:szCs w:val="24"/>
          <w:lang w:eastAsia="en-US"/>
          <w14:ligatures w14:val="standardContextual"/>
        </w:rPr>
        <w:t xml:space="preserve"> maintain its advantage through digital performance of a car after sale (</w:t>
      </w:r>
      <w:proofErr w:type="spellStart"/>
      <w:r w:rsidRPr="00857BB9">
        <w:rPr>
          <w:rFonts w:eastAsia="Calibri"/>
          <w:kern w:val="2"/>
          <w:sz w:val="24"/>
          <w:szCs w:val="24"/>
          <w:lang w:eastAsia="en-US"/>
          <w14:ligatures w14:val="standardContextual"/>
        </w:rPr>
        <w:t>Kukkamalla</w:t>
      </w:r>
      <w:proofErr w:type="spellEnd"/>
      <w:r w:rsidRPr="00857BB9">
        <w:rPr>
          <w:rFonts w:eastAsia="Calibri"/>
          <w:kern w:val="2"/>
          <w:sz w:val="24"/>
          <w:szCs w:val="24"/>
          <w:lang w:eastAsia="en-US"/>
          <w14:ligatures w14:val="standardContextual"/>
        </w:rPr>
        <w:t xml:space="preserve">, Bikfalvi and </w:t>
      </w:r>
      <w:proofErr w:type="spellStart"/>
      <w:r w:rsidRPr="00857BB9">
        <w:rPr>
          <w:rFonts w:eastAsia="Calibri"/>
          <w:kern w:val="2"/>
          <w:sz w:val="24"/>
          <w:szCs w:val="24"/>
          <w:lang w:eastAsia="en-US"/>
          <w14:ligatures w14:val="standardContextual"/>
        </w:rPr>
        <w:t>Arbussa</w:t>
      </w:r>
      <w:proofErr w:type="spellEnd"/>
      <w:r w:rsidRPr="00857BB9">
        <w:rPr>
          <w:rFonts w:eastAsia="Calibri"/>
          <w:kern w:val="2"/>
          <w:sz w:val="24"/>
          <w:szCs w:val="24"/>
          <w:lang w:eastAsia="en-US"/>
          <w14:ligatures w14:val="standardContextual"/>
        </w:rPr>
        <w:t>, 2021).</w:t>
      </w:r>
    </w:p>
    <w:p w14:paraId="0B670FF1" w14:textId="77777777" w:rsidR="00857BB9" w:rsidRPr="00857BB9" w:rsidRDefault="00857BB9" w:rsidP="00857BB9">
      <w:pPr>
        <w:spacing w:after="160" w:line="259" w:lineRule="auto"/>
        <w:rPr>
          <w:rFonts w:eastAsia="Calibri"/>
          <w:kern w:val="2"/>
          <w:sz w:val="24"/>
          <w:szCs w:val="24"/>
          <w:lang w:eastAsia="en-US"/>
          <w14:ligatures w14:val="standardContextual"/>
        </w:rPr>
      </w:pPr>
      <w:r w:rsidRPr="00857BB9">
        <w:rPr>
          <w:rFonts w:eastAsia="Calibri"/>
          <w:kern w:val="2"/>
          <w:sz w:val="24"/>
          <w:szCs w:val="24"/>
          <w:lang w:eastAsia="en-US"/>
          <w14:ligatures w14:val="standardContextual"/>
        </w:rPr>
        <w:t xml:space="preserve">The legal environment directly impacts JLR product mix. The Zero Emission Vehicle Mandate in the UK requires manufacturers to sell 22 per cent of their new-car sales as zero-emissions vehicles in 2024, increasing up to 80 per cent by 2030. Inability to meet these targets leads to the penalty or the obligation to buy vehicles from competitors </w:t>
      </w:r>
      <w:proofErr w:type="gramStart"/>
      <w:r w:rsidRPr="00857BB9">
        <w:rPr>
          <w:rFonts w:eastAsia="Calibri"/>
          <w:kern w:val="2"/>
          <w:sz w:val="24"/>
          <w:szCs w:val="24"/>
          <w:lang w:eastAsia="en-US"/>
          <w14:ligatures w14:val="standardContextual"/>
        </w:rPr>
        <w:t>in order to</w:t>
      </w:r>
      <w:proofErr w:type="gramEnd"/>
      <w:r w:rsidRPr="00857BB9">
        <w:rPr>
          <w:rFonts w:eastAsia="Calibri"/>
          <w:kern w:val="2"/>
          <w:sz w:val="24"/>
          <w:szCs w:val="24"/>
          <w:lang w:eastAsia="en-US"/>
          <w14:ligatures w14:val="standardContextual"/>
        </w:rPr>
        <w:t xml:space="preserve"> cover credit obligations. Therefore, JLR late entry in electric vehicle market is risky, especially </w:t>
      </w:r>
      <w:proofErr w:type="gramStart"/>
      <w:r w:rsidRPr="00857BB9">
        <w:rPr>
          <w:rFonts w:eastAsia="Calibri"/>
          <w:kern w:val="2"/>
          <w:sz w:val="24"/>
          <w:szCs w:val="24"/>
          <w:lang w:eastAsia="en-US"/>
          <w14:ligatures w14:val="standardContextual"/>
        </w:rPr>
        <w:t>taking into account</w:t>
      </w:r>
      <w:proofErr w:type="gramEnd"/>
      <w:r w:rsidRPr="00857BB9">
        <w:rPr>
          <w:rFonts w:eastAsia="Calibri"/>
          <w:kern w:val="2"/>
          <w:sz w:val="24"/>
          <w:szCs w:val="24"/>
          <w:lang w:eastAsia="en-US"/>
          <w14:ligatures w14:val="standardContextual"/>
        </w:rPr>
        <w:t xml:space="preserve"> its profitable Range Rover and Defender sales, which mostly consist of combustion and hybrid models (</w:t>
      </w:r>
      <w:proofErr w:type="spellStart"/>
      <w:r w:rsidRPr="00857BB9">
        <w:rPr>
          <w:rFonts w:eastAsia="Calibri"/>
          <w:kern w:val="2"/>
          <w:sz w:val="24"/>
          <w:szCs w:val="24"/>
          <w:lang w:eastAsia="en-US"/>
          <w14:ligatures w14:val="standardContextual"/>
        </w:rPr>
        <w:t>Axsen</w:t>
      </w:r>
      <w:proofErr w:type="spellEnd"/>
      <w:r w:rsidRPr="00857BB9">
        <w:rPr>
          <w:rFonts w:eastAsia="Calibri"/>
          <w:kern w:val="2"/>
          <w:sz w:val="24"/>
          <w:szCs w:val="24"/>
          <w:lang w:eastAsia="en-US"/>
          <w14:ligatures w14:val="standardContextual"/>
        </w:rPr>
        <w:t xml:space="preserve"> and Bhardwaj, 2025).</w:t>
      </w:r>
    </w:p>
    <w:p w14:paraId="1A0DF272" w14:textId="77777777" w:rsidR="00AB6506" w:rsidRDefault="00857BB9" w:rsidP="00857BB9">
      <w:pPr>
        <w:spacing w:after="160" w:line="259" w:lineRule="auto"/>
        <w:rPr>
          <w:rFonts w:eastAsia="Calibri"/>
          <w:kern w:val="2"/>
          <w:sz w:val="24"/>
          <w:szCs w:val="24"/>
          <w:lang w:eastAsia="en-US"/>
          <w14:ligatures w14:val="standardContextual"/>
        </w:rPr>
      </w:pPr>
      <w:r w:rsidRPr="00857BB9">
        <w:rPr>
          <w:rFonts w:eastAsia="Calibri"/>
          <w:kern w:val="2"/>
          <w:sz w:val="24"/>
          <w:szCs w:val="24"/>
          <w:lang w:eastAsia="en-US"/>
          <w14:ligatures w14:val="standardContextual"/>
        </w:rPr>
        <w:t>Although there are no emissions after using the electric vehicle, it does not mean that it is environmentally friendly. For instance, battery-electric vehicles do not produce any emission, but their manufacture is associated with emissions from extraction, manufacture and consumption of electricity. According to Hawkins et al. (2013), electric vehicles in Europe produced 10 to 24 per cent lower life-cycle global warming impacts compared with conventional vehicles. In addition, JLR needs to consider renewable energy sources, battery production, weight and recycling of vehicles.</w:t>
      </w:r>
    </w:p>
    <w:p w14:paraId="2FAC823C" w14:textId="77777777" w:rsidR="00AB6506" w:rsidRDefault="00AB6506" w:rsidP="00857BB9">
      <w:pPr>
        <w:spacing w:after="160" w:line="259" w:lineRule="auto"/>
        <w:rPr>
          <w:rFonts w:eastAsia="Calibri"/>
          <w:kern w:val="2"/>
          <w:sz w:val="24"/>
          <w:szCs w:val="24"/>
          <w:lang w:eastAsia="en-US"/>
          <w14:ligatures w14:val="standardContextu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2"/>
        <w:gridCol w:w="3126"/>
        <w:gridCol w:w="4041"/>
      </w:tblGrid>
      <w:tr w:rsidR="00AB6506" w:rsidRPr="00AB6506" w14:paraId="740F327B" w14:textId="77777777" w:rsidTr="00AB6506">
        <w:trPr>
          <w:tblHeader/>
          <w:tblCellSpacing w:w="15" w:type="dxa"/>
        </w:trPr>
        <w:tc>
          <w:tcPr>
            <w:tcW w:w="0" w:type="auto"/>
            <w:vAlign w:val="center"/>
            <w:hideMark/>
          </w:tcPr>
          <w:p w14:paraId="4E6647AE" w14:textId="77777777" w:rsidR="00AB6506" w:rsidRPr="00AB6506" w:rsidRDefault="00AB6506" w:rsidP="00AB6506">
            <w:pPr>
              <w:spacing w:after="160" w:line="259" w:lineRule="auto"/>
              <w:rPr>
                <w:rFonts w:eastAsia="Calibri"/>
                <w:b/>
                <w:bCs/>
                <w:kern w:val="2"/>
                <w:sz w:val="24"/>
                <w:szCs w:val="24"/>
                <w:lang w:eastAsia="en-US"/>
                <w14:ligatures w14:val="standardContextual"/>
              </w:rPr>
            </w:pPr>
            <w:r w:rsidRPr="00AB6506">
              <w:rPr>
                <w:rFonts w:eastAsia="Calibri"/>
                <w:b/>
                <w:bCs/>
                <w:kern w:val="2"/>
                <w:sz w:val="24"/>
                <w:szCs w:val="24"/>
                <w:lang w:eastAsia="en-US"/>
                <w14:ligatures w14:val="standardContextual"/>
              </w:rPr>
              <w:t>Factor</w:t>
            </w:r>
          </w:p>
        </w:tc>
        <w:tc>
          <w:tcPr>
            <w:tcW w:w="0" w:type="auto"/>
            <w:vAlign w:val="center"/>
            <w:hideMark/>
          </w:tcPr>
          <w:p w14:paraId="44D8CDB4" w14:textId="49853961" w:rsidR="00AB6506" w:rsidRPr="00AB6506" w:rsidRDefault="00E6708C" w:rsidP="00AB6506">
            <w:pPr>
              <w:spacing w:after="160" w:line="259" w:lineRule="auto"/>
              <w:rPr>
                <w:rFonts w:eastAsia="Calibri"/>
                <w:b/>
                <w:bCs/>
                <w:kern w:val="2"/>
                <w:sz w:val="24"/>
                <w:szCs w:val="24"/>
                <w:lang w:eastAsia="en-US"/>
                <w14:ligatures w14:val="standardContextual"/>
              </w:rPr>
            </w:pPr>
            <w:r>
              <w:rPr>
                <w:rFonts w:eastAsia="Calibri"/>
                <w:b/>
                <w:bCs/>
                <w:kern w:val="2"/>
                <w:sz w:val="24"/>
                <w:szCs w:val="24"/>
                <w:lang w:eastAsia="en-US"/>
                <w14:ligatures w14:val="standardContextual"/>
              </w:rPr>
              <w:t xml:space="preserve">Explanation </w:t>
            </w:r>
          </w:p>
        </w:tc>
        <w:tc>
          <w:tcPr>
            <w:tcW w:w="0" w:type="auto"/>
            <w:vAlign w:val="center"/>
            <w:hideMark/>
          </w:tcPr>
          <w:p w14:paraId="4C585705" w14:textId="044F9BE9" w:rsidR="00AB6506" w:rsidRPr="00AB6506" w:rsidRDefault="00E6708C" w:rsidP="00AB6506">
            <w:pPr>
              <w:spacing w:after="160" w:line="259" w:lineRule="auto"/>
              <w:rPr>
                <w:rFonts w:eastAsia="Calibri"/>
                <w:b/>
                <w:bCs/>
                <w:kern w:val="2"/>
                <w:sz w:val="24"/>
                <w:szCs w:val="24"/>
                <w:lang w:eastAsia="en-US"/>
                <w14:ligatures w14:val="standardContextual"/>
              </w:rPr>
            </w:pPr>
            <w:r>
              <w:rPr>
                <w:rFonts w:eastAsia="Calibri"/>
                <w:b/>
                <w:bCs/>
                <w:kern w:val="2"/>
                <w:sz w:val="24"/>
                <w:szCs w:val="24"/>
                <w:lang w:eastAsia="en-US"/>
                <w14:ligatures w14:val="standardContextual"/>
              </w:rPr>
              <w:t xml:space="preserve">Impact </w:t>
            </w:r>
            <w:r w:rsidR="00AB6506" w:rsidRPr="00AB6506">
              <w:rPr>
                <w:rFonts w:eastAsia="Calibri"/>
                <w:b/>
                <w:bCs/>
                <w:kern w:val="2"/>
                <w:sz w:val="24"/>
                <w:szCs w:val="24"/>
                <w:lang w:eastAsia="en-US"/>
                <w14:ligatures w14:val="standardContextual"/>
              </w:rPr>
              <w:t>JLR</w:t>
            </w:r>
          </w:p>
        </w:tc>
      </w:tr>
      <w:tr w:rsidR="00AB6506" w:rsidRPr="00AB6506" w14:paraId="55FBE80B" w14:textId="77777777" w:rsidTr="00AB6506">
        <w:trPr>
          <w:tblCellSpacing w:w="15" w:type="dxa"/>
        </w:trPr>
        <w:tc>
          <w:tcPr>
            <w:tcW w:w="0" w:type="auto"/>
            <w:vAlign w:val="center"/>
            <w:hideMark/>
          </w:tcPr>
          <w:p w14:paraId="06108675"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Political</w:t>
            </w:r>
          </w:p>
        </w:tc>
        <w:tc>
          <w:tcPr>
            <w:tcW w:w="0" w:type="auto"/>
            <w:vAlign w:val="center"/>
            <w:hideMark/>
          </w:tcPr>
          <w:p w14:paraId="4302EE07"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Brexit trade friction</w:t>
            </w:r>
          </w:p>
        </w:tc>
        <w:tc>
          <w:tcPr>
            <w:tcW w:w="0" w:type="auto"/>
            <w:vAlign w:val="center"/>
            <w:hideMark/>
          </w:tcPr>
          <w:p w14:paraId="62724CDF"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Higher customs and sourcing complexity</w:t>
            </w:r>
          </w:p>
        </w:tc>
      </w:tr>
      <w:tr w:rsidR="00AB6506" w:rsidRPr="00AB6506" w14:paraId="1EFF5A1A" w14:textId="77777777" w:rsidTr="00AB6506">
        <w:trPr>
          <w:tblCellSpacing w:w="15" w:type="dxa"/>
        </w:trPr>
        <w:tc>
          <w:tcPr>
            <w:tcW w:w="0" w:type="auto"/>
            <w:vAlign w:val="center"/>
            <w:hideMark/>
          </w:tcPr>
          <w:p w14:paraId="3C01D074"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Economic</w:t>
            </w:r>
          </w:p>
        </w:tc>
        <w:tc>
          <w:tcPr>
            <w:tcW w:w="0" w:type="auto"/>
            <w:vAlign w:val="center"/>
            <w:hideMark/>
          </w:tcPr>
          <w:p w14:paraId="2CA6BF8B"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Currency and demand volatility</w:t>
            </w:r>
          </w:p>
        </w:tc>
        <w:tc>
          <w:tcPr>
            <w:tcW w:w="0" w:type="auto"/>
            <w:vAlign w:val="center"/>
            <w:hideMark/>
          </w:tcPr>
          <w:p w14:paraId="140F0354"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Cost and revenue uncertainty</w:t>
            </w:r>
          </w:p>
        </w:tc>
      </w:tr>
      <w:tr w:rsidR="00AB6506" w:rsidRPr="00AB6506" w14:paraId="3BCB4A1E" w14:textId="77777777" w:rsidTr="00AB6506">
        <w:trPr>
          <w:tblCellSpacing w:w="15" w:type="dxa"/>
        </w:trPr>
        <w:tc>
          <w:tcPr>
            <w:tcW w:w="0" w:type="auto"/>
            <w:vAlign w:val="center"/>
            <w:hideMark/>
          </w:tcPr>
          <w:p w14:paraId="45304DD8"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Social</w:t>
            </w:r>
          </w:p>
        </w:tc>
        <w:tc>
          <w:tcPr>
            <w:tcW w:w="0" w:type="auto"/>
            <w:vAlign w:val="center"/>
            <w:hideMark/>
          </w:tcPr>
          <w:p w14:paraId="69272C5C"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Charging and price concerns</w:t>
            </w:r>
          </w:p>
        </w:tc>
        <w:tc>
          <w:tcPr>
            <w:tcW w:w="0" w:type="auto"/>
            <w:vAlign w:val="center"/>
            <w:hideMark/>
          </w:tcPr>
          <w:p w14:paraId="1EDDBDE9"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Slower electric vehicle adoption</w:t>
            </w:r>
          </w:p>
        </w:tc>
      </w:tr>
      <w:tr w:rsidR="00AB6506" w:rsidRPr="00AB6506" w14:paraId="1F688A3C" w14:textId="77777777" w:rsidTr="00AB6506">
        <w:trPr>
          <w:tblCellSpacing w:w="15" w:type="dxa"/>
        </w:trPr>
        <w:tc>
          <w:tcPr>
            <w:tcW w:w="0" w:type="auto"/>
            <w:vAlign w:val="center"/>
            <w:hideMark/>
          </w:tcPr>
          <w:p w14:paraId="00E73CC4"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Technological</w:t>
            </w:r>
          </w:p>
        </w:tc>
        <w:tc>
          <w:tcPr>
            <w:tcW w:w="0" w:type="auto"/>
            <w:vAlign w:val="center"/>
            <w:hideMark/>
          </w:tcPr>
          <w:p w14:paraId="4212D2D7"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AI and vehicle software</w:t>
            </w:r>
          </w:p>
        </w:tc>
        <w:tc>
          <w:tcPr>
            <w:tcW w:w="0" w:type="auto"/>
            <w:vAlign w:val="center"/>
            <w:hideMark/>
          </w:tcPr>
          <w:p w14:paraId="672F5F51"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New capability and cyber-security needs</w:t>
            </w:r>
          </w:p>
        </w:tc>
      </w:tr>
      <w:tr w:rsidR="00AB6506" w:rsidRPr="00AB6506" w14:paraId="4C50465D" w14:textId="77777777" w:rsidTr="00AB6506">
        <w:trPr>
          <w:tblCellSpacing w:w="15" w:type="dxa"/>
        </w:trPr>
        <w:tc>
          <w:tcPr>
            <w:tcW w:w="0" w:type="auto"/>
            <w:vAlign w:val="center"/>
            <w:hideMark/>
          </w:tcPr>
          <w:p w14:paraId="088BD12E"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Legal</w:t>
            </w:r>
          </w:p>
        </w:tc>
        <w:tc>
          <w:tcPr>
            <w:tcW w:w="0" w:type="auto"/>
            <w:vAlign w:val="center"/>
            <w:hideMark/>
          </w:tcPr>
          <w:p w14:paraId="76E479B8"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ZEV sales requirements</w:t>
            </w:r>
          </w:p>
        </w:tc>
        <w:tc>
          <w:tcPr>
            <w:tcW w:w="0" w:type="auto"/>
            <w:vAlign w:val="center"/>
            <w:hideMark/>
          </w:tcPr>
          <w:p w14:paraId="361E87E6"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Pressure for faster electrification</w:t>
            </w:r>
          </w:p>
        </w:tc>
      </w:tr>
      <w:tr w:rsidR="00AB6506" w:rsidRPr="00AB6506" w14:paraId="5D8509AB" w14:textId="77777777" w:rsidTr="00AB6506">
        <w:trPr>
          <w:tblCellSpacing w:w="15" w:type="dxa"/>
        </w:trPr>
        <w:tc>
          <w:tcPr>
            <w:tcW w:w="0" w:type="auto"/>
            <w:vAlign w:val="center"/>
            <w:hideMark/>
          </w:tcPr>
          <w:p w14:paraId="3EA84663"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Environmental</w:t>
            </w:r>
          </w:p>
        </w:tc>
        <w:tc>
          <w:tcPr>
            <w:tcW w:w="0" w:type="auto"/>
            <w:vAlign w:val="center"/>
            <w:hideMark/>
          </w:tcPr>
          <w:p w14:paraId="58A10D52"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Battery life-cycle emissions</w:t>
            </w:r>
          </w:p>
        </w:tc>
        <w:tc>
          <w:tcPr>
            <w:tcW w:w="0" w:type="auto"/>
            <w:vAlign w:val="center"/>
            <w:hideMark/>
          </w:tcPr>
          <w:p w14:paraId="3588D5F6"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Greater sourcing and recycling scrutiny</w:t>
            </w:r>
          </w:p>
        </w:tc>
      </w:tr>
      <w:tr w:rsidR="00AB6506" w:rsidRPr="00AB6506" w14:paraId="53C092BB" w14:textId="77777777" w:rsidTr="00AB6506">
        <w:trPr>
          <w:tblCellSpacing w:w="15" w:type="dxa"/>
        </w:trPr>
        <w:tc>
          <w:tcPr>
            <w:tcW w:w="0" w:type="auto"/>
            <w:vAlign w:val="center"/>
            <w:hideMark/>
          </w:tcPr>
          <w:p w14:paraId="4425F134"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Factor</w:t>
            </w:r>
          </w:p>
        </w:tc>
        <w:tc>
          <w:tcPr>
            <w:tcW w:w="0" w:type="auto"/>
            <w:vAlign w:val="center"/>
            <w:hideMark/>
          </w:tcPr>
          <w:p w14:paraId="7EA337DF"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Key issue</w:t>
            </w:r>
          </w:p>
        </w:tc>
        <w:tc>
          <w:tcPr>
            <w:tcW w:w="0" w:type="auto"/>
            <w:vAlign w:val="center"/>
            <w:hideMark/>
          </w:tcPr>
          <w:p w14:paraId="56A35A00"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Effect on JLR</w:t>
            </w:r>
          </w:p>
        </w:tc>
      </w:tr>
      <w:tr w:rsidR="00AB6506" w:rsidRPr="00AB6506" w14:paraId="68F7602C" w14:textId="77777777" w:rsidTr="00AB6506">
        <w:trPr>
          <w:tblCellSpacing w:w="15" w:type="dxa"/>
        </w:trPr>
        <w:tc>
          <w:tcPr>
            <w:tcW w:w="0" w:type="auto"/>
            <w:vAlign w:val="center"/>
            <w:hideMark/>
          </w:tcPr>
          <w:p w14:paraId="1DC9FCE2"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lastRenderedPageBreak/>
              <w:t>Political</w:t>
            </w:r>
          </w:p>
        </w:tc>
        <w:tc>
          <w:tcPr>
            <w:tcW w:w="0" w:type="auto"/>
            <w:vAlign w:val="center"/>
            <w:hideMark/>
          </w:tcPr>
          <w:p w14:paraId="68F7219F"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Brexit trade friction</w:t>
            </w:r>
          </w:p>
        </w:tc>
        <w:tc>
          <w:tcPr>
            <w:tcW w:w="0" w:type="auto"/>
            <w:vAlign w:val="center"/>
            <w:hideMark/>
          </w:tcPr>
          <w:p w14:paraId="6BD1C174"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Higher customs and sourcing complexity</w:t>
            </w:r>
          </w:p>
        </w:tc>
      </w:tr>
      <w:tr w:rsidR="00AB6506" w:rsidRPr="00AB6506" w14:paraId="7B93C3FB" w14:textId="77777777" w:rsidTr="00AB6506">
        <w:trPr>
          <w:tblCellSpacing w:w="15" w:type="dxa"/>
        </w:trPr>
        <w:tc>
          <w:tcPr>
            <w:tcW w:w="0" w:type="auto"/>
            <w:vAlign w:val="center"/>
            <w:hideMark/>
          </w:tcPr>
          <w:p w14:paraId="75315A83"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Economic</w:t>
            </w:r>
          </w:p>
        </w:tc>
        <w:tc>
          <w:tcPr>
            <w:tcW w:w="0" w:type="auto"/>
            <w:vAlign w:val="center"/>
            <w:hideMark/>
          </w:tcPr>
          <w:p w14:paraId="016A4E54"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Currency and demand volatility</w:t>
            </w:r>
          </w:p>
        </w:tc>
        <w:tc>
          <w:tcPr>
            <w:tcW w:w="0" w:type="auto"/>
            <w:vAlign w:val="center"/>
            <w:hideMark/>
          </w:tcPr>
          <w:p w14:paraId="664B8E02"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Cost and revenue uncertainty</w:t>
            </w:r>
          </w:p>
        </w:tc>
      </w:tr>
      <w:tr w:rsidR="00AB6506" w:rsidRPr="00AB6506" w14:paraId="4CCE8448" w14:textId="77777777" w:rsidTr="00AB6506">
        <w:trPr>
          <w:tblCellSpacing w:w="15" w:type="dxa"/>
        </w:trPr>
        <w:tc>
          <w:tcPr>
            <w:tcW w:w="0" w:type="auto"/>
            <w:vAlign w:val="center"/>
            <w:hideMark/>
          </w:tcPr>
          <w:p w14:paraId="6ED27702"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Social</w:t>
            </w:r>
          </w:p>
        </w:tc>
        <w:tc>
          <w:tcPr>
            <w:tcW w:w="0" w:type="auto"/>
            <w:vAlign w:val="center"/>
            <w:hideMark/>
          </w:tcPr>
          <w:p w14:paraId="1B2C6743"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Charging and price concerns</w:t>
            </w:r>
          </w:p>
        </w:tc>
        <w:tc>
          <w:tcPr>
            <w:tcW w:w="0" w:type="auto"/>
            <w:vAlign w:val="center"/>
            <w:hideMark/>
          </w:tcPr>
          <w:p w14:paraId="11823F99"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Slower electric vehicle adoption</w:t>
            </w:r>
          </w:p>
        </w:tc>
      </w:tr>
      <w:tr w:rsidR="00AB6506" w:rsidRPr="00AB6506" w14:paraId="7152AE0C" w14:textId="77777777" w:rsidTr="00AB6506">
        <w:trPr>
          <w:tblCellSpacing w:w="15" w:type="dxa"/>
        </w:trPr>
        <w:tc>
          <w:tcPr>
            <w:tcW w:w="0" w:type="auto"/>
            <w:vAlign w:val="center"/>
            <w:hideMark/>
          </w:tcPr>
          <w:p w14:paraId="29B5A4BC"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Technological</w:t>
            </w:r>
          </w:p>
        </w:tc>
        <w:tc>
          <w:tcPr>
            <w:tcW w:w="0" w:type="auto"/>
            <w:vAlign w:val="center"/>
            <w:hideMark/>
          </w:tcPr>
          <w:p w14:paraId="387D8D53"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AI and vehicle software</w:t>
            </w:r>
          </w:p>
        </w:tc>
        <w:tc>
          <w:tcPr>
            <w:tcW w:w="0" w:type="auto"/>
            <w:vAlign w:val="center"/>
            <w:hideMark/>
          </w:tcPr>
          <w:p w14:paraId="43A37880"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New capability and cyber-security needs</w:t>
            </w:r>
          </w:p>
        </w:tc>
      </w:tr>
      <w:tr w:rsidR="00AB6506" w:rsidRPr="00AB6506" w14:paraId="6CEC9524" w14:textId="77777777" w:rsidTr="00AB6506">
        <w:trPr>
          <w:tblCellSpacing w:w="15" w:type="dxa"/>
        </w:trPr>
        <w:tc>
          <w:tcPr>
            <w:tcW w:w="0" w:type="auto"/>
            <w:vAlign w:val="center"/>
            <w:hideMark/>
          </w:tcPr>
          <w:p w14:paraId="0BEC039D"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Legal</w:t>
            </w:r>
          </w:p>
        </w:tc>
        <w:tc>
          <w:tcPr>
            <w:tcW w:w="0" w:type="auto"/>
            <w:vAlign w:val="center"/>
            <w:hideMark/>
          </w:tcPr>
          <w:p w14:paraId="78535E3F"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ZEV sales requirements</w:t>
            </w:r>
          </w:p>
        </w:tc>
        <w:tc>
          <w:tcPr>
            <w:tcW w:w="0" w:type="auto"/>
            <w:vAlign w:val="center"/>
            <w:hideMark/>
          </w:tcPr>
          <w:p w14:paraId="31538A47"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Pressure for faster electrification</w:t>
            </w:r>
          </w:p>
        </w:tc>
      </w:tr>
      <w:tr w:rsidR="00AB6506" w:rsidRPr="00AB6506" w14:paraId="7393DC14" w14:textId="77777777" w:rsidTr="00AB6506">
        <w:trPr>
          <w:tblCellSpacing w:w="15" w:type="dxa"/>
        </w:trPr>
        <w:tc>
          <w:tcPr>
            <w:tcW w:w="0" w:type="auto"/>
            <w:vAlign w:val="center"/>
            <w:hideMark/>
          </w:tcPr>
          <w:p w14:paraId="4B226DA1"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Environmental</w:t>
            </w:r>
          </w:p>
        </w:tc>
        <w:tc>
          <w:tcPr>
            <w:tcW w:w="0" w:type="auto"/>
            <w:vAlign w:val="center"/>
            <w:hideMark/>
          </w:tcPr>
          <w:p w14:paraId="02D49488"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Battery life-cycle emissions</w:t>
            </w:r>
          </w:p>
        </w:tc>
        <w:tc>
          <w:tcPr>
            <w:tcW w:w="0" w:type="auto"/>
            <w:vAlign w:val="center"/>
            <w:hideMark/>
          </w:tcPr>
          <w:p w14:paraId="3052CD1F" w14:textId="77777777" w:rsidR="00AB6506" w:rsidRPr="00AB6506" w:rsidRDefault="00AB6506" w:rsidP="00AB6506">
            <w:pPr>
              <w:spacing w:after="160" w:line="259" w:lineRule="auto"/>
              <w:rPr>
                <w:rFonts w:eastAsia="Calibri"/>
                <w:kern w:val="2"/>
                <w:sz w:val="24"/>
                <w:szCs w:val="24"/>
                <w:lang w:eastAsia="en-US"/>
                <w14:ligatures w14:val="standardContextual"/>
              </w:rPr>
            </w:pPr>
            <w:r w:rsidRPr="00AB6506">
              <w:rPr>
                <w:rFonts w:eastAsia="Calibri"/>
                <w:kern w:val="2"/>
                <w:sz w:val="24"/>
                <w:szCs w:val="24"/>
                <w:lang w:eastAsia="en-US"/>
                <w14:ligatures w14:val="standardContextual"/>
              </w:rPr>
              <w:t>Greater sourcing and recycling scrutiny</w:t>
            </w:r>
          </w:p>
        </w:tc>
      </w:tr>
    </w:tbl>
    <w:p w14:paraId="663FB83E" w14:textId="77777777" w:rsidR="00AB6506" w:rsidRDefault="00AB6506" w:rsidP="00E6708C">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Table 3: PESTLE analysis JLR summarised</w:t>
      </w:r>
    </w:p>
    <w:p w14:paraId="08FC6F35" w14:textId="77777777" w:rsidR="00AB6506" w:rsidRDefault="00AB6506" w:rsidP="00E6708C">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p>
    <w:p w14:paraId="0F4A3A05" w14:textId="77777777" w:rsidR="007D54D4" w:rsidRDefault="00106AA3" w:rsidP="00E6708C">
      <w:pPr>
        <w:pStyle w:val="Heading2"/>
        <w:rPr>
          <w:rFonts w:eastAsia="Calibri"/>
          <w:lang w:eastAsia="en-US"/>
        </w:rPr>
      </w:pPr>
      <w:r w:rsidRPr="00106AA3">
        <w:rPr>
          <w:rFonts w:eastAsia="Calibri"/>
          <w:lang w:eastAsia="en-US"/>
        </w:rPr>
        <w:br/>
      </w:r>
      <w:bookmarkStart w:id="12" w:name="_Toc235093251"/>
      <w:r w:rsidRPr="00106AA3">
        <w:rPr>
          <w:rFonts w:eastAsia="Calibri"/>
          <w:lang w:eastAsia="en-US"/>
        </w:rPr>
        <w:t>3.3 Industry Analysis (Porter's Five Forces)</w:t>
      </w:r>
      <w:bookmarkEnd w:id="12"/>
    </w:p>
    <w:p w14:paraId="56241FB3"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Porter's Five Forces framework assesses the level of competition in an industry by examining five external factors that affect its profitability and competitive advantage. The framework helps organizations to assess the degree of competition in an industry and to react strategically (Porter, 1980).</w:t>
      </w:r>
    </w:p>
    <w:p w14:paraId="4D3EDF37" w14:textId="3EA37880"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The application of Porter's Five Forces to the case of JL</w:t>
      </w:r>
      <w:r w:rsidR="00E6708C">
        <w:rPr>
          <w:rFonts w:eastAsia="Calibri"/>
          <w:kern w:val="2"/>
          <w:sz w:val="24"/>
          <w:szCs w:val="24"/>
          <w:lang w:eastAsia="en-US"/>
          <w14:ligatures w14:val="standardContextual"/>
        </w:rPr>
        <w:t>R</w:t>
      </w:r>
      <w:r w:rsidRPr="003801BD">
        <w:rPr>
          <w:rFonts w:eastAsia="Calibri"/>
          <w:kern w:val="2"/>
          <w:sz w:val="24"/>
          <w:szCs w:val="24"/>
          <w:lang w:eastAsia="en-US"/>
          <w14:ligatures w14:val="standardContextual"/>
        </w:rPr>
        <w:t xml:space="preserve"> is justified since the premium automotive industry experiences structural changes due to electrification, digitization and evolving consumer demands. The framework helps to understand the competitive factors that affect the strategies of the company and to explain why continuous organizational change has become vital for staying in the market (Grundy, 2006).</w:t>
      </w:r>
    </w:p>
    <w:p w14:paraId="06B28B48"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 xml:space="preserve">Competitive rivalry is high as the premium manufacturers </w:t>
      </w:r>
      <w:proofErr w:type="gramStart"/>
      <w:r w:rsidRPr="003801BD">
        <w:rPr>
          <w:rFonts w:eastAsia="Calibri"/>
          <w:kern w:val="2"/>
          <w:sz w:val="24"/>
          <w:szCs w:val="24"/>
          <w:lang w:eastAsia="en-US"/>
          <w14:ligatures w14:val="standardContextual"/>
        </w:rPr>
        <w:t>compete with each other</w:t>
      </w:r>
      <w:proofErr w:type="gramEnd"/>
      <w:r w:rsidRPr="003801BD">
        <w:rPr>
          <w:rFonts w:eastAsia="Calibri"/>
          <w:kern w:val="2"/>
          <w:sz w:val="24"/>
          <w:szCs w:val="24"/>
          <w:lang w:eastAsia="en-US"/>
          <w14:ligatures w14:val="standardContextual"/>
        </w:rPr>
        <w:t xml:space="preserve"> through continuous product innovations, technological advancements and brand differentiation, but not through prices. JLR competes with BMW, Mercedes-Benz, Audi, Porsche and Volvo brands, while Tesla and BYD have introduced additional competition into the market through software-defined cars and innovations in electric cars. Consequently, the European premium automotive industry has moved from competition based on engineering to the competition focused on battery technology, artificial intelligence and connected vehicle services. Therefore, the investments of £15 billion in electrification and digitalization by JLR are justified as the response to the competition and to preserve the position of a premium brand (Wells and Nieuwenhuis, 2012).</w:t>
      </w:r>
    </w:p>
    <w:p w14:paraId="37CA4984" w14:textId="5D047FFF"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 xml:space="preserve">The threat of new entrants is low to medium as the manufacture of cars requires substantial financial resources, engineering expertise, compliance with regulations and global supply chain. Although the traditional entry barriers are still important, the electric car technology has decreased some of the entry barriers by simplifying the vehicle architecture and by making it possible for technology companies to enter the market. Tesla and BYD have shown that software capability and battery technology are enough to compete with established manufacturers despite the lack of decades of manufacturing history. JLR should compete not </w:t>
      </w:r>
      <w:r w:rsidRPr="003801BD">
        <w:rPr>
          <w:rFonts w:eastAsia="Calibri"/>
          <w:kern w:val="2"/>
          <w:sz w:val="24"/>
          <w:szCs w:val="24"/>
          <w:lang w:eastAsia="en-US"/>
          <w14:ligatures w14:val="standardContextual"/>
        </w:rPr>
        <w:lastRenderedPageBreak/>
        <w:t>only with traditional car manufacturers, but with technology companies that have different competitive advantages (Teece, 2018).</w:t>
      </w:r>
    </w:p>
    <w:p w14:paraId="68999AE7"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Supplier power is high as the modern vehicles require specialized suppliers of semiconductor chips, batteries, electronic control units and software technologies. The shortages of semiconductors between 2020 and 2023 have proven that the disruption of a limited number of suppliers may result in reduction of vehicle production in the whole global automotive industry. JLR has increased dependency on the technologies related to battery innovations and electronics and, therefore, enhanced the supplier bargaining power as there are limited numbers of alternative suppliers for many of the required components (Ivanov and Dolgui, 2020).</w:t>
      </w:r>
    </w:p>
    <w:p w14:paraId="770D0A3D"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Buyer power is estimated to be medium in the premium automotive market. Customers of luxury cars have access to much more information about their purchase options, prices and vehicle reviews compared to previous years, which increases their capability to compare the competing brands. Moreover, the premium customers expect continuous improvement of digital connectivity, sustainability and vehicle performance in addition to the prestigious brand name. As a result, JLR competes on innovation, customer experience and product quality (</w:t>
      </w:r>
      <w:proofErr w:type="spellStart"/>
      <w:r w:rsidRPr="003801BD">
        <w:rPr>
          <w:rFonts w:eastAsia="Calibri"/>
          <w:kern w:val="2"/>
          <w:sz w:val="24"/>
          <w:szCs w:val="24"/>
          <w:lang w:eastAsia="en-US"/>
          <w14:ligatures w14:val="standardContextual"/>
        </w:rPr>
        <w:t>Lüdeke</w:t>
      </w:r>
      <w:proofErr w:type="spellEnd"/>
      <w:r w:rsidRPr="003801BD">
        <w:rPr>
          <w:rFonts w:eastAsia="Calibri"/>
          <w:kern w:val="2"/>
          <w:sz w:val="24"/>
          <w:szCs w:val="24"/>
          <w:lang w:eastAsia="en-US"/>
          <w14:ligatures w14:val="standardContextual"/>
        </w:rPr>
        <w:t xml:space="preserve">-Freund, </w:t>
      </w:r>
      <w:proofErr w:type="spellStart"/>
      <w:r w:rsidRPr="003801BD">
        <w:rPr>
          <w:rFonts w:eastAsia="Calibri"/>
          <w:kern w:val="2"/>
          <w:sz w:val="24"/>
          <w:szCs w:val="24"/>
          <w:lang w:eastAsia="en-US"/>
          <w14:ligatures w14:val="standardContextual"/>
        </w:rPr>
        <w:t>Carroux</w:t>
      </w:r>
      <w:proofErr w:type="spellEnd"/>
      <w:r w:rsidRPr="003801BD">
        <w:rPr>
          <w:rFonts w:eastAsia="Calibri"/>
          <w:kern w:val="2"/>
          <w:sz w:val="24"/>
          <w:szCs w:val="24"/>
          <w:lang w:eastAsia="en-US"/>
          <w14:ligatures w14:val="standardContextual"/>
        </w:rPr>
        <w:t xml:space="preserve"> and Joyce, 2018).</w:t>
      </w:r>
    </w:p>
    <w:p w14:paraId="34B3EE5B" w14:textId="77777777" w:rsid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The threat of substitutes is estimated to be medium as the changed mobility needs lead to reduction in the dependency on private car ownership in the urban areas. Car sharing and ride hailing platforms are used by many people to replace personal car ownership especially by young consumers. Thus, electric mobility and digital transport ecosystems are reshaping the expectations of the customers beyond the traditional vehicle manufacturing and JLR should pay more attention to the connected services and software-driven mobility solutions (Cohen and Kietzmann, 2014).</w:t>
      </w:r>
      <w:r w:rsidR="00106AA3" w:rsidRPr="00106AA3">
        <w:rPr>
          <w:rFonts w:eastAsia="Calibri"/>
          <w:kern w:val="2"/>
          <w:sz w:val="24"/>
          <w:szCs w:val="24"/>
          <w:lang w:eastAsia="en-US"/>
          <w14:ligatures w14:val="standardContextual"/>
        </w:rPr>
        <w:br/>
      </w:r>
    </w:p>
    <w:p w14:paraId="2BCD97C1" w14:textId="77777777" w:rsidR="003801BD" w:rsidRDefault="003801BD" w:rsidP="003801BD">
      <w:pPr>
        <w:spacing w:after="160" w:line="259" w:lineRule="auto"/>
        <w:rPr>
          <w:rFonts w:eastAsia="Calibri"/>
          <w:kern w:val="2"/>
          <w:sz w:val="24"/>
          <w:szCs w:val="24"/>
          <w:lang w:eastAsia="en-US"/>
          <w14:ligatures w14:val="standardContextu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70"/>
        <w:gridCol w:w="1357"/>
        <w:gridCol w:w="5489"/>
      </w:tblGrid>
      <w:tr w:rsidR="003801BD" w:rsidRPr="003801BD" w14:paraId="42523B1F" w14:textId="77777777" w:rsidTr="003801BD">
        <w:trPr>
          <w:tblHeader/>
          <w:tblCellSpacing w:w="15" w:type="dxa"/>
        </w:trPr>
        <w:tc>
          <w:tcPr>
            <w:tcW w:w="0" w:type="auto"/>
            <w:vAlign w:val="center"/>
            <w:hideMark/>
          </w:tcPr>
          <w:p w14:paraId="030E1F86" w14:textId="77777777" w:rsidR="003801BD" w:rsidRPr="003801BD" w:rsidRDefault="003801BD" w:rsidP="003801BD">
            <w:pPr>
              <w:spacing w:after="160" w:line="259" w:lineRule="auto"/>
              <w:rPr>
                <w:rFonts w:eastAsia="Calibri"/>
                <w:b/>
                <w:bCs/>
                <w:kern w:val="2"/>
                <w:sz w:val="24"/>
                <w:szCs w:val="24"/>
                <w:lang w:eastAsia="en-US"/>
                <w14:ligatures w14:val="standardContextual"/>
              </w:rPr>
            </w:pPr>
            <w:r w:rsidRPr="003801BD">
              <w:rPr>
                <w:rFonts w:eastAsia="Calibri"/>
                <w:b/>
                <w:bCs/>
                <w:kern w:val="2"/>
                <w:sz w:val="24"/>
                <w:szCs w:val="24"/>
                <w:lang w:eastAsia="en-US"/>
                <w14:ligatures w14:val="standardContextual"/>
              </w:rPr>
              <w:t>Force</w:t>
            </w:r>
          </w:p>
        </w:tc>
        <w:tc>
          <w:tcPr>
            <w:tcW w:w="0" w:type="auto"/>
            <w:vAlign w:val="center"/>
            <w:hideMark/>
          </w:tcPr>
          <w:p w14:paraId="4FDBFF9E" w14:textId="77777777" w:rsidR="003801BD" w:rsidRPr="003801BD" w:rsidRDefault="003801BD" w:rsidP="003801BD">
            <w:pPr>
              <w:spacing w:after="160" w:line="259" w:lineRule="auto"/>
              <w:rPr>
                <w:rFonts w:eastAsia="Calibri"/>
                <w:b/>
                <w:bCs/>
                <w:kern w:val="2"/>
                <w:sz w:val="24"/>
                <w:szCs w:val="24"/>
                <w:lang w:eastAsia="en-US"/>
                <w14:ligatures w14:val="standardContextual"/>
              </w:rPr>
            </w:pPr>
            <w:r w:rsidRPr="003801BD">
              <w:rPr>
                <w:rFonts w:eastAsia="Calibri"/>
                <w:b/>
                <w:bCs/>
                <w:kern w:val="2"/>
                <w:sz w:val="24"/>
                <w:szCs w:val="24"/>
                <w:lang w:eastAsia="en-US"/>
                <w14:ligatures w14:val="standardContextual"/>
              </w:rPr>
              <w:t>Impact</w:t>
            </w:r>
          </w:p>
        </w:tc>
        <w:tc>
          <w:tcPr>
            <w:tcW w:w="0" w:type="auto"/>
            <w:vAlign w:val="center"/>
            <w:hideMark/>
          </w:tcPr>
          <w:p w14:paraId="45EA231F" w14:textId="77777777" w:rsidR="003801BD" w:rsidRPr="003801BD" w:rsidRDefault="003801BD" w:rsidP="003801BD">
            <w:pPr>
              <w:spacing w:after="160" w:line="259" w:lineRule="auto"/>
              <w:rPr>
                <w:rFonts w:eastAsia="Calibri"/>
                <w:b/>
                <w:bCs/>
                <w:kern w:val="2"/>
                <w:sz w:val="24"/>
                <w:szCs w:val="24"/>
                <w:lang w:eastAsia="en-US"/>
                <w14:ligatures w14:val="standardContextual"/>
              </w:rPr>
            </w:pPr>
            <w:r w:rsidRPr="003801BD">
              <w:rPr>
                <w:rFonts w:eastAsia="Calibri"/>
                <w:b/>
                <w:bCs/>
                <w:kern w:val="2"/>
                <w:sz w:val="24"/>
                <w:szCs w:val="24"/>
                <w:lang w:eastAsia="en-US"/>
                <w14:ligatures w14:val="standardContextual"/>
              </w:rPr>
              <w:t>Strategic Implication</w:t>
            </w:r>
          </w:p>
        </w:tc>
      </w:tr>
      <w:tr w:rsidR="003801BD" w:rsidRPr="003801BD" w14:paraId="558F4DA5" w14:textId="77777777" w:rsidTr="003801BD">
        <w:trPr>
          <w:tblCellSpacing w:w="15" w:type="dxa"/>
        </w:trPr>
        <w:tc>
          <w:tcPr>
            <w:tcW w:w="0" w:type="auto"/>
            <w:vAlign w:val="center"/>
            <w:hideMark/>
          </w:tcPr>
          <w:p w14:paraId="67B2EC73"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Competitive Rivalry</w:t>
            </w:r>
          </w:p>
        </w:tc>
        <w:tc>
          <w:tcPr>
            <w:tcW w:w="0" w:type="auto"/>
            <w:vAlign w:val="center"/>
            <w:hideMark/>
          </w:tcPr>
          <w:p w14:paraId="5625EFF6"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High</w:t>
            </w:r>
          </w:p>
        </w:tc>
        <w:tc>
          <w:tcPr>
            <w:tcW w:w="0" w:type="auto"/>
            <w:vAlign w:val="center"/>
            <w:hideMark/>
          </w:tcPr>
          <w:p w14:paraId="087397B2"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Continuous innovation and product differentiation</w:t>
            </w:r>
          </w:p>
        </w:tc>
      </w:tr>
      <w:tr w:rsidR="003801BD" w:rsidRPr="003801BD" w14:paraId="56BEDF4E" w14:textId="77777777" w:rsidTr="003801BD">
        <w:trPr>
          <w:tblCellSpacing w:w="15" w:type="dxa"/>
        </w:trPr>
        <w:tc>
          <w:tcPr>
            <w:tcW w:w="0" w:type="auto"/>
            <w:vAlign w:val="center"/>
            <w:hideMark/>
          </w:tcPr>
          <w:p w14:paraId="75A2A5CE"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Threat of New Entrants</w:t>
            </w:r>
          </w:p>
        </w:tc>
        <w:tc>
          <w:tcPr>
            <w:tcW w:w="0" w:type="auto"/>
            <w:vAlign w:val="center"/>
            <w:hideMark/>
          </w:tcPr>
          <w:p w14:paraId="7BBFBB21"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Low–Medium</w:t>
            </w:r>
          </w:p>
        </w:tc>
        <w:tc>
          <w:tcPr>
            <w:tcW w:w="0" w:type="auto"/>
            <w:vAlign w:val="center"/>
            <w:hideMark/>
          </w:tcPr>
          <w:p w14:paraId="057AE564"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High capital requirements but increasing EV competition</w:t>
            </w:r>
          </w:p>
        </w:tc>
      </w:tr>
      <w:tr w:rsidR="003801BD" w:rsidRPr="003801BD" w14:paraId="0ACEC572" w14:textId="77777777" w:rsidTr="003801BD">
        <w:trPr>
          <w:tblCellSpacing w:w="15" w:type="dxa"/>
        </w:trPr>
        <w:tc>
          <w:tcPr>
            <w:tcW w:w="0" w:type="auto"/>
            <w:vAlign w:val="center"/>
            <w:hideMark/>
          </w:tcPr>
          <w:p w14:paraId="73899317"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Supplier Power</w:t>
            </w:r>
          </w:p>
        </w:tc>
        <w:tc>
          <w:tcPr>
            <w:tcW w:w="0" w:type="auto"/>
            <w:vAlign w:val="center"/>
            <w:hideMark/>
          </w:tcPr>
          <w:p w14:paraId="7FDCDECD"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High</w:t>
            </w:r>
          </w:p>
        </w:tc>
        <w:tc>
          <w:tcPr>
            <w:tcW w:w="0" w:type="auto"/>
            <w:vAlign w:val="center"/>
            <w:hideMark/>
          </w:tcPr>
          <w:p w14:paraId="575C4BA4"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Dependence on batteries, semiconductors and software suppliers</w:t>
            </w:r>
          </w:p>
        </w:tc>
      </w:tr>
      <w:tr w:rsidR="003801BD" w:rsidRPr="003801BD" w14:paraId="0B271C4E" w14:textId="77777777" w:rsidTr="003801BD">
        <w:trPr>
          <w:tblCellSpacing w:w="15" w:type="dxa"/>
        </w:trPr>
        <w:tc>
          <w:tcPr>
            <w:tcW w:w="0" w:type="auto"/>
            <w:vAlign w:val="center"/>
            <w:hideMark/>
          </w:tcPr>
          <w:p w14:paraId="39796B59"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Buyer Power</w:t>
            </w:r>
          </w:p>
        </w:tc>
        <w:tc>
          <w:tcPr>
            <w:tcW w:w="0" w:type="auto"/>
            <w:vAlign w:val="center"/>
            <w:hideMark/>
          </w:tcPr>
          <w:p w14:paraId="0218135F"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Medium</w:t>
            </w:r>
          </w:p>
        </w:tc>
        <w:tc>
          <w:tcPr>
            <w:tcW w:w="0" w:type="auto"/>
            <w:vAlign w:val="center"/>
            <w:hideMark/>
          </w:tcPr>
          <w:p w14:paraId="70ABD569"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Greater customer expectations and brand switching</w:t>
            </w:r>
          </w:p>
        </w:tc>
      </w:tr>
      <w:tr w:rsidR="003801BD" w:rsidRPr="003801BD" w14:paraId="3F703A2F" w14:textId="77777777" w:rsidTr="003801BD">
        <w:trPr>
          <w:tblCellSpacing w:w="15" w:type="dxa"/>
        </w:trPr>
        <w:tc>
          <w:tcPr>
            <w:tcW w:w="0" w:type="auto"/>
            <w:vAlign w:val="center"/>
            <w:hideMark/>
          </w:tcPr>
          <w:p w14:paraId="767589D0"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Threat of Substitutes</w:t>
            </w:r>
          </w:p>
        </w:tc>
        <w:tc>
          <w:tcPr>
            <w:tcW w:w="0" w:type="auto"/>
            <w:vAlign w:val="center"/>
            <w:hideMark/>
          </w:tcPr>
          <w:p w14:paraId="1634FA95"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Medium</w:t>
            </w:r>
          </w:p>
        </w:tc>
        <w:tc>
          <w:tcPr>
            <w:tcW w:w="0" w:type="auto"/>
            <w:vAlign w:val="center"/>
            <w:hideMark/>
          </w:tcPr>
          <w:p w14:paraId="097DF016" w14:textId="77777777" w:rsidR="003801BD" w:rsidRPr="003801BD" w:rsidRDefault="003801BD" w:rsidP="003801BD">
            <w:pPr>
              <w:spacing w:after="160" w:line="259" w:lineRule="auto"/>
              <w:rPr>
                <w:rFonts w:eastAsia="Calibri"/>
                <w:kern w:val="2"/>
                <w:sz w:val="24"/>
                <w:szCs w:val="24"/>
                <w:lang w:eastAsia="en-US"/>
                <w14:ligatures w14:val="standardContextual"/>
              </w:rPr>
            </w:pPr>
            <w:r w:rsidRPr="003801BD">
              <w:rPr>
                <w:rFonts w:eastAsia="Calibri"/>
                <w:kern w:val="2"/>
                <w:sz w:val="24"/>
                <w:szCs w:val="24"/>
                <w:lang w:eastAsia="en-US"/>
                <w14:ligatures w14:val="standardContextual"/>
              </w:rPr>
              <w:t>Growth of shared mobility and alternative transport</w:t>
            </w:r>
          </w:p>
        </w:tc>
      </w:tr>
    </w:tbl>
    <w:p w14:paraId="011292DF" w14:textId="535D4F1E" w:rsidR="003801BD" w:rsidRDefault="003801BD" w:rsidP="00E33193">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Table 3: Porter’s five forces analysis</w:t>
      </w:r>
    </w:p>
    <w:p w14:paraId="4B8F49AB" w14:textId="686ADCE5" w:rsidR="003801BD" w:rsidRDefault="003801BD" w:rsidP="00E33193">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r>
        <w:rPr>
          <w:rFonts w:eastAsia="Calibri"/>
          <w:kern w:val="2"/>
          <w:sz w:val="24"/>
          <w:szCs w:val="24"/>
          <w:lang w:eastAsia="en-US"/>
          <w14:ligatures w14:val="standardContextual"/>
        </w:rPr>
        <w:br/>
      </w:r>
    </w:p>
    <w:p w14:paraId="123D0DDB" w14:textId="77777777" w:rsidR="002E1024" w:rsidRDefault="00106AA3" w:rsidP="00E33193">
      <w:pPr>
        <w:pStyle w:val="Heading2"/>
        <w:rPr>
          <w:rFonts w:eastAsia="Calibri"/>
          <w:lang w:eastAsia="en-US"/>
        </w:rPr>
      </w:pPr>
      <w:bookmarkStart w:id="13" w:name="_Toc235093252"/>
      <w:r w:rsidRPr="00106AA3">
        <w:rPr>
          <w:rFonts w:eastAsia="Calibri"/>
          <w:lang w:eastAsia="en-US"/>
        </w:rPr>
        <w:lastRenderedPageBreak/>
        <w:t>3.4 Digital Disruption, Digitalisation and Artificial Intelligence</w:t>
      </w:r>
      <w:bookmarkEnd w:id="13"/>
    </w:p>
    <w:p w14:paraId="38D94FCE" w14:textId="77777777" w:rsidR="00EA268B" w:rsidRPr="00EA268B" w:rsidRDefault="00EA268B" w:rsidP="00EA268B">
      <w:pPr>
        <w:spacing w:after="160" w:line="259" w:lineRule="auto"/>
        <w:rPr>
          <w:rFonts w:eastAsia="Calibri"/>
          <w:kern w:val="2"/>
          <w:sz w:val="24"/>
          <w:szCs w:val="24"/>
          <w:lang w:eastAsia="en-US"/>
          <w14:ligatures w14:val="standardContextual"/>
        </w:rPr>
      </w:pPr>
      <w:r w:rsidRPr="00EA268B">
        <w:rPr>
          <w:rFonts w:eastAsia="Calibri"/>
          <w:kern w:val="2"/>
          <w:sz w:val="24"/>
          <w:szCs w:val="24"/>
          <w:lang w:eastAsia="en-US"/>
          <w14:ligatures w14:val="standardContextual"/>
        </w:rPr>
        <w:t xml:space="preserve">Digital transformation is understood as the process of integrating digital technologies into business processes, products and business models </w:t>
      </w:r>
      <w:proofErr w:type="gramStart"/>
      <w:r w:rsidRPr="00EA268B">
        <w:rPr>
          <w:rFonts w:eastAsia="Calibri"/>
          <w:kern w:val="2"/>
          <w:sz w:val="24"/>
          <w:szCs w:val="24"/>
          <w:lang w:eastAsia="en-US"/>
          <w14:ligatures w14:val="standardContextual"/>
        </w:rPr>
        <w:t>in order to</w:t>
      </w:r>
      <w:proofErr w:type="gramEnd"/>
      <w:r w:rsidRPr="00EA268B">
        <w:rPr>
          <w:rFonts w:eastAsia="Calibri"/>
          <w:kern w:val="2"/>
          <w:sz w:val="24"/>
          <w:szCs w:val="24"/>
          <w:lang w:eastAsia="en-US"/>
          <w14:ligatures w14:val="standardContextual"/>
        </w:rPr>
        <w:t xml:space="preserve"> achieve higher operational efficiency, innovation and value creation. AI, Industry 4.0, automation and data analytics are among the key components of digital transformation that help manufacturers increase the efficiency and be able to respond to changes in the market demands more flexibly (Vial, 2019).</w:t>
      </w:r>
    </w:p>
    <w:p w14:paraId="769EA7CE" w14:textId="2931DFB0" w:rsidR="00EA268B" w:rsidRPr="00EA268B" w:rsidRDefault="00EA268B" w:rsidP="00EA268B">
      <w:pPr>
        <w:spacing w:after="160" w:line="259" w:lineRule="auto"/>
        <w:rPr>
          <w:rFonts w:eastAsia="Calibri"/>
          <w:kern w:val="2"/>
          <w:sz w:val="24"/>
          <w:szCs w:val="24"/>
          <w:lang w:eastAsia="en-US"/>
          <w14:ligatures w14:val="standardContextual"/>
        </w:rPr>
      </w:pPr>
      <w:r w:rsidRPr="00EA268B">
        <w:rPr>
          <w:rFonts w:eastAsia="Calibri"/>
          <w:kern w:val="2"/>
          <w:sz w:val="24"/>
          <w:szCs w:val="24"/>
          <w:lang w:eastAsia="en-US"/>
          <w14:ligatures w14:val="standardContextual"/>
        </w:rPr>
        <w:t xml:space="preserve">The analysis of </w:t>
      </w:r>
      <w:r w:rsidR="00E33193">
        <w:rPr>
          <w:rFonts w:eastAsia="Calibri"/>
          <w:kern w:val="2"/>
          <w:sz w:val="24"/>
          <w:szCs w:val="24"/>
          <w:lang w:eastAsia="en-US"/>
          <w14:ligatures w14:val="standardContextual"/>
        </w:rPr>
        <w:t>JLT</w:t>
      </w:r>
      <w:r w:rsidRPr="00EA268B">
        <w:rPr>
          <w:rFonts w:eastAsia="Calibri"/>
          <w:kern w:val="2"/>
          <w:sz w:val="24"/>
          <w:szCs w:val="24"/>
          <w:lang w:eastAsia="en-US"/>
          <w14:ligatures w14:val="standardContextual"/>
        </w:rPr>
        <w:t xml:space="preserve"> using digital transformation as a theoretical lens can be seen as reasonable, since the long-term competitive advantages of the company are largely determined by its software capabilities, and not traditional mechanical engineering. Modern digital technologies influence all stages of the automotive value chain from car design and manufacturing to consumer experience and after-sales service; therefore, technological capabilities are one of the drivers of strategic change (Warner and Wäger, 2019).</w:t>
      </w:r>
    </w:p>
    <w:p w14:paraId="5A9E0BD3" w14:textId="77777777" w:rsidR="00EA268B" w:rsidRPr="00EA268B" w:rsidRDefault="00EA268B" w:rsidP="00EA268B">
      <w:pPr>
        <w:spacing w:after="160" w:line="259" w:lineRule="auto"/>
        <w:rPr>
          <w:rFonts w:eastAsia="Calibri"/>
          <w:kern w:val="2"/>
          <w:sz w:val="24"/>
          <w:szCs w:val="24"/>
          <w:lang w:eastAsia="en-US"/>
          <w14:ligatures w14:val="standardContextual"/>
        </w:rPr>
      </w:pPr>
      <w:r w:rsidRPr="00EA268B">
        <w:rPr>
          <w:rFonts w:eastAsia="Calibri"/>
          <w:kern w:val="2"/>
          <w:sz w:val="24"/>
          <w:szCs w:val="24"/>
          <w:lang w:eastAsia="en-US"/>
          <w14:ligatures w14:val="standardContextual"/>
        </w:rPr>
        <w:t>As a response to the necessity of digital transformation, the company has introduced technologies of Industry 4.0 into its manufacturing process by implementing robotic production, automation, digital twins and real-time production control. The use of artificial intelligence has been significantly expanded thanks to cooperation with NVIDIA, which helped to create software-defined vehicles with advanced assistance, continuous over-the-air software updating and AI-based safety solutions. Thus, the collaboration with NVIDIA is the example of strategic reorientation of the company from hardware manufacturing to intelligent mobility, which makes the vehicle able to learn and develop by updating its software throughout the period of operation and not just launching a new model (NVIDIA, 2022).</w:t>
      </w:r>
    </w:p>
    <w:p w14:paraId="33AE9C37" w14:textId="64A58868" w:rsidR="009B6E36" w:rsidRDefault="00EA268B" w:rsidP="00EA268B">
      <w:pPr>
        <w:spacing w:after="160" w:line="259" w:lineRule="auto"/>
        <w:rPr>
          <w:rFonts w:eastAsia="Calibri"/>
          <w:kern w:val="2"/>
          <w:sz w:val="24"/>
          <w:szCs w:val="24"/>
          <w:lang w:eastAsia="en-US"/>
          <w14:ligatures w14:val="standardContextual"/>
        </w:rPr>
      </w:pPr>
      <w:r w:rsidRPr="00EA268B">
        <w:rPr>
          <w:rFonts w:eastAsia="Calibri"/>
          <w:kern w:val="2"/>
          <w:sz w:val="24"/>
          <w:szCs w:val="24"/>
          <w:lang w:eastAsia="en-US"/>
          <w14:ligatures w14:val="standardContextual"/>
        </w:rPr>
        <w:t>JLR enhanced its digital capabilities thanks to technologies of connected cars and advanced data analytics. Connected vehicles produce operational data that allows providing predictive maintenance, remote diagnostics, as well as personalized digital services, thus enhancing consumer experience and minimizing maintenance costs. Internal use of data analytics helps to forecast demand, manage inventory and optimize the supply chain of the company and, therefore, increases its resilience to disruption, such as the global semiconductor shortage. Thus, digital transformation has evolved from a measure of operational improvement into a strategic capability of innovation and organizational flexibility (</w:t>
      </w:r>
      <w:proofErr w:type="spellStart"/>
      <w:r w:rsidRPr="00EA268B">
        <w:rPr>
          <w:rFonts w:eastAsia="Calibri"/>
          <w:kern w:val="2"/>
          <w:sz w:val="24"/>
          <w:szCs w:val="24"/>
          <w:lang w:eastAsia="en-US"/>
          <w14:ligatures w14:val="standardContextual"/>
        </w:rPr>
        <w:t>Bughin</w:t>
      </w:r>
      <w:proofErr w:type="spellEnd"/>
      <w:r w:rsidRPr="00EA268B">
        <w:rPr>
          <w:rFonts w:eastAsia="Calibri"/>
          <w:kern w:val="2"/>
          <w:sz w:val="24"/>
          <w:szCs w:val="24"/>
          <w:lang w:eastAsia="en-US"/>
          <w14:ligatures w14:val="standardContextual"/>
        </w:rPr>
        <w:t xml:space="preserve"> et al., 2018).</w:t>
      </w:r>
      <w:r w:rsidR="00106AA3" w:rsidRPr="00106AA3">
        <w:rPr>
          <w:rFonts w:eastAsia="Calibri"/>
          <w:kern w:val="2"/>
          <w:sz w:val="24"/>
          <w:szCs w:val="24"/>
          <w:lang w:eastAsia="en-US"/>
          <w14:ligatures w14:val="standardContextual"/>
        </w:rPr>
        <w:br/>
      </w:r>
    </w:p>
    <w:p w14:paraId="7300E0ED" w14:textId="52AF8C85" w:rsidR="00106AA3" w:rsidRPr="00106AA3" w:rsidRDefault="00106AA3" w:rsidP="00E33193">
      <w:pPr>
        <w:pStyle w:val="Heading2"/>
        <w:rPr>
          <w:rFonts w:eastAsia="Calibri"/>
          <w:lang w:eastAsia="en-US"/>
        </w:rPr>
      </w:pPr>
      <w:bookmarkStart w:id="14" w:name="_Toc235093253"/>
      <w:r w:rsidRPr="00106AA3">
        <w:rPr>
          <w:rFonts w:eastAsia="Calibri"/>
          <w:lang w:eastAsia="en-US"/>
        </w:rPr>
        <w:t>3.5 Drivers for Strategic Change</w:t>
      </w:r>
      <w:bookmarkEnd w:id="14"/>
    </w:p>
    <w:p w14:paraId="4B272B25" w14:textId="2B74C102" w:rsidR="00E0483A" w:rsidRPr="00B8537A" w:rsidRDefault="00187791" w:rsidP="00E0483A">
      <w:pPr>
        <w:spacing w:after="160" w:line="259" w:lineRule="auto"/>
        <w:rPr>
          <w:rFonts w:eastAsia="Calibri"/>
          <w:kern w:val="2"/>
          <w:sz w:val="24"/>
          <w:szCs w:val="24"/>
          <w:lang w:eastAsia="en-US"/>
          <w14:ligatures w14:val="standardContextual"/>
        </w:rPr>
      </w:pPr>
      <w:r w:rsidRPr="00187791">
        <w:rPr>
          <w:rFonts w:eastAsia="Calibri"/>
          <w:kern w:val="2"/>
          <w:sz w:val="24"/>
          <w:szCs w:val="24"/>
          <w:lang w:eastAsia="en-US"/>
          <w14:ligatures w14:val="standardContextual"/>
        </w:rPr>
        <w:t xml:space="preserve">As evidenced above, strategic change is no longer an option but a business imperative for </w:t>
      </w:r>
      <w:r w:rsidR="009B1B26">
        <w:rPr>
          <w:rFonts w:eastAsia="Calibri"/>
          <w:kern w:val="2"/>
          <w:sz w:val="24"/>
          <w:szCs w:val="24"/>
          <w:lang w:eastAsia="en-US"/>
          <w14:ligatures w14:val="standardContextual"/>
        </w:rPr>
        <w:t>JLR</w:t>
      </w:r>
      <w:r w:rsidRPr="00187791">
        <w:rPr>
          <w:rFonts w:eastAsia="Calibri"/>
          <w:kern w:val="2"/>
          <w:sz w:val="24"/>
          <w:szCs w:val="24"/>
          <w:lang w:eastAsia="en-US"/>
          <w14:ligatures w14:val="standardContextual"/>
        </w:rPr>
        <w:t xml:space="preserve">(JLR). Internal analysis shows that strong financial performance, high brand value and engineering prowess are some of the organisational strengths possessed by JLR. However, the reliance on complicated supply chain networks and the increasing need for digital competence pose challenges to future competitiveness of the company. On the other hand, external analysis has shown that stricter emissions regulations, fast development of artificial intelligence technology, new customer demands and increased rivalry in the premium electric vehicle sector are fundamentally changing the auto industry. Competitive pressures from existing competitors and technological competitors have been emphasised through the application of Porter's Five Forces framework. Digital transformation is making competition shift from conventional vehicle engineering to software-driven intelligent manufacturing and mobility. Teece (2018) posits that companies operating in dynamic environments must </w:t>
      </w:r>
      <w:r w:rsidRPr="00187791">
        <w:rPr>
          <w:rFonts w:eastAsia="Calibri"/>
          <w:kern w:val="2"/>
          <w:sz w:val="24"/>
          <w:szCs w:val="24"/>
          <w:lang w:eastAsia="en-US"/>
          <w14:ligatures w14:val="standardContextual"/>
        </w:rPr>
        <w:lastRenderedPageBreak/>
        <w:t>continuously adapt and reconfigure their capabilities to achieve competitive advantage. In this regard, JLR must develop its organisational capabilities, leadership styles and strategic change process to facilitate the effective execution of its Reimagine strategy. The above strategic drivers form the basis for analysing organisational change at JLR.</w:t>
      </w:r>
    </w:p>
    <w:p w14:paraId="5171F2C3" w14:textId="77777777" w:rsidR="00E33193" w:rsidRDefault="00187791" w:rsidP="00E33193">
      <w:pPr>
        <w:pStyle w:val="Heading1"/>
        <w:rPr>
          <w:rFonts w:eastAsia="Calibri"/>
          <w:lang w:eastAsia="en-US"/>
        </w:rPr>
      </w:pPr>
      <w:bookmarkStart w:id="15" w:name="_Toc235093254"/>
      <w:r w:rsidRPr="00187791">
        <w:rPr>
          <w:rFonts w:eastAsia="Calibri"/>
          <w:lang w:eastAsia="en-US"/>
        </w:rPr>
        <w:t>4. Evaluation of Change Management</w:t>
      </w:r>
      <w:bookmarkEnd w:id="15"/>
      <w:r w:rsidRPr="00187791">
        <w:rPr>
          <w:rFonts w:eastAsia="Calibri"/>
          <w:lang w:eastAsia="en-US"/>
        </w:rPr>
        <w:br/>
      </w:r>
    </w:p>
    <w:p w14:paraId="6ACF59D6" w14:textId="77494892" w:rsidR="00187791" w:rsidRDefault="00187791" w:rsidP="00E33193">
      <w:pPr>
        <w:pStyle w:val="Heading2"/>
        <w:rPr>
          <w:rFonts w:eastAsia="Calibri"/>
          <w:lang w:eastAsia="en-US"/>
        </w:rPr>
      </w:pPr>
      <w:bookmarkStart w:id="16" w:name="_Toc235093255"/>
      <w:r w:rsidRPr="00187791">
        <w:rPr>
          <w:rFonts w:eastAsia="Calibri"/>
          <w:lang w:eastAsia="en-US"/>
        </w:rPr>
        <w:t>4.1 Strategic Change at Jaguar Land Rover</w:t>
      </w:r>
      <w:bookmarkEnd w:id="16"/>
    </w:p>
    <w:p w14:paraId="2CB518EA" w14:textId="77777777" w:rsidR="00224B44" w:rsidRPr="00224B44" w:rsidRDefault="00224B44" w:rsidP="00224B44">
      <w:pPr>
        <w:spacing w:after="160" w:line="259" w:lineRule="auto"/>
        <w:rPr>
          <w:rFonts w:eastAsia="Calibri"/>
          <w:kern w:val="2"/>
          <w:sz w:val="24"/>
          <w:szCs w:val="24"/>
          <w:lang w:eastAsia="en-US"/>
          <w14:ligatures w14:val="standardContextual"/>
        </w:rPr>
      </w:pPr>
      <w:r w:rsidRPr="00224B44">
        <w:rPr>
          <w:rFonts w:eastAsia="Calibri"/>
          <w:kern w:val="2"/>
          <w:sz w:val="24"/>
          <w:szCs w:val="24"/>
          <w:lang w:eastAsia="en-US"/>
          <w14:ligatures w14:val="standardContextual"/>
        </w:rPr>
        <w:t>Strategic change can be defined as a change strategy through which the company changes its capabilities and direction in response to changes in its internal and external environment. Johnson, Scholes and Whittington (2020) note that strategic change allows firms to remain competitive by adapting their resources to changes in market conditions and expectations of stakeholders.</w:t>
      </w:r>
    </w:p>
    <w:p w14:paraId="4B986341" w14:textId="6382F452" w:rsidR="00224B44" w:rsidRPr="00224B44" w:rsidRDefault="002F39A4" w:rsidP="00224B44">
      <w:pPr>
        <w:spacing w:after="160" w:line="259" w:lineRule="auto"/>
        <w:rPr>
          <w:rFonts w:eastAsia="Calibri"/>
          <w:kern w:val="2"/>
          <w:sz w:val="24"/>
          <w:szCs w:val="24"/>
          <w:lang w:eastAsia="en-US"/>
          <w14:ligatures w14:val="standardContextual"/>
        </w:rPr>
      </w:pPr>
      <w:r>
        <w:rPr>
          <w:rFonts w:eastAsia="Calibri"/>
          <w:kern w:val="2"/>
          <w:sz w:val="24"/>
          <w:szCs w:val="24"/>
          <w:lang w:eastAsia="en-US"/>
          <w14:ligatures w14:val="standardContextual"/>
        </w:rPr>
        <w:t>JLR needs to</w:t>
      </w:r>
      <w:r w:rsidR="00224B44" w:rsidRPr="00224B44">
        <w:rPr>
          <w:rFonts w:eastAsia="Calibri"/>
          <w:kern w:val="2"/>
          <w:sz w:val="24"/>
          <w:szCs w:val="24"/>
          <w:lang w:eastAsia="en-US"/>
          <w14:ligatures w14:val="standardContextual"/>
        </w:rPr>
        <w:t xml:space="preserve"> embrace strategic change because the premium car industry never experienced such a disruptive period due to electrification, digital technologies, artificial intelligence (AI), sustainability and changing customer preferences. JLR understood that its competitive advantage, which is rooted in engineering and designing the best premium cars, was no longer going to be enough unless the company makes serious investments in software, batteries and smart production. Therefore, the company came up with Reimagine Strategy </w:t>
      </w:r>
      <w:proofErr w:type="gramStart"/>
      <w:r w:rsidR="00224B44" w:rsidRPr="00224B44">
        <w:rPr>
          <w:rFonts w:eastAsia="Calibri"/>
          <w:kern w:val="2"/>
          <w:sz w:val="24"/>
          <w:szCs w:val="24"/>
          <w:lang w:eastAsia="en-US"/>
          <w14:ligatures w14:val="standardContextual"/>
        </w:rPr>
        <w:t>in order to</w:t>
      </w:r>
      <w:proofErr w:type="gramEnd"/>
      <w:r w:rsidR="00224B44" w:rsidRPr="00224B44">
        <w:rPr>
          <w:rFonts w:eastAsia="Calibri"/>
          <w:kern w:val="2"/>
          <w:sz w:val="24"/>
          <w:szCs w:val="24"/>
          <w:lang w:eastAsia="en-US"/>
          <w14:ligatures w14:val="standardContextual"/>
        </w:rPr>
        <w:t xml:space="preserve"> transform itself into a modern luxury brand, while becoming net zero carbon emissions in terms of its supply chain, products and operations by 2039 (Johnson et al., </w:t>
      </w:r>
      <w:r w:rsidR="00FB5F1A">
        <w:rPr>
          <w:rFonts w:eastAsia="Calibri"/>
          <w:kern w:val="2"/>
          <w:sz w:val="24"/>
          <w:szCs w:val="24"/>
          <w:lang w:eastAsia="en-US"/>
          <w14:ligatures w14:val="standardContextual"/>
        </w:rPr>
        <w:t>2011</w:t>
      </w:r>
      <w:r w:rsidR="00224B44" w:rsidRPr="00224B44">
        <w:rPr>
          <w:rFonts w:eastAsia="Calibri"/>
          <w:kern w:val="2"/>
          <w:sz w:val="24"/>
          <w:szCs w:val="24"/>
          <w:lang w:eastAsia="en-US"/>
          <w14:ligatures w14:val="standardContextual"/>
        </w:rPr>
        <w:t>).</w:t>
      </w:r>
    </w:p>
    <w:p w14:paraId="08B88471" w14:textId="77777777" w:rsidR="00224B44" w:rsidRPr="00224B44" w:rsidRDefault="00224B44" w:rsidP="00224B44">
      <w:pPr>
        <w:spacing w:after="160" w:line="259" w:lineRule="auto"/>
        <w:rPr>
          <w:rFonts w:eastAsia="Calibri"/>
          <w:kern w:val="2"/>
          <w:sz w:val="24"/>
          <w:szCs w:val="24"/>
          <w:lang w:eastAsia="en-US"/>
          <w14:ligatures w14:val="standardContextual"/>
        </w:rPr>
      </w:pPr>
      <w:r w:rsidRPr="00224B44">
        <w:rPr>
          <w:rFonts w:eastAsia="Calibri"/>
          <w:kern w:val="2"/>
          <w:sz w:val="24"/>
          <w:szCs w:val="24"/>
          <w:lang w:eastAsia="en-US"/>
          <w14:ligatures w14:val="standardContextual"/>
        </w:rPr>
        <w:t xml:space="preserve">JLR's transformation covers not only the use of electric technology but also adoption of artificial intelligence, Industry 4.0 and other digital technologies. Over the last five years, the company has invested about £15 billion into development of battery electric vehicles, autonomous driving, connected cars and software-defined vehicles. At the same time, JLR has created strategic partnerships with such companies as NVIDIA </w:t>
      </w:r>
      <w:proofErr w:type="gramStart"/>
      <w:r w:rsidRPr="00224B44">
        <w:rPr>
          <w:rFonts w:eastAsia="Calibri"/>
          <w:kern w:val="2"/>
          <w:sz w:val="24"/>
          <w:szCs w:val="24"/>
          <w:lang w:eastAsia="en-US"/>
          <w14:ligatures w14:val="standardContextual"/>
        </w:rPr>
        <w:t>in order to</w:t>
      </w:r>
      <w:proofErr w:type="gramEnd"/>
      <w:r w:rsidRPr="00224B44">
        <w:rPr>
          <w:rFonts w:eastAsia="Calibri"/>
          <w:kern w:val="2"/>
          <w:sz w:val="24"/>
          <w:szCs w:val="24"/>
          <w:lang w:eastAsia="en-US"/>
          <w14:ligatures w14:val="standardContextual"/>
        </w:rPr>
        <w:t xml:space="preserve"> develop AI capabilities and Tata Technologies to increase digital engineering and manufacturing capabilities. All these actions aim at making the company more efficient and innovative as well as providing customers with better experiences and facilitating its transition to intelligent mobility (Jaguar Land Rover, 2025).</w:t>
      </w:r>
    </w:p>
    <w:p w14:paraId="68F12E77" w14:textId="77777777" w:rsidR="00224B44" w:rsidRPr="00224B44" w:rsidRDefault="00224B44" w:rsidP="00224B44">
      <w:pPr>
        <w:spacing w:after="160" w:line="259" w:lineRule="auto"/>
        <w:rPr>
          <w:rFonts w:eastAsia="Calibri"/>
          <w:kern w:val="2"/>
          <w:sz w:val="24"/>
          <w:szCs w:val="24"/>
          <w:lang w:eastAsia="en-US"/>
          <w14:ligatures w14:val="standardContextual"/>
        </w:rPr>
      </w:pPr>
      <w:r w:rsidRPr="00224B44">
        <w:rPr>
          <w:rFonts w:eastAsia="Calibri"/>
          <w:kern w:val="2"/>
          <w:sz w:val="24"/>
          <w:szCs w:val="24"/>
          <w:lang w:eastAsia="en-US"/>
          <w14:ligatures w14:val="standardContextual"/>
        </w:rPr>
        <w:t xml:space="preserve">The changes mentioned above were necessary because of tightening emissions regulations, increased competition from other manufacturers like Tesla, BMW and BYD, changes in customer expectations and advancements in digital technologies. The dynamic capability theory implies that firms need to constantly adapt their resources and capabilities </w:t>
      </w:r>
      <w:proofErr w:type="gramStart"/>
      <w:r w:rsidRPr="00224B44">
        <w:rPr>
          <w:rFonts w:eastAsia="Calibri"/>
          <w:kern w:val="2"/>
          <w:sz w:val="24"/>
          <w:szCs w:val="24"/>
          <w:lang w:eastAsia="en-US"/>
          <w14:ligatures w14:val="standardContextual"/>
        </w:rPr>
        <w:t>in order to</w:t>
      </w:r>
      <w:proofErr w:type="gramEnd"/>
      <w:r w:rsidRPr="00224B44">
        <w:rPr>
          <w:rFonts w:eastAsia="Calibri"/>
          <w:kern w:val="2"/>
          <w:sz w:val="24"/>
          <w:szCs w:val="24"/>
          <w:lang w:eastAsia="en-US"/>
          <w14:ligatures w14:val="standardContextual"/>
        </w:rPr>
        <w:t xml:space="preserve"> cope with changes in the environment rather than rely on their competitive advantages (Teece, </w:t>
      </w:r>
      <w:proofErr w:type="spellStart"/>
      <w:r w:rsidRPr="00224B44">
        <w:rPr>
          <w:rFonts w:eastAsia="Calibri"/>
          <w:kern w:val="2"/>
          <w:sz w:val="24"/>
          <w:szCs w:val="24"/>
          <w:lang w:eastAsia="en-US"/>
          <w14:ligatures w14:val="standardContextual"/>
        </w:rPr>
        <w:t>Peteraf</w:t>
      </w:r>
      <w:proofErr w:type="spellEnd"/>
      <w:r w:rsidRPr="00224B44">
        <w:rPr>
          <w:rFonts w:eastAsia="Calibri"/>
          <w:kern w:val="2"/>
          <w:sz w:val="24"/>
          <w:szCs w:val="24"/>
          <w:lang w:eastAsia="en-US"/>
          <w14:ligatures w14:val="standardContextual"/>
        </w:rPr>
        <w:t xml:space="preserve"> and Leih, 2016).</w:t>
      </w:r>
    </w:p>
    <w:p w14:paraId="2DF52E68" w14:textId="77777777" w:rsidR="00224B44" w:rsidRDefault="00187791" w:rsidP="00E33193">
      <w:pPr>
        <w:pStyle w:val="Heading2"/>
        <w:rPr>
          <w:rFonts w:eastAsia="Calibri"/>
          <w:lang w:eastAsia="en-US"/>
        </w:rPr>
      </w:pPr>
      <w:r w:rsidRPr="00187791">
        <w:rPr>
          <w:rFonts w:eastAsia="Calibri"/>
          <w:lang w:eastAsia="en-US"/>
        </w:rPr>
        <w:br/>
      </w:r>
      <w:bookmarkStart w:id="17" w:name="_Toc235093256"/>
      <w:r w:rsidRPr="00187791">
        <w:rPr>
          <w:rFonts w:eastAsia="Calibri"/>
          <w:lang w:eastAsia="en-US"/>
        </w:rPr>
        <w:t>4.2 Lewin's Change Management Model</w:t>
      </w:r>
      <w:bookmarkEnd w:id="17"/>
    </w:p>
    <w:p w14:paraId="35CEDE77" w14:textId="77777777" w:rsidR="0001466E" w:rsidRPr="0001466E" w:rsidRDefault="0001466E" w:rsidP="0001466E">
      <w:pPr>
        <w:spacing w:after="160" w:line="259" w:lineRule="auto"/>
        <w:rPr>
          <w:rFonts w:eastAsia="Calibri"/>
          <w:kern w:val="2"/>
          <w:sz w:val="24"/>
          <w:szCs w:val="24"/>
          <w:lang w:eastAsia="en-US"/>
          <w14:ligatures w14:val="standardContextual"/>
        </w:rPr>
      </w:pPr>
      <w:r w:rsidRPr="0001466E">
        <w:rPr>
          <w:rFonts w:eastAsia="Calibri"/>
          <w:kern w:val="2"/>
          <w:sz w:val="24"/>
          <w:szCs w:val="24"/>
          <w:lang w:eastAsia="en-US"/>
          <w14:ligatures w14:val="standardContextual"/>
        </w:rPr>
        <w:t>Lewin's model of change management suggests that organisational change is driven by three successive stages. They include unfreezing, change and refreeze. The theory states that an organisation needs to question the current way things work to implement new practices and make them a part of organisational routine to ensure long-term stability (Lewin, 1947).</w:t>
      </w:r>
    </w:p>
    <w:p w14:paraId="1E4507EE" w14:textId="3137948D" w:rsidR="0001466E" w:rsidRPr="0001466E" w:rsidRDefault="0001466E" w:rsidP="0001466E">
      <w:pPr>
        <w:spacing w:after="160" w:line="259" w:lineRule="auto"/>
        <w:rPr>
          <w:rFonts w:eastAsia="Calibri"/>
          <w:kern w:val="2"/>
          <w:sz w:val="24"/>
          <w:szCs w:val="24"/>
          <w:lang w:eastAsia="en-US"/>
          <w14:ligatures w14:val="standardContextual"/>
        </w:rPr>
      </w:pPr>
      <w:r w:rsidRPr="0001466E">
        <w:rPr>
          <w:rFonts w:eastAsia="Calibri"/>
          <w:kern w:val="2"/>
          <w:sz w:val="24"/>
          <w:szCs w:val="24"/>
          <w:lang w:eastAsia="en-US"/>
          <w14:ligatures w14:val="standardContextual"/>
        </w:rPr>
        <w:lastRenderedPageBreak/>
        <w:t xml:space="preserve">This model can be used appropriately when analysing the transformation of </w:t>
      </w:r>
      <w:proofErr w:type="spellStart"/>
      <w:r w:rsidR="009B1B26">
        <w:rPr>
          <w:rFonts w:eastAsia="Calibri"/>
          <w:kern w:val="2"/>
          <w:sz w:val="24"/>
          <w:szCs w:val="24"/>
          <w:lang w:eastAsia="en-US"/>
          <w14:ligatures w14:val="standardContextual"/>
        </w:rPr>
        <w:t>JLR</w:t>
      </w:r>
      <w:r w:rsidRPr="0001466E">
        <w:rPr>
          <w:rFonts w:eastAsia="Calibri"/>
          <w:kern w:val="2"/>
          <w:sz w:val="24"/>
          <w:szCs w:val="24"/>
          <w:lang w:eastAsia="en-US"/>
          <w14:ligatures w14:val="standardContextual"/>
        </w:rPr>
        <w:t>because</w:t>
      </w:r>
      <w:proofErr w:type="spellEnd"/>
      <w:r w:rsidRPr="0001466E">
        <w:rPr>
          <w:rFonts w:eastAsia="Calibri"/>
          <w:kern w:val="2"/>
          <w:sz w:val="24"/>
          <w:szCs w:val="24"/>
          <w:lang w:eastAsia="en-US"/>
          <w14:ligatures w14:val="standardContextual"/>
        </w:rPr>
        <w:t xml:space="preserve"> this company has gone through a significant strategic change from being a traditional premium car manufacturer to becoming a tech-driven modern luxury company. Lewin's model will help evaluate how well Jaguar prepared for the change, implemented and embedded the new strategic initiatives </w:t>
      </w:r>
      <w:proofErr w:type="gramStart"/>
      <w:r w:rsidRPr="0001466E">
        <w:rPr>
          <w:rFonts w:eastAsia="Calibri"/>
          <w:kern w:val="2"/>
          <w:sz w:val="24"/>
          <w:szCs w:val="24"/>
          <w:lang w:eastAsia="en-US"/>
          <w14:ligatures w14:val="standardContextual"/>
        </w:rPr>
        <w:t>taking into account</w:t>
      </w:r>
      <w:proofErr w:type="gramEnd"/>
      <w:r w:rsidRPr="0001466E">
        <w:rPr>
          <w:rFonts w:eastAsia="Calibri"/>
          <w:kern w:val="2"/>
          <w:sz w:val="24"/>
          <w:szCs w:val="24"/>
          <w:lang w:eastAsia="en-US"/>
          <w14:ligatures w14:val="standardContextual"/>
        </w:rPr>
        <w:t xml:space="preserve"> the potential impact of continuous technological disruption on the third stage of the model (Burnes, 2020).</w:t>
      </w:r>
    </w:p>
    <w:p w14:paraId="1E5560B2" w14:textId="77777777" w:rsidR="0001466E" w:rsidRPr="00E33193" w:rsidRDefault="0001466E" w:rsidP="0001466E">
      <w:pPr>
        <w:spacing w:after="160" w:line="259" w:lineRule="auto"/>
        <w:rPr>
          <w:rFonts w:eastAsia="Calibri"/>
          <w:kern w:val="2"/>
          <w:sz w:val="24"/>
          <w:szCs w:val="24"/>
          <w:u w:val="single"/>
          <w:lang w:eastAsia="en-US"/>
          <w14:ligatures w14:val="standardContextual"/>
        </w:rPr>
      </w:pPr>
      <w:r w:rsidRPr="00E33193">
        <w:rPr>
          <w:rFonts w:eastAsia="Calibri"/>
          <w:kern w:val="2"/>
          <w:sz w:val="24"/>
          <w:szCs w:val="24"/>
          <w:u w:val="single"/>
          <w:lang w:eastAsia="en-US"/>
          <w14:ligatures w14:val="standardContextual"/>
        </w:rPr>
        <w:t>Unfreeze</w:t>
      </w:r>
    </w:p>
    <w:p w14:paraId="4CC171A2" w14:textId="77777777" w:rsidR="0001466E" w:rsidRPr="0001466E" w:rsidRDefault="0001466E" w:rsidP="0001466E">
      <w:pPr>
        <w:spacing w:after="160" w:line="259" w:lineRule="auto"/>
        <w:rPr>
          <w:rFonts w:eastAsia="Calibri"/>
          <w:kern w:val="2"/>
          <w:sz w:val="24"/>
          <w:szCs w:val="24"/>
          <w:lang w:eastAsia="en-US"/>
          <w14:ligatures w14:val="standardContextual"/>
        </w:rPr>
      </w:pPr>
      <w:r w:rsidRPr="0001466E">
        <w:rPr>
          <w:rFonts w:eastAsia="Calibri"/>
          <w:kern w:val="2"/>
          <w:sz w:val="24"/>
          <w:szCs w:val="24"/>
          <w:lang w:eastAsia="en-US"/>
          <w14:ligatures w14:val="standardContextual"/>
        </w:rPr>
        <w:t xml:space="preserve">During the unfreezing stage, organisations need to create awareness about the fact that their practices are unsustainable </w:t>
      </w:r>
      <w:proofErr w:type="gramStart"/>
      <w:r w:rsidRPr="0001466E">
        <w:rPr>
          <w:rFonts w:eastAsia="Calibri"/>
          <w:kern w:val="2"/>
          <w:sz w:val="24"/>
          <w:szCs w:val="24"/>
          <w:lang w:eastAsia="en-US"/>
          <w14:ligatures w14:val="standardContextual"/>
        </w:rPr>
        <w:t>any more</w:t>
      </w:r>
      <w:proofErr w:type="gramEnd"/>
      <w:r w:rsidRPr="0001466E">
        <w:rPr>
          <w:rFonts w:eastAsia="Calibri"/>
          <w:kern w:val="2"/>
          <w:sz w:val="24"/>
          <w:szCs w:val="24"/>
          <w:lang w:eastAsia="en-US"/>
          <w14:ligatures w14:val="standardContextual"/>
        </w:rPr>
        <w:t xml:space="preserve">. Jaguar initiated this stage when it was recognised that strict emissions regulations, increasing competition with companies such as Tesla, BYD and other premium car manufacturers, along with the demand for electric cars were threatening its competitive advantage. It has led to the introduction of the Reimagine Strategy in 2021 and the company's movement from using internal combustion engines to building up electrification, software-defined vehicles and sustainable mobility. In addition, senior leadership announced bold objectives such as turning Jaguar into an all-electric luxury brand and reaching net zero carbon emissions throughout the operations, products and supply chains by 2039. </w:t>
      </w:r>
      <w:proofErr w:type="gramStart"/>
      <w:r w:rsidRPr="0001466E">
        <w:rPr>
          <w:rFonts w:eastAsia="Calibri"/>
          <w:kern w:val="2"/>
          <w:sz w:val="24"/>
          <w:szCs w:val="24"/>
          <w:lang w:eastAsia="en-US"/>
          <w14:ligatures w14:val="standardContextual"/>
        </w:rPr>
        <w:t>All of</w:t>
      </w:r>
      <w:proofErr w:type="gramEnd"/>
      <w:r w:rsidRPr="0001466E">
        <w:rPr>
          <w:rFonts w:eastAsia="Calibri"/>
          <w:kern w:val="2"/>
          <w:sz w:val="24"/>
          <w:szCs w:val="24"/>
          <w:lang w:eastAsia="en-US"/>
          <w14:ligatures w14:val="standardContextual"/>
        </w:rPr>
        <w:t xml:space="preserve"> these initiatives prove that Jaguar successfully created a strong strategic rationale for its transformation (Kotter, 2012).</w:t>
      </w:r>
    </w:p>
    <w:p w14:paraId="343133C3" w14:textId="77777777" w:rsidR="0001466E" w:rsidRPr="0001466E" w:rsidRDefault="0001466E" w:rsidP="0001466E">
      <w:pPr>
        <w:spacing w:after="160" w:line="259" w:lineRule="auto"/>
        <w:rPr>
          <w:rFonts w:eastAsia="Calibri"/>
          <w:kern w:val="2"/>
          <w:sz w:val="24"/>
          <w:szCs w:val="24"/>
          <w:lang w:eastAsia="en-US"/>
          <w14:ligatures w14:val="standardContextual"/>
        </w:rPr>
      </w:pPr>
    </w:p>
    <w:p w14:paraId="5E9B867F" w14:textId="77777777" w:rsidR="0001466E" w:rsidRPr="0058711D" w:rsidRDefault="0001466E" w:rsidP="0001466E">
      <w:pPr>
        <w:spacing w:after="160" w:line="259" w:lineRule="auto"/>
        <w:rPr>
          <w:rFonts w:eastAsia="Calibri"/>
          <w:kern w:val="2"/>
          <w:sz w:val="24"/>
          <w:szCs w:val="24"/>
          <w:u w:val="single"/>
          <w:lang w:eastAsia="en-US"/>
          <w14:ligatures w14:val="standardContextual"/>
        </w:rPr>
      </w:pPr>
      <w:r w:rsidRPr="0058711D">
        <w:rPr>
          <w:rFonts w:eastAsia="Calibri"/>
          <w:kern w:val="2"/>
          <w:sz w:val="24"/>
          <w:szCs w:val="24"/>
          <w:u w:val="single"/>
          <w:lang w:eastAsia="en-US"/>
          <w14:ligatures w14:val="standardContextual"/>
        </w:rPr>
        <w:t>Change</w:t>
      </w:r>
    </w:p>
    <w:p w14:paraId="0F839AFE" w14:textId="77777777" w:rsidR="0001466E" w:rsidRPr="0001466E" w:rsidRDefault="0001466E" w:rsidP="0001466E">
      <w:pPr>
        <w:spacing w:after="160" w:line="259" w:lineRule="auto"/>
        <w:rPr>
          <w:rFonts w:eastAsia="Calibri"/>
          <w:kern w:val="2"/>
          <w:sz w:val="24"/>
          <w:szCs w:val="24"/>
          <w:lang w:eastAsia="en-US"/>
          <w14:ligatures w14:val="standardContextual"/>
        </w:rPr>
      </w:pPr>
    </w:p>
    <w:p w14:paraId="46DDC87B" w14:textId="47A17667" w:rsidR="0001466E" w:rsidRPr="0001466E" w:rsidRDefault="0001466E" w:rsidP="0001466E">
      <w:pPr>
        <w:spacing w:after="160" w:line="259" w:lineRule="auto"/>
        <w:rPr>
          <w:rFonts w:eastAsia="Calibri"/>
          <w:kern w:val="2"/>
          <w:sz w:val="24"/>
          <w:szCs w:val="24"/>
          <w:lang w:eastAsia="en-US"/>
          <w14:ligatures w14:val="standardContextual"/>
        </w:rPr>
      </w:pPr>
      <w:r w:rsidRPr="0001466E">
        <w:rPr>
          <w:rFonts w:eastAsia="Calibri"/>
          <w:kern w:val="2"/>
          <w:sz w:val="24"/>
          <w:szCs w:val="24"/>
          <w:lang w:eastAsia="en-US"/>
          <w14:ligatures w14:val="standardContextual"/>
        </w:rPr>
        <w:t xml:space="preserve">At the stage of change, the focus is on implementing new processes and technologies as well as new organisational practices. For example, Jaguar has invested £15 billion in five years </w:t>
      </w:r>
      <w:proofErr w:type="gramStart"/>
      <w:r w:rsidRPr="0001466E">
        <w:rPr>
          <w:rFonts w:eastAsia="Calibri"/>
          <w:kern w:val="2"/>
          <w:sz w:val="24"/>
          <w:szCs w:val="24"/>
          <w:lang w:eastAsia="en-US"/>
          <w14:ligatures w14:val="standardContextual"/>
        </w:rPr>
        <w:t>in order to</w:t>
      </w:r>
      <w:proofErr w:type="gramEnd"/>
      <w:r w:rsidRPr="0001466E">
        <w:rPr>
          <w:rFonts w:eastAsia="Calibri"/>
          <w:kern w:val="2"/>
          <w:sz w:val="24"/>
          <w:szCs w:val="24"/>
          <w:lang w:eastAsia="en-US"/>
          <w14:ligatures w14:val="standardContextual"/>
        </w:rPr>
        <w:t xml:space="preserve"> support electrification, artificial intelligence, self-driving cars, batteries and digital manufacturing. In addition, partnership with NVIDIA helped to build its software-defined vehicles. Investments in smart manufacturing, robots and connected manufacturing were made to increase efficiency at manufacturing sites.</w:t>
      </w:r>
      <w:r w:rsidR="00E33193">
        <w:rPr>
          <w:rFonts w:eastAsia="Calibri"/>
          <w:kern w:val="2"/>
          <w:sz w:val="24"/>
          <w:szCs w:val="24"/>
          <w:lang w:eastAsia="en-US"/>
          <w14:ligatures w14:val="standardContextual"/>
        </w:rPr>
        <w:t xml:space="preserve"> A</w:t>
      </w:r>
      <w:r w:rsidRPr="0001466E">
        <w:rPr>
          <w:rFonts w:eastAsia="Calibri"/>
          <w:kern w:val="2"/>
          <w:sz w:val="24"/>
          <w:szCs w:val="24"/>
          <w:lang w:eastAsia="en-US"/>
          <w14:ligatures w14:val="standardContextual"/>
        </w:rPr>
        <w:t xml:space="preserve"> brand strategy has been changed by making Range Rover, Defender, Discovery and Jaguar modern luxury brands. Therefore, it can be said that this organisational transformation involves changes both in terms of products </w:t>
      </w:r>
      <w:proofErr w:type="gramStart"/>
      <w:r w:rsidRPr="0001466E">
        <w:rPr>
          <w:rFonts w:eastAsia="Calibri"/>
          <w:kern w:val="2"/>
          <w:sz w:val="24"/>
          <w:szCs w:val="24"/>
          <w:lang w:eastAsia="en-US"/>
          <w14:ligatures w14:val="standardContextual"/>
        </w:rPr>
        <w:t>and also</w:t>
      </w:r>
      <w:proofErr w:type="gramEnd"/>
      <w:r w:rsidRPr="0001466E">
        <w:rPr>
          <w:rFonts w:eastAsia="Calibri"/>
          <w:kern w:val="2"/>
          <w:sz w:val="24"/>
          <w:szCs w:val="24"/>
          <w:lang w:eastAsia="en-US"/>
          <w14:ligatures w14:val="standardContextual"/>
        </w:rPr>
        <w:t xml:space="preserve"> in terms of organisational structure and technologies as they are aimed at ensuring long-term competitive advantage (Appelbaum et al., 2012).</w:t>
      </w:r>
    </w:p>
    <w:p w14:paraId="341A694A" w14:textId="77777777" w:rsidR="0001466E" w:rsidRPr="00E33193" w:rsidRDefault="0001466E" w:rsidP="0001466E">
      <w:pPr>
        <w:spacing w:after="160" w:line="259" w:lineRule="auto"/>
        <w:rPr>
          <w:rFonts w:eastAsia="Calibri"/>
          <w:kern w:val="2"/>
          <w:sz w:val="24"/>
          <w:szCs w:val="24"/>
          <w:u w:val="single"/>
          <w:lang w:eastAsia="en-US"/>
          <w14:ligatures w14:val="standardContextual"/>
        </w:rPr>
      </w:pPr>
      <w:r w:rsidRPr="00E33193">
        <w:rPr>
          <w:rFonts w:eastAsia="Calibri"/>
          <w:kern w:val="2"/>
          <w:sz w:val="24"/>
          <w:szCs w:val="24"/>
          <w:u w:val="single"/>
          <w:lang w:eastAsia="en-US"/>
          <w14:ligatures w14:val="standardContextual"/>
        </w:rPr>
        <w:t>Refreeze</w:t>
      </w:r>
    </w:p>
    <w:p w14:paraId="408842B2" w14:textId="77777777" w:rsidR="0001466E" w:rsidRPr="0001466E" w:rsidRDefault="0001466E" w:rsidP="0001466E">
      <w:pPr>
        <w:spacing w:after="160" w:line="259" w:lineRule="auto"/>
        <w:rPr>
          <w:rFonts w:eastAsia="Calibri"/>
          <w:kern w:val="2"/>
          <w:sz w:val="24"/>
          <w:szCs w:val="24"/>
          <w:lang w:eastAsia="en-US"/>
          <w14:ligatures w14:val="standardContextual"/>
        </w:rPr>
      </w:pPr>
      <w:r w:rsidRPr="0001466E">
        <w:rPr>
          <w:rFonts w:eastAsia="Calibri"/>
          <w:kern w:val="2"/>
          <w:sz w:val="24"/>
          <w:szCs w:val="24"/>
          <w:lang w:eastAsia="en-US"/>
          <w14:ligatures w14:val="standardContextual"/>
        </w:rPr>
        <w:t xml:space="preserve">At the last stage of the model, organisations aim to embed new ways of behaviour and organisational culture into normal operation. Jaguar has demonstrated some success in terms of improvement in its financial performance, increase in cash generation and continuation of digitalisation which proves that some aspects of the transformation have been institutionalised. Nevertheless, Jaguar has not been able to complete this stage fully as electrification </w:t>
      </w:r>
      <w:proofErr w:type="gramStart"/>
      <w:r w:rsidRPr="0001466E">
        <w:rPr>
          <w:rFonts w:eastAsia="Calibri"/>
          <w:kern w:val="2"/>
          <w:sz w:val="24"/>
          <w:szCs w:val="24"/>
          <w:lang w:eastAsia="en-US"/>
          <w14:ligatures w14:val="standardContextual"/>
        </w:rPr>
        <w:t>still continues</w:t>
      </w:r>
      <w:proofErr w:type="gramEnd"/>
      <w:r w:rsidRPr="0001466E">
        <w:rPr>
          <w:rFonts w:eastAsia="Calibri"/>
          <w:kern w:val="2"/>
          <w:sz w:val="24"/>
          <w:szCs w:val="24"/>
          <w:lang w:eastAsia="en-US"/>
          <w14:ligatures w14:val="standardContextual"/>
        </w:rPr>
        <w:t xml:space="preserve">, all-electric product line of Jaguar is not yet </w:t>
      </w:r>
      <w:proofErr w:type="gramStart"/>
      <w:r w:rsidRPr="0001466E">
        <w:rPr>
          <w:rFonts w:eastAsia="Calibri"/>
          <w:kern w:val="2"/>
          <w:sz w:val="24"/>
          <w:szCs w:val="24"/>
          <w:lang w:eastAsia="en-US"/>
          <w14:ligatures w14:val="standardContextual"/>
        </w:rPr>
        <w:t>completed</w:t>
      </w:r>
      <w:proofErr w:type="gramEnd"/>
      <w:r w:rsidRPr="0001466E">
        <w:rPr>
          <w:rFonts w:eastAsia="Calibri"/>
          <w:kern w:val="2"/>
          <w:sz w:val="24"/>
          <w:szCs w:val="24"/>
          <w:lang w:eastAsia="en-US"/>
          <w14:ligatures w14:val="standardContextual"/>
        </w:rPr>
        <w:t xml:space="preserve"> and software-defined vehicles continue developing. Due to continuous technological change within the automotive industry, Jaguar </w:t>
      </w:r>
      <w:proofErr w:type="gramStart"/>
      <w:r w:rsidRPr="0001466E">
        <w:rPr>
          <w:rFonts w:eastAsia="Calibri"/>
          <w:kern w:val="2"/>
          <w:sz w:val="24"/>
          <w:szCs w:val="24"/>
          <w:lang w:eastAsia="en-US"/>
          <w14:ligatures w14:val="standardContextual"/>
        </w:rPr>
        <w:t>has to</w:t>
      </w:r>
      <w:proofErr w:type="gramEnd"/>
      <w:r w:rsidRPr="0001466E">
        <w:rPr>
          <w:rFonts w:eastAsia="Calibri"/>
          <w:kern w:val="2"/>
          <w:sz w:val="24"/>
          <w:szCs w:val="24"/>
          <w:lang w:eastAsia="en-US"/>
          <w14:ligatures w14:val="standardContextual"/>
        </w:rPr>
        <w:t xml:space="preserve"> adapt constantly and cannot stabilise its operating model. That is why it seems that Lewin's last stage has not been completed yet as strategic transformation is still going on (Cummings, Bridgman and Brown, 2016).</w:t>
      </w:r>
    </w:p>
    <w:p w14:paraId="5A2C4E7B" w14:textId="77777777" w:rsidR="0001466E" w:rsidRPr="00E33193" w:rsidRDefault="0001466E" w:rsidP="0001466E">
      <w:pPr>
        <w:spacing w:after="160" w:line="259" w:lineRule="auto"/>
        <w:rPr>
          <w:rFonts w:eastAsia="Calibri"/>
          <w:kern w:val="2"/>
          <w:sz w:val="24"/>
          <w:szCs w:val="24"/>
          <w:u w:val="single"/>
          <w:lang w:eastAsia="en-US"/>
          <w14:ligatures w14:val="standardContextual"/>
        </w:rPr>
      </w:pPr>
      <w:r w:rsidRPr="00E33193">
        <w:rPr>
          <w:rFonts w:eastAsia="Calibri"/>
          <w:kern w:val="2"/>
          <w:sz w:val="24"/>
          <w:szCs w:val="24"/>
          <w:u w:val="single"/>
          <w:lang w:eastAsia="en-US"/>
          <w14:ligatures w14:val="standardContextual"/>
        </w:rPr>
        <w:lastRenderedPageBreak/>
        <w:t>Critical Evaluation</w:t>
      </w:r>
    </w:p>
    <w:p w14:paraId="06673AFE" w14:textId="77777777" w:rsidR="0097559D" w:rsidRDefault="0001466E" w:rsidP="0001466E">
      <w:pPr>
        <w:spacing w:after="160" w:line="259" w:lineRule="auto"/>
        <w:rPr>
          <w:rFonts w:eastAsia="Calibri"/>
          <w:kern w:val="2"/>
          <w:sz w:val="24"/>
          <w:szCs w:val="24"/>
          <w:lang w:eastAsia="en-US"/>
          <w14:ligatures w14:val="standardContextual"/>
        </w:rPr>
      </w:pPr>
      <w:r w:rsidRPr="0001466E">
        <w:rPr>
          <w:rFonts w:eastAsia="Calibri"/>
          <w:kern w:val="2"/>
          <w:sz w:val="24"/>
          <w:szCs w:val="24"/>
          <w:lang w:eastAsia="en-US"/>
          <w14:ligatures w14:val="standardContextual"/>
        </w:rPr>
        <w:t xml:space="preserve">Lewin's model is quite simple and </w:t>
      </w:r>
      <w:proofErr w:type="gramStart"/>
      <w:r w:rsidRPr="0001466E">
        <w:rPr>
          <w:rFonts w:eastAsia="Calibri"/>
          <w:kern w:val="2"/>
          <w:sz w:val="24"/>
          <w:szCs w:val="24"/>
          <w:lang w:eastAsia="en-US"/>
          <w14:ligatures w14:val="standardContextual"/>
        </w:rPr>
        <w:t>structured</w:t>
      </w:r>
      <w:proofErr w:type="gramEnd"/>
      <w:r w:rsidRPr="0001466E">
        <w:rPr>
          <w:rFonts w:eastAsia="Calibri"/>
          <w:kern w:val="2"/>
          <w:sz w:val="24"/>
          <w:szCs w:val="24"/>
          <w:lang w:eastAsia="en-US"/>
          <w14:ligatures w14:val="standardContextual"/>
        </w:rPr>
        <w:t xml:space="preserve"> and it helps to understand the transformation of Jaguar well, especially the necessity to create a sense of urgency before starting the organisational transformation. This model allows explaining the connection between external pressures and strategic response successfully. However, it assumes that organisations will be able to stabilise their operation after the change. Modern automotive manufacturers work in the environment where there are constant innovations in artificial intelligence, electrification, sustainability regulations and digitalisation. Therefore, organisations </w:t>
      </w:r>
      <w:proofErr w:type="gramStart"/>
      <w:r w:rsidRPr="0001466E">
        <w:rPr>
          <w:rFonts w:eastAsia="Calibri"/>
          <w:kern w:val="2"/>
          <w:sz w:val="24"/>
          <w:szCs w:val="24"/>
          <w:lang w:eastAsia="en-US"/>
          <w14:ligatures w14:val="standardContextual"/>
        </w:rPr>
        <w:t>have to</w:t>
      </w:r>
      <w:proofErr w:type="gramEnd"/>
      <w:r w:rsidRPr="0001466E">
        <w:rPr>
          <w:rFonts w:eastAsia="Calibri"/>
          <w:kern w:val="2"/>
          <w:sz w:val="24"/>
          <w:szCs w:val="24"/>
          <w:lang w:eastAsia="en-US"/>
          <w14:ligatures w14:val="standardContextual"/>
        </w:rPr>
        <w:t xml:space="preserve"> adapt continuously. Thus, Lewin's model explains the first stages of the transformation </w:t>
      </w:r>
      <w:proofErr w:type="gramStart"/>
      <w:r w:rsidRPr="0001466E">
        <w:rPr>
          <w:rFonts w:eastAsia="Calibri"/>
          <w:kern w:val="2"/>
          <w:sz w:val="24"/>
          <w:szCs w:val="24"/>
          <w:lang w:eastAsia="en-US"/>
          <w14:ligatures w14:val="standardContextual"/>
        </w:rPr>
        <w:t>well</w:t>
      </w:r>
      <w:proofErr w:type="gramEnd"/>
      <w:r w:rsidRPr="0001466E">
        <w:rPr>
          <w:rFonts w:eastAsia="Calibri"/>
          <w:kern w:val="2"/>
          <w:sz w:val="24"/>
          <w:szCs w:val="24"/>
          <w:lang w:eastAsia="en-US"/>
          <w14:ligatures w14:val="standardContextual"/>
        </w:rPr>
        <w:t xml:space="preserve"> but it </w:t>
      </w:r>
      <w:proofErr w:type="gramStart"/>
      <w:r w:rsidRPr="0001466E">
        <w:rPr>
          <w:rFonts w:eastAsia="Calibri"/>
          <w:kern w:val="2"/>
          <w:sz w:val="24"/>
          <w:szCs w:val="24"/>
          <w:lang w:eastAsia="en-US"/>
          <w14:ligatures w14:val="standardContextual"/>
        </w:rPr>
        <w:t>is not able to</w:t>
      </w:r>
      <w:proofErr w:type="gramEnd"/>
      <w:r w:rsidRPr="0001466E">
        <w:rPr>
          <w:rFonts w:eastAsia="Calibri"/>
          <w:kern w:val="2"/>
          <w:sz w:val="24"/>
          <w:szCs w:val="24"/>
          <w:lang w:eastAsia="en-US"/>
          <w14:ligatures w14:val="standardContextual"/>
        </w:rPr>
        <w:t xml:space="preserve"> reflect the constant nature of strategic transformation of the automotive industry (Burnes, 2020).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81"/>
        <w:gridCol w:w="4265"/>
        <w:gridCol w:w="3570"/>
      </w:tblGrid>
      <w:tr w:rsidR="0097559D" w:rsidRPr="0097559D" w14:paraId="1984757D" w14:textId="77777777" w:rsidTr="0097559D">
        <w:trPr>
          <w:tblHeader/>
          <w:tblCellSpacing w:w="15" w:type="dxa"/>
        </w:trPr>
        <w:tc>
          <w:tcPr>
            <w:tcW w:w="0" w:type="auto"/>
            <w:vAlign w:val="center"/>
            <w:hideMark/>
          </w:tcPr>
          <w:p w14:paraId="02B17BD1" w14:textId="77777777" w:rsidR="0097559D" w:rsidRPr="0097559D" w:rsidRDefault="0097559D" w:rsidP="0097559D">
            <w:pPr>
              <w:spacing w:after="160" w:line="259" w:lineRule="auto"/>
              <w:rPr>
                <w:rFonts w:eastAsia="Calibri"/>
                <w:b/>
                <w:bCs/>
                <w:kern w:val="2"/>
                <w:sz w:val="24"/>
                <w:szCs w:val="24"/>
                <w:lang w:eastAsia="en-US"/>
                <w14:ligatures w14:val="standardContextual"/>
              </w:rPr>
            </w:pPr>
            <w:r w:rsidRPr="0097559D">
              <w:rPr>
                <w:rFonts w:eastAsia="Calibri"/>
                <w:b/>
                <w:bCs/>
                <w:kern w:val="2"/>
                <w:sz w:val="24"/>
                <w:szCs w:val="24"/>
                <w:lang w:eastAsia="en-US"/>
                <w14:ligatures w14:val="standardContextual"/>
              </w:rPr>
              <w:t>Lewin Stage</w:t>
            </w:r>
          </w:p>
        </w:tc>
        <w:tc>
          <w:tcPr>
            <w:tcW w:w="0" w:type="auto"/>
            <w:vAlign w:val="center"/>
            <w:hideMark/>
          </w:tcPr>
          <w:p w14:paraId="6DE7B752" w14:textId="77777777" w:rsidR="0097559D" w:rsidRPr="0097559D" w:rsidRDefault="0097559D" w:rsidP="0097559D">
            <w:pPr>
              <w:spacing w:after="160" w:line="259" w:lineRule="auto"/>
              <w:rPr>
                <w:rFonts w:eastAsia="Calibri"/>
                <w:b/>
                <w:bCs/>
                <w:kern w:val="2"/>
                <w:sz w:val="24"/>
                <w:szCs w:val="24"/>
                <w:lang w:eastAsia="en-US"/>
                <w14:ligatures w14:val="standardContextual"/>
              </w:rPr>
            </w:pPr>
            <w:r w:rsidRPr="0097559D">
              <w:rPr>
                <w:rFonts w:eastAsia="Calibri"/>
                <w:b/>
                <w:bCs/>
                <w:kern w:val="2"/>
                <w:sz w:val="24"/>
                <w:szCs w:val="24"/>
                <w:lang w:eastAsia="en-US"/>
                <w14:ligatures w14:val="standardContextual"/>
              </w:rPr>
              <w:t>Evidence from JLR</w:t>
            </w:r>
          </w:p>
        </w:tc>
        <w:tc>
          <w:tcPr>
            <w:tcW w:w="0" w:type="auto"/>
            <w:vAlign w:val="center"/>
            <w:hideMark/>
          </w:tcPr>
          <w:p w14:paraId="6D70C00C" w14:textId="77777777" w:rsidR="0097559D" w:rsidRPr="0097559D" w:rsidRDefault="0097559D" w:rsidP="0097559D">
            <w:pPr>
              <w:spacing w:after="160" w:line="259" w:lineRule="auto"/>
              <w:rPr>
                <w:rFonts w:eastAsia="Calibri"/>
                <w:b/>
                <w:bCs/>
                <w:kern w:val="2"/>
                <w:sz w:val="24"/>
                <w:szCs w:val="24"/>
                <w:lang w:eastAsia="en-US"/>
                <w14:ligatures w14:val="standardContextual"/>
              </w:rPr>
            </w:pPr>
            <w:r w:rsidRPr="0097559D">
              <w:rPr>
                <w:rFonts w:eastAsia="Calibri"/>
                <w:b/>
                <w:bCs/>
                <w:kern w:val="2"/>
                <w:sz w:val="24"/>
                <w:szCs w:val="24"/>
                <w:lang w:eastAsia="en-US"/>
                <w14:ligatures w14:val="standardContextual"/>
              </w:rPr>
              <w:t>Evaluation</w:t>
            </w:r>
          </w:p>
        </w:tc>
      </w:tr>
      <w:tr w:rsidR="0097559D" w:rsidRPr="0097559D" w14:paraId="2DE232D0" w14:textId="77777777" w:rsidTr="0097559D">
        <w:trPr>
          <w:tblCellSpacing w:w="15" w:type="dxa"/>
        </w:trPr>
        <w:tc>
          <w:tcPr>
            <w:tcW w:w="0" w:type="auto"/>
            <w:vAlign w:val="center"/>
            <w:hideMark/>
          </w:tcPr>
          <w:p w14:paraId="099BE9E5" w14:textId="77777777" w:rsidR="0097559D" w:rsidRPr="0097559D" w:rsidRDefault="0097559D" w:rsidP="0097559D">
            <w:pPr>
              <w:spacing w:after="160" w:line="259" w:lineRule="auto"/>
              <w:rPr>
                <w:rFonts w:eastAsia="Calibri"/>
                <w:kern w:val="2"/>
                <w:sz w:val="24"/>
                <w:szCs w:val="24"/>
                <w:lang w:eastAsia="en-US"/>
                <w14:ligatures w14:val="standardContextual"/>
              </w:rPr>
            </w:pPr>
            <w:r w:rsidRPr="0097559D">
              <w:rPr>
                <w:rFonts w:eastAsia="Calibri"/>
                <w:kern w:val="2"/>
                <w:sz w:val="24"/>
                <w:szCs w:val="24"/>
                <w:lang w:eastAsia="en-US"/>
                <w14:ligatures w14:val="standardContextual"/>
              </w:rPr>
              <w:t>Unfreeze</w:t>
            </w:r>
          </w:p>
        </w:tc>
        <w:tc>
          <w:tcPr>
            <w:tcW w:w="0" w:type="auto"/>
            <w:vAlign w:val="center"/>
            <w:hideMark/>
          </w:tcPr>
          <w:p w14:paraId="3D68B37C" w14:textId="77777777" w:rsidR="0097559D" w:rsidRPr="0097559D" w:rsidRDefault="0097559D" w:rsidP="0097559D">
            <w:pPr>
              <w:spacing w:after="160" w:line="259" w:lineRule="auto"/>
              <w:rPr>
                <w:rFonts w:eastAsia="Calibri"/>
                <w:kern w:val="2"/>
                <w:sz w:val="24"/>
                <w:szCs w:val="24"/>
                <w:lang w:eastAsia="en-US"/>
                <w14:ligatures w14:val="standardContextual"/>
              </w:rPr>
            </w:pPr>
            <w:r w:rsidRPr="0097559D">
              <w:rPr>
                <w:rFonts w:eastAsia="Calibri"/>
                <w:kern w:val="2"/>
                <w:sz w:val="24"/>
                <w:szCs w:val="24"/>
                <w:lang w:eastAsia="en-US"/>
                <w14:ligatures w14:val="standardContextual"/>
              </w:rPr>
              <w:t>Reimagine Strategy, electrification, net zero commitment</w:t>
            </w:r>
          </w:p>
        </w:tc>
        <w:tc>
          <w:tcPr>
            <w:tcW w:w="0" w:type="auto"/>
            <w:vAlign w:val="center"/>
            <w:hideMark/>
          </w:tcPr>
          <w:p w14:paraId="74BA65D9" w14:textId="77777777" w:rsidR="0097559D" w:rsidRPr="0097559D" w:rsidRDefault="0097559D" w:rsidP="0097559D">
            <w:pPr>
              <w:spacing w:after="160" w:line="259" w:lineRule="auto"/>
              <w:rPr>
                <w:rFonts w:eastAsia="Calibri"/>
                <w:kern w:val="2"/>
                <w:sz w:val="24"/>
                <w:szCs w:val="24"/>
                <w:lang w:eastAsia="en-US"/>
                <w14:ligatures w14:val="standardContextual"/>
              </w:rPr>
            </w:pPr>
            <w:r w:rsidRPr="0097559D">
              <w:rPr>
                <w:rFonts w:eastAsia="Calibri"/>
                <w:kern w:val="2"/>
                <w:sz w:val="24"/>
                <w:szCs w:val="24"/>
                <w:lang w:eastAsia="en-US"/>
                <w14:ligatures w14:val="standardContextual"/>
              </w:rPr>
              <w:t>Successfully created urgency for change</w:t>
            </w:r>
          </w:p>
        </w:tc>
      </w:tr>
      <w:tr w:rsidR="0097559D" w:rsidRPr="0097559D" w14:paraId="1A5BDE2E" w14:textId="77777777" w:rsidTr="0097559D">
        <w:trPr>
          <w:tblCellSpacing w:w="15" w:type="dxa"/>
        </w:trPr>
        <w:tc>
          <w:tcPr>
            <w:tcW w:w="0" w:type="auto"/>
            <w:vAlign w:val="center"/>
            <w:hideMark/>
          </w:tcPr>
          <w:p w14:paraId="59C42E80" w14:textId="77777777" w:rsidR="0097559D" w:rsidRPr="0097559D" w:rsidRDefault="0097559D" w:rsidP="0097559D">
            <w:pPr>
              <w:spacing w:after="160" w:line="259" w:lineRule="auto"/>
              <w:rPr>
                <w:rFonts w:eastAsia="Calibri"/>
                <w:kern w:val="2"/>
                <w:sz w:val="24"/>
                <w:szCs w:val="24"/>
                <w:lang w:eastAsia="en-US"/>
                <w14:ligatures w14:val="standardContextual"/>
              </w:rPr>
            </w:pPr>
            <w:r w:rsidRPr="0097559D">
              <w:rPr>
                <w:rFonts w:eastAsia="Calibri"/>
                <w:kern w:val="2"/>
                <w:sz w:val="24"/>
                <w:szCs w:val="24"/>
                <w:lang w:eastAsia="en-US"/>
                <w14:ligatures w14:val="standardContextual"/>
              </w:rPr>
              <w:t>Change</w:t>
            </w:r>
          </w:p>
        </w:tc>
        <w:tc>
          <w:tcPr>
            <w:tcW w:w="0" w:type="auto"/>
            <w:vAlign w:val="center"/>
            <w:hideMark/>
          </w:tcPr>
          <w:p w14:paraId="5638D5A4" w14:textId="77777777" w:rsidR="0097559D" w:rsidRPr="0097559D" w:rsidRDefault="0097559D" w:rsidP="0097559D">
            <w:pPr>
              <w:spacing w:after="160" w:line="259" w:lineRule="auto"/>
              <w:rPr>
                <w:rFonts w:eastAsia="Calibri"/>
                <w:kern w:val="2"/>
                <w:sz w:val="24"/>
                <w:szCs w:val="24"/>
                <w:lang w:eastAsia="en-US"/>
                <w14:ligatures w14:val="standardContextual"/>
              </w:rPr>
            </w:pPr>
            <w:r w:rsidRPr="0097559D">
              <w:rPr>
                <w:rFonts w:eastAsia="Calibri"/>
                <w:kern w:val="2"/>
                <w:sz w:val="24"/>
                <w:szCs w:val="24"/>
                <w:lang w:eastAsia="en-US"/>
                <w14:ligatures w14:val="standardContextual"/>
              </w:rPr>
              <w:t>£15bn investment, AI, NVIDIA partnership, digital manufacturing</w:t>
            </w:r>
          </w:p>
        </w:tc>
        <w:tc>
          <w:tcPr>
            <w:tcW w:w="0" w:type="auto"/>
            <w:vAlign w:val="center"/>
            <w:hideMark/>
          </w:tcPr>
          <w:p w14:paraId="5D68D90E" w14:textId="77777777" w:rsidR="0097559D" w:rsidRPr="0097559D" w:rsidRDefault="0097559D" w:rsidP="0097559D">
            <w:pPr>
              <w:spacing w:after="160" w:line="259" w:lineRule="auto"/>
              <w:rPr>
                <w:rFonts w:eastAsia="Calibri"/>
                <w:kern w:val="2"/>
                <w:sz w:val="24"/>
                <w:szCs w:val="24"/>
                <w:lang w:eastAsia="en-US"/>
                <w14:ligatures w14:val="standardContextual"/>
              </w:rPr>
            </w:pPr>
            <w:r w:rsidRPr="0097559D">
              <w:rPr>
                <w:rFonts w:eastAsia="Calibri"/>
                <w:kern w:val="2"/>
                <w:sz w:val="24"/>
                <w:szCs w:val="24"/>
                <w:lang w:eastAsia="en-US"/>
                <w14:ligatures w14:val="standardContextual"/>
              </w:rPr>
              <w:t>Extensive implementation across the business</w:t>
            </w:r>
          </w:p>
        </w:tc>
      </w:tr>
      <w:tr w:rsidR="0097559D" w:rsidRPr="0097559D" w14:paraId="6F6CBEC6" w14:textId="77777777" w:rsidTr="0097559D">
        <w:trPr>
          <w:tblCellSpacing w:w="15" w:type="dxa"/>
        </w:trPr>
        <w:tc>
          <w:tcPr>
            <w:tcW w:w="0" w:type="auto"/>
            <w:vAlign w:val="center"/>
            <w:hideMark/>
          </w:tcPr>
          <w:p w14:paraId="51675A5C" w14:textId="77777777" w:rsidR="0097559D" w:rsidRPr="0097559D" w:rsidRDefault="0097559D" w:rsidP="0097559D">
            <w:pPr>
              <w:spacing w:after="160" w:line="259" w:lineRule="auto"/>
              <w:rPr>
                <w:rFonts w:eastAsia="Calibri"/>
                <w:kern w:val="2"/>
                <w:sz w:val="24"/>
                <w:szCs w:val="24"/>
                <w:lang w:eastAsia="en-US"/>
                <w14:ligatures w14:val="standardContextual"/>
              </w:rPr>
            </w:pPr>
            <w:r w:rsidRPr="0097559D">
              <w:rPr>
                <w:rFonts w:eastAsia="Calibri"/>
                <w:kern w:val="2"/>
                <w:sz w:val="24"/>
                <w:szCs w:val="24"/>
                <w:lang w:eastAsia="en-US"/>
                <w14:ligatures w14:val="standardContextual"/>
              </w:rPr>
              <w:t>Refreeze</w:t>
            </w:r>
          </w:p>
        </w:tc>
        <w:tc>
          <w:tcPr>
            <w:tcW w:w="0" w:type="auto"/>
            <w:vAlign w:val="center"/>
            <w:hideMark/>
          </w:tcPr>
          <w:p w14:paraId="0502587D" w14:textId="77777777" w:rsidR="0097559D" w:rsidRPr="0097559D" w:rsidRDefault="0097559D" w:rsidP="0097559D">
            <w:pPr>
              <w:spacing w:after="160" w:line="259" w:lineRule="auto"/>
              <w:rPr>
                <w:rFonts w:eastAsia="Calibri"/>
                <w:kern w:val="2"/>
                <w:sz w:val="24"/>
                <w:szCs w:val="24"/>
                <w:lang w:eastAsia="en-US"/>
                <w14:ligatures w14:val="standardContextual"/>
              </w:rPr>
            </w:pPr>
            <w:r w:rsidRPr="0097559D">
              <w:rPr>
                <w:rFonts w:eastAsia="Calibri"/>
                <w:kern w:val="2"/>
                <w:sz w:val="24"/>
                <w:szCs w:val="24"/>
                <w:lang w:eastAsia="en-US"/>
                <w14:ligatures w14:val="standardContextual"/>
              </w:rPr>
              <w:t>Improved financial performance, cultural and digital transformation</w:t>
            </w:r>
          </w:p>
        </w:tc>
        <w:tc>
          <w:tcPr>
            <w:tcW w:w="0" w:type="auto"/>
            <w:vAlign w:val="center"/>
            <w:hideMark/>
          </w:tcPr>
          <w:p w14:paraId="46095773" w14:textId="77777777" w:rsidR="0097559D" w:rsidRPr="0097559D" w:rsidRDefault="0097559D" w:rsidP="0097559D">
            <w:pPr>
              <w:spacing w:after="160" w:line="259" w:lineRule="auto"/>
              <w:rPr>
                <w:rFonts w:eastAsia="Calibri"/>
                <w:kern w:val="2"/>
                <w:sz w:val="24"/>
                <w:szCs w:val="24"/>
                <w:lang w:eastAsia="en-US"/>
                <w14:ligatures w14:val="standardContextual"/>
              </w:rPr>
            </w:pPr>
            <w:r w:rsidRPr="0097559D">
              <w:rPr>
                <w:rFonts w:eastAsia="Calibri"/>
                <w:kern w:val="2"/>
                <w:sz w:val="24"/>
                <w:szCs w:val="24"/>
                <w:lang w:eastAsia="en-US"/>
                <w14:ligatures w14:val="standardContextual"/>
              </w:rPr>
              <w:t>Partially achieved as transformation remains ongoing</w:t>
            </w:r>
          </w:p>
        </w:tc>
      </w:tr>
    </w:tbl>
    <w:p w14:paraId="7699A5BC" w14:textId="3423FFA4" w:rsidR="0097559D" w:rsidRDefault="0097559D" w:rsidP="00E33193">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Table 4: Lewin Change management model applied to JLR</w:t>
      </w:r>
    </w:p>
    <w:p w14:paraId="1A49F5E5" w14:textId="77777777" w:rsidR="0097559D" w:rsidRDefault="0097559D" w:rsidP="00E33193">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p>
    <w:p w14:paraId="0B2A1D21" w14:textId="64F15B57" w:rsidR="0001435C" w:rsidRDefault="00187791" w:rsidP="00E33193">
      <w:pPr>
        <w:pStyle w:val="Heading2"/>
        <w:rPr>
          <w:rFonts w:eastAsia="Calibri"/>
          <w:lang w:eastAsia="en-US"/>
        </w:rPr>
      </w:pPr>
      <w:r w:rsidRPr="00187791">
        <w:rPr>
          <w:rFonts w:eastAsia="Calibri"/>
          <w:lang w:eastAsia="en-US"/>
        </w:rPr>
        <w:br/>
      </w:r>
      <w:bookmarkStart w:id="18" w:name="_Toc235093257"/>
      <w:r w:rsidRPr="00187791">
        <w:rPr>
          <w:rFonts w:eastAsia="Calibri"/>
          <w:lang w:eastAsia="en-US"/>
        </w:rPr>
        <w:t>4.3 Kotter's Eight-Step Change Model</w:t>
      </w:r>
      <w:bookmarkEnd w:id="18"/>
    </w:p>
    <w:p w14:paraId="44C0777E" w14:textId="77777777" w:rsidR="001C0198" w:rsidRPr="001C0198" w:rsidRDefault="001C0198" w:rsidP="001C0198">
      <w:pPr>
        <w:spacing w:after="160" w:line="259" w:lineRule="auto"/>
        <w:rPr>
          <w:rFonts w:eastAsia="Calibri"/>
          <w:kern w:val="2"/>
          <w:sz w:val="24"/>
          <w:szCs w:val="24"/>
          <w:lang w:eastAsia="en-US"/>
          <w14:ligatures w14:val="standardContextual"/>
        </w:rPr>
      </w:pPr>
      <w:r w:rsidRPr="001C0198">
        <w:rPr>
          <w:rFonts w:eastAsia="Calibri"/>
          <w:kern w:val="2"/>
          <w:sz w:val="24"/>
          <w:szCs w:val="24"/>
          <w:lang w:eastAsia="en-US"/>
          <w14:ligatures w14:val="standardContextual"/>
        </w:rPr>
        <w:t>According to Kotter's Eight-Step Change Model, there is a need to create an organisational change process from creating urgency until embedding the change. Organisations can achieve their strategic changes by creating a sense of urgency that will lead to organisational change (Kotter, 1996).</w:t>
      </w:r>
    </w:p>
    <w:p w14:paraId="07CD320E" w14:textId="77777777" w:rsidR="001C0198" w:rsidRPr="001C0198" w:rsidRDefault="001C0198" w:rsidP="001C0198">
      <w:pPr>
        <w:spacing w:after="160" w:line="259" w:lineRule="auto"/>
        <w:rPr>
          <w:rFonts w:eastAsia="Calibri"/>
          <w:kern w:val="2"/>
          <w:sz w:val="24"/>
          <w:szCs w:val="24"/>
          <w:lang w:eastAsia="en-US"/>
          <w14:ligatures w14:val="standardContextual"/>
        </w:rPr>
      </w:pPr>
      <w:r w:rsidRPr="001C0198">
        <w:rPr>
          <w:rFonts w:eastAsia="Calibri"/>
          <w:kern w:val="2"/>
          <w:sz w:val="24"/>
          <w:szCs w:val="24"/>
          <w:lang w:eastAsia="en-US"/>
          <w14:ligatures w14:val="standardContextual"/>
        </w:rPr>
        <w:t>The Kotter's Change Model is appropriate for JLR as the company faces challenges in transformation due to technological, organisational culture, employees' behaviour and leadership. The model allows us to assess whether the company has undertaken a systematic approach to strategic change or just some separate changes (Appelbaum et al., 2012).</w:t>
      </w:r>
    </w:p>
    <w:p w14:paraId="0E82FBF8" w14:textId="77777777" w:rsidR="001C0198" w:rsidRPr="00E33193" w:rsidRDefault="001C0198" w:rsidP="001C0198">
      <w:pPr>
        <w:spacing w:after="160" w:line="259" w:lineRule="auto"/>
        <w:rPr>
          <w:rFonts w:eastAsia="Calibri"/>
          <w:kern w:val="2"/>
          <w:sz w:val="24"/>
          <w:szCs w:val="24"/>
          <w:u w:val="single"/>
          <w:lang w:eastAsia="en-US"/>
          <w14:ligatures w14:val="standardContextual"/>
        </w:rPr>
      </w:pPr>
      <w:r w:rsidRPr="00E33193">
        <w:rPr>
          <w:rFonts w:eastAsia="Calibri"/>
          <w:kern w:val="2"/>
          <w:sz w:val="24"/>
          <w:szCs w:val="24"/>
          <w:u w:val="single"/>
          <w:lang w:eastAsia="en-US"/>
          <w14:ligatures w14:val="standardContextual"/>
        </w:rPr>
        <w:t>Creation of Urgency</w:t>
      </w:r>
    </w:p>
    <w:p w14:paraId="4216F8FC" w14:textId="77777777" w:rsidR="001C0198" w:rsidRPr="001C0198" w:rsidRDefault="001C0198" w:rsidP="001C0198">
      <w:pPr>
        <w:spacing w:after="160" w:line="259" w:lineRule="auto"/>
        <w:rPr>
          <w:rFonts w:eastAsia="Calibri"/>
          <w:kern w:val="2"/>
          <w:sz w:val="24"/>
          <w:szCs w:val="24"/>
          <w:lang w:eastAsia="en-US"/>
          <w14:ligatures w14:val="standardContextual"/>
        </w:rPr>
      </w:pPr>
      <w:r w:rsidRPr="001C0198">
        <w:rPr>
          <w:rFonts w:eastAsia="Calibri"/>
          <w:kern w:val="2"/>
          <w:sz w:val="24"/>
          <w:szCs w:val="24"/>
          <w:lang w:eastAsia="en-US"/>
          <w14:ligatures w14:val="standardContextual"/>
        </w:rPr>
        <w:t>It is possible to state that JLR had a high creation of urgency due to understanding of threats related to electrification, artificial intelligence, customers' expectations and new emissions standards. The launch of the Reimagine Strategy became the tool to communicate the necessity of organisational change before competitors would become more competitive in the market of premium electric cars (Burnes, 2020).</w:t>
      </w:r>
    </w:p>
    <w:p w14:paraId="60972C84" w14:textId="77777777" w:rsidR="001C0198" w:rsidRPr="00E33193" w:rsidRDefault="001C0198" w:rsidP="001C0198">
      <w:pPr>
        <w:spacing w:after="160" w:line="259" w:lineRule="auto"/>
        <w:rPr>
          <w:rFonts w:eastAsia="Calibri"/>
          <w:kern w:val="2"/>
          <w:sz w:val="24"/>
          <w:szCs w:val="24"/>
          <w:u w:val="single"/>
          <w:lang w:eastAsia="en-US"/>
          <w14:ligatures w14:val="standardContextual"/>
        </w:rPr>
      </w:pPr>
      <w:r w:rsidRPr="00E33193">
        <w:rPr>
          <w:rFonts w:eastAsia="Calibri"/>
          <w:kern w:val="2"/>
          <w:sz w:val="24"/>
          <w:szCs w:val="24"/>
          <w:u w:val="single"/>
          <w:lang w:eastAsia="en-US"/>
          <w14:ligatures w14:val="standardContextual"/>
        </w:rPr>
        <w:t>Building Commitment and Communicating Vision</w:t>
      </w:r>
    </w:p>
    <w:p w14:paraId="154FB874" w14:textId="77777777" w:rsidR="001C0198" w:rsidRPr="001C0198" w:rsidRDefault="001C0198" w:rsidP="001C0198">
      <w:pPr>
        <w:spacing w:after="160" w:line="259" w:lineRule="auto"/>
        <w:rPr>
          <w:rFonts w:eastAsia="Calibri"/>
          <w:kern w:val="2"/>
          <w:sz w:val="24"/>
          <w:szCs w:val="24"/>
          <w:lang w:eastAsia="en-US"/>
          <w14:ligatures w14:val="standardContextual"/>
        </w:rPr>
      </w:pPr>
      <w:r w:rsidRPr="001C0198">
        <w:rPr>
          <w:rFonts w:eastAsia="Calibri"/>
          <w:kern w:val="2"/>
          <w:sz w:val="24"/>
          <w:szCs w:val="24"/>
          <w:lang w:eastAsia="en-US"/>
          <w14:ligatures w14:val="standardContextual"/>
        </w:rPr>
        <w:lastRenderedPageBreak/>
        <w:t>The organisational commitment of JLR became higher thanks to formation of a strategic vision related to modern luxury, sustainability and digitalisation. It is possible to say that the vision of the organisation was supported by senior leadership in the frame of the Reimagine Strategy, long-term investments and strategic partnerships aimed at electrification and software-defined cars (Kotter, 1996).</w:t>
      </w:r>
    </w:p>
    <w:p w14:paraId="4CD8BE77" w14:textId="77777777" w:rsidR="001C0198" w:rsidRPr="00E33193" w:rsidRDefault="001C0198" w:rsidP="001C0198">
      <w:pPr>
        <w:spacing w:after="160" w:line="259" w:lineRule="auto"/>
        <w:rPr>
          <w:rFonts w:eastAsia="Calibri"/>
          <w:kern w:val="2"/>
          <w:sz w:val="24"/>
          <w:szCs w:val="24"/>
          <w:u w:val="single"/>
          <w:lang w:eastAsia="en-US"/>
          <w14:ligatures w14:val="standardContextual"/>
        </w:rPr>
      </w:pPr>
      <w:r w:rsidRPr="00E33193">
        <w:rPr>
          <w:rFonts w:eastAsia="Calibri"/>
          <w:kern w:val="2"/>
          <w:sz w:val="24"/>
          <w:szCs w:val="24"/>
          <w:u w:val="single"/>
          <w:lang w:eastAsia="en-US"/>
          <w14:ligatures w14:val="standardContextual"/>
        </w:rPr>
        <w:t>Empowerment of Employees and Generation of Short-Term Wins</w:t>
      </w:r>
    </w:p>
    <w:p w14:paraId="1E0457D6" w14:textId="77777777" w:rsidR="001C0198" w:rsidRPr="001C0198" w:rsidRDefault="001C0198" w:rsidP="001C0198">
      <w:pPr>
        <w:spacing w:after="160" w:line="259" w:lineRule="auto"/>
        <w:rPr>
          <w:rFonts w:eastAsia="Calibri"/>
          <w:kern w:val="2"/>
          <w:sz w:val="24"/>
          <w:szCs w:val="24"/>
          <w:lang w:eastAsia="en-US"/>
          <w14:ligatures w14:val="standardContextual"/>
        </w:rPr>
      </w:pPr>
      <w:r w:rsidRPr="001C0198">
        <w:rPr>
          <w:rFonts w:eastAsia="Calibri"/>
          <w:kern w:val="2"/>
          <w:sz w:val="24"/>
          <w:szCs w:val="24"/>
          <w:lang w:eastAsia="en-US"/>
          <w14:ligatures w14:val="standardContextual"/>
        </w:rPr>
        <w:t>Thanks to investments into manufacturing technologies and employees' development, JLR allowed employees to adapt to new approaches to manufacturing. Record profitability and positive cash flow in 2024/25 showed that the organisation achieved tangible results and the strategy started bringing tangible benefits to the company. The results confirmed success of the change programme (Hiatt, 2006).</w:t>
      </w:r>
    </w:p>
    <w:p w14:paraId="50DAB7C1" w14:textId="77777777" w:rsidR="001C0198" w:rsidRPr="001C0198" w:rsidRDefault="001C0198" w:rsidP="001C0198">
      <w:pPr>
        <w:spacing w:after="160" w:line="259" w:lineRule="auto"/>
        <w:rPr>
          <w:rFonts w:eastAsia="Calibri"/>
          <w:kern w:val="2"/>
          <w:sz w:val="24"/>
          <w:szCs w:val="24"/>
          <w:lang w:eastAsia="en-US"/>
          <w14:ligatures w14:val="standardContextual"/>
        </w:rPr>
      </w:pPr>
      <w:r w:rsidRPr="001C0198">
        <w:rPr>
          <w:rFonts w:eastAsia="Calibri"/>
          <w:kern w:val="2"/>
          <w:sz w:val="24"/>
          <w:szCs w:val="24"/>
          <w:lang w:eastAsia="en-US"/>
          <w14:ligatures w14:val="standardContextual"/>
        </w:rPr>
        <w:t>Embedding Change</w:t>
      </w:r>
    </w:p>
    <w:p w14:paraId="1EA1DB7C" w14:textId="3E80CB64" w:rsidR="00091DA7" w:rsidRDefault="000E6116" w:rsidP="001C0198">
      <w:pPr>
        <w:spacing w:after="160" w:line="259" w:lineRule="auto"/>
        <w:rPr>
          <w:rFonts w:eastAsia="Calibri"/>
          <w:kern w:val="2"/>
          <w:sz w:val="24"/>
          <w:szCs w:val="24"/>
          <w:lang w:eastAsia="en-US"/>
          <w14:ligatures w14:val="standardContextual"/>
        </w:rPr>
      </w:pPr>
      <w:r>
        <w:rPr>
          <w:rFonts w:eastAsia="Calibri"/>
          <w:kern w:val="2"/>
          <w:sz w:val="24"/>
          <w:szCs w:val="24"/>
          <w:lang w:eastAsia="en-US"/>
          <w14:ligatures w14:val="standardContextual"/>
        </w:rPr>
        <w:t xml:space="preserve">JLR </w:t>
      </w:r>
      <w:r w:rsidR="001C0198" w:rsidRPr="001C0198">
        <w:rPr>
          <w:rFonts w:eastAsia="Calibri"/>
          <w:kern w:val="2"/>
          <w:sz w:val="24"/>
          <w:szCs w:val="24"/>
          <w:lang w:eastAsia="en-US"/>
          <w14:ligatures w14:val="standardContextual"/>
        </w:rPr>
        <w:t xml:space="preserve">managed to embed most aspects of change through continuing investment into electrification, artificial intelligence and digital manufacturing. However, </w:t>
      </w:r>
      <w:r w:rsidR="0063568D">
        <w:rPr>
          <w:rFonts w:eastAsia="Calibri"/>
          <w:kern w:val="2"/>
          <w:sz w:val="24"/>
          <w:szCs w:val="24"/>
          <w:lang w:eastAsia="en-US"/>
          <w14:ligatures w14:val="standardContextual"/>
        </w:rPr>
        <w:t xml:space="preserve">they didn`t </w:t>
      </w:r>
      <w:r w:rsidR="001C0198" w:rsidRPr="001C0198">
        <w:rPr>
          <w:rFonts w:eastAsia="Calibri"/>
          <w:kern w:val="2"/>
          <w:sz w:val="24"/>
          <w:szCs w:val="24"/>
          <w:lang w:eastAsia="en-US"/>
          <w14:ligatures w14:val="standardContextual"/>
        </w:rPr>
        <w:t>complete the last step of change as the company continues its transition into fully electric cars and software-defined mobility. Continuous technological disruptions require continuous adaptation of the organisation to the external environment (By, 2005).</w:t>
      </w:r>
      <w:r w:rsidR="00187791" w:rsidRPr="00187791">
        <w:rPr>
          <w:rFonts w:eastAsia="Calibri"/>
          <w:kern w:val="2"/>
          <w:sz w:val="24"/>
          <w:szCs w:val="24"/>
          <w:lang w:eastAsia="en-US"/>
          <w14:ligatures w14:val="standardContextual"/>
        </w:rPr>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48"/>
        <w:gridCol w:w="4212"/>
        <w:gridCol w:w="2356"/>
      </w:tblGrid>
      <w:tr w:rsidR="00091DA7" w:rsidRPr="00091DA7" w14:paraId="61E670AA" w14:textId="77777777" w:rsidTr="00091DA7">
        <w:trPr>
          <w:tblHeader/>
          <w:tblCellSpacing w:w="15" w:type="dxa"/>
        </w:trPr>
        <w:tc>
          <w:tcPr>
            <w:tcW w:w="0" w:type="auto"/>
            <w:vAlign w:val="center"/>
            <w:hideMark/>
          </w:tcPr>
          <w:p w14:paraId="426DE90E" w14:textId="77777777" w:rsidR="00091DA7" w:rsidRPr="00091DA7" w:rsidRDefault="00091DA7" w:rsidP="00091DA7">
            <w:pPr>
              <w:spacing w:after="160" w:line="259" w:lineRule="auto"/>
              <w:rPr>
                <w:rFonts w:eastAsia="Calibri"/>
                <w:b/>
                <w:bCs/>
                <w:kern w:val="2"/>
                <w:sz w:val="24"/>
                <w:szCs w:val="24"/>
                <w:lang w:eastAsia="en-US"/>
                <w14:ligatures w14:val="standardContextual"/>
              </w:rPr>
            </w:pPr>
            <w:r w:rsidRPr="00091DA7">
              <w:rPr>
                <w:rFonts w:eastAsia="Calibri"/>
                <w:b/>
                <w:bCs/>
                <w:kern w:val="2"/>
                <w:sz w:val="24"/>
                <w:szCs w:val="24"/>
                <w:lang w:eastAsia="en-US"/>
                <w14:ligatures w14:val="standardContextual"/>
              </w:rPr>
              <w:t>Kotter Stage</w:t>
            </w:r>
          </w:p>
        </w:tc>
        <w:tc>
          <w:tcPr>
            <w:tcW w:w="0" w:type="auto"/>
            <w:vAlign w:val="center"/>
            <w:hideMark/>
          </w:tcPr>
          <w:p w14:paraId="0D92A318" w14:textId="77777777" w:rsidR="00091DA7" w:rsidRPr="00091DA7" w:rsidRDefault="00091DA7" w:rsidP="00091DA7">
            <w:pPr>
              <w:spacing w:after="160" w:line="259" w:lineRule="auto"/>
              <w:rPr>
                <w:rFonts w:eastAsia="Calibri"/>
                <w:b/>
                <w:bCs/>
                <w:kern w:val="2"/>
                <w:sz w:val="24"/>
                <w:szCs w:val="24"/>
                <w:lang w:eastAsia="en-US"/>
                <w14:ligatures w14:val="standardContextual"/>
              </w:rPr>
            </w:pPr>
            <w:r w:rsidRPr="00091DA7">
              <w:rPr>
                <w:rFonts w:eastAsia="Calibri"/>
                <w:b/>
                <w:bCs/>
                <w:kern w:val="2"/>
                <w:sz w:val="24"/>
                <w:szCs w:val="24"/>
                <w:lang w:eastAsia="en-US"/>
                <w14:ligatures w14:val="standardContextual"/>
              </w:rPr>
              <w:t>Evidence from JLR</w:t>
            </w:r>
          </w:p>
        </w:tc>
        <w:tc>
          <w:tcPr>
            <w:tcW w:w="0" w:type="auto"/>
            <w:vAlign w:val="center"/>
            <w:hideMark/>
          </w:tcPr>
          <w:p w14:paraId="4D877D80" w14:textId="77777777" w:rsidR="00091DA7" w:rsidRPr="00091DA7" w:rsidRDefault="00091DA7" w:rsidP="00091DA7">
            <w:pPr>
              <w:spacing w:after="160" w:line="259" w:lineRule="auto"/>
              <w:rPr>
                <w:rFonts w:eastAsia="Calibri"/>
                <w:b/>
                <w:bCs/>
                <w:kern w:val="2"/>
                <w:sz w:val="24"/>
                <w:szCs w:val="24"/>
                <w:lang w:eastAsia="en-US"/>
                <w14:ligatures w14:val="standardContextual"/>
              </w:rPr>
            </w:pPr>
            <w:r w:rsidRPr="00091DA7">
              <w:rPr>
                <w:rFonts w:eastAsia="Calibri"/>
                <w:b/>
                <w:bCs/>
                <w:kern w:val="2"/>
                <w:sz w:val="24"/>
                <w:szCs w:val="24"/>
                <w:lang w:eastAsia="en-US"/>
                <w14:ligatures w14:val="standardContextual"/>
              </w:rPr>
              <w:t>Evaluation</w:t>
            </w:r>
          </w:p>
        </w:tc>
      </w:tr>
      <w:tr w:rsidR="00091DA7" w:rsidRPr="00091DA7" w14:paraId="07C94568" w14:textId="77777777" w:rsidTr="00091DA7">
        <w:trPr>
          <w:tblCellSpacing w:w="15" w:type="dxa"/>
        </w:trPr>
        <w:tc>
          <w:tcPr>
            <w:tcW w:w="0" w:type="auto"/>
            <w:vAlign w:val="center"/>
            <w:hideMark/>
          </w:tcPr>
          <w:p w14:paraId="607D0971"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Creating urgency</w:t>
            </w:r>
          </w:p>
        </w:tc>
        <w:tc>
          <w:tcPr>
            <w:tcW w:w="0" w:type="auto"/>
            <w:vAlign w:val="center"/>
            <w:hideMark/>
          </w:tcPr>
          <w:p w14:paraId="37E00C2B"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Reimagine Strategy and industry disruption</w:t>
            </w:r>
          </w:p>
        </w:tc>
        <w:tc>
          <w:tcPr>
            <w:tcW w:w="0" w:type="auto"/>
            <w:vAlign w:val="center"/>
            <w:hideMark/>
          </w:tcPr>
          <w:p w14:paraId="293F987A"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Successfully achieved</w:t>
            </w:r>
          </w:p>
        </w:tc>
      </w:tr>
      <w:tr w:rsidR="00091DA7" w:rsidRPr="00091DA7" w14:paraId="04945FF6" w14:textId="77777777" w:rsidTr="00091DA7">
        <w:trPr>
          <w:tblCellSpacing w:w="15" w:type="dxa"/>
        </w:trPr>
        <w:tc>
          <w:tcPr>
            <w:tcW w:w="0" w:type="auto"/>
            <w:vAlign w:val="center"/>
            <w:hideMark/>
          </w:tcPr>
          <w:p w14:paraId="4F786C64"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Building commitment</w:t>
            </w:r>
          </w:p>
        </w:tc>
        <w:tc>
          <w:tcPr>
            <w:tcW w:w="0" w:type="auto"/>
            <w:vAlign w:val="center"/>
            <w:hideMark/>
          </w:tcPr>
          <w:p w14:paraId="59E3085A"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Leadership support and strategic investment</w:t>
            </w:r>
          </w:p>
        </w:tc>
        <w:tc>
          <w:tcPr>
            <w:tcW w:w="0" w:type="auto"/>
            <w:vAlign w:val="center"/>
            <w:hideMark/>
          </w:tcPr>
          <w:p w14:paraId="75C43E3B"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Strong commitment</w:t>
            </w:r>
          </w:p>
        </w:tc>
      </w:tr>
      <w:tr w:rsidR="00091DA7" w:rsidRPr="00091DA7" w14:paraId="31140A9E" w14:textId="77777777" w:rsidTr="00091DA7">
        <w:trPr>
          <w:tblCellSpacing w:w="15" w:type="dxa"/>
        </w:trPr>
        <w:tc>
          <w:tcPr>
            <w:tcW w:w="0" w:type="auto"/>
            <w:vAlign w:val="center"/>
            <w:hideMark/>
          </w:tcPr>
          <w:p w14:paraId="4B322407"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Communicating the vision</w:t>
            </w:r>
          </w:p>
        </w:tc>
        <w:tc>
          <w:tcPr>
            <w:tcW w:w="0" w:type="auto"/>
            <w:vAlign w:val="center"/>
            <w:hideMark/>
          </w:tcPr>
          <w:p w14:paraId="5D9CFB34"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Modern luxury and sustainability strategy</w:t>
            </w:r>
          </w:p>
        </w:tc>
        <w:tc>
          <w:tcPr>
            <w:tcW w:w="0" w:type="auto"/>
            <w:vAlign w:val="center"/>
            <w:hideMark/>
          </w:tcPr>
          <w:p w14:paraId="6A5DF1D9"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Clearly communicated</w:t>
            </w:r>
          </w:p>
        </w:tc>
      </w:tr>
      <w:tr w:rsidR="00091DA7" w:rsidRPr="00091DA7" w14:paraId="52655D84" w14:textId="77777777" w:rsidTr="00091DA7">
        <w:trPr>
          <w:tblCellSpacing w:w="15" w:type="dxa"/>
        </w:trPr>
        <w:tc>
          <w:tcPr>
            <w:tcW w:w="0" w:type="auto"/>
            <w:vAlign w:val="center"/>
            <w:hideMark/>
          </w:tcPr>
          <w:p w14:paraId="68E821BE"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Empowering employees</w:t>
            </w:r>
          </w:p>
        </w:tc>
        <w:tc>
          <w:tcPr>
            <w:tcW w:w="0" w:type="auto"/>
            <w:vAlign w:val="center"/>
            <w:hideMark/>
          </w:tcPr>
          <w:p w14:paraId="2C6367C4"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Digital technologies and workforce development</w:t>
            </w:r>
          </w:p>
        </w:tc>
        <w:tc>
          <w:tcPr>
            <w:tcW w:w="0" w:type="auto"/>
            <w:vAlign w:val="center"/>
            <w:hideMark/>
          </w:tcPr>
          <w:p w14:paraId="7C9099B3"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Effective implementation</w:t>
            </w:r>
          </w:p>
        </w:tc>
      </w:tr>
      <w:tr w:rsidR="00091DA7" w:rsidRPr="00091DA7" w14:paraId="2B15D61A" w14:textId="77777777" w:rsidTr="00091DA7">
        <w:trPr>
          <w:tblCellSpacing w:w="15" w:type="dxa"/>
        </w:trPr>
        <w:tc>
          <w:tcPr>
            <w:tcW w:w="0" w:type="auto"/>
            <w:vAlign w:val="center"/>
            <w:hideMark/>
          </w:tcPr>
          <w:p w14:paraId="15C1639A"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Short-term wins</w:t>
            </w:r>
          </w:p>
        </w:tc>
        <w:tc>
          <w:tcPr>
            <w:tcW w:w="0" w:type="auto"/>
            <w:vAlign w:val="center"/>
            <w:hideMark/>
          </w:tcPr>
          <w:p w14:paraId="3716CBD6"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Record profitability and cash generation</w:t>
            </w:r>
          </w:p>
        </w:tc>
        <w:tc>
          <w:tcPr>
            <w:tcW w:w="0" w:type="auto"/>
            <w:vAlign w:val="center"/>
            <w:hideMark/>
          </w:tcPr>
          <w:p w14:paraId="00968FC3"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Successfully achieved</w:t>
            </w:r>
          </w:p>
        </w:tc>
      </w:tr>
      <w:tr w:rsidR="00091DA7" w:rsidRPr="00091DA7" w14:paraId="349BAA98" w14:textId="77777777" w:rsidTr="00091DA7">
        <w:trPr>
          <w:tblCellSpacing w:w="15" w:type="dxa"/>
        </w:trPr>
        <w:tc>
          <w:tcPr>
            <w:tcW w:w="0" w:type="auto"/>
            <w:vAlign w:val="center"/>
            <w:hideMark/>
          </w:tcPr>
          <w:p w14:paraId="7FC36801"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Embedding change</w:t>
            </w:r>
          </w:p>
        </w:tc>
        <w:tc>
          <w:tcPr>
            <w:tcW w:w="0" w:type="auto"/>
            <w:vAlign w:val="center"/>
            <w:hideMark/>
          </w:tcPr>
          <w:p w14:paraId="0679DB6D"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Ongoing electrification and digital transformation</w:t>
            </w:r>
          </w:p>
        </w:tc>
        <w:tc>
          <w:tcPr>
            <w:tcW w:w="0" w:type="auto"/>
            <w:vAlign w:val="center"/>
            <w:hideMark/>
          </w:tcPr>
          <w:p w14:paraId="0BE3936E" w14:textId="77777777" w:rsidR="00091DA7" w:rsidRPr="00091DA7" w:rsidRDefault="00091DA7" w:rsidP="00091DA7">
            <w:pPr>
              <w:spacing w:after="160" w:line="259" w:lineRule="auto"/>
              <w:rPr>
                <w:rFonts w:eastAsia="Calibri"/>
                <w:kern w:val="2"/>
                <w:sz w:val="24"/>
                <w:szCs w:val="24"/>
                <w:lang w:eastAsia="en-US"/>
                <w14:ligatures w14:val="standardContextual"/>
              </w:rPr>
            </w:pPr>
            <w:r w:rsidRPr="00091DA7">
              <w:rPr>
                <w:rFonts w:eastAsia="Calibri"/>
                <w:kern w:val="2"/>
                <w:sz w:val="24"/>
                <w:szCs w:val="24"/>
                <w:lang w:eastAsia="en-US"/>
                <w14:ligatures w14:val="standardContextual"/>
              </w:rPr>
              <w:t>Partially achieved</w:t>
            </w:r>
          </w:p>
        </w:tc>
      </w:tr>
    </w:tbl>
    <w:p w14:paraId="3AA356C4" w14:textId="5630C270" w:rsidR="00091DA7" w:rsidRDefault="00091DA7" w:rsidP="00091DA7">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Table 5: Kotter’s 8 step change model applied to JLR</w:t>
      </w:r>
    </w:p>
    <w:p w14:paraId="472AD96B" w14:textId="3BCDBCA3" w:rsidR="00091DA7" w:rsidRDefault="00091DA7" w:rsidP="00091DA7">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p>
    <w:p w14:paraId="22917AD7" w14:textId="274473BF" w:rsidR="00187791" w:rsidRPr="00187791" w:rsidRDefault="00187791" w:rsidP="00330683">
      <w:pPr>
        <w:pStyle w:val="Heading2"/>
        <w:rPr>
          <w:rFonts w:eastAsia="Calibri"/>
          <w:lang w:eastAsia="en-US"/>
        </w:rPr>
      </w:pPr>
      <w:bookmarkStart w:id="19" w:name="_Toc235093258"/>
      <w:r w:rsidRPr="00187791">
        <w:rPr>
          <w:rFonts w:eastAsia="Calibri"/>
          <w:lang w:eastAsia="en-US"/>
        </w:rPr>
        <w:t>4.4 Evaluation of the Change Process</w:t>
      </w:r>
      <w:bookmarkEnd w:id="19"/>
    </w:p>
    <w:p w14:paraId="043EDE1C" w14:textId="16662A78" w:rsidR="00AF5313" w:rsidRPr="00AF5313" w:rsidRDefault="00AF5313" w:rsidP="00AF5313">
      <w:pPr>
        <w:spacing w:after="160" w:line="259" w:lineRule="auto"/>
        <w:rPr>
          <w:rFonts w:eastAsia="Calibri"/>
          <w:kern w:val="2"/>
          <w:sz w:val="24"/>
          <w:szCs w:val="24"/>
          <w:lang w:eastAsia="en-US"/>
          <w14:ligatures w14:val="standardContextual"/>
        </w:rPr>
      </w:pPr>
      <w:r w:rsidRPr="00AF5313">
        <w:rPr>
          <w:rFonts w:eastAsia="Calibri"/>
          <w:kern w:val="2"/>
          <w:sz w:val="24"/>
          <w:szCs w:val="24"/>
          <w:lang w:eastAsia="en-US"/>
          <w14:ligatures w14:val="standardContextual"/>
        </w:rPr>
        <w:t xml:space="preserve">Both the models of Lewin and Kotter can explain the strategic transformation of </w:t>
      </w:r>
      <w:r w:rsidR="009B1B26">
        <w:rPr>
          <w:rFonts w:eastAsia="Calibri"/>
          <w:kern w:val="2"/>
          <w:sz w:val="24"/>
          <w:szCs w:val="24"/>
          <w:lang w:eastAsia="en-US"/>
          <w14:ligatures w14:val="standardContextual"/>
        </w:rPr>
        <w:t>JLR</w:t>
      </w:r>
      <w:r w:rsidRPr="00AF5313">
        <w:rPr>
          <w:rFonts w:eastAsia="Calibri"/>
          <w:kern w:val="2"/>
          <w:sz w:val="24"/>
          <w:szCs w:val="24"/>
          <w:lang w:eastAsia="en-US"/>
          <w14:ligatures w14:val="standardContextual"/>
        </w:rPr>
        <w:t xml:space="preserve">(JLR), even though the level of effectiveness varies between them. The model of Lewin is straightforward and easy to understand, which makes it a useful tool to explain how JLR realised the necessity for a strategic transformation, how it was carried out through the </w:t>
      </w:r>
      <w:r w:rsidRPr="00AF5313">
        <w:rPr>
          <w:rFonts w:eastAsia="Calibri"/>
          <w:kern w:val="2"/>
          <w:sz w:val="24"/>
          <w:szCs w:val="24"/>
          <w:lang w:eastAsia="en-US"/>
          <w14:ligatures w14:val="standardContextual"/>
        </w:rPr>
        <w:lastRenderedPageBreak/>
        <w:t>Reimagine Strategy, and how new technologies were implemented. However, the main drawback of Lewin's model is that it supposes that change should end with the final refreeze stage. That is not true for the case of JLR since it continues its efforts towards electrification, artificial intelligence and digitalisation due to changing market conditions.</w:t>
      </w:r>
    </w:p>
    <w:p w14:paraId="2FA5746A" w14:textId="7680347D" w:rsidR="00E0483A" w:rsidRPr="00B8537A" w:rsidRDefault="00AF5313" w:rsidP="00AF5313">
      <w:pPr>
        <w:spacing w:after="160" w:line="259" w:lineRule="auto"/>
        <w:rPr>
          <w:rFonts w:eastAsia="Calibri"/>
          <w:kern w:val="2"/>
          <w:sz w:val="24"/>
          <w:szCs w:val="24"/>
          <w:lang w:eastAsia="en-US"/>
          <w14:ligatures w14:val="standardContextual"/>
        </w:rPr>
      </w:pPr>
      <w:r w:rsidRPr="00AF5313">
        <w:rPr>
          <w:rFonts w:eastAsia="Calibri"/>
          <w:kern w:val="2"/>
          <w:sz w:val="24"/>
          <w:szCs w:val="24"/>
          <w:lang w:eastAsia="en-US"/>
          <w14:ligatures w14:val="standardContextual"/>
        </w:rPr>
        <w:t xml:space="preserve">The model of Kotter can provide a more complete explanation </w:t>
      </w:r>
      <w:r w:rsidR="002F39A4" w:rsidRPr="00AF5313">
        <w:rPr>
          <w:rFonts w:eastAsia="Calibri"/>
          <w:kern w:val="2"/>
          <w:sz w:val="24"/>
          <w:szCs w:val="24"/>
          <w:lang w:eastAsia="en-US"/>
          <w14:ligatures w14:val="standardContextual"/>
        </w:rPr>
        <w:t>since</w:t>
      </w:r>
      <w:r w:rsidRPr="00AF5313">
        <w:rPr>
          <w:rFonts w:eastAsia="Calibri"/>
          <w:kern w:val="2"/>
          <w:sz w:val="24"/>
          <w:szCs w:val="24"/>
          <w:lang w:eastAsia="en-US"/>
          <w14:ligatures w14:val="standardContextual"/>
        </w:rPr>
        <w:t xml:space="preserve"> it stresses the importance of leadership, communication, and engagement of employees in the process of change. All these factors are very relevant to the process of transformation of JLR and, specifically, to the communication of the Reimagine Strategy and the investment in digital technologies. However, the step-by-step approach of Kotter seems to be too simplified because some initiatives were carried out simultaneously.</w:t>
      </w:r>
    </w:p>
    <w:p w14:paraId="0429BAC2" w14:textId="77777777" w:rsidR="00330683" w:rsidRDefault="00702481" w:rsidP="00330683">
      <w:pPr>
        <w:pStyle w:val="Heading1"/>
        <w:rPr>
          <w:rFonts w:eastAsia="Calibri"/>
          <w:lang w:eastAsia="en-US"/>
        </w:rPr>
      </w:pPr>
      <w:bookmarkStart w:id="20" w:name="_Toc235093259"/>
      <w:r w:rsidRPr="00702481">
        <w:rPr>
          <w:rFonts w:eastAsia="Calibri"/>
          <w:lang w:eastAsia="en-US"/>
        </w:rPr>
        <w:t>5. Leadership and Organisational Culture</w:t>
      </w:r>
      <w:bookmarkEnd w:id="20"/>
      <w:r w:rsidRPr="00702481">
        <w:rPr>
          <w:rFonts w:eastAsia="Calibri"/>
          <w:lang w:eastAsia="en-US"/>
        </w:rPr>
        <w:br/>
      </w:r>
    </w:p>
    <w:p w14:paraId="72ADFD99" w14:textId="55B7B864" w:rsidR="00702481" w:rsidRDefault="00702481" w:rsidP="00330683">
      <w:pPr>
        <w:pStyle w:val="Heading2"/>
        <w:rPr>
          <w:rFonts w:eastAsia="Calibri"/>
          <w:lang w:eastAsia="en-US"/>
        </w:rPr>
      </w:pPr>
      <w:bookmarkStart w:id="21" w:name="_Toc235093260"/>
      <w:r w:rsidRPr="00702481">
        <w:rPr>
          <w:rFonts w:eastAsia="Calibri"/>
          <w:lang w:eastAsia="en-US"/>
        </w:rPr>
        <w:t>5.1 Leadership Style</w:t>
      </w:r>
      <w:bookmarkEnd w:id="21"/>
    </w:p>
    <w:p w14:paraId="246D7BB1" w14:textId="77777777" w:rsidR="00F26FEA" w:rsidRPr="00F26FEA" w:rsidRDefault="00F26FEA" w:rsidP="00F26FEA">
      <w:pPr>
        <w:spacing w:after="160" w:line="259" w:lineRule="auto"/>
        <w:rPr>
          <w:rFonts w:eastAsia="Calibri"/>
          <w:kern w:val="2"/>
          <w:sz w:val="24"/>
          <w:szCs w:val="24"/>
          <w:lang w:eastAsia="en-US"/>
          <w14:ligatures w14:val="standardContextual"/>
        </w:rPr>
      </w:pPr>
      <w:r w:rsidRPr="00F26FEA">
        <w:rPr>
          <w:rFonts w:eastAsia="Calibri"/>
          <w:kern w:val="2"/>
          <w:sz w:val="24"/>
          <w:szCs w:val="24"/>
          <w:lang w:eastAsia="en-US"/>
          <w14:ligatures w14:val="standardContextual"/>
        </w:rPr>
        <w:t>The Transformational Leadership Theory is a form of leadership style in which motivation of the workforce is achieved through shared visions, creation of innovation and inspiring commitment to change within an organization rather than authority (Bass, 1985).</w:t>
      </w:r>
    </w:p>
    <w:p w14:paraId="0267B522" w14:textId="5B7F3BAF" w:rsidR="00F26FEA" w:rsidRPr="00F26FEA" w:rsidRDefault="00F26FEA" w:rsidP="00F26FEA">
      <w:pPr>
        <w:spacing w:after="160" w:line="259" w:lineRule="auto"/>
        <w:rPr>
          <w:rFonts w:eastAsia="Calibri"/>
          <w:kern w:val="2"/>
          <w:sz w:val="24"/>
          <w:szCs w:val="24"/>
          <w:lang w:eastAsia="en-US"/>
          <w14:ligatures w14:val="standardContextual"/>
        </w:rPr>
      </w:pPr>
      <w:r w:rsidRPr="00F26FEA">
        <w:rPr>
          <w:rFonts w:eastAsia="Calibri"/>
          <w:kern w:val="2"/>
          <w:sz w:val="24"/>
          <w:szCs w:val="24"/>
          <w:lang w:eastAsia="en-US"/>
          <w14:ligatures w14:val="standardContextual"/>
        </w:rPr>
        <w:t xml:space="preserve">Transformational leadership is the most appropriate theory for </w:t>
      </w:r>
      <w:r w:rsidR="009B1B26">
        <w:rPr>
          <w:rFonts w:eastAsia="Calibri"/>
          <w:kern w:val="2"/>
          <w:sz w:val="24"/>
          <w:szCs w:val="24"/>
          <w:lang w:eastAsia="en-US"/>
          <w14:ligatures w14:val="standardContextual"/>
        </w:rPr>
        <w:t>JLR</w:t>
      </w:r>
      <w:r w:rsidRPr="00F26FEA">
        <w:rPr>
          <w:rFonts w:eastAsia="Calibri"/>
          <w:kern w:val="2"/>
          <w:sz w:val="24"/>
          <w:szCs w:val="24"/>
          <w:lang w:eastAsia="en-US"/>
          <w14:ligatures w14:val="standardContextual"/>
        </w:rPr>
        <w:t xml:space="preserve">(JLR) since the organization needed to make changes in terms of cultural values, capability and strategy when undergoing changes </w:t>
      </w:r>
      <w:proofErr w:type="gramStart"/>
      <w:r w:rsidRPr="00F26FEA">
        <w:rPr>
          <w:rFonts w:eastAsia="Calibri"/>
          <w:kern w:val="2"/>
          <w:sz w:val="24"/>
          <w:szCs w:val="24"/>
          <w:lang w:eastAsia="en-US"/>
          <w14:ligatures w14:val="standardContextual"/>
        </w:rPr>
        <w:t>in regard to</w:t>
      </w:r>
      <w:proofErr w:type="gramEnd"/>
      <w:r w:rsidRPr="00F26FEA">
        <w:rPr>
          <w:rFonts w:eastAsia="Calibri"/>
          <w:kern w:val="2"/>
          <w:sz w:val="24"/>
          <w:szCs w:val="24"/>
          <w:lang w:eastAsia="en-US"/>
          <w14:ligatures w14:val="standardContextual"/>
        </w:rPr>
        <w:t xml:space="preserve"> electrification, digitalization and sustainable mobility. The senior leadership needed to inspire the employees to adopt innovation while retaining the premium brand status of the organization (Northouse, </w:t>
      </w:r>
      <w:r w:rsidR="00F10FC5">
        <w:rPr>
          <w:rFonts w:eastAsia="Calibri"/>
          <w:kern w:val="2"/>
          <w:sz w:val="24"/>
          <w:szCs w:val="24"/>
          <w:lang w:eastAsia="en-US"/>
          <w14:ligatures w14:val="standardContextual"/>
        </w:rPr>
        <w:t>2025</w:t>
      </w:r>
      <w:r w:rsidRPr="00F26FEA">
        <w:rPr>
          <w:rFonts w:eastAsia="Calibri"/>
          <w:kern w:val="2"/>
          <w:sz w:val="24"/>
          <w:szCs w:val="24"/>
          <w:lang w:eastAsia="en-US"/>
          <w14:ligatures w14:val="standardContextual"/>
        </w:rPr>
        <w:t>).</w:t>
      </w:r>
    </w:p>
    <w:p w14:paraId="621121FC" w14:textId="77777777" w:rsidR="007A7696" w:rsidRDefault="00F26FEA" w:rsidP="00F26FEA">
      <w:pPr>
        <w:spacing w:after="160" w:line="259" w:lineRule="auto"/>
        <w:rPr>
          <w:rFonts w:eastAsia="Calibri"/>
          <w:kern w:val="2"/>
          <w:sz w:val="24"/>
          <w:szCs w:val="24"/>
          <w:lang w:eastAsia="en-US"/>
          <w14:ligatures w14:val="standardContextual"/>
        </w:rPr>
      </w:pPr>
      <w:r w:rsidRPr="00F26FEA">
        <w:rPr>
          <w:rFonts w:eastAsia="Calibri"/>
          <w:kern w:val="2"/>
          <w:sz w:val="24"/>
          <w:szCs w:val="24"/>
          <w:lang w:eastAsia="en-US"/>
          <w14:ligatures w14:val="standardContextual"/>
        </w:rPr>
        <w:t>JLR's transformation process exhibits characteristics of transformational leadership through the introduction of Reimagine Strategy. In this case, the leaders in the organization created long-term visions around modern luxury, net zero emissions and software defined vehicles through investments of £15 billion towards electrification, artificial intelligence and advanced manufacturing. Such a strategic direction inspires innovation and employee commitment in line with the organizational objectives and changes in the external environment. While transformational leadership has effectively been applied in JLR's strategy transformation, the sustainability of the leadership in future will depend on engaging employees and developing digital capabilities (Bass and Riggio, 2006).</w:t>
      </w:r>
      <w:r w:rsidR="00702481" w:rsidRPr="00702481">
        <w:rPr>
          <w:rFonts w:eastAsia="Calibri"/>
          <w:kern w:val="2"/>
          <w:sz w:val="24"/>
          <w:szCs w:val="24"/>
          <w:lang w:eastAsia="en-US"/>
          <w14:ligatures w14:val="standardContextual"/>
        </w:rPr>
        <w:br/>
      </w:r>
    </w:p>
    <w:p w14:paraId="0E99959E" w14:textId="350D80C0" w:rsidR="007A7696" w:rsidRDefault="00702481" w:rsidP="00330683">
      <w:pPr>
        <w:pStyle w:val="Heading2"/>
        <w:rPr>
          <w:rFonts w:eastAsia="Calibri"/>
          <w:lang w:eastAsia="en-US"/>
        </w:rPr>
      </w:pPr>
      <w:bookmarkStart w:id="22" w:name="_Toc235093261"/>
      <w:r w:rsidRPr="00702481">
        <w:rPr>
          <w:rFonts w:eastAsia="Calibri"/>
          <w:lang w:eastAsia="en-US"/>
        </w:rPr>
        <w:t>5.2 Leadership's Role in Managing Change</w:t>
      </w:r>
      <w:bookmarkEnd w:id="22"/>
    </w:p>
    <w:p w14:paraId="52DD6A5D" w14:textId="77777777" w:rsidR="00E86D58" w:rsidRPr="00E86D58" w:rsidRDefault="00E86D58" w:rsidP="00E86D58">
      <w:pPr>
        <w:spacing w:after="160" w:line="259" w:lineRule="auto"/>
        <w:rPr>
          <w:rFonts w:eastAsia="Calibri"/>
          <w:kern w:val="2"/>
          <w:sz w:val="24"/>
          <w:szCs w:val="24"/>
          <w:lang w:eastAsia="en-US"/>
          <w14:ligatures w14:val="standardContextual"/>
        </w:rPr>
      </w:pPr>
      <w:r w:rsidRPr="00E86D58">
        <w:rPr>
          <w:rFonts w:eastAsia="Calibri"/>
          <w:kern w:val="2"/>
          <w:sz w:val="24"/>
          <w:szCs w:val="24"/>
          <w:lang w:eastAsia="en-US"/>
          <w14:ligatures w14:val="standardContextual"/>
        </w:rPr>
        <w:t>The effectiveness of the leadership was evident from how they aligned the workforce to the strategic goals of JLR and ensured that the culture encouraged innovation. Good leadership ensured employee engagement by clarifying the purpose of the Reimagine strategy and removing uncertainties and uncertainties to ensure their participation in the process of transformation from traditional automobiles to electric vehicles, artificial intelligence and digital manufacturing processes (Kotter, 1996). Strategic communication also enhanced good decision making since they helped to focus on competitive advantage over financial performance through investing wisely.</w:t>
      </w:r>
    </w:p>
    <w:p w14:paraId="5CA4C76E" w14:textId="77777777" w:rsidR="00E86D58" w:rsidRDefault="00E86D58" w:rsidP="00E86D58">
      <w:pPr>
        <w:spacing w:after="160" w:line="259" w:lineRule="auto"/>
        <w:rPr>
          <w:rFonts w:eastAsia="Calibri"/>
          <w:kern w:val="2"/>
          <w:sz w:val="24"/>
          <w:szCs w:val="24"/>
          <w:lang w:eastAsia="en-US"/>
          <w14:ligatures w14:val="standardContextual"/>
        </w:rPr>
      </w:pPr>
      <w:r w:rsidRPr="00E86D58">
        <w:rPr>
          <w:rFonts w:eastAsia="Calibri"/>
          <w:kern w:val="2"/>
          <w:sz w:val="24"/>
          <w:szCs w:val="24"/>
          <w:lang w:eastAsia="en-US"/>
          <w14:ligatures w14:val="standardContextual"/>
        </w:rPr>
        <w:lastRenderedPageBreak/>
        <w:t xml:space="preserve">The effectiveness of the leadership is also evident from the innovations that were driven by the leaders as well as the development of partnerships to enhance technological capabilities. Working with other organizations such as NVIDIA helped JLR to develop software-defined cars as well as artificial intelligence while investments in training increased digital literacy among the </w:t>
      </w:r>
      <w:proofErr w:type="gramStart"/>
      <w:r w:rsidRPr="00E86D58">
        <w:rPr>
          <w:rFonts w:eastAsia="Calibri"/>
          <w:kern w:val="2"/>
          <w:sz w:val="24"/>
          <w:szCs w:val="24"/>
          <w:lang w:eastAsia="en-US"/>
          <w14:ligatures w14:val="standardContextual"/>
        </w:rPr>
        <w:t>workforce</w:t>
      </w:r>
      <w:proofErr w:type="gramEnd"/>
      <w:r w:rsidRPr="00E86D58">
        <w:rPr>
          <w:rFonts w:eastAsia="Calibri"/>
          <w:kern w:val="2"/>
          <w:sz w:val="24"/>
          <w:szCs w:val="24"/>
          <w:lang w:eastAsia="en-US"/>
          <w14:ligatures w14:val="standardContextual"/>
        </w:rPr>
        <w:t>. Such leadership choices have helped to improve performance and efficiency of operations. However, more work needs to be done by the leaders in ensuring that the employees remain adaptable and innovative in response to the ever-changing technology in the automotive industry (Yukl, 2013).</w:t>
      </w:r>
      <w:r w:rsidR="00702481" w:rsidRPr="00702481">
        <w:rPr>
          <w:rFonts w:eastAsia="Calibri"/>
          <w:kern w:val="2"/>
          <w:sz w:val="24"/>
          <w:szCs w:val="24"/>
          <w:lang w:eastAsia="en-US"/>
          <w14:ligatures w14:val="standardContextual"/>
        </w:rPr>
        <w:br/>
      </w:r>
    </w:p>
    <w:p w14:paraId="3C89ECDC" w14:textId="77777777" w:rsidR="00E86D58" w:rsidRDefault="00702481" w:rsidP="00330683">
      <w:pPr>
        <w:pStyle w:val="Heading2"/>
        <w:rPr>
          <w:rFonts w:eastAsia="Calibri"/>
          <w:lang w:eastAsia="en-US"/>
        </w:rPr>
      </w:pPr>
      <w:bookmarkStart w:id="23" w:name="_Toc235093262"/>
      <w:r w:rsidRPr="00702481">
        <w:rPr>
          <w:rFonts w:eastAsia="Calibri"/>
          <w:lang w:eastAsia="en-US"/>
        </w:rPr>
        <w:t>5.3 Organisational Culture</w:t>
      </w:r>
      <w:bookmarkEnd w:id="23"/>
    </w:p>
    <w:p w14:paraId="60090A7A" w14:textId="57F31607" w:rsidR="00AF3550" w:rsidRPr="00AF3550" w:rsidRDefault="00AF3550" w:rsidP="00AF3550">
      <w:pPr>
        <w:spacing w:after="160" w:line="259" w:lineRule="auto"/>
        <w:rPr>
          <w:rFonts w:eastAsia="Calibri"/>
          <w:kern w:val="2"/>
          <w:sz w:val="24"/>
          <w:szCs w:val="24"/>
          <w:lang w:eastAsia="en-US"/>
          <w14:ligatures w14:val="standardContextual"/>
        </w:rPr>
      </w:pPr>
      <w:r w:rsidRPr="00AF3550">
        <w:rPr>
          <w:rFonts w:eastAsia="Calibri"/>
          <w:kern w:val="2"/>
          <w:sz w:val="24"/>
          <w:szCs w:val="24"/>
          <w:lang w:eastAsia="en-US"/>
          <w14:ligatures w14:val="standardContextual"/>
        </w:rPr>
        <w:t xml:space="preserve">The three-level theory of Organizational Culture by Schein consists of three interrelated dimensions – artefacts, which are visual manifestations of organizational structures and </w:t>
      </w:r>
      <w:r w:rsidRPr="00AF3550">
        <w:rPr>
          <w:rFonts w:eastAsia="Calibri"/>
          <w:kern w:val="2"/>
          <w:sz w:val="24"/>
          <w:szCs w:val="24"/>
          <w:lang w:eastAsia="en-US"/>
          <w14:ligatures w14:val="standardContextual"/>
        </w:rPr>
        <w:t>behaviour</w:t>
      </w:r>
      <w:r w:rsidRPr="00AF3550">
        <w:rPr>
          <w:rFonts w:eastAsia="Calibri"/>
          <w:kern w:val="2"/>
          <w:sz w:val="24"/>
          <w:szCs w:val="24"/>
          <w:lang w:eastAsia="en-US"/>
          <w14:ligatures w14:val="standardContextual"/>
        </w:rPr>
        <w:t xml:space="preserve">; espoused values, which are related to beliefs and strategies of the organization; and basic underlying assumptions, which are those deeply rooted in beliefs influencing </w:t>
      </w:r>
      <w:r w:rsidRPr="00AF3550">
        <w:rPr>
          <w:rFonts w:eastAsia="Calibri"/>
          <w:kern w:val="2"/>
          <w:sz w:val="24"/>
          <w:szCs w:val="24"/>
          <w:lang w:eastAsia="en-US"/>
          <w14:ligatures w14:val="standardContextual"/>
        </w:rPr>
        <w:t>behaviour</w:t>
      </w:r>
      <w:r w:rsidRPr="00AF3550">
        <w:rPr>
          <w:rFonts w:eastAsia="Calibri"/>
          <w:kern w:val="2"/>
          <w:sz w:val="24"/>
          <w:szCs w:val="24"/>
          <w:lang w:eastAsia="en-US"/>
          <w14:ligatures w14:val="standardContextual"/>
        </w:rPr>
        <w:t xml:space="preserve"> of the employees and organizational decisions (Schein</w:t>
      </w:r>
      <w:r w:rsidR="0057324D">
        <w:rPr>
          <w:rFonts w:eastAsia="Calibri"/>
          <w:kern w:val="2"/>
          <w:sz w:val="24"/>
          <w:szCs w:val="24"/>
          <w:lang w:eastAsia="en-US"/>
          <w14:ligatures w14:val="standardContextual"/>
        </w:rPr>
        <w:t>, 2010)</w:t>
      </w:r>
      <w:r w:rsidRPr="00AF3550">
        <w:rPr>
          <w:rFonts w:eastAsia="Calibri"/>
          <w:kern w:val="2"/>
          <w:sz w:val="24"/>
          <w:szCs w:val="24"/>
          <w:lang w:eastAsia="en-US"/>
          <w14:ligatures w14:val="standardContextual"/>
        </w:rPr>
        <w:t>.</w:t>
      </w:r>
    </w:p>
    <w:p w14:paraId="22C8B271" w14:textId="138BA088" w:rsidR="00AF3550" w:rsidRPr="00AF3550" w:rsidRDefault="00AF3550" w:rsidP="00AF3550">
      <w:pPr>
        <w:spacing w:after="160" w:line="259" w:lineRule="auto"/>
        <w:rPr>
          <w:rFonts w:eastAsia="Calibri"/>
          <w:kern w:val="2"/>
          <w:sz w:val="24"/>
          <w:szCs w:val="24"/>
          <w:lang w:eastAsia="en-US"/>
          <w14:ligatures w14:val="standardContextual"/>
        </w:rPr>
      </w:pPr>
      <w:r w:rsidRPr="00AF3550">
        <w:rPr>
          <w:rFonts w:eastAsia="Calibri"/>
          <w:kern w:val="2"/>
          <w:sz w:val="24"/>
          <w:szCs w:val="24"/>
          <w:lang w:eastAsia="en-US"/>
          <w14:ligatures w14:val="standardContextual"/>
        </w:rPr>
        <w:t xml:space="preserve">This model is suitable for </w:t>
      </w:r>
      <w:r w:rsidR="009B1B26">
        <w:rPr>
          <w:rFonts w:eastAsia="Calibri"/>
          <w:kern w:val="2"/>
          <w:sz w:val="24"/>
          <w:szCs w:val="24"/>
          <w:lang w:eastAsia="en-US"/>
          <w14:ligatures w14:val="standardContextual"/>
        </w:rPr>
        <w:t>JLR</w:t>
      </w:r>
      <w:r w:rsidRPr="00AF3550">
        <w:rPr>
          <w:rFonts w:eastAsia="Calibri"/>
          <w:kern w:val="2"/>
          <w:sz w:val="24"/>
          <w:szCs w:val="24"/>
          <w:lang w:eastAsia="en-US"/>
          <w14:ligatures w14:val="standardContextual"/>
        </w:rPr>
        <w:t xml:space="preserve">(JLR) </w:t>
      </w:r>
      <w:proofErr w:type="gramStart"/>
      <w:r w:rsidRPr="00AF3550">
        <w:rPr>
          <w:rFonts w:eastAsia="Calibri"/>
          <w:kern w:val="2"/>
          <w:sz w:val="24"/>
          <w:szCs w:val="24"/>
          <w:lang w:eastAsia="en-US"/>
          <w14:ligatures w14:val="standardContextual"/>
        </w:rPr>
        <w:t>due to the fact that</w:t>
      </w:r>
      <w:proofErr w:type="gramEnd"/>
      <w:r w:rsidRPr="00AF3550">
        <w:rPr>
          <w:rFonts w:eastAsia="Calibri"/>
          <w:kern w:val="2"/>
          <w:sz w:val="24"/>
          <w:szCs w:val="24"/>
          <w:lang w:eastAsia="en-US"/>
          <w14:ligatures w14:val="standardContextual"/>
        </w:rPr>
        <w:t xml:space="preserve"> the transformation of the organization goes further than just investments in </w:t>
      </w:r>
      <w:proofErr w:type="gramStart"/>
      <w:r w:rsidRPr="00AF3550">
        <w:rPr>
          <w:rFonts w:eastAsia="Calibri"/>
          <w:kern w:val="2"/>
          <w:sz w:val="24"/>
          <w:szCs w:val="24"/>
          <w:lang w:eastAsia="en-US"/>
          <w14:ligatures w14:val="standardContextual"/>
        </w:rPr>
        <w:t>technology, but</w:t>
      </w:r>
      <w:proofErr w:type="gramEnd"/>
      <w:r w:rsidRPr="00AF3550">
        <w:rPr>
          <w:rFonts w:eastAsia="Calibri"/>
          <w:kern w:val="2"/>
          <w:sz w:val="24"/>
          <w:szCs w:val="24"/>
          <w:lang w:eastAsia="en-US"/>
          <w14:ligatures w14:val="standardContextual"/>
        </w:rPr>
        <w:t xml:space="preserve"> needs a change in the organizational culture to foster innovation and collaboration and continuous learning (Hatch, 1993).</w:t>
      </w:r>
    </w:p>
    <w:p w14:paraId="44728295" w14:textId="2D502F40" w:rsidR="00E273F0" w:rsidRDefault="00AF3550" w:rsidP="00AF3550">
      <w:pPr>
        <w:spacing w:after="160" w:line="259" w:lineRule="auto"/>
        <w:rPr>
          <w:rFonts w:eastAsia="Calibri"/>
          <w:kern w:val="2"/>
          <w:sz w:val="24"/>
          <w:szCs w:val="24"/>
          <w:lang w:eastAsia="en-US"/>
          <w14:ligatures w14:val="standardContextual"/>
        </w:rPr>
      </w:pPr>
      <w:r w:rsidRPr="00AF3550">
        <w:rPr>
          <w:rFonts w:eastAsia="Calibri"/>
          <w:kern w:val="2"/>
          <w:sz w:val="24"/>
          <w:szCs w:val="24"/>
          <w:lang w:eastAsia="en-US"/>
          <w14:ligatures w14:val="standardContextual"/>
        </w:rPr>
        <w:t xml:space="preserve">In accordance with the Schein's model, the organizational culture of </w:t>
      </w:r>
      <w:proofErr w:type="spellStart"/>
      <w:r w:rsidR="009B1B26">
        <w:rPr>
          <w:rFonts w:eastAsia="Calibri"/>
          <w:kern w:val="2"/>
          <w:sz w:val="24"/>
          <w:szCs w:val="24"/>
          <w:lang w:eastAsia="en-US"/>
          <w14:ligatures w14:val="standardContextual"/>
        </w:rPr>
        <w:t>JLR</w:t>
      </w:r>
      <w:r w:rsidRPr="00AF3550">
        <w:rPr>
          <w:rFonts w:eastAsia="Calibri"/>
          <w:kern w:val="2"/>
          <w:sz w:val="24"/>
          <w:szCs w:val="24"/>
          <w:lang w:eastAsia="en-US"/>
          <w14:ligatures w14:val="standardContextual"/>
        </w:rPr>
        <w:t>includes</w:t>
      </w:r>
      <w:proofErr w:type="spellEnd"/>
      <w:r w:rsidRPr="00AF3550">
        <w:rPr>
          <w:rFonts w:eastAsia="Calibri"/>
          <w:kern w:val="2"/>
          <w:sz w:val="24"/>
          <w:szCs w:val="24"/>
          <w:lang w:eastAsia="en-US"/>
          <w14:ligatures w14:val="standardContextual"/>
        </w:rPr>
        <w:t xml:space="preserve"> the three levels. Artefacts are related to such investments of the organization as smart manufacturing, digital technologies and </w:t>
      </w:r>
      <w:r w:rsidRPr="00AF3550">
        <w:rPr>
          <w:rFonts w:eastAsia="Calibri"/>
          <w:kern w:val="2"/>
          <w:sz w:val="24"/>
          <w:szCs w:val="24"/>
          <w:lang w:eastAsia="en-US"/>
          <w14:ligatures w14:val="standardContextual"/>
        </w:rPr>
        <w:t>centres</w:t>
      </w:r>
      <w:r w:rsidRPr="00AF3550">
        <w:rPr>
          <w:rFonts w:eastAsia="Calibri"/>
          <w:kern w:val="2"/>
          <w:sz w:val="24"/>
          <w:szCs w:val="24"/>
          <w:lang w:eastAsia="en-US"/>
          <w14:ligatures w14:val="standardContextual"/>
        </w:rPr>
        <w:t xml:space="preserve"> of collaborative innovations, which prove the interest of the company to develop technologically. Espoused values are illustrated by the Reimagine Strategy of the company promoting modern luxury, sustainability, customer-focused and continuous innovation. The basic underlying assumptions of the organizational culture of JLR are shifting from being focused on the traditional automotive engineering to the software and artificial intelligence and electrification as competitive advantages. Such culture transformation is motivating the employees to embrace new technologies and new methods of work, which is important for the adaptability and strategic changes. Nonetheless, this culture needs to be sustained with the help of continuous leadership commitment and workforce development amid further technological change (Denison and Mishra, 1995).</w:t>
      </w:r>
    </w:p>
    <w:p w14:paraId="5A3A812A" w14:textId="08443AA1" w:rsidR="00702481" w:rsidRPr="00702481" w:rsidRDefault="00702481" w:rsidP="00330683">
      <w:pPr>
        <w:pStyle w:val="Heading2"/>
        <w:rPr>
          <w:rFonts w:eastAsia="Calibri"/>
          <w:lang w:eastAsia="en-US"/>
        </w:rPr>
      </w:pPr>
      <w:r w:rsidRPr="00702481">
        <w:rPr>
          <w:rFonts w:eastAsia="Calibri"/>
          <w:lang w:eastAsia="en-US"/>
        </w:rPr>
        <w:br/>
      </w:r>
      <w:bookmarkStart w:id="24" w:name="_Toc235093263"/>
      <w:r w:rsidRPr="00702481">
        <w:rPr>
          <w:rFonts w:eastAsia="Calibri"/>
          <w:lang w:eastAsia="en-US"/>
        </w:rPr>
        <w:t>5.4 Impact of Organisational Culture on Change Management</w:t>
      </w:r>
      <w:bookmarkEnd w:id="24"/>
    </w:p>
    <w:p w14:paraId="4F7AFBFE" w14:textId="77777777" w:rsidR="00E0483A" w:rsidRPr="00B8537A" w:rsidRDefault="00E0483A" w:rsidP="00E0483A">
      <w:pPr>
        <w:spacing w:after="160" w:line="259" w:lineRule="auto"/>
        <w:rPr>
          <w:rFonts w:eastAsia="Calibri"/>
          <w:kern w:val="2"/>
          <w:sz w:val="24"/>
          <w:szCs w:val="24"/>
          <w:lang w:eastAsia="en-US"/>
          <w14:ligatures w14:val="standardContextual"/>
        </w:rPr>
      </w:pPr>
    </w:p>
    <w:p w14:paraId="04E30D98" w14:textId="6F58DE6D" w:rsidR="006C373E" w:rsidRPr="006C373E" w:rsidRDefault="006C373E" w:rsidP="006C373E">
      <w:pPr>
        <w:spacing w:after="160" w:line="259" w:lineRule="auto"/>
        <w:rPr>
          <w:rFonts w:eastAsia="Calibri"/>
          <w:kern w:val="2"/>
          <w:sz w:val="24"/>
          <w:szCs w:val="24"/>
          <w:lang w:eastAsia="en-US"/>
          <w14:ligatures w14:val="standardContextual"/>
        </w:rPr>
      </w:pPr>
      <w:r w:rsidRPr="006C373E">
        <w:rPr>
          <w:rFonts w:eastAsia="Calibri"/>
          <w:kern w:val="2"/>
          <w:sz w:val="24"/>
          <w:szCs w:val="24"/>
          <w:lang w:eastAsia="en-US"/>
          <w14:ligatures w14:val="standardContextual"/>
        </w:rPr>
        <w:t xml:space="preserve">The cultural climate </w:t>
      </w:r>
      <w:r>
        <w:rPr>
          <w:rFonts w:eastAsia="Calibri"/>
          <w:kern w:val="2"/>
          <w:sz w:val="24"/>
          <w:szCs w:val="24"/>
          <w:lang w:eastAsia="en-US"/>
          <w14:ligatures w14:val="standardContextual"/>
        </w:rPr>
        <w:t xml:space="preserve">at </w:t>
      </w:r>
      <w:r w:rsidRPr="006C373E">
        <w:rPr>
          <w:rFonts w:eastAsia="Calibri"/>
          <w:kern w:val="2"/>
          <w:sz w:val="24"/>
          <w:szCs w:val="24"/>
          <w:lang w:eastAsia="en-US"/>
          <w14:ligatures w14:val="standardContextual"/>
        </w:rPr>
        <w:t>JLR helped the firm's strategic changes through the promotion of innovation, cooperation and continuous improvements.</w:t>
      </w:r>
      <w:r>
        <w:rPr>
          <w:rFonts w:eastAsia="Calibri"/>
          <w:kern w:val="2"/>
          <w:sz w:val="24"/>
          <w:szCs w:val="24"/>
          <w:lang w:eastAsia="en-US"/>
          <w14:ligatures w14:val="standardContextual"/>
        </w:rPr>
        <w:t xml:space="preserve"> T</w:t>
      </w:r>
      <w:r w:rsidRPr="006C373E">
        <w:rPr>
          <w:rFonts w:eastAsia="Calibri"/>
          <w:kern w:val="2"/>
          <w:sz w:val="24"/>
          <w:szCs w:val="24"/>
          <w:lang w:eastAsia="en-US"/>
          <w14:ligatures w14:val="standardContextual"/>
        </w:rPr>
        <w:t xml:space="preserve">he Reimagine Strategy strengthened the culture of sustainability, digital transformation and customer-oriented innovation </w:t>
      </w:r>
      <w:proofErr w:type="gramStart"/>
      <w:r w:rsidRPr="006C373E">
        <w:rPr>
          <w:rFonts w:eastAsia="Calibri"/>
          <w:kern w:val="2"/>
          <w:sz w:val="24"/>
          <w:szCs w:val="24"/>
          <w:lang w:eastAsia="en-US"/>
          <w14:ligatures w14:val="standardContextual"/>
        </w:rPr>
        <w:t>in order to</w:t>
      </w:r>
      <w:proofErr w:type="gramEnd"/>
      <w:r w:rsidRPr="006C373E">
        <w:rPr>
          <w:rFonts w:eastAsia="Calibri"/>
          <w:kern w:val="2"/>
          <w:sz w:val="24"/>
          <w:szCs w:val="24"/>
          <w:lang w:eastAsia="en-US"/>
          <w14:ligatures w14:val="standardContextual"/>
        </w:rPr>
        <w:t xml:space="preserve"> help the employees cope with the new technologies and way of working. The contribution of the leaders should also be noted since the shared vision has been promoted and the cooperation between engineering, software and manufacturing departments has been encouraged. Cultural alignment has helped the organisation achieve better results in terms of profit, investment in electrification and successful digital transformation (Schein</w:t>
      </w:r>
      <w:r w:rsidR="005D0067">
        <w:rPr>
          <w:rFonts w:eastAsia="Calibri"/>
          <w:kern w:val="2"/>
          <w:sz w:val="24"/>
          <w:szCs w:val="24"/>
          <w:lang w:eastAsia="en-US"/>
          <w14:ligatures w14:val="standardContextual"/>
        </w:rPr>
        <w:t>, 2010</w:t>
      </w:r>
      <w:r w:rsidRPr="006C373E">
        <w:rPr>
          <w:rFonts w:eastAsia="Calibri"/>
          <w:kern w:val="2"/>
          <w:sz w:val="24"/>
          <w:szCs w:val="24"/>
          <w:lang w:eastAsia="en-US"/>
          <w14:ligatures w14:val="standardContextual"/>
        </w:rPr>
        <w:t>).</w:t>
      </w:r>
    </w:p>
    <w:p w14:paraId="042733D5" w14:textId="3AD7872D" w:rsidR="00E0483A" w:rsidRPr="00B8537A" w:rsidRDefault="006C373E" w:rsidP="006C373E">
      <w:pPr>
        <w:spacing w:after="160" w:line="259" w:lineRule="auto"/>
        <w:rPr>
          <w:rFonts w:eastAsia="Calibri"/>
          <w:kern w:val="2"/>
          <w:sz w:val="24"/>
          <w:szCs w:val="24"/>
          <w:lang w:eastAsia="en-US"/>
          <w14:ligatures w14:val="standardContextual"/>
        </w:rPr>
      </w:pPr>
      <w:r w:rsidRPr="006C373E">
        <w:rPr>
          <w:rFonts w:eastAsia="Calibri"/>
          <w:kern w:val="2"/>
          <w:sz w:val="24"/>
          <w:szCs w:val="24"/>
          <w:lang w:eastAsia="en-US"/>
          <w14:ligatures w14:val="standardContextual"/>
        </w:rPr>
        <w:t xml:space="preserve">However, cultural transformation still poses some challenges for the company. Moving from the traditional engineering-focused producer to the software-focused mobility provider, JLR </w:t>
      </w:r>
      <w:r w:rsidRPr="006C373E">
        <w:rPr>
          <w:rFonts w:eastAsia="Calibri"/>
          <w:kern w:val="2"/>
          <w:sz w:val="24"/>
          <w:szCs w:val="24"/>
          <w:lang w:eastAsia="en-US"/>
          <w14:ligatures w14:val="standardContextual"/>
        </w:rPr>
        <w:lastRenderedPageBreak/>
        <w:t>needs its employees to gain new digital competences and promote continuous organisational learning. Failure to deal with resistance to new technologies, skill gaps and new working practices may result in the delayed process of transformation.</w:t>
      </w:r>
      <w:r w:rsidR="005D0067">
        <w:rPr>
          <w:rFonts w:eastAsia="Calibri"/>
          <w:kern w:val="2"/>
          <w:sz w:val="24"/>
          <w:szCs w:val="24"/>
          <w:lang w:eastAsia="en-US"/>
          <w14:ligatures w14:val="standardContextual"/>
        </w:rPr>
        <w:t xml:space="preserve"> t</w:t>
      </w:r>
      <w:r w:rsidRPr="006C373E">
        <w:rPr>
          <w:rFonts w:eastAsia="Calibri"/>
          <w:kern w:val="2"/>
          <w:sz w:val="24"/>
          <w:szCs w:val="24"/>
          <w:lang w:eastAsia="en-US"/>
          <w14:ligatures w14:val="standardContextual"/>
        </w:rPr>
        <w:t xml:space="preserve">he organisational culture has functioned as the enabler of strategic changes despite the need for continued effort on the part of the leaders and employees </w:t>
      </w:r>
      <w:proofErr w:type="gramStart"/>
      <w:r w:rsidRPr="006C373E">
        <w:rPr>
          <w:rFonts w:eastAsia="Calibri"/>
          <w:kern w:val="2"/>
          <w:sz w:val="24"/>
          <w:szCs w:val="24"/>
          <w:lang w:eastAsia="en-US"/>
          <w14:ligatures w14:val="standardContextual"/>
        </w:rPr>
        <w:t>in order to</w:t>
      </w:r>
      <w:proofErr w:type="gramEnd"/>
      <w:r w:rsidRPr="006C373E">
        <w:rPr>
          <w:rFonts w:eastAsia="Calibri"/>
          <w:kern w:val="2"/>
          <w:sz w:val="24"/>
          <w:szCs w:val="24"/>
          <w:lang w:eastAsia="en-US"/>
          <w14:ligatures w14:val="standardContextual"/>
        </w:rPr>
        <w:t xml:space="preserve"> promote cultural transformation and ensure good organisational performance (Alvesson, </w:t>
      </w:r>
      <w:r w:rsidR="005D0067">
        <w:rPr>
          <w:rFonts w:eastAsia="Calibri"/>
          <w:kern w:val="2"/>
          <w:sz w:val="24"/>
          <w:szCs w:val="24"/>
          <w:lang w:eastAsia="en-US"/>
          <w14:ligatures w14:val="standardContextual"/>
        </w:rPr>
        <w:t>2012</w:t>
      </w:r>
      <w:r w:rsidRPr="006C373E">
        <w:rPr>
          <w:rFonts w:eastAsia="Calibri"/>
          <w:kern w:val="2"/>
          <w:sz w:val="24"/>
          <w:szCs w:val="24"/>
          <w:lang w:eastAsia="en-US"/>
          <w14:ligatures w14:val="standardContextual"/>
        </w:rPr>
        <w:t>).</w:t>
      </w:r>
    </w:p>
    <w:p w14:paraId="0369FD25" w14:textId="77777777" w:rsidR="00330683" w:rsidRDefault="005D0067" w:rsidP="00330683">
      <w:pPr>
        <w:pStyle w:val="Heading1"/>
        <w:rPr>
          <w:rFonts w:eastAsia="Calibri"/>
          <w:lang w:eastAsia="en-US"/>
        </w:rPr>
      </w:pPr>
      <w:bookmarkStart w:id="25" w:name="_Toc235093264"/>
      <w:r w:rsidRPr="005D0067">
        <w:rPr>
          <w:rFonts w:eastAsia="Calibri"/>
          <w:lang w:eastAsia="en-US"/>
        </w:rPr>
        <w:t>6. Proposed Strategic Change Management Plan</w:t>
      </w:r>
      <w:bookmarkEnd w:id="25"/>
      <w:r w:rsidRPr="005D0067">
        <w:rPr>
          <w:rFonts w:eastAsia="Calibri"/>
          <w:lang w:eastAsia="en-US"/>
        </w:rPr>
        <w:br/>
      </w:r>
    </w:p>
    <w:p w14:paraId="774F2047" w14:textId="5CCB6EE4" w:rsidR="005D0067" w:rsidRDefault="005D0067" w:rsidP="00330683">
      <w:pPr>
        <w:pStyle w:val="Heading2"/>
        <w:rPr>
          <w:rFonts w:eastAsia="Calibri"/>
          <w:lang w:eastAsia="en-US"/>
        </w:rPr>
      </w:pPr>
      <w:bookmarkStart w:id="26" w:name="_Toc235093265"/>
      <w:r w:rsidRPr="005D0067">
        <w:rPr>
          <w:rFonts w:eastAsia="Calibri"/>
          <w:lang w:eastAsia="en-US"/>
        </w:rPr>
        <w:t>6.1 Proposed Change Initiative</w:t>
      </w:r>
      <w:bookmarkEnd w:id="26"/>
    </w:p>
    <w:p w14:paraId="08BA0827" w14:textId="2AC18300" w:rsidR="00E332C0" w:rsidRDefault="00E332C0" w:rsidP="005D0067">
      <w:pPr>
        <w:spacing w:after="160" w:line="259" w:lineRule="auto"/>
        <w:rPr>
          <w:rFonts w:eastAsia="Calibri"/>
          <w:kern w:val="2"/>
          <w:sz w:val="24"/>
          <w:szCs w:val="24"/>
          <w:lang w:eastAsia="en-US"/>
          <w14:ligatures w14:val="standardContextual"/>
        </w:rPr>
      </w:pPr>
      <w:r w:rsidRPr="00E332C0">
        <w:rPr>
          <w:rFonts w:eastAsia="Calibri"/>
          <w:kern w:val="2"/>
          <w:sz w:val="24"/>
          <w:szCs w:val="24"/>
          <w:lang w:eastAsia="en-US"/>
          <w14:ligatures w14:val="standardContextual"/>
        </w:rPr>
        <w:t>The strategic change suggested is for JLR to use artificial intelligence in creating an intelligent manufacturing and digital supply chain solution across their UK operations. The change would be based on the application of artificial intelligence, machine learning, real-time data analytics and digital twins. This change will not only capitalize on the investments that JLR has made towards digital transformation but also provide solutions to the challenges such as disruptions in the supply chain, increased production costs and stiff competition in the premium electric vehicle market. The change will also help to achieve the goals set out in the Reimagine Strategy, which includes operational efficiencies and resilient organization.</w:t>
      </w:r>
      <w:r w:rsidR="005D0067" w:rsidRPr="005D0067">
        <w:rPr>
          <w:rFonts w:eastAsia="Calibri"/>
          <w:kern w:val="2"/>
          <w:sz w:val="24"/>
          <w:szCs w:val="24"/>
          <w:lang w:eastAsia="en-US"/>
          <w14:ligatures w14:val="standardContextual"/>
        </w:rPr>
        <w:br/>
      </w:r>
    </w:p>
    <w:p w14:paraId="1109F392" w14:textId="77777777" w:rsidR="00690D4F" w:rsidRPr="00690D4F" w:rsidRDefault="00690D4F" w:rsidP="00330683">
      <w:pPr>
        <w:pStyle w:val="Heading2"/>
        <w:rPr>
          <w:rFonts w:eastAsia="Calibri"/>
          <w:lang w:eastAsia="en-US"/>
        </w:rPr>
      </w:pPr>
      <w:bookmarkStart w:id="27" w:name="_Toc235093266"/>
      <w:r w:rsidRPr="00690D4F">
        <w:rPr>
          <w:rFonts w:eastAsia="Calibri"/>
          <w:lang w:eastAsia="en-US"/>
        </w:rPr>
        <w:t>6.2 Strategic Objectives</w:t>
      </w:r>
      <w:bookmarkEnd w:id="27"/>
    </w:p>
    <w:p w14:paraId="45D1D67F" w14:textId="13AB5344" w:rsidR="00690D4F" w:rsidRPr="0058711D" w:rsidRDefault="00690D4F" w:rsidP="00690D4F">
      <w:pPr>
        <w:spacing w:after="160" w:line="259" w:lineRule="auto"/>
        <w:rPr>
          <w:rFonts w:eastAsia="Calibri"/>
          <w:kern w:val="2"/>
          <w:sz w:val="24"/>
          <w:szCs w:val="24"/>
          <w:lang w:eastAsia="en-US"/>
          <w14:ligatures w14:val="standardContextual"/>
        </w:rPr>
      </w:pPr>
      <w:r w:rsidRPr="00690D4F">
        <w:rPr>
          <w:rFonts w:eastAsia="Calibri"/>
          <w:kern w:val="2"/>
          <w:sz w:val="24"/>
          <w:szCs w:val="24"/>
          <w:lang w:eastAsia="en-US"/>
          <w14:ligatures w14:val="standardContextual"/>
        </w:rPr>
        <w:t xml:space="preserve">The </w:t>
      </w:r>
      <w:r w:rsidRPr="0058711D">
        <w:rPr>
          <w:rFonts w:eastAsia="Calibri"/>
          <w:kern w:val="2"/>
          <w:sz w:val="24"/>
          <w:szCs w:val="24"/>
          <w:lang w:eastAsia="en-US"/>
          <w14:ligatures w14:val="standardContextual"/>
        </w:rPr>
        <w:t>above</w:t>
      </w:r>
      <w:r w:rsidRPr="0058711D">
        <w:rPr>
          <w:rFonts w:eastAsia="Calibri"/>
          <w:kern w:val="2"/>
          <w:sz w:val="24"/>
          <w:szCs w:val="24"/>
          <w:lang w:eastAsia="en-US"/>
          <w14:ligatures w14:val="standardContextual"/>
        </w:rPr>
        <w:t xml:space="preserve"> change initiative will be </w:t>
      </w:r>
      <w:r w:rsidRPr="0058711D">
        <w:rPr>
          <w:rFonts w:eastAsia="Calibri"/>
          <w:kern w:val="2"/>
          <w:sz w:val="24"/>
          <w:szCs w:val="24"/>
          <w:lang w:eastAsia="en-US"/>
          <w14:ligatures w14:val="standardContextual"/>
        </w:rPr>
        <w:t>helped</w:t>
      </w:r>
      <w:r w:rsidRPr="0058711D">
        <w:rPr>
          <w:rFonts w:eastAsia="Calibri"/>
          <w:kern w:val="2"/>
          <w:sz w:val="24"/>
          <w:szCs w:val="24"/>
          <w:lang w:eastAsia="en-US"/>
          <w14:ligatures w14:val="standardContextual"/>
        </w:rPr>
        <w:t xml:space="preserve"> by the following SMART objectives:</w:t>
      </w:r>
    </w:p>
    <w:p w14:paraId="1E1E914B" w14:textId="77777777" w:rsidR="00690D4F" w:rsidRPr="0058711D" w:rsidRDefault="00690D4F" w:rsidP="00690D4F">
      <w:pPr>
        <w:numPr>
          <w:ilvl w:val="0"/>
          <w:numId w:val="1"/>
        </w:numPr>
        <w:tabs>
          <w:tab w:val="clear" w:pos="360"/>
          <w:tab w:val="num" w:pos="720"/>
        </w:tabs>
        <w:spacing w:after="160" w:line="259" w:lineRule="auto"/>
        <w:rPr>
          <w:rFonts w:eastAsia="Calibri"/>
          <w:kern w:val="2"/>
          <w:sz w:val="24"/>
          <w:szCs w:val="24"/>
          <w:lang w:eastAsia="en-US"/>
          <w14:ligatures w14:val="standardContextual"/>
        </w:rPr>
      </w:pPr>
      <w:r w:rsidRPr="0058711D">
        <w:rPr>
          <w:rFonts w:eastAsia="Calibri"/>
          <w:kern w:val="2"/>
          <w:sz w:val="24"/>
          <w:szCs w:val="24"/>
          <w:lang w:eastAsia="en-US"/>
          <w14:ligatures w14:val="standardContextual"/>
        </w:rPr>
        <w:t xml:space="preserve">To implement an AI-driven manufacturing platform across all UK production facilities by the end of 2028. </w:t>
      </w:r>
    </w:p>
    <w:p w14:paraId="15B8A4D8" w14:textId="77777777" w:rsidR="00690D4F" w:rsidRPr="0058711D" w:rsidRDefault="00690D4F" w:rsidP="00690D4F">
      <w:pPr>
        <w:numPr>
          <w:ilvl w:val="0"/>
          <w:numId w:val="1"/>
        </w:numPr>
        <w:tabs>
          <w:tab w:val="clear" w:pos="360"/>
          <w:tab w:val="num" w:pos="720"/>
        </w:tabs>
        <w:spacing w:after="160" w:line="259" w:lineRule="auto"/>
        <w:rPr>
          <w:rFonts w:eastAsia="Calibri"/>
          <w:kern w:val="2"/>
          <w:sz w:val="24"/>
          <w:szCs w:val="24"/>
          <w:lang w:eastAsia="en-US"/>
          <w14:ligatures w14:val="standardContextual"/>
        </w:rPr>
      </w:pPr>
      <w:r w:rsidRPr="0058711D">
        <w:rPr>
          <w:rFonts w:eastAsia="Calibri"/>
          <w:kern w:val="2"/>
          <w:sz w:val="24"/>
          <w:szCs w:val="24"/>
          <w:lang w:eastAsia="en-US"/>
          <w14:ligatures w14:val="standardContextual"/>
        </w:rPr>
        <w:t xml:space="preserve">To reduce unplanned production downtime by 20% within 24 months through predictive maintenance and real-time production monitoring. </w:t>
      </w:r>
    </w:p>
    <w:p w14:paraId="6798A797" w14:textId="77777777" w:rsidR="00690D4F" w:rsidRPr="0058711D" w:rsidRDefault="00690D4F" w:rsidP="00690D4F">
      <w:pPr>
        <w:numPr>
          <w:ilvl w:val="0"/>
          <w:numId w:val="1"/>
        </w:numPr>
        <w:tabs>
          <w:tab w:val="clear" w:pos="360"/>
          <w:tab w:val="num" w:pos="720"/>
        </w:tabs>
        <w:spacing w:after="160" w:line="259" w:lineRule="auto"/>
        <w:rPr>
          <w:rFonts w:eastAsia="Calibri"/>
          <w:kern w:val="2"/>
          <w:sz w:val="24"/>
          <w:szCs w:val="24"/>
          <w:lang w:eastAsia="en-US"/>
          <w14:ligatures w14:val="standardContextual"/>
        </w:rPr>
      </w:pPr>
      <w:r w:rsidRPr="0058711D">
        <w:rPr>
          <w:rFonts w:eastAsia="Calibri"/>
          <w:kern w:val="2"/>
          <w:sz w:val="24"/>
          <w:szCs w:val="24"/>
          <w:lang w:eastAsia="en-US"/>
          <w14:ligatures w14:val="standardContextual"/>
        </w:rPr>
        <w:t xml:space="preserve">To integrate 90% of Tier 1 suppliers into a digital supply chain platform by the end of 2028 to improve supply chain visibility and resilience. </w:t>
      </w:r>
    </w:p>
    <w:p w14:paraId="666243BD" w14:textId="37F4D0B3" w:rsidR="00690D4F" w:rsidRPr="00690D4F" w:rsidRDefault="00690D4F" w:rsidP="00690D4F">
      <w:pPr>
        <w:spacing w:after="160" w:line="259" w:lineRule="auto"/>
        <w:rPr>
          <w:rFonts w:eastAsia="Calibri"/>
          <w:kern w:val="2"/>
          <w:sz w:val="24"/>
          <w:szCs w:val="24"/>
          <w:lang w:eastAsia="en-US"/>
          <w14:ligatures w14:val="standardContextual"/>
        </w:rPr>
      </w:pPr>
      <w:r w:rsidRPr="00690D4F">
        <w:rPr>
          <w:rFonts w:eastAsia="Calibri"/>
          <w:kern w:val="2"/>
          <w:sz w:val="24"/>
          <w:szCs w:val="24"/>
          <w:lang w:eastAsia="en-US"/>
          <w14:ligatures w14:val="standardContextual"/>
        </w:rPr>
        <w:t xml:space="preserve">These SMART objectives </w:t>
      </w:r>
      <w:r>
        <w:rPr>
          <w:rFonts w:eastAsia="Calibri"/>
          <w:kern w:val="2"/>
          <w:sz w:val="24"/>
          <w:szCs w:val="24"/>
          <w:lang w:eastAsia="en-US"/>
          <w14:ligatures w14:val="standardContextual"/>
        </w:rPr>
        <w:t xml:space="preserve">are a </w:t>
      </w:r>
      <w:r w:rsidRPr="00690D4F">
        <w:rPr>
          <w:rFonts w:eastAsia="Calibri"/>
          <w:kern w:val="2"/>
          <w:sz w:val="24"/>
          <w:szCs w:val="24"/>
          <w:lang w:eastAsia="en-US"/>
          <w14:ligatures w14:val="standardContextual"/>
        </w:rPr>
        <w:t>clear and measurable targets that support Jaguar Land Rover's proposed strategic change. The objectives focus on improving operational efficiency, strengthening supply chain resilience and accelerating digital transformation, ensuring that the proposed initiative contributes directly to the organisation's long-term competitiveness and the successful delivery of its Reimagine Strategy.</w:t>
      </w:r>
    </w:p>
    <w:p w14:paraId="37D2EEBD" w14:textId="77777777" w:rsidR="00690D4F" w:rsidRDefault="005D0067" w:rsidP="00330683">
      <w:pPr>
        <w:pStyle w:val="Heading2"/>
        <w:rPr>
          <w:rFonts w:eastAsia="Calibri"/>
          <w:lang w:eastAsia="en-US"/>
        </w:rPr>
      </w:pPr>
      <w:r w:rsidRPr="005D0067">
        <w:rPr>
          <w:rFonts w:eastAsia="Calibri"/>
          <w:lang w:eastAsia="en-US"/>
        </w:rPr>
        <w:br/>
      </w:r>
      <w:bookmarkStart w:id="28" w:name="_Toc235093267"/>
      <w:r w:rsidRPr="005D0067">
        <w:rPr>
          <w:rFonts w:eastAsia="Calibri"/>
          <w:lang w:eastAsia="en-US"/>
        </w:rPr>
        <w:t>6.3 Implementation Plan</w:t>
      </w:r>
      <w:bookmarkEnd w:id="28"/>
    </w:p>
    <w:p w14:paraId="2CC264D1" w14:textId="77777777" w:rsidR="002878A1" w:rsidRDefault="00902A71" w:rsidP="005D0067">
      <w:pPr>
        <w:spacing w:after="160" w:line="259" w:lineRule="auto"/>
        <w:rPr>
          <w:rFonts w:eastAsia="Calibri"/>
          <w:kern w:val="2"/>
          <w:sz w:val="24"/>
          <w:szCs w:val="24"/>
          <w:lang w:eastAsia="en-US"/>
          <w14:ligatures w14:val="standardContextual"/>
        </w:rPr>
      </w:pPr>
      <w:r w:rsidRPr="00902A71">
        <w:rPr>
          <w:rFonts w:eastAsia="Calibri"/>
          <w:kern w:val="2"/>
          <w:sz w:val="24"/>
          <w:szCs w:val="24"/>
          <w:lang w:eastAsia="en-US"/>
          <w14:ligatures w14:val="standardContextual"/>
        </w:rPr>
        <w:t>The recommended modification needs to be introduced via a modified Kotter’s Change Model approach for proper implementation of changes. Implementation should commence with the creation of awareness on the necessity of having artificial intelligence and digital systems in the supply chain followed by consultation of stakeholders and strategic vision sharing. Collaboration of efforts by top management, IT professionals, operations team, procurement and manufacturing departments is going to be critical for proper implementation. Progress monitoring and employees’ feedback will be needed during implementation to tackle arising issues.</w:t>
      </w:r>
    </w:p>
    <w:p w14:paraId="48D0A4A1" w14:textId="77777777" w:rsidR="002878A1" w:rsidRDefault="002878A1" w:rsidP="005D0067">
      <w:pPr>
        <w:spacing w:after="160" w:line="259" w:lineRule="auto"/>
        <w:rPr>
          <w:rFonts w:eastAsia="Calibri"/>
          <w:kern w:val="2"/>
          <w:sz w:val="24"/>
          <w:szCs w:val="24"/>
          <w:lang w:eastAsia="en-US"/>
          <w14:ligatures w14:val="standardContextu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32"/>
        <w:gridCol w:w="1192"/>
        <w:gridCol w:w="2052"/>
        <w:gridCol w:w="2340"/>
      </w:tblGrid>
      <w:tr w:rsidR="002878A1" w:rsidRPr="002878A1" w14:paraId="5480EC66" w14:textId="77777777" w:rsidTr="002878A1">
        <w:trPr>
          <w:tblHeader/>
          <w:tblCellSpacing w:w="15" w:type="dxa"/>
        </w:trPr>
        <w:tc>
          <w:tcPr>
            <w:tcW w:w="0" w:type="auto"/>
            <w:vAlign w:val="center"/>
            <w:hideMark/>
          </w:tcPr>
          <w:p w14:paraId="43EF214B" w14:textId="77777777" w:rsidR="002878A1" w:rsidRPr="002878A1" w:rsidRDefault="002878A1" w:rsidP="002878A1">
            <w:pPr>
              <w:spacing w:after="160" w:line="259" w:lineRule="auto"/>
              <w:rPr>
                <w:rFonts w:eastAsia="Calibri"/>
                <w:b/>
                <w:bCs/>
                <w:kern w:val="2"/>
                <w:sz w:val="24"/>
                <w:szCs w:val="24"/>
                <w:lang w:eastAsia="en-US"/>
                <w14:ligatures w14:val="standardContextual"/>
              </w:rPr>
            </w:pPr>
            <w:r w:rsidRPr="002878A1">
              <w:rPr>
                <w:rFonts w:eastAsia="Calibri"/>
                <w:b/>
                <w:bCs/>
                <w:kern w:val="2"/>
                <w:sz w:val="24"/>
                <w:szCs w:val="24"/>
                <w:lang w:eastAsia="en-US"/>
                <w14:ligatures w14:val="standardContextual"/>
              </w:rPr>
              <w:t>Implementation Stage</w:t>
            </w:r>
          </w:p>
        </w:tc>
        <w:tc>
          <w:tcPr>
            <w:tcW w:w="0" w:type="auto"/>
            <w:vAlign w:val="center"/>
            <w:hideMark/>
          </w:tcPr>
          <w:p w14:paraId="47DD18A8" w14:textId="77777777" w:rsidR="002878A1" w:rsidRPr="002878A1" w:rsidRDefault="002878A1" w:rsidP="002878A1">
            <w:pPr>
              <w:spacing w:after="160" w:line="259" w:lineRule="auto"/>
              <w:rPr>
                <w:rFonts w:eastAsia="Calibri"/>
                <w:b/>
                <w:bCs/>
                <w:kern w:val="2"/>
                <w:sz w:val="24"/>
                <w:szCs w:val="24"/>
                <w:lang w:eastAsia="en-US"/>
                <w14:ligatures w14:val="standardContextual"/>
              </w:rPr>
            </w:pPr>
            <w:r w:rsidRPr="002878A1">
              <w:rPr>
                <w:rFonts w:eastAsia="Calibri"/>
                <w:b/>
                <w:bCs/>
                <w:kern w:val="2"/>
                <w:sz w:val="24"/>
                <w:szCs w:val="24"/>
                <w:lang w:eastAsia="en-US"/>
                <w14:ligatures w14:val="standardContextual"/>
              </w:rPr>
              <w:t>Timeline</w:t>
            </w:r>
          </w:p>
        </w:tc>
        <w:tc>
          <w:tcPr>
            <w:tcW w:w="0" w:type="auto"/>
            <w:vAlign w:val="center"/>
            <w:hideMark/>
          </w:tcPr>
          <w:p w14:paraId="0807B9C7" w14:textId="77777777" w:rsidR="002878A1" w:rsidRPr="002878A1" w:rsidRDefault="002878A1" w:rsidP="002878A1">
            <w:pPr>
              <w:spacing w:after="160" w:line="259" w:lineRule="auto"/>
              <w:rPr>
                <w:rFonts w:eastAsia="Calibri"/>
                <w:b/>
                <w:bCs/>
                <w:kern w:val="2"/>
                <w:sz w:val="24"/>
                <w:szCs w:val="24"/>
                <w:lang w:eastAsia="en-US"/>
                <w14:ligatures w14:val="standardContextual"/>
              </w:rPr>
            </w:pPr>
            <w:r w:rsidRPr="002878A1">
              <w:rPr>
                <w:rFonts w:eastAsia="Calibri"/>
                <w:b/>
                <w:bCs/>
                <w:kern w:val="2"/>
                <w:sz w:val="24"/>
                <w:szCs w:val="24"/>
                <w:lang w:eastAsia="en-US"/>
                <w14:ligatures w14:val="standardContextual"/>
              </w:rPr>
              <w:t>Responsibility</w:t>
            </w:r>
          </w:p>
        </w:tc>
        <w:tc>
          <w:tcPr>
            <w:tcW w:w="0" w:type="auto"/>
            <w:vAlign w:val="center"/>
            <w:hideMark/>
          </w:tcPr>
          <w:p w14:paraId="2B6ECB7B" w14:textId="77777777" w:rsidR="002878A1" w:rsidRPr="002878A1" w:rsidRDefault="002878A1" w:rsidP="002878A1">
            <w:pPr>
              <w:spacing w:after="160" w:line="259" w:lineRule="auto"/>
              <w:rPr>
                <w:rFonts w:eastAsia="Calibri"/>
                <w:b/>
                <w:bCs/>
                <w:kern w:val="2"/>
                <w:sz w:val="24"/>
                <w:szCs w:val="24"/>
                <w:lang w:eastAsia="en-US"/>
                <w14:ligatures w14:val="standardContextual"/>
              </w:rPr>
            </w:pPr>
            <w:r w:rsidRPr="002878A1">
              <w:rPr>
                <w:rFonts w:eastAsia="Calibri"/>
                <w:b/>
                <w:bCs/>
                <w:kern w:val="2"/>
                <w:sz w:val="24"/>
                <w:szCs w:val="24"/>
                <w:lang w:eastAsia="en-US"/>
                <w14:ligatures w14:val="standardContextual"/>
              </w:rPr>
              <w:t>Key Stakeholders</w:t>
            </w:r>
          </w:p>
        </w:tc>
      </w:tr>
      <w:tr w:rsidR="002878A1" w:rsidRPr="002878A1" w14:paraId="0B1621D2" w14:textId="77777777" w:rsidTr="002878A1">
        <w:trPr>
          <w:tblCellSpacing w:w="15" w:type="dxa"/>
        </w:trPr>
        <w:tc>
          <w:tcPr>
            <w:tcW w:w="0" w:type="auto"/>
            <w:vAlign w:val="center"/>
            <w:hideMark/>
          </w:tcPr>
          <w:p w14:paraId="70F9E02A"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Create urgency and communicate the vision</w:t>
            </w:r>
          </w:p>
        </w:tc>
        <w:tc>
          <w:tcPr>
            <w:tcW w:w="0" w:type="auto"/>
            <w:vAlign w:val="center"/>
            <w:hideMark/>
          </w:tcPr>
          <w:p w14:paraId="3D19A6AA"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Months 1–2</w:t>
            </w:r>
          </w:p>
        </w:tc>
        <w:tc>
          <w:tcPr>
            <w:tcW w:w="0" w:type="auto"/>
            <w:vAlign w:val="center"/>
            <w:hideMark/>
          </w:tcPr>
          <w:p w14:paraId="1C1BA7E5"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Executive Leadership Team</w:t>
            </w:r>
          </w:p>
        </w:tc>
        <w:tc>
          <w:tcPr>
            <w:tcW w:w="0" w:type="auto"/>
            <w:vAlign w:val="center"/>
            <w:hideMark/>
          </w:tcPr>
          <w:p w14:paraId="6C04B163"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Employees, Managers</w:t>
            </w:r>
          </w:p>
        </w:tc>
      </w:tr>
      <w:tr w:rsidR="002878A1" w:rsidRPr="002878A1" w14:paraId="24583ADE" w14:textId="77777777" w:rsidTr="002878A1">
        <w:trPr>
          <w:tblCellSpacing w:w="15" w:type="dxa"/>
        </w:trPr>
        <w:tc>
          <w:tcPr>
            <w:tcW w:w="0" w:type="auto"/>
            <w:vAlign w:val="center"/>
            <w:hideMark/>
          </w:tcPr>
          <w:p w14:paraId="6B1C3CB2"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Establish implementation team and detailed project plan</w:t>
            </w:r>
          </w:p>
        </w:tc>
        <w:tc>
          <w:tcPr>
            <w:tcW w:w="0" w:type="auto"/>
            <w:vAlign w:val="center"/>
            <w:hideMark/>
          </w:tcPr>
          <w:p w14:paraId="3551567A"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Months 2–3</w:t>
            </w:r>
          </w:p>
        </w:tc>
        <w:tc>
          <w:tcPr>
            <w:tcW w:w="0" w:type="auto"/>
            <w:vAlign w:val="center"/>
            <w:hideMark/>
          </w:tcPr>
          <w:p w14:paraId="0C6F49AF"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Project Manager</w:t>
            </w:r>
          </w:p>
        </w:tc>
        <w:tc>
          <w:tcPr>
            <w:tcW w:w="0" w:type="auto"/>
            <w:vAlign w:val="center"/>
            <w:hideMark/>
          </w:tcPr>
          <w:p w14:paraId="246A7D5E"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Senior Management, IT Department</w:t>
            </w:r>
          </w:p>
        </w:tc>
      </w:tr>
      <w:tr w:rsidR="002878A1" w:rsidRPr="002878A1" w14:paraId="6CE112D6" w14:textId="77777777" w:rsidTr="002878A1">
        <w:trPr>
          <w:tblCellSpacing w:w="15" w:type="dxa"/>
        </w:trPr>
        <w:tc>
          <w:tcPr>
            <w:tcW w:w="0" w:type="auto"/>
            <w:vAlign w:val="center"/>
            <w:hideMark/>
          </w:tcPr>
          <w:p w14:paraId="67D72792"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Introduce AI manufacturing systems and supplier platform</w:t>
            </w:r>
          </w:p>
        </w:tc>
        <w:tc>
          <w:tcPr>
            <w:tcW w:w="0" w:type="auto"/>
            <w:vAlign w:val="center"/>
            <w:hideMark/>
          </w:tcPr>
          <w:p w14:paraId="4415EC79"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Months 4–12</w:t>
            </w:r>
          </w:p>
        </w:tc>
        <w:tc>
          <w:tcPr>
            <w:tcW w:w="0" w:type="auto"/>
            <w:vAlign w:val="center"/>
            <w:hideMark/>
          </w:tcPr>
          <w:p w14:paraId="181DAF08"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Operations and IT Teams</w:t>
            </w:r>
          </w:p>
        </w:tc>
        <w:tc>
          <w:tcPr>
            <w:tcW w:w="0" w:type="auto"/>
            <w:vAlign w:val="center"/>
            <w:hideMark/>
          </w:tcPr>
          <w:p w14:paraId="45D08DEA"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Production Staff, Suppliers</w:t>
            </w:r>
          </w:p>
        </w:tc>
      </w:tr>
      <w:tr w:rsidR="002878A1" w:rsidRPr="002878A1" w14:paraId="473A7D57" w14:textId="77777777" w:rsidTr="002878A1">
        <w:trPr>
          <w:tblCellSpacing w:w="15" w:type="dxa"/>
        </w:trPr>
        <w:tc>
          <w:tcPr>
            <w:tcW w:w="0" w:type="auto"/>
            <w:vAlign w:val="center"/>
            <w:hideMark/>
          </w:tcPr>
          <w:p w14:paraId="119C8ADD"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Deliver employee training and system testing</w:t>
            </w:r>
          </w:p>
        </w:tc>
        <w:tc>
          <w:tcPr>
            <w:tcW w:w="0" w:type="auto"/>
            <w:vAlign w:val="center"/>
            <w:hideMark/>
          </w:tcPr>
          <w:p w14:paraId="3D880226"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Months 8–14</w:t>
            </w:r>
          </w:p>
        </w:tc>
        <w:tc>
          <w:tcPr>
            <w:tcW w:w="0" w:type="auto"/>
            <w:vAlign w:val="center"/>
            <w:hideMark/>
          </w:tcPr>
          <w:p w14:paraId="25C738AF"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Human Resources and IT</w:t>
            </w:r>
          </w:p>
        </w:tc>
        <w:tc>
          <w:tcPr>
            <w:tcW w:w="0" w:type="auto"/>
            <w:vAlign w:val="center"/>
            <w:hideMark/>
          </w:tcPr>
          <w:p w14:paraId="66D652FC"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Employees, Department Managers</w:t>
            </w:r>
          </w:p>
        </w:tc>
      </w:tr>
      <w:tr w:rsidR="002878A1" w:rsidRPr="002878A1" w14:paraId="77AEF33E" w14:textId="77777777" w:rsidTr="002878A1">
        <w:trPr>
          <w:tblCellSpacing w:w="15" w:type="dxa"/>
        </w:trPr>
        <w:tc>
          <w:tcPr>
            <w:tcW w:w="0" w:type="auto"/>
            <w:vAlign w:val="center"/>
            <w:hideMark/>
          </w:tcPr>
          <w:p w14:paraId="29E74CBF"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Monitor performance, review KPIs and embed change</w:t>
            </w:r>
          </w:p>
        </w:tc>
        <w:tc>
          <w:tcPr>
            <w:tcW w:w="0" w:type="auto"/>
            <w:vAlign w:val="center"/>
            <w:hideMark/>
          </w:tcPr>
          <w:p w14:paraId="29780292"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Months 15–24</w:t>
            </w:r>
          </w:p>
        </w:tc>
        <w:tc>
          <w:tcPr>
            <w:tcW w:w="0" w:type="auto"/>
            <w:vAlign w:val="center"/>
            <w:hideMark/>
          </w:tcPr>
          <w:p w14:paraId="7C0763F1"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Executive Leadership Team</w:t>
            </w:r>
          </w:p>
        </w:tc>
        <w:tc>
          <w:tcPr>
            <w:tcW w:w="0" w:type="auto"/>
            <w:vAlign w:val="center"/>
            <w:hideMark/>
          </w:tcPr>
          <w:p w14:paraId="42920AA3" w14:textId="77777777" w:rsidR="002878A1" w:rsidRPr="002878A1" w:rsidRDefault="002878A1" w:rsidP="002878A1">
            <w:pPr>
              <w:spacing w:after="160" w:line="259" w:lineRule="auto"/>
              <w:rPr>
                <w:rFonts w:eastAsia="Calibri"/>
                <w:kern w:val="2"/>
                <w:sz w:val="24"/>
                <w:szCs w:val="24"/>
                <w:lang w:eastAsia="en-US"/>
                <w14:ligatures w14:val="standardContextual"/>
              </w:rPr>
            </w:pPr>
            <w:r w:rsidRPr="002878A1">
              <w:rPr>
                <w:rFonts w:eastAsia="Calibri"/>
                <w:kern w:val="2"/>
                <w:sz w:val="24"/>
                <w:szCs w:val="24"/>
                <w:lang w:eastAsia="en-US"/>
                <w14:ligatures w14:val="standardContextual"/>
              </w:rPr>
              <w:t>All Internal Stakeholders</w:t>
            </w:r>
          </w:p>
        </w:tc>
      </w:tr>
    </w:tbl>
    <w:p w14:paraId="2A93BE5B" w14:textId="6B7E55F8" w:rsidR="00E252B1" w:rsidRDefault="002878A1" w:rsidP="00E252B1">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 xml:space="preserve">Table 6: </w:t>
      </w:r>
      <w:r w:rsidR="00E252B1">
        <w:rPr>
          <w:rFonts w:eastAsia="Calibri"/>
          <w:kern w:val="2"/>
          <w:sz w:val="24"/>
          <w:szCs w:val="24"/>
          <w:lang w:eastAsia="en-US"/>
          <w14:ligatures w14:val="standardContextual"/>
        </w:rPr>
        <w:t>implementation plan</w:t>
      </w:r>
    </w:p>
    <w:p w14:paraId="6C289238" w14:textId="77777777" w:rsidR="00E252B1" w:rsidRDefault="00E252B1" w:rsidP="00E252B1">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p>
    <w:p w14:paraId="7FF5E89A" w14:textId="77777777" w:rsidR="00E252B1" w:rsidRDefault="005D0067" w:rsidP="00330683">
      <w:pPr>
        <w:pStyle w:val="Heading2"/>
        <w:rPr>
          <w:rFonts w:eastAsia="Calibri"/>
          <w:lang w:eastAsia="en-US"/>
        </w:rPr>
      </w:pPr>
      <w:r w:rsidRPr="005D0067">
        <w:rPr>
          <w:rFonts w:eastAsia="Calibri"/>
          <w:lang w:eastAsia="en-US"/>
        </w:rPr>
        <w:br/>
      </w:r>
      <w:bookmarkStart w:id="29" w:name="_Toc235093268"/>
      <w:r w:rsidRPr="005D0067">
        <w:rPr>
          <w:rFonts w:eastAsia="Calibri"/>
          <w:lang w:eastAsia="en-US"/>
        </w:rPr>
        <w:t>6.4 Financial Plan</w:t>
      </w:r>
      <w:bookmarkEnd w:id="29"/>
    </w:p>
    <w:p w14:paraId="26F2D9D3" w14:textId="1A38AAFC" w:rsidR="00AB7253" w:rsidRDefault="0090493C" w:rsidP="005D0067">
      <w:pPr>
        <w:spacing w:after="160" w:line="259" w:lineRule="auto"/>
        <w:rPr>
          <w:rFonts w:eastAsia="Calibri"/>
          <w:kern w:val="2"/>
          <w:sz w:val="24"/>
          <w:szCs w:val="24"/>
          <w:lang w:eastAsia="en-US"/>
          <w14:ligatures w14:val="standardContextual"/>
        </w:rPr>
      </w:pPr>
      <w:r w:rsidRPr="0090493C">
        <w:rPr>
          <w:rFonts w:eastAsia="Calibri"/>
          <w:kern w:val="2"/>
          <w:sz w:val="24"/>
          <w:szCs w:val="24"/>
          <w:lang w:eastAsia="en-US"/>
          <w14:ligatures w14:val="standardContextual"/>
        </w:rPr>
        <w:t xml:space="preserve">The suggested AI-enabled manufacturing and supply chain management project calls for phased investments over a period of August 2026 to July 2028. Given that </w:t>
      </w:r>
      <w:proofErr w:type="spellStart"/>
      <w:r w:rsidR="009B1B26">
        <w:rPr>
          <w:rFonts w:eastAsia="Calibri"/>
          <w:kern w:val="2"/>
          <w:sz w:val="24"/>
          <w:szCs w:val="24"/>
          <w:lang w:eastAsia="en-US"/>
          <w14:ligatures w14:val="standardContextual"/>
        </w:rPr>
        <w:t>JLR</w:t>
      </w:r>
      <w:r w:rsidRPr="0090493C">
        <w:rPr>
          <w:rFonts w:eastAsia="Calibri"/>
          <w:kern w:val="2"/>
          <w:sz w:val="24"/>
          <w:szCs w:val="24"/>
          <w:lang w:eastAsia="en-US"/>
          <w14:ligatures w14:val="standardContextual"/>
        </w:rPr>
        <w:t>is</w:t>
      </w:r>
      <w:proofErr w:type="spellEnd"/>
      <w:r w:rsidRPr="0090493C">
        <w:rPr>
          <w:rFonts w:eastAsia="Calibri"/>
          <w:kern w:val="2"/>
          <w:sz w:val="24"/>
          <w:szCs w:val="24"/>
          <w:lang w:eastAsia="en-US"/>
          <w14:ligatures w14:val="standardContextual"/>
        </w:rPr>
        <w:t xml:space="preserve"> financially sound with positive free cash flows, the firm has the right basis upon which to finance the project through internally sourced capital expenditure. The project is anticipated to yield economic gains in terms of efficiency and cost reduction that will be beneficial for the company, thus justifying the investment over time. It is estimated that the investment will generate returns within four years.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8"/>
        <w:gridCol w:w="1176"/>
        <w:gridCol w:w="1290"/>
        <w:gridCol w:w="1758"/>
        <w:gridCol w:w="1822"/>
        <w:gridCol w:w="1332"/>
      </w:tblGrid>
      <w:tr w:rsidR="00AB7253" w:rsidRPr="00AB7253" w14:paraId="66702C57" w14:textId="77777777" w:rsidTr="00AB7253">
        <w:trPr>
          <w:tblHeader/>
          <w:tblCellSpacing w:w="15" w:type="dxa"/>
        </w:trPr>
        <w:tc>
          <w:tcPr>
            <w:tcW w:w="0" w:type="auto"/>
            <w:vAlign w:val="center"/>
            <w:hideMark/>
          </w:tcPr>
          <w:p w14:paraId="079148D6" w14:textId="77777777" w:rsidR="00AB7253" w:rsidRPr="00AB7253" w:rsidRDefault="00AB7253" w:rsidP="00AB7253">
            <w:pPr>
              <w:spacing w:after="160" w:line="259" w:lineRule="auto"/>
              <w:rPr>
                <w:rFonts w:eastAsia="Calibri"/>
                <w:b/>
                <w:bCs/>
                <w:kern w:val="2"/>
                <w:sz w:val="24"/>
                <w:szCs w:val="24"/>
                <w:lang w:eastAsia="en-US"/>
                <w14:ligatures w14:val="standardContextual"/>
              </w:rPr>
            </w:pPr>
            <w:r w:rsidRPr="00AB7253">
              <w:rPr>
                <w:rFonts w:eastAsia="Calibri"/>
                <w:b/>
                <w:bCs/>
                <w:kern w:val="2"/>
                <w:sz w:val="24"/>
                <w:szCs w:val="24"/>
                <w:lang w:eastAsia="en-US"/>
                <w14:ligatures w14:val="standardContextual"/>
              </w:rPr>
              <w:t>Investment Area</w:t>
            </w:r>
          </w:p>
        </w:tc>
        <w:tc>
          <w:tcPr>
            <w:tcW w:w="0" w:type="auto"/>
            <w:vAlign w:val="center"/>
            <w:hideMark/>
          </w:tcPr>
          <w:p w14:paraId="6BA3E679" w14:textId="77777777" w:rsidR="00AB7253" w:rsidRPr="00AB7253" w:rsidRDefault="00AB7253" w:rsidP="00AB7253">
            <w:pPr>
              <w:spacing w:after="160" w:line="259" w:lineRule="auto"/>
              <w:rPr>
                <w:rFonts w:eastAsia="Calibri"/>
                <w:b/>
                <w:bCs/>
                <w:kern w:val="2"/>
                <w:sz w:val="24"/>
                <w:szCs w:val="24"/>
                <w:lang w:eastAsia="en-US"/>
                <w14:ligatures w14:val="standardContextual"/>
              </w:rPr>
            </w:pPr>
            <w:r w:rsidRPr="00AB7253">
              <w:rPr>
                <w:rFonts w:eastAsia="Calibri"/>
                <w:b/>
                <w:bCs/>
                <w:kern w:val="2"/>
                <w:sz w:val="24"/>
                <w:szCs w:val="24"/>
                <w:lang w:eastAsia="en-US"/>
                <w14:ligatures w14:val="standardContextual"/>
              </w:rPr>
              <w:t>Estimated Cost (£m)</w:t>
            </w:r>
          </w:p>
        </w:tc>
        <w:tc>
          <w:tcPr>
            <w:tcW w:w="0" w:type="auto"/>
            <w:vAlign w:val="center"/>
            <w:hideMark/>
          </w:tcPr>
          <w:p w14:paraId="09CD9AA9" w14:textId="77777777" w:rsidR="00AB7253" w:rsidRPr="00AB7253" w:rsidRDefault="00AB7253" w:rsidP="00AB7253">
            <w:pPr>
              <w:spacing w:after="160" w:line="259" w:lineRule="auto"/>
              <w:rPr>
                <w:rFonts w:eastAsia="Calibri"/>
                <w:b/>
                <w:bCs/>
                <w:kern w:val="2"/>
                <w:sz w:val="24"/>
                <w:szCs w:val="24"/>
                <w:lang w:eastAsia="en-US"/>
                <w14:ligatures w14:val="standardContextual"/>
              </w:rPr>
            </w:pPr>
            <w:r w:rsidRPr="00AB7253">
              <w:rPr>
                <w:rFonts w:eastAsia="Calibri"/>
                <w:b/>
                <w:bCs/>
                <w:kern w:val="2"/>
                <w:sz w:val="24"/>
                <w:szCs w:val="24"/>
                <w:lang w:eastAsia="en-US"/>
                <w14:ligatures w14:val="standardContextual"/>
              </w:rPr>
              <w:t>Funding Source</w:t>
            </w:r>
          </w:p>
        </w:tc>
        <w:tc>
          <w:tcPr>
            <w:tcW w:w="0" w:type="auto"/>
            <w:vAlign w:val="center"/>
            <w:hideMark/>
          </w:tcPr>
          <w:p w14:paraId="2FB2EBAF" w14:textId="77777777" w:rsidR="00AB7253" w:rsidRPr="00AB7253" w:rsidRDefault="00AB7253" w:rsidP="00AB7253">
            <w:pPr>
              <w:spacing w:after="160" w:line="259" w:lineRule="auto"/>
              <w:rPr>
                <w:rFonts w:eastAsia="Calibri"/>
                <w:b/>
                <w:bCs/>
                <w:kern w:val="2"/>
                <w:sz w:val="24"/>
                <w:szCs w:val="24"/>
                <w:lang w:eastAsia="en-US"/>
                <w14:ligatures w14:val="standardContextual"/>
              </w:rPr>
            </w:pPr>
            <w:r w:rsidRPr="00AB7253">
              <w:rPr>
                <w:rFonts w:eastAsia="Calibri"/>
                <w:b/>
                <w:bCs/>
                <w:kern w:val="2"/>
                <w:sz w:val="24"/>
                <w:szCs w:val="24"/>
                <w:lang w:eastAsia="en-US"/>
                <w14:ligatures w14:val="standardContextual"/>
              </w:rPr>
              <w:t>Implementation Period</w:t>
            </w:r>
          </w:p>
        </w:tc>
        <w:tc>
          <w:tcPr>
            <w:tcW w:w="0" w:type="auto"/>
            <w:vAlign w:val="center"/>
            <w:hideMark/>
          </w:tcPr>
          <w:p w14:paraId="7E086B71" w14:textId="77777777" w:rsidR="00AB7253" w:rsidRPr="00AB7253" w:rsidRDefault="00AB7253" w:rsidP="00AB7253">
            <w:pPr>
              <w:spacing w:after="160" w:line="259" w:lineRule="auto"/>
              <w:rPr>
                <w:rFonts w:eastAsia="Calibri"/>
                <w:b/>
                <w:bCs/>
                <w:kern w:val="2"/>
                <w:sz w:val="24"/>
                <w:szCs w:val="24"/>
                <w:lang w:eastAsia="en-US"/>
                <w14:ligatures w14:val="standardContextual"/>
              </w:rPr>
            </w:pPr>
            <w:r w:rsidRPr="00AB7253">
              <w:rPr>
                <w:rFonts w:eastAsia="Calibri"/>
                <w:b/>
                <w:bCs/>
                <w:kern w:val="2"/>
                <w:sz w:val="24"/>
                <w:szCs w:val="24"/>
                <w:lang w:eastAsia="en-US"/>
                <w14:ligatures w14:val="standardContextual"/>
              </w:rPr>
              <w:t>Expected Benefit</w:t>
            </w:r>
          </w:p>
        </w:tc>
        <w:tc>
          <w:tcPr>
            <w:tcW w:w="0" w:type="auto"/>
            <w:vAlign w:val="center"/>
            <w:hideMark/>
          </w:tcPr>
          <w:p w14:paraId="240ECA36" w14:textId="77777777" w:rsidR="00AB7253" w:rsidRPr="00AB7253" w:rsidRDefault="00AB7253" w:rsidP="00AB7253">
            <w:pPr>
              <w:spacing w:after="160" w:line="259" w:lineRule="auto"/>
              <w:rPr>
                <w:rFonts w:eastAsia="Calibri"/>
                <w:b/>
                <w:bCs/>
                <w:kern w:val="2"/>
                <w:sz w:val="24"/>
                <w:szCs w:val="24"/>
                <w:lang w:eastAsia="en-US"/>
                <w14:ligatures w14:val="standardContextual"/>
              </w:rPr>
            </w:pPr>
            <w:r w:rsidRPr="00AB7253">
              <w:rPr>
                <w:rFonts w:eastAsia="Calibri"/>
                <w:b/>
                <w:bCs/>
                <w:kern w:val="2"/>
                <w:sz w:val="24"/>
                <w:szCs w:val="24"/>
                <w:lang w:eastAsia="en-US"/>
                <w14:ligatures w14:val="standardContextual"/>
              </w:rPr>
              <w:t>Target Outcome</w:t>
            </w:r>
          </w:p>
        </w:tc>
      </w:tr>
      <w:tr w:rsidR="00AB7253" w:rsidRPr="00AB7253" w14:paraId="5B125E83" w14:textId="77777777" w:rsidTr="00AB7253">
        <w:trPr>
          <w:tblCellSpacing w:w="15" w:type="dxa"/>
        </w:trPr>
        <w:tc>
          <w:tcPr>
            <w:tcW w:w="0" w:type="auto"/>
            <w:vAlign w:val="center"/>
            <w:hideMark/>
          </w:tcPr>
          <w:p w14:paraId="786204AE"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AI manufacturing systems</w:t>
            </w:r>
          </w:p>
        </w:tc>
        <w:tc>
          <w:tcPr>
            <w:tcW w:w="0" w:type="auto"/>
            <w:vAlign w:val="center"/>
            <w:hideMark/>
          </w:tcPr>
          <w:p w14:paraId="635A89CF"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220</w:t>
            </w:r>
          </w:p>
        </w:tc>
        <w:tc>
          <w:tcPr>
            <w:tcW w:w="0" w:type="auto"/>
            <w:vAlign w:val="center"/>
            <w:hideMark/>
          </w:tcPr>
          <w:p w14:paraId="2365BB1E"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Internal capital investment</w:t>
            </w:r>
          </w:p>
        </w:tc>
        <w:tc>
          <w:tcPr>
            <w:tcW w:w="0" w:type="auto"/>
            <w:vAlign w:val="center"/>
            <w:hideMark/>
          </w:tcPr>
          <w:p w14:paraId="10C83D7A"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Aug 2026 – Dec 2027</w:t>
            </w:r>
          </w:p>
        </w:tc>
        <w:tc>
          <w:tcPr>
            <w:tcW w:w="0" w:type="auto"/>
            <w:vAlign w:val="center"/>
            <w:hideMark/>
          </w:tcPr>
          <w:p w14:paraId="6CEB210C"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Increased production efficiency</w:t>
            </w:r>
          </w:p>
        </w:tc>
        <w:tc>
          <w:tcPr>
            <w:tcW w:w="0" w:type="auto"/>
            <w:vAlign w:val="center"/>
            <w:hideMark/>
          </w:tcPr>
          <w:p w14:paraId="135FBE40"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20% reduction in production downtime</w:t>
            </w:r>
          </w:p>
        </w:tc>
      </w:tr>
      <w:tr w:rsidR="00AB7253" w:rsidRPr="00AB7253" w14:paraId="139E87FB" w14:textId="77777777" w:rsidTr="00AB7253">
        <w:trPr>
          <w:tblCellSpacing w:w="15" w:type="dxa"/>
        </w:trPr>
        <w:tc>
          <w:tcPr>
            <w:tcW w:w="0" w:type="auto"/>
            <w:vAlign w:val="center"/>
            <w:hideMark/>
          </w:tcPr>
          <w:p w14:paraId="6AC0A972"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Digital supply chain platform</w:t>
            </w:r>
          </w:p>
        </w:tc>
        <w:tc>
          <w:tcPr>
            <w:tcW w:w="0" w:type="auto"/>
            <w:vAlign w:val="center"/>
            <w:hideMark/>
          </w:tcPr>
          <w:p w14:paraId="7C315CCB"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140</w:t>
            </w:r>
          </w:p>
        </w:tc>
        <w:tc>
          <w:tcPr>
            <w:tcW w:w="0" w:type="auto"/>
            <w:vAlign w:val="center"/>
            <w:hideMark/>
          </w:tcPr>
          <w:p w14:paraId="0CC1C48C"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Internal capital investment</w:t>
            </w:r>
          </w:p>
        </w:tc>
        <w:tc>
          <w:tcPr>
            <w:tcW w:w="0" w:type="auto"/>
            <w:vAlign w:val="center"/>
            <w:hideMark/>
          </w:tcPr>
          <w:p w14:paraId="009DD873"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Oct 2026 – Mar 2028</w:t>
            </w:r>
          </w:p>
        </w:tc>
        <w:tc>
          <w:tcPr>
            <w:tcW w:w="0" w:type="auto"/>
            <w:vAlign w:val="center"/>
            <w:hideMark/>
          </w:tcPr>
          <w:p w14:paraId="42855FFC"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Greater supply chain visibility</w:t>
            </w:r>
          </w:p>
        </w:tc>
        <w:tc>
          <w:tcPr>
            <w:tcW w:w="0" w:type="auto"/>
            <w:vAlign w:val="center"/>
            <w:hideMark/>
          </w:tcPr>
          <w:p w14:paraId="11C026D6"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90% Tier 1 supplier integration</w:t>
            </w:r>
          </w:p>
        </w:tc>
      </w:tr>
      <w:tr w:rsidR="00AB7253" w:rsidRPr="00AB7253" w14:paraId="7E313688" w14:textId="77777777" w:rsidTr="00AB7253">
        <w:trPr>
          <w:tblCellSpacing w:w="15" w:type="dxa"/>
        </w:trPr>
        <w:tc>
          <w:tcPr>
            <w:tcW w:w="0" w:type="auto"/>
            <w:vAlign w:val="center"/>
            <w:hideMark/>
          </w:tcPr>
          <w:p w14:paraId="43D3706A"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Workforce digital training</w:t>
            </w:r>
          </w:p>
        </w:tc>
        <w:tc>
          <w:tcPr>
            <w:tcW w:w="0" w:type="auto"/>
            <w:vAlign w:val="center"/>
            <w:hideMark/>
          </w:tcPr>
          <w:p w14:paraId="218C703F"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35</w:t>
            </w:r>
          </w:p>
        </w:tc>
        <w:tc>
          <w:tcPr>
            <w:tcW w:w="0" w:type="auto"/>
            <w:vAlign w:val="center"/>
            <w:hideMark/>
          </w:tcPr>
          <w:p w14:paraId="23BADD48"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 xml:space="preserve">Internal investment and UK </w:t>
            </w:r>
            <w:r w:rsidRPr="00AB7253">
              <w:rPr>
                <w:rFonts w:eastAsia="Calibri"/>
                <w:kern w:val="2"/>
                <w:sz w:val="24"/>
                <w:szCs w:val="24"/>
                <w:lang w:eastAsia="en-US"/>
                <w14:ligatures w14:val="standardContextual"/>
              </w:rPr>
              <w:lastRenderedPageBreak/>
              <w:t>skills funding</w:t>
            </w:r>
          </w:p>
        </w:tc>
        <w:tc>
          <w:tcPr>
            <w:tcW w:w="0" w:type="auto"/>
            <w:vAlign w:val="center"/>
            <w:hideMark/>
          </w:tcPr>
          <w:p w14:paraId="52C7D611"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lastRenderedPageBreak/>
              <w:t>Jan 2027 – Jun 2028</w:t>
            </w:r>
          </w:p>
        </w:tc>
        <w:tc>
          <w:tcPr>
            <w:tcW w:w="0" w:type="auto"/>
            <w:vAlign w:val="center"/>
            <w:hideMark/>
          </w:tcPr>
          <w:p w14:paraId="576C2BE2"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Improved digital capability</w:t>
            </w:r>
          </w:p>
        </w:tc>
        <w:tc>
          <w:tcPr>
            <w:tcW w:w="0" w:type="auto"/>
            <w:vAlign w:val="center"/>
            <w:hideMark/>
          </w:tcPr>
          <w:p w14:paraId="6BDC518B"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100% production workforce trained</w:t>
            </w:r>
          </w:p>
        </w:tc>
      </w:tr>
      <w:tr w:rsidR="00AB7253" w:rsidRPr="00AB7253" w14:paraId="7A30EBC2" w14:textId="77777777" w:rsidTr="00AB7253">
        <w:trPr>
          <w:tblCellSpacing w:w="15" w:type="dxa"/>
        </w:trPr>
        <w:tc>
          <w:tcPr>
            <w:tcW w:w="0" w:type="auto"/>
            <w:vAlign w:val="center"/>
            <w:hideMark/>
          </w:tcPr>
          <w:p w14:paraId="4105F51E"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Smart infrastructure and system integration</w:t>
            </w:r>
          </w:p>
        </w:tc>
        <w:tc>
          <w:tcPr>
            <w:tcW w:w="0" w:type="auto"/>
            <w:vAlign w:val="center"/>
            <w:hideMark/>
          </w:tcPr>
          <w:p w14:paraId="1C996787"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55</w:t>
            </w:r>
          </w:p>
        </w:tc>
        <w:tc>
          <w:tcPr>
            <w:tcW w:w="0" w:type="auto"/>
            <w:vAlign w:val="center"/>
            <w:hideMark/>
          </w:tcPr>
          <w:p w14:paraId="44256189"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Internal capital investment</w:t>
            </w:r>
          </w:p>
        </w:tc>
        <w:tc>
          <w:tcPr>
            <w:tcW w:w="0" w:type="auto"/>
            <w:vAlign w:val="center"/>
            <w:hideMark/>
          </w:tcPr>
          <w:p w14:paraId="691BA726"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Jan 2027 – Jul 2028</w:t>
            </w:r>
          </w:p>
        </w:tc>
        <w:tc>
          <w:tcPr>
            <w:tcW w:w="0" w:type="auto"/>
            <w:vAlign w:val="center"/>
            <w:hideMark/>
          </w:tcPr>
          <w:p w14:paraId="64E84999"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Improved system connectivity</w:t>
            </w:r>
          </w:p>
        </w:tc>
        <w:tc>
          <w:tcPr>
            <w:tcW w:w="0" w:type="auto"/>
            <w:vAlign w:val="center"/>
            <w:hideMark/>
          </w:tcPr>
          <w:p w14:paraId="3E5C68E5"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Real-time operational data across UK sites</w:t>
            </w:r>
          </w:p>
        </w:tc>
      </w:tr>
      <w:tr w:rsidR="00AB7253" w:rsidRPr="00AB7253" w14:paraId="1E69526E" w14:textId="77777777" w:rsidTr="00AB7253">
        <w:trPr>
          <w:tblCellSpacing w:w="15" w:type="dxa"/>
        </w:trPr>
        <w:tc>
          <w:tcPr>
            <w:tcW w:w="0" w:type="auto"/>
            <w:vAlign w:val="center"/>
            <w:hideMark/>
          </w:tcPr>
          <w:p w14:paraId="41D1781F"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Contingency and cybersecurity</w:t>
            </w:r>
          </w:p>
        </w:tc>
        <w:tc>
          <w:tcPr>
            <w:tcW w:w="0" w:type="auto"/>
            <w:vAlign w:val="center"/>
            <w:hideMark/>
          </w:tcPr>
          <w:p w14:paraId="1BFA26D7"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25</w:t>
            </w:r>
          </w:p>
        </w:tc>
        <w:tc>
          <w:tcPr>
            <w:tcW w:w="0" w:type="auto"/>
            <w:vAlign w:val="center"/>
            <w:hideMark/>
          </w:tcPr>
          <w:p w14:paraId="66B0B6F5"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Internal capital investment</w:t>
            </w:r>
          </w:p>
        </w:tc>
        <w:tc>
          <w:tcPr>
            <w:tcW w:w="0" w:type="auto"/>
            <w:vAlign w:val="center"/>
            <w:hideMark/>
          </w:tcPr>
          <w:p w14:paraId="2467BF54"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Throughout project</w:t>
            </w:r>
          </w:p>
        </w:tc>
        <w:tc>
          <w:tcPr>
            <w:tcW w:w="0" w:type="auto"/>
            <w:vAlign w:val="center"/>
            <w:hideMark/>
          </w:tcPr>
          <w:p w14:paraId="3B23C9B1"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Reduced implementation risk</w:t>
            </w:r>
          </w:p>
        </w:tc>
        <w:tc>
          <w:tcPr>
            <w:tcW w:w="0" w:type="auto"/>
            <w:vAlign w:val="center"/>
            <w:hideMark/>
          </w:tcPr>
          <w:p w14:paraId="66FD4C69"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kern w:val="2"/>
                <w:sz w:val="24"/>
                <w:szCs w:val="24"/>
                <w:lang w:eastAsia="en-US"/>
                <w14:ligatures w14:val="standardContextual"/>
              </w:rPr>
              <w:t>Stronger operational resilience</w:t>
            </w:r>
          </w:p>
        </w:tc>
      </w:tr>
      <w:tr w:rsidR="00AB7253" w:rsidRPr="00AB7253" w14:paraId="1E8186C9" w14:textId="77777777" w:rsidTr="00AB7253">
        <w:trPr>
          <w:tblCellSpacing w:w="15" w:type="dxa"/>
        </w:trPr>
        <w:tc>
          <w:tcPr>
            <w:tcW w:w="0" w:type="auto"/>
            <w:vAlign w:val="center"/>
            <w:hideMark/>
          </w:tcPr>
          <w:p w14:paraId="498C0A38"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b/>
                <w:bCs/>
                <w:kern w:val="2"/>
                <w:sz w:val="24"/>
                <w:szCs w:val="24"/>
                <w:lang w:eastAsia="en-US"/>
                <w14:ligatures w14:val="standardContextual"/>
              </w:rPr>
              <w:t>Total Estimated Investment</w:t>
            </w:r>
          </w:p>
        </w:tc>
        <w:tc>
          <w:tcPr>
            <w:tcW w:w="0" w:type="auto"/>
            <w:vAlign w:val="center"/>
            <w:hideMark/>
          </w:tcPr>
          <w:p w14:paraId="1C70F265"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b/>
                <w:bCs/>
                <w:kern w:val="2"/>
                <w:sz w:val="24"/>
                <w:szCs w:val="24"/>
                <w:lang w:eastAsia="en-US"/>
                <w14:ligatures w14:val="standardContextual"/>
              </w:rPr>
              <w:t>475</w:t>
            </w:r>
          </w:p>
        </w:tc>
        <w:tc>
          <w:tcPr>
            <w:tcW w:w="0" w:type="auto"/>
            <w:vAlign w:val="center"/>
            <w:hideMark/>
          </w:tcPr>
          <w:p w14:paraId="340FBD52"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b/>
                <w:bCs/>
                <w:kern w:val="2"/>
                <w:sz w:val="24"/>
                <w:szCs w:val="24"/>
                <w:lang w:eastAsia="en-US"/>
                <w14:ligatures w14:val="standardContextual"/>
              </w:rPr>
              <w:t>Mixed funding</w:t>
            </w:r>
          </w:p>
        </w:tc>
        <w:tc>
          <w:tcPr>
            <w:tcW w:w="0" w:type="auto"/>
            <w:vAlign w:val="center"/>
            <w:hideMark/>
          </w:tcPr>
          <w:p w14:paraId="5ADEC835"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b/>
                <w:bCs/>
                <w:kern w:val="2"/>
                <w:sz w:val="24"/>
                <w:szCs w:val="24"/>
                <w:lang w:eastAsia="en-US"/>
                <w14:ligatures w14:val="standardContextual"/>
              </w:rPr>
              <w:t>Aug 2026 – Jul 2028</w:t>
            </w:r>
          </w:p>
        </w:tc>
        <w:tc>
          <w:tcPr>
            <w:tcW w:w="0" w:type="auto"/>
            <w:vAlign w:val="center"/>
            <w:hideMark/>
          </w:tcPr>
          <w:p w14:paraId="2FB375CB"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b/>
                <w:bCs/>
                <w:kern w:val="2"/>
                <w:sz w:val="24"/>
                <w:szCs w:val="24"/>
                <w:lang w:eastAsia="en-US"/>
                <w14:ligatures w14:val="standardContextual"/>
              </w:rPr>
              <w:t>Operational efficiency and digital transformation</w:t>
            </w:r>
          </w:p>
        </w:tc>
        <w:tc>
          <w:tcPr>
            <w:tcW w:w="0" w:type="auto"/>
            <w:vAlign w:val="center"/>
            <w:hideMark/>
          </w:tcPr>
          <w:p w14:paraId="12BAACBD" w14:textId="77777777" w:rsidR="00AB7253" w:rsidRPr="00AB7253" w:rsidRDefault="00AB7253" w:rsidP="00AB7253">
            <w:pPr>
              <w:spacing w:after="160" w:line="259" w:lineRule="auto"/>
              <w:rPr>
                <w:rFonts w:eastAsia="Calibri"/>
                <w:kern w:val="2"/>
                <w:sz w:val="24"/>
                <w:szCs w:val="24"/>
                <w:lang w:eastAsia="en-US"/>
                <w14:ligatures w14:val="standardContextual"/>
              </w:rPr>
            </w:pPr>
            <w:r w:rsidRPr="00AB7253">
              <w:rPr>
                <w:rFonts w:eastAsia="Calibri"/>
                <w:b/>
                <w:bCs/>
                <w:kern w:val="2"/>
                <w:sz w:val="24"/>
                <w:szCs w:val="24"/>
                <w:lang w:eastAsia="en-US"/>
                <w14:ligatures w14:val="standardContextual"/>
              </w:rPr>
              <w:t>Estimated payback period: 4 years</w:t>
            </w:r>
          </w:p>
        </w:tc>
      </w:tr>
    </w:tbl>
    <w:p w14:paraId="08A58D74" w14:textId="77777777" w:rsidR="00AB7253" w:rsidRDefault="00AB7253" w:rsidP="008031BB">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Table 7: financial plans</w:t>
      </w:r>
    </w:p>
    <w:p w14:paraId="0BDD903E" w14:textId="77777777" w:rsidR="00AB7253" w:rsidRDefault="00AB7253" w:rsidP="008031BB">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r>
        <w:rPr>
          <w:rFonts w:eastAsia="Calibri"/>
          <w:kern w:val="2"/>
          <w:sz w:val="24"/>
          <w:szCs w:val="24"/>
          <w:lang w:eastAsia="en-US"/>
          <w14:ligatures w14:val="standardContextual"/>
        </w:rPr>
        <w:br/>
      </w:r>
    </w:p>
    <w:p w14:paraId="4E46ED07" w14:textId="18DEBA14" w:rsidR="008031BB" w:rsidRDefault="005D0067" w:rsidP="00330683">
      <w:pPr>
        <w:pStyle w:val="Heading2"/>
        <w:rPr>
          <w:rFonts w:eastAsia="Calibri"/>
          <w:lang w:eastAsia="en-US"/>
        </w:rPr>
      </w:pPr>
      <w:r w:rsidRPr="005D0067">
        <w:rPr>
          <w:rFonts w:eastAsia="Calibri"/>
          <w:lang w:eastAsia="en-US"/>
        </w:rPr>
        <w:br/>
      </w:r>
      <w:bookmarkStart w:id="30" w:name="_Toc235093269"/>
      <w:r w:rsidRPr="005D0067">
        <w:rPr>
          <w:rFonts w:eastAsia="Calibri"/>
          <w:lang w:eastAsia="en-US"/>
        </w:rPr>
        <w:t>6.5 Communication Plan</w:t>
      </w:r>
      <w:bookmarkEnd w:id="30"/>
    </w:p>
    <w:p w14:paraId="7AA5794D" w14:textId="77D035F1" w:rsidR="003C7449" w:rsidRDefault="003C7449" w:rsidP="005D0067">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Good communication is going to help implement the suggested change effectively since everyone is going to understand what the project entails, its progress, and what is to be achieved from it. Communication is also going to minimize uncertainties and ensure that employees engage and collaborate among themselves and with the outside agencies involved in the project.</w:t>
      </w:r>
    </w:p>
    <w:p w14:paraId="5278ED2A" w14:textId="77777777" w:rsidR="003C7449" w:rsidRDefault="003C7449" w:rsidP="005D0067">
      <w:pPr>
        <w:spacing w:after="160" w:line="259" w:lineRule="auto"/>
        <w:rPr>
          <w:rFonts w:eastAsia="Calibri"/>
          <w:kern w:val="2"/>
          <w:sz w:val="24"/>
          <w:szCs w:val="24"/>
          <w:lang w:eastAsia="en-US"/>
          <w14:ligatures w14:val="standardContextu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20"/>
        <w:gridCol w:w="2092"/>
        <w:gridCol w:w="1169"/>
        <w:gridCol w:w="2419"/>
        <w:gridCol w:w="1716"/>
      </w:tblGrid>
      <w:tr w:rsidR="003C7449" w:rsidRPr="003C7449" w14:paraId="59B5F4EC" w14:textId="77777777" w:rsidTr="003C7449">
        <w:trPr>
          <w:tblHeader/>
          <w:tblCellSpacing w:w="15" w:type="dxa"/>
        </w:trPr>
        <w:tc>
          <w:tcPr>
            <w:tcW w:w="0" w:type="auto"/>
            <w:vAlign w:val="center"/>
            <w:hideMark/>
          </w:tcPr>
          <w:p w14:paraId="65E59C95" w14:textId="77777777" w:rsidR="003C7449" w:rsidRPr="003C7449" w:rsidRDefault="003C7449" w:rsidP="003C7449">
            <w:pPr>
              <w:spacing w:after="160" w:line="259" w:lineRule="auto"/>
              <w:rPr>
                <w:rFonts w:eastAsia="Calibri"/>
                <w:b/>
                <w:bCs/>
                <w:kern w:val="2"/>
                <w:sz w:val="24"/>
                <w:szCs w:val="24"/>
                <w:lang w:eastAsia="en-US"/>
                <w14:ligatures w14:val="standardContextual"/>
              </w:rPr>
            </w:pPr>
            <w:r w:rsidRPr="003C7449">
              <w:rPr>
                <w:rFonts w:eastAsia="Calibri"/>
                <w:b/>
                <w:bCs/>
                <w:kern w:val="2"/>
                <w:sz w:val="24"/>
                <w:szCs w:val="24"/>
                <w:lang w:eastAsia="en-US"/>
                <w14:ligatures w14:val="standardContextual"/>
              </w:rPr>
              <w:t>Stakeholder</w:t>
            </w:r>
          </w:p>
        </w:tc>
        <w:tc>
          <w:tcPr>
            <w:tcW w:w="0" w:type="auto"/>
            <w:vAlign w:val="center"/>
            <w:hideMark/>
          </w:tcPr>
          <w:p w14:paraId="34B4F6E5" w14:textId="77777777" w:rsidR="003C7449" w:rsidRPr="003C7449" w:rsidRDefault="003C7449" w:rsidP="003C7449">
            <w:pPr>
              <w:spacing w:after="160" w:line="259" w:lineRule="auto"/>
              <w:rPr>
                <w:rFonts w:eastAsia="Calibri"/>
                <w:b/>
                <w:bCs/>
                <w:kern w:val="2"/>
                <w:sz w:val="24"/>
                <w:szCs w:val="24"/>
                <w:lang w:eastAsia="en-US"/>
                <w14:ligatures w14:val="standardContextual"/>
              </w:rPr>
            </w:pPr>
            <w:r w:rsidRPr="003C7449">
              <w:rPr>
                <w:rFonts w:eastAsia="Calibri"/>
                <w:b/>
                <w:bCs/>
                <w:kern w:val="2"/>
                <w:sz w:val="24"/>
                <w:szCs w:val="24"/>
                <w:lang w:eastAsia="en-US"/>
                <w14:ligatures w14:val="standardContextual"/>
              </w:rPr>
              <w:t>Communication Channel</w:t>
            </w:r>
          </w:p>
        </w:tc>
        <w:tc>
          <w:tcPr>
            <w:tcW w:w="0" w:type="auto"/>
            <w:vAlign w:val="center"/>
            <w:hideMark/>
          </w:tcPr>
          <w:p w14:paraId="1D7075DA" w14:textId="77777777" w:rsidR="003C7449" w:rsidRPr="003C7449" w:rsidRDefault="003C7449" w:rsidP="003C7449">
            <w:pPr>
              <w:spacing w:after="160" w:line="259" w:lineRule="auto"/>
              <w:rPr>
                <w:rFonts w:eastAsia="Calibri"/>
                <w:b/>
                <w:bCs/>
                <w:kern w:val="2"/>
                <w:sz w:val="24"/>
                <w:szCs w:val="24"/>
                <w:lang w:eastAsia="en-US"/>
                <w14:ligatures w14:val="standardContextual"/>
              </w:rPr>
            </w:pPr>
            <w:r w:rsidRPr="003C7449">
              <w:rPr>
                <w:rFonts w:eastAsia="Calibri"/>
                <w:b/>
                <w:bCs/>
                <w:kern w:val="2"/>
                <w:sz w:val="24"/>
                <w:szCs w:val="24"/>
                <w:lang w:eastAsia="en-US"/>
                <w14:ligatures w14:val="standardContextual"/>
              </w:rPr>
              <w:t>Frequency</w:t>
            </w:r>
          </w:p>
        </w:tc>
        <w:tc>
          <w:tcPr>
            <w:tcW w:w="0" w:type="auto"/>
            <w:vAlign w:val="center"/>
            <w:hideMark/>
          </w:tcPr>
          <w:p w14:paraId="7E65EAAF" w14:textId="77777777" w:rsidR="003C7449" w:rsidRPr="003C7449" w:rsidRDefault="003C7449" w:rsidP="003C7449">
            <w:pPr>
              <w:spacing w:after="160" w:line="259" w:lineRule="auto"/>
              <w:rPr>
                <w:rFonts w:eastAsia="Calibri"/>
                <w:b/>
                <w:bCs/>
                <w:kern w:val="2"/>
                <w:sz w:val="24"/>
                <w:szCs w:val="24"/>
                <w:lang w:eastAsia="en-US"/>
                <w14:ligatures w14:val="standardContextual"/>
              </w:rPr>
            </w:pPr>
            <w:r w:rsidRPr="003C7449">
              <w:rPr>
                <w:rFonts w:eastAsia="Calibri"/>
                <w:b/>
                <w:bCs/>
                <w:kern w:val="2"/>
                <w:sz w:val="24"/>
                <w:szCs w:val="24"/>
                <w:lang w:eastAsia="en-US"/>
                <w14:ligatures w14:val="standardContextual"/>
              </w:rPr>
              <w:t>Key Message</w:t>
            </w:r>
          </w:p>
        </w:tc>
        <w:tc>
          <w:tcPr>
            <w:tcW w:w="0" w:type="auto"/>
            <w:vAlign w:val="center"/>
            <w:hideMark/>
          </w:tcPr>
          <w:p w14:paraId="26E92826" w14:textId="77777777" w:rsidR="003C7449" w:rsidRPr="003C7449" w:rsidRDefault="003C7449" w:rsidP="003C7449">
            <w:pPr>
              <w:spacing w:after="160" w:line="259" w:lineRule="auto"/>
              <w:rPr>
                <w:rFonts w:eastAsia="Calibri"/>
                <w:b/>
                <w:bCs/>
                <w:kern w:val="2"/>
                <w:sz w:val="24"/>
                <w:szCs w:val="24"/>
                <w:lang w:eastAsia="en-US"/>
                <w14:ligatures w14:val="standardContextual"/>
              </w:rPr>
            </w:pPr>
            <w:r w:rsidRPr="003C7449">
              <w:rPr>
                <w:rFonts w:eastAsia="Calibri"/>
                <w:b/>
                <w:bCs/>
                <w:kern w:val="2"/>
                <w:sz w:val="24"/>
                <w:szCs w:val="24"/>
                <w:lang w:eastAsia="en-US"/>
                <w14:ligatures w14:val="standardContextual"/>
              </w:rPr>
              <w:t>Responsible Team</w:t>
            </w:r>
          </w:p>
        </w:tc>
      </w:tr>
      <w:tr w:rsidR="003C7449" w:rsidRPr="003C7449" w14:paraId="4C9DF7AF" w14:textId="77777777" w:rsidTr="003C7449">
        <w:trPr>
          <w:tblCellSpacing w:w="15" w:type="dxa"/>
        </w:trPr>
        <w:tc>
          <w:tcPr>
            <w:tcW w:w="0" w:type="auto"/>
            <w:vAlign w:val="center"/>
            <w:hideMark/>
          </w:tcPr>
          <w:p w14:paraId="3481E7A3"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Executive Leadership Team</w:t>
            </w:r>
          </w:p>
        </w:tc>
        <w:tc>
          <w:tcPr>
            <w:tcW w:w="0" w:type="auto"/>
            <w:vAlign w:val="center"/>
            <w:hideMark/>
          </w:tcPr>
          <w:p w14:paraId="76A03340"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Strategic review meetings</w:t>
            </w:r>
          </w:p>
        </w:tc>
        <w:tc>
          <w:tcPr>
            <w:tcW w:w="0" w:type="auto"/>
            <w:vAlign w:val="center"/>
            <w:hideMark/>
          </w:tcPr>
          <w:p w14:paraId="7ADB12AF"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Monthly</w:t>
            </w:r>
          </w:p>
        </w:tc>
        <w:tc>
          <w:tcPr>
            <w:tcW w:w="0" w:type="auto"/>
            <w:vAlign w:val="center"/>
            <w:hideMark/>
          </w:tcPr>
          <w:p w14:paraId="4168CE44"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Project progress, budget and strategic objectives</w:t>
            </w:r>
          </w:p>
        </w:tc>
        <w:tc>
          <w:tcPr>
            <w:tcW w:w="0" w:type="auto"/>
            <w:vAlign w:val="center"/>
            <w:hideMark/>
          </w:tcPr>
          <w:p w14:paraId="6CBDE8EF"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Project Manager</w:t>
            </w:r>
          </w:p>
        </w:tc>
      </w:tr>
      <w:tr w:rsidR="003C7449" w:rsidRPr="003C7449" w14:paraId="4DF6AB02" w14:textId="77777777" w:rsidTr="003C7449">
        <w:trPr>
          <w:tblCellSpacing w:w="15" w:type="dxa"/>
        </w:trPr>
        <w:tc>
          <w:tcPr>
            <w:tcW w:w="0" w:type="auto"/>
            <w:vAlign w:val="center"/>
            <w:hideMark/>
          </w:tcPr>
          <w:p w14:paraId="6333CCEA"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Department Managers</w:t>
            </w:r>
          </w:p>
        </w:tc>
        <w:tc>
          <w:tcPr>
            <w:tcW w:w="0" w:type="auto"/>
            <w:vAlign w:val="center"/>
            <w:hideMark/>
          </w:tcPr>
          <w:p w14:paraId="55490CC4"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Management meetings</w:t>
            </w:r>
          </w:p>
        </w:tc>
        <w:tc>
          <w:tcPr>
            <w:tcW w:w="0" w:type="auto"/>
            <w:vAlign w:val="center"/>
            <w:hideMark/>
          </w:tcPr>
          <w:p w14:paraId="6E7B9A49"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Fortnightly</w:t>
            </w:r>
          </w:p>
        </w:tc>
        <w:tc>
          <w:tcPr>
            <w:tcW w:w="0" w:type="auto"/>
            <w:vAlign w:val="center"/>
            <w:hideMark/>
          </w:tcPr>
          <w:p w14:paraId="16DACF9E"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Implementation milestones and operational updates</w:t>
            </w:r>
          </w:p>
        </w:tc>
        <w:tc>
          <w:tcPr>
            <w:tcW w:w="0" w:type="auto"/>
            <w:vAlign w:val="center"/>
            <w:hideMark/>
          </w:tcPr>
          <w:p w14:paraId="635BA5DB"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Programme Management Office</w:t>
            </w:r>
          </w:p>
        </w:tc>
      </w:tr>
      <w:tr w:rsidR="003C7449" w:rsidRPr="003C7449" w14:paraId="71C78C53" w14:textId="77777777" w:rsidTr="003C7449">
        <w:trPr>
          <w:tblCellSpacing w:w="15" w:type="dxa"/>
        </w:trPr>
        <w:tc>
          <w:tcPr>
            <w:tcW w:w="0" w:type="auto"/>
            <w:vAlign w:val="center"/>
            <w:hideMark/>
          </w:tcPr>
          <w:p w14:paraId="0B0B4D83"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Production Employees</w:t>
            </w:r>
          </w:p>
        </w:tc>
        <w:tc>
          <w:tcPr>
            <w:tcW w:w="0" w:type="auto"/>
            <w:vAlign w:val="center"/>
            <w:hideMark/>
          </w:tcPr>
          <w:p w14:paraId="4BA94FA4"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Team briefings and intranet</w:t>
            </w:r>
          </w:p>
        </w:tc>
        <w:tc>
          <w:tcPr>
            <w:tcW w:w="0" w:type="auto"/>
            <w:vAlign w:val="center"/>
            <w:hideMark/>
          </w:tcPr>
          <w:p w14:paraId="39611122"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Monthly</w:t>
            </w:r>
          </w:p>
        </w:tc>
        <w:tc>
          <w:tcPr>
            <w:tcW w:w="0" w:type="auto"/>
            <w:vAlign w:val="center"/>
            <w:hideMark/>
          </w:tcPr>
          <w:p w14:paraId="5BDB14ED"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Project progress, training and operational changes</w:t>
            </w:r>
          </w:p>
        </w:tc>
        <w:tc>
          <w:tcPr>
            <w:tcW w:w="0" w:type="auto"/>
            <w:vAlign w:val="center"/>
            <w:hideMark/>
          </w:tcPr>
          <w:p w14:paraId="7EBE9E30"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Human Resources</w:t>
            </w:r>
          </w:p>
        </w:tc>
      </w:tr>
      <w:tr w:rsidR="003C7449" w:rsidRPr="003C7449" w14:paraId="591D974E" w14:textId="77777777" w:rsidTr="003C7449">
        <w:trPr>
          <w:tblCellSpacing w:w="15" w:type="dxa"/>
        </w:trPr>
        <w:tc>
          <w:tcPr>
            <w:tcW w:w="0" w:type="auto"/>
            <w:vAlign w:val="center"/>
            <w:hideMark/>
          </w:tcPr>
          <w:p w14:paraId="0F5F33C8"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lastRenderedPageBreak/>
              <w:t>IT and Operations Teams</w:t>
            </w:r>
          </w:p>
        </w:tc>
        <w:tc>
          <w:tcPr>
            <w:tcW w:w="0" w:type="auto"/>
            <w:vAlign w:val="center"/>
            <w:hideMark/>
          </w:tcPr>
          <w:p w14:paraId="52523B39"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Project workshops</w:t>
            </w:r>
          </w:p>
        </w:tc>
        <w:tc>
          <w:tcPr>
            <w:tcW w:w="0" w:type="auto"/>
            <w:vAlign w:val="center"/>
            <w:hideMark/>
          </w:tcPr>
          <w:p w14:paraId="37B6E30F"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Weekly</w:t>
            </w:r>
          </w:p>
        </w:tc>
        <w:tc>
          <w:tcPr>
            <w:tcW w:w="0" w:type="auto"/>
            <w:vAlign w:val="center"/>
            <w:hideMark/>
          </w:tcPr>
          <w:p w14:paraId="7E3178C2"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System integration, technical progress and issue resolution</w:t>
            </w:r>
          </w:p>
        </w:tc>
        <w:tc>
          <w:tcPr>
            <w:tcW w:w="0" w:type="auto"/>
            <w:vAlign w:val="center"/>
            <w:hideMark/>
          </w:tcPr>
          <w:p w14:paraId="4AF2A12A"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IT Project Lead</w:t>
            </w:r>
          </w:p>
        </w:tc>
      </w:tr>
      <w:tr w:rsidR="003C7449" w:rsidRPr="003C7449" w14:paraId="5ABD1672" w14:textId="77777777" w:rsidTr="003C7449">
        <w:trPr>
          <w:tblCellSpacing w:w="15" w:type="dxa"/>
        </w:trPr>
        <w:tc>
          <w:tcPr>
            <w:tcW w:w="0" w:type="auto"/>
            <w:vAlign w:val="center"/>
            <w:hideMark/>
          </w:tcPr>
          <w:p w14:paraId="5F427D60"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Tier 1 Suppliers</w:t>
            </w:r>
          </w:p>
        </w:tc>
        <w:tc>
          <w:tcPr>
            <w:tcW w:w="0" w:type="auto"/>
            <w:vAlign w:val="center"/>
            <w:hideMark/>
          </w:tcPr>
          <w:p w14:paraId="14D0B740"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Virtual meetings and supplier portal</w:t>
            </w:r>
          </w:p>
        </w:tc>
        <w:tc>
          <w:tcPr>
            <w:tcW w:w="0" w:type="auto"/>
            <w:vAlign w:val="center"/>
            <w:hideMark/>
          </w:tcPr>
          <w:p w14:paraId="2612D0E4"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Monthly</w:t>
            </w:r>
          </w:p>
        </w:tc>
        <w:tc>
          <w:tcPr>
            <w:tcW w:w="0" w:type="auto"/>
            <w:vAlign w:val="center"/>
            <w:hideMark/>
          </w:tcPr>
          <w:p w14:paraId="3AE48EF9"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Digital platform integration and implementation timeline</w:t>
            </w:r>
          </w:p>
        </w:tc>
        <w:tc>
          <w:tcPr>
            <w:tcW w:w="0" w:type="auto"/>
            <w:vAlign w:val="center"/>
            <w:hideMark/>
          </w:tcPr>
          <w:p w14:paraId="6D4DBF9F" w14:textId="77777777" w:rsidR="003C7449" w:rsidRPr="003C7449" w:rsidRDefault="003C7449" w:rsidP="003C7449">
            <w:pPr>
              <w:spacing w:after="160" w:line="259" w:lineRule="auto"/>
              <w:rPr>
                <w:rFonts w:eastAsia="Calibri"/>
                <w:kern w:val="2"/>
                <w:sz w:val="24"/>
                <w:szCs w:val="24"/>
                <w:lang w:eastAsia="en-US"/>
                <w14:ligatures w14:val="standardContextual"/>
              </w:rPr>
            </w:pPr>
            <w:r w:rsidRPr="003C7449">
              <w:rPr>
                <w:rFonts w:eastAsia="Calibri"/>
                <w:kern w:val="2"/>
                <w:sz w:val="24"/>
                <w:szCs w:val="24"/>
                <w:lang w:eastAsia="en-US"/>
                <w14:ligatures w14:val="standardContextual"/>
              </w:rPr>
              <w:t>Procurement Team</w:t>
            </w:r>
          </w:p>
        </w:tc>
      </w:tr>
    </w:tbl>
    <w:p w14:paraId="71E888EA" w14:textId="0355B17C" w:rsidR="003C7449" w:rsidRDefault="003C7449" w:rsidP="003C7449">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Table 8: communication plan</w:t>
      </w:r>
    </w:p>
    <w:p w14:paraId="5374D392" w14:textId="3A10C47F" w:rsidR="003C7449" w:rsidRDefault="003C7449" w:rsidP="003C7449">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p>
    <w:p w14:paraId="649DAE68" w14:textId="77777777" w:rsidR="003C7449" w:rsidRDefault="003C7449" w:rsidP="005D0067">
      <w:pPr>
        <w:spacing w:after="160" w:line="259" w:lineRule="auto"/>
        <w:rPr>
          <w:rFonts w:eastAsia="Calibri"/>
          <w:kern w:val="2"/>
          <w:sz w:val="24"/>
          <w:szCs w:val="24"/>
          <w:lang w:eastAsia="en-US"/>
          <w14:ligatures w14:val="standardContextual"/>
        </w:rPr>
      </w:pPr>
    </w:p>
    <w:p w14:paraId="689E11C7" w14:textId="77777777" w:rsidR="003C7449" w:rsidRDefault="005D0067" w:rsidP="00330683">
      <w:pPr>
        <w:pStyle w:val="Heading2"/>
        <w:rPr>
          <w:rFonts w:eastAsia="Calibri"/>
          <w:lang w:eastAsia="en-US"/>
        </w:rPr>
      </w:pPr>
      <w:bookmarkStart w:id="31" w:name="_Toc235093270"/>
      <w:r w:rsidRPr="005D0067">
        <w:rPr>
          <w:rFonts w:eastAsia="Calibri"/>
          <w:lang w:eastAsia="en-US"/>
        </w:rPr>
        <w:t>6.6 Risk Management Plan</w:t>
      </w:r>
      <w:bookmarkEnd w:id="31"/>
    </w:p>
    <w:p w14:paraId="08056C85" w14:textId="77777777" w:rsidR="00D95E59" w:rsidRDefault="00D95E59" w:rsidP="005D0067">
      <w:pPr>
        <w:spacing w:after="160" w:line="259" w:lineRule="auto"/>
        <w:rPr>
          <w:rFonts w:eastAsia="Calibri"/>
          <w:kern w:val="2"/>
          <w:sz w:val="24"/>
          <w:szCs w:val="24"/>
          <w:lang w:eastAsia="en-US"/>
          <w14:ligatures w14:val="standardContextual"/>
        </w:rPr>
      </w:pPr>
      <w:r w:rsidRPr="00D95E59">
        <w:rPr>
          <w:rFonts w:eastAsia="Calibri"/>
          <w:kern w:val="2"/>
          <w:sz w:val="24"/>
          <w:szCs w:val="24"/>
          <w:lang w:eastAsia="en-US"/>
          <w14:ligatures w14:val="standardContextual"/>
        </w:rPr>
        <w:t xml:space="preserve">The suggested change brings </w:t>
      </w:r>
      <w:proofErr w:type="gramStart"/>
      <w:r w:rsidRPr="00D95E59">
        <w:rPr>
          <w:rFonts w:eastAsia="Calibri"/>
          <w:kern w:val="2"/>
          <w:sz w:val="24"/>
          <w:szCs w:val="24"/>
          <w:lang w:eastAsia="en-US"/>
          <w14:ligatures w14:val="standardContextual"/>
        </w:rPr>
        <w:t>a number of</w:t>
      </w:r>
      <w:proofErr w:type="gramEnd"/>
      <w:r w:rsidRPr="00D95E59">
        <w:rPr>
          <w:rFonts w:eastAsia="Calibri"/>
          <w:kern w:val="2"/>
          <w:sz w:val="24"/>
          <w:szCs w:val="24"/>
          <w:lang w:eastAsia="en-US"/>
          <w14:ligatures w14:val="standardContextual"/>
        </w:rPr>
        <w:t xml:space="preserve"> potential risks which need to be handled proactively. Resistance from employees can decrease the level of use of technology, whereas integration failures can lead to delays. The problem of cybersecurity is another risk that may affect the operations of the company.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44"/>
        <w:gridCol w:w="1188"/>
        <w:gridCol w:w="814"/>
        <w:gridCol w:w="4970"/>
      </w:tblGrid>
      <w:tr w:rsidR="001B68DB" w:rsidRPr="001B68DB" w14:paraId="164F3EDD" w14:textId="77777777" w:rsidTr="001B68DB">
        <w:trPr>
          <w:tblHeader/>
          <w:tblCellSpacing w:w="15" w:type="dxa"/>
        </w:trPr>
        <w:tc>
          <w:tcPr>
            <w:tcW w:w="0" w:type="auto"/>
            <w:vAlign w:val="center"/>
            <w:hideMark/>
          </w:tcPr>
          <w:p w14:paraId="33A48BE3" w14:textId="77777777" w:rsidR="001B68DB" w:rsidRPr="001B68DB" w:rsidRDefault="001B68DB" w:rsidP="001B68DB">
            <w:pPr>
              <w:spacing w:after="160" w:line="259" w:lineRule="auto"/>
              <w:rPr>
                <w:rFonts w:eastAsia="Calibri"/>
                <w:b/>
                <w:bCs/>
                <w:kern w:val="2"/>
                <w:sz w:val="24"/>
                <w:szCs w:val="24"/>
                <w:lang w:eastAsia="en-US"/>
                <w14:ligatures w14:val="standardContextual"/>
              </w:rPr>
            </w:pPr>
            <w:r w:rsidRPr="001B68DB">
              <w:rPr>
                <w:rFonts w:eastAsia="Calibri"/>
                <w:b/>
                <w:bCs/>
                <w:kern w:val="2"/>
                <w:sz w:val="24"/>
                <w:szCs w:val="24"/>
                <w:lang w:eastAsia="en-US"/>
                <w14:ligatures w14:val="standardContextual"/>
              </w:rPr>
              <w:t>Risk</w:t>
            </w:r>
          </w:p>
        </w:tc>
        <w:tc>
          <w:tcPr>
            <w:tcW w:w="0" w:type="auto"/>
            <w:vAlign w:val="center"/>
            <w:hideMark/>
          </w:tcPr>
          <w:p w14:paraId="4A9745ED" w14:textId="77777777" w:rsidR="001B68DB" w:rsidRPr="001B68DB" w:rsidRDefault="001B68DB" w:rsidP="001B68DB">
            <w:pPr>
              <w:spacing w:after="160" w:line="259" w:lineRule="auto"/>
              <w:rPr>
                <w:rFonts w:eastAsia="Calibri"/>
                <w:b/>
                <w:bCs/>
                <w:kern w:val="2"/>
                <w:sz w:val="24"/>
                <w:szCs w:val="24"/>
                <w:lang w:eastAsia="en-US"/>
                <w14:ligatures w14:val="standardContextual"/>
              </w:rPr>
            </w:pPr>
            <w:r w:rsidRPr="001B68DB">
              <w:rPr>
                <w:rFonts w:eastAsia="Calibri"/>
                <w:b/>
                <w:bCs/>
                <w:kern w:val="2"/>
                <w:sz w:val="24"/>
                <w:szCs w:val="24"/>
                <w:lang w:eastAsia="en-US"/>
                <w14:ligatures w14:val="standardContextual"/>
              </w:rPr>
              <w:t>Likelihood</w:t>
            </w:r>
          </w:p>
        </w:tc>
        <w:tc>
          <w:tcPr>
            <w:tcW w:w="0" w:type="auto"/>
            <w:vAlign w:val="center"/>
            <w:hideMark/>
          </w:tcPr>
          <w:p w14:paraId="2862735C" w14:textId="77777777" w:rsidR="001B68DB" w:rsidRPr="001B68DB" w:rsidRDefault="001B68DB" w:rsidP="001B68DB">
            <w:pPr>
              <w:spacing w:after="160" w:line="259" w:lineRule="auto"/>
              <w:rPr>
                <w:rFonts w:eastAsia="Calibri"/>
                <w:b/>
                <w:bCs/>
                <w:kern w:val="2"/>
                <w:sz w:val="24"/>
                <w:szCs w:val="24"/>
                <w:lang w:eastAsia="en-US"/>
                <w14:ligatures w14:val="standardContextual"/>
              </w:rPr>
            </w:pPr>
            <w:r w:rsidRPr="001B68DB">
              <w:rPr>
                <w:rFonts w:eastAsia="Calibri"/>
                <w:b/>
                <w:bCs/>
                <w:kern w:val="2"/>
                <w:sz w:val="24"/>
                <w:szCs w:val="24"/>
                <w:lang w:eastAsia="en-US"/>
                <w14:ligatures w14:val="standardContextual"/>
              </w:rPr>
              <w:t>Impact</w:t>
            </w:r>
          </w:p>
        </w:tc>
        <w:tc>
          <w:tcPr>
            <w:tcW w:w="0" w:type="auto"/>
            <w:vAlign w:val="center"/>
            <w:hideMark/>
          </w:tcPr>
          <w:p w14:paraId="63F0573A" w14:textId="77777777" w:rsidR="001B68DB" w:rsidRPr="001B68DB" w:rsidRDefault="001B68DB" w:rsidP="001B68DB">
            <w:pPr>
              <w:spacing w:after="160" w:line="259" w:lineRule="auto"/>
              <w:rPr>
                <w:rFonts w:eastAsia="Calibri"/>
                <w:b/>
                <w:bCs/>
                <w:kern w:val="2"/>
                <w:sz w:val="24"/>
                <w:szCs w:val="24"/>
                <w:lang w:eastAsia="en-US"/>
                <w14:ligatures w14:val="standardContextual"/>
              </w:rPr>
            </w:pPr>
            <w:r w:rsidRPr="001B68DB">
              <w:rPr>
                <w:rFonts w:eastAsia="Calibri"/>
                <w:b/>
                <w:bCs/>
                <w:kern w:val="2"/>
                <w:sz w:val="24"/>
                <w:szCs w:val="24"/>
                <w:lang w:eastAsia="en-US"/>
                <w14:ligatures w14:val="standardContextual"/>
              </w:rPr>
              <w:t>Mitigation Strategy</w:t>
            </w:r>
          </w:p>
        </w:tc>
      </w:tr>
      <w:tr w:rsidR="001B68DB" w:rsidRPr="001B68DB" w14:paraId="1B690557" w14:textId="77777777" w:rsidTr="001B68DB">
        <w:trPr>
          <w:tblCellSpacing w:w="15" w:type="dxa"/>
        </w:trPr>
        <w:tc>
          <w:tcPr>
            <w:tcW w:w="0" w:type="auto"/>
            <w:vAlign w:val="center"/>
            <w:hideMark/>
          </w:tcPr>
          <w:p w14:paraId="792B623F"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Employee resistance</w:t>
            </w:r>
          </w:p>
        </w:tc>
        <w:tc>
          <w:tcPr>
            <w:tcW w:w="0" w:type="auto"/>
            <w:vAlign w:val="center"/>
            <w:hideMark/>
          </w:tcPr>
          <w:p w14:paraId="10651369"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Medium</w:t>
            </w:r>
          </w:p>
        </w:tc>
        <w:tc>
          <w:tcPr>
            <w:tcW w:w="0" w:type="auto"/>
            <w:vAlign w:val="center"/>
            <w:hideMark/>
          </w:tcPr>
          <w:p w14:paraId="10A654D3"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High</w:t>
            </w:r>
          </w:p>
        </w:tc>
        <w:tc>
          <w:tcPr>
            <w:tcW w:w="0" w:type="auto"/>
            <w:vAlign w:val="center"/>
            <w:hideMark/>
          </w:tcPr>
          <w:p w14:paraId="5810E689"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Training, regular communication and employee engagement</w:t>
            </w:r>
          </w:p>
        </w:tc>
      </w:tr>
      <w:tr w:rsidR="001B68DB" w:rsidRPr="001B68DB" w14:paraId="4958234B" w14:textId="77777777" w:rsidTr="001B68DB">
        <w:trPr>
          <w:tblCellSpacing w:w="15" w:type="dxa"/>
        </w:trPr>
        <w:tc>
          <w:tcPr>
            <w:tcW w:w="0" w:type="auto"/>
            <w:vAlign w:val="center"/>
            <w:hideMark/>
          </w:tcPr>
          <w:p w14:paraId="26FE9FD7"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System integration delays</w:t>
            </w:r>
          </w:p>
        </w:tc>
        <w:tc>
          <w:tcPr>
            <w:tcW w:w="0" w:type="auto"/>
            <w:vAlign w:val="center"/>
            <w:hideMark/>
          </w:tcPr>
          <w:p w14:paraId="1146CEA7"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Medium</w:t>
            </w:r>
          </w:p>
        </w:tc>
        <w:tc>
          <w:tcPr>
            <w:tcW w:w="0" w:type="auto"/>
            <w:vAlign w:val="center"/>
            <w:hideMark/>
          </w:tcPr>
          <w:p w14:paraId="6472A473"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High</w:t>
            </w:r>
          </w:p>
        </w:tc>
        <w:tc>
          <w:tcPr>
            <w:tcW w:w="0" w:type="auto"/>
            <w:vAlign w:val="center"/>
            <w:hideMark/>
          </w:tcPr>
          <w:p w14:paraId="1D1BAA12"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Phased implementation, system testing and technical support</w:t>
            </w:r>
          </w:p>
        </w:tc>
      </w:tr>
      <w:tr w:rsidR="001B68DB" w:rsidRPr="001B68DB" w14:paraId="66E9799A" w14:textId="77777777" w:rsidTr="001B68DB">
        <w:trPr>
          <w:tblCellSpacing w:w="15" w:type="dxa"/>
        </w:trPr>
        <w:tc>
          <w:tcPr>
            <w:tcW w:w="0" w:type="auto"/>
            <w:vAlign w:val="center"/>
            <w:hideMark/>
          </w:tcPr>
          <w:p w14:paraId="554EDB46"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Cybersecurity threats</w:t>
            </w:r>
          </w:p>
        </w:tc>
        <w:tc>
          <w:tcPr>
            <w:tcW w:w="0" w:type="auto"/>
            <w:vAlign w:val="center"/>
            <w:hideMark/>
          </w:tcPr>
          <w:p w14:paraId="4D3EDCE7"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Low</w:t>
            </w:r>
          </w:p>
        </w:tc>
        <w:tc>
          <w:tcPr>
            <w:tcW w:w="0" w:type="auto"/>
            <w:vAlign w:val="center"/>
            <w:hideMark/>
          </w:tcPr>
          <w:p w14:paraId="7FAD66E7"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High</w:t>
            </w:r>
          </w:p>
        </w:tc>
        <w:tc>
          <w:tcPr>
            <w:tcW w:w="0" w:type="auto"/>
            <w:vAlign w:val="center"/>
            <w:hideMark/>
          </w:tcPr>
          <w:p w14:paraId="3A5195B8" w14:textId="77777777" w:rsidR="001B68DB" w:rsidRPr="001B68DB" w:rsidRDefault="001B68DB" w:rsidP="001B68DB">
            <w:pPr>
              <w:spacing w:after="160" w:line="259" w:lineRule="auto"/>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Multi-layer security controls, continuous monitoring and staff awareness training</w:t>
            </w:r>
          </w:p>
        </w:tc>
      </w:tr>
    </w:tbl>
    <w:p w14:paraId="31E440AC" w14:textId="27C00D38" w:rsidR="001B68DB" w:rsidRPr="001B68DB" w:rsidRDefault="001B68DB" w:rsidP="001B68DB">
      <w:pPr>
        <w:spacing w:after="160" w:line="259" w:lineRule="auto"/>
        <w:jc w:val="center"/>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 xml:space="preserve">Table </w:t>
      </w:r>
      <w:r>
        <w:rPr>
          <w:rFonts w:eastAsia="Calibri"/>
          <w:kern w:val="2"/>
          <w:sz w:val="24"/>
          <w:szCs w:val="24"/>
          <w:lang w:eastAsia="en-US"/>
          <w14:ligatures w14:val="standardContextual"/>
        </w:rPr>
        <w:t>9</w:t>
      </w:r>
      <w:r w:rsidRPr="001B68DB">
        <w:rPr>
          <w:rFonts w:eastAsia="Calibri"/>
          <w:kern w:val="2"/>
          <w:sz w:val="24"/>
          <w:szCs w:val="24"/>
          <w:lang w:eastAsia="en-US"/>
          <w14:ligatures w14:val="standardContextual"/>
        </w:rPr>
        <w:t>: Risk Management Plan</w:t>
      </w:r>
    </w:p>
    <w:p w14:paraId="18D2B0F8" w14:textId="77777777" w:rsidR="001B68DB" w:rsidRPr="001B68DB" w:rsidRDefault="001B68DB" w:rsidP="001B68DB">
      <w:pPr>
        <w:spacing w:after="160" w:line="259" w:lineRule="auto"/>
        <w:jc w:val="center"/>
        <w:rPr>
          <w:rFonts w:eastAsia="Calibri"/>
          <w:kern w:val="2"/>
          <w:sz w:val="24"/>
          <w:szCs w:val="24"/>
          <w:lang w:eastAsia="en-US"/>
          <w14:ligatures w14:val="standardContextual"/>
        </w:rPr>
      </w:pPr>
      <w:r w:rsidRPr="001B68DB">
        <w:rPr>
          <w:rFonts w:eastAsia="Calibri"/>
          <w:kern w:val="2"/>
          <w:sz w:val="24"/>
          <w:szCs w:val="24"/>
          <w:lang w:eastAsia="en-US"/>
          <w14:ligatures w14:val="standardContextual"/>
        </w:rPr>
        <w:t>(Source: own design)</w:t>
      </w:r>
    </w:p>
    <w:p w14:paraId="2BB0FF1C" w14:textId="77777777" w:rsidR="001B68DB" w:rsidRDefault="001B68DB" w:rsidP="001B68DB">
      <w:pPr>
        <w:spacing w:after="160" w:line="259" w:lineRule="auto"/>
        <w:rPr>
          <w:rFonts w:eastAsia="Calibri"/>
          <w:kern w:val="2"/>
          <w:sz w:val="24"/>
          <w:szCs w:val="24"/>
          <w:lang w:eastAsia="en-US"/>
          <w14:ligatures w14:val="standardContextual"/>
        </w:rPr>
      </w:pPr>
    </w:p>
    <w:p w14:paraId="70E578BC" w14:textId="045AD52E" w:rsidR="005D0067" w:rsidRDefault="005D0067" w:rsidP="001B68DB">
      <w:pPr>
        <w:spacing w:after="160" w:line="259" w:lineRule="auto"/>
        <w:rPr>
          <w:rFonts w:eastAsia="Calibri"/>
          <w:kern w:val="2"/>
          <w:sz w:val="24"/>
          <w:szCs w:val="24"/>
          <w:lang w:eastAsia="en-US"/>
          <w14:ligatures w14:val="standardContextual"/>
        </w:rPr>
      </w:pPr>
      <w:r w:rsidRPr="005D0067">
        <w:rPr>
          <w:rFonts w:eastAsia="Calibri"/>
          <w:kern w:val="2"/>
          <w:sz w:val="24"/>
          <w:szCs w:val="24"/>
          <w:lang w:eastAsia="en-US"/>
          <w14:ligatures w14:val="standardContextual"/>
        </w:rPr>
        <w:t>6.7 Monitoring and Evaluation Plan</w:t>
      </w:r>
    </w:p>
    <w:p w14:paraId="5E5A7C0C" w14:textId="353199EE" w:rsidR="009A0D88" w:rsidRDefault="009A0D88" w:rsidP="001B68DB">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The effectiveness of the suggested change will be evaluated using appropriate performance measures. The performance appraisal process will help assess the progress towards achieving the strategic goals of the project, which in turn will ensure that the desired results are achieved.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04"/>
        <w:gridCol w:w="2745"/>
        <w:gridCol w:w="1861"/>
        <w:gridCol w:w="1706"/>
      </w:tblGrid>
      <w:tr w:rsidR="009A0D88" w:rsidRPr="009A0D88" w14:paraId="270D387F" w14:textId="77777777" w:rsidTr="009A0D88">
        <w:trPr>
          <w:tblHeader/>
          <w:tblCellSpacing w:w="15" w:type="dxa"/>
        </w:trPr>
        <w:tc>
          <w:tcPr>
            <w:tcW w:w="0" w:type="auto"/>
            <w:vAlign w:val="center"/>
            <w:hideMark/>
          </w:tcPr>
          <w:p w14:paraId="3FD87167" w14:textId="77777777" w:rsidR="009A0D88" w:rsidRPr="009A0D88" w:rsidRDefault="009A0D88" w:rsidP="009A0D88">
            <w:pPr>
              <w:spacing w:after="160" w:line="259" w:lineRule="auto"/>
              <w:rPr>
                <w:rFonts w:eastAsia="Calibri"/>
                <w:b/>
                <w:bCs/>
                <w:kern w:val="2"/>
                <w:sz w:val="24"/>
                <w:szCs w:val="24"/>
                <w:lang w:eastAsia="en-US"/>
                <w14:ligatures w14:val="standardContextual"/>
              </w:rPr>
            </w:pPr>
            <w:r w:rsidRPr="009A0D88">
              <w:rPr>
                <w:rFonts w:eastAsia="Calibri"/>
                <w:b/>
                <w:bCs/>
                <w:kern w:val="2"/>
                <w:sz w:val="24"/>
                <w:szCs w:val="24"/>
                <w:lang w:eastAsia="en-US"/>
                <w14:ligatures w14:val="standardContextual"/>
              </w:rPr>
              <w:lastRenderedPageBreak/>
              <w:t>Key Performance Indicator (KPI)</w:t>
            </w:r>
          </w:p>
        </w:tc>
        <w:tc>
          <w:tcPr>
            <w:tcW w:w="0" w:type="auto"/>
            <w:vAlign w:val="center"/>
            <w:hideMark/>
          </w:tcPr>
          <w:p w14:paraId="6D836132" w14:textId="77777777" w:rsidR="009A0D88" w:rsidRPr="009A0D88" w:rsidRDefault="009A0D88" w:rsidP="009A0D88">
            <w:pPr>
              <w:spacing w:after="160" w:line="259" w:lineRule="auto"/>
              <w:rPr>
                <w:rFonts w:eastAsia="Calibri"/>
                <w:b/>
                <w:bCs/>
                <w:kern w:val="2"/>
                <w:sz w:val="24"/>
                <w:szCs w:val="24"/>
                <w:lang w:eastAsia="en-US"/>
                <w14:ligatures w14:val="standardContextual"/>
              </w:rPr>
            </w:pPr>
            <w:r w:rsidRPr="009A0D88">
              <w:rPr>
                <w:rFonts w:eastAsia="Calibri"/>
                <w:b/>
                <w:bCs/>
                <w:kern w:val="2"/>
                <w:sz w:val="24"/>
                <w:szCs w:val="24"/>
                <w:lang w:eastAsia="en-US"/>
                <w14:ligatures w14:val="standardContextual"/>
              </w:rPr>
              <w:t>Target</w:t>
            </w:r>
          </w:p>
        </w:tc>
        <w:tc>
          <w:tcPr>
            <w:tcW w:w="0" w:type="auto"/>
            <w:vAlign w:val="center"/>
            <w:hideMark/>
          </w:tcPr>
          <w:p w14:paraId="6434A0C4" w14:textId="77777777" w:rsidR="009A0D88" w:rsidRPr="009A0D88" w:rsidRDefault="009A0D88" w:rsidP="009A0D88">
            <w:pPr>
              <w:spacing w:after="160" w:line="259" w:lineRule="auto"/>
              <w:rPr>
                <w:rFonts w:eastAsia="Calibri"/>
                <w:b/>
                <w:bCs/>
                <w:kern w:val="2"/>
                <w:sz w:val="24"/>
                <w:szCs w:val="24"/>
                <w:lang w:eastAsia="en-US"/>
                <w14:ligatures w14:val="standardContextual"/>
              </w:rPr>
            </w:pPr>
            <w:r w:rsidRPr="009A0D88">
              <w:rPr>
                <w:rFonts w:eastAsia="Calibri"/>
                <w:b/>
                <w:bCs/>
                <w:kern w:val="2"/>
                <w:sz w:val="24"/>
                <w:szCs w:val="24"/>
                <w:lang w:eastAsia="en-US"/>
                <w14:ligatures w14:val="standardContextual"/>
              </w:rPr>
              <w:t>Monitoring Frequency</w:t>
            </w:r>
          </w:p>
        </w:tc>
        <w:tc>
          <w:tcPr>
            <w:tcW w:w="0" w:type="auto"/>
            <w:vAlign w:val="center"/>
            <w:hideMark/>
          </w:tcPr>
          <w:p w14:paraId="520864BB" w14:textId="77777777" w:rsidR="009A0D88" w:rsidRPr="009A0D88" w:rsidRDefault="009A0D88" w:rsidP="009A0D88">
            <w:pPr>
              <w:spacing w:after="160" w:line="259" w:lineRule="auto"/>
              <w:rPr>
                <w:rFonts w:eastAsia="Calibri"/>
                <w:b/>
                <w:bCs/>
                <w:kern w:val="2"/>
                <w:sz w:val="24"/>
                <w:szCs w:val="24"/>
                <w:lang w:eastAsia="en-US"/>
                <w14:ligatures w14:val="standardContextual"/>
              </w:rPr>
            </w:pPr>
            <w:r w:rsidRPr="009A0D88">
              <w:rPr>
                <w:rFonts w:eastAsia="Calibri"/>
                <w:b/>
                <w:bCs/>
                <w:kern w:val="2"/>
                <w:sz w:val="24"/>
                <w:szCs w:val="24"/>
                <w:lang w:eastAsia="en-US"/>
                <w14:ligatures w14:val="standardContextual"/>
              </w:rPr>
              <w:t>Responsible Team</w:t>
            </w:r>
          </w:p>
        </w:tc>
      </w:tr>
      <w:tr w:rsidR="009A0D88" w:rsidRPr="009A0D88" w14:paraId="7E58C269" w14:textId="77777777" w:rsidTr="009A0D88">
        <w:trPr>
          <w:tblCellSpacing w:w="15" w:type="dxa"/>
        </w:trPr>
        <w:tc>
          <w:tcPr>
            <w:tcW w:w="0" w:type="auto"/>
            <w:vAlign w:val="center"/>
            <w:hideMark/>
          </w:tcPr>
          <w:p w14:paraId="413D1C74"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AI manufacturing implementation</w:t>
            </w:r>
          </w:p>
        </w:tc>
        <w:tc>
          <w:tcPr>
            <w:tcW w:w="0" w:type="auto"/>
            <w:vAlign w:val="center"/>
            <w:hideMark/>
          </w:tcPr>
          <w:p w14:paraId="60797072"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100% of UK production sites by July 2028</w:t>
            </w:r>
          </w:p>
        </w:tc>
        <w:tc>
          <w:tcPr>
            <w:tcW w:w="0" w:type="auto"/>
            <w:vAlign w:val="center"/>
            <w:hideMark/>
          </w:tcPr>
          <w:p w14:paraId="2DDBAB3E"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Quarterly</w:t>
            </w:r>
          </w:p>
        </w:tc>
        <w:tc>
          <w:tcPr>
            <w:tcW w:w="0" w:type="auto"/>
            <w:vAlign w:val="center"/>
            <w:hideMark/>
          </w:tcPr>
          <w:p w14:paraId="5F453D97"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Operations and IT</w:t>
            </w:r>
          </w:p>
        </w:tc>
      </w:tr>
      <w:tr w:rsidR="009A0D88" w:rsidRPr="009A0D88" w14:paraId="5665606F" w14:textId="77777777" w:rsidTr="009A0D88">
        <w:trPr>
          <w:tblCellSpacing w:w="15" w:type="dxa"/>
        </w:trPr>
        <w:tc>
          <w:tcPr>
            <w:tcW w:w="0" w:type="auto"/>
            <w:vAlign w:val="center"/>
            <w:hideMark/>
          </w:tcPr>
          <w:p w14:paraId="2E274050"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Production downtime</w:t>
            </w:r>
          </w:p>
        </w:tc>
        <w:tc>
          <w:tcPr>
            <w:tcW w:w="0" w:type="auto"/>
            <w:vAlign w:val="center"/>
            <w:hideMark/>
          </w:tcPr>
          <w:p w14:paraId="32DB14CE"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20% reduction</w:t>
            </w:r>
          </w:p>
        </w:tc>
        <w:tc>
          <w:tcPr>
            <w:tcW w:w="0" w:type="auto"/>
            <w:vAlign w:val="center"/>
            <w:hideMark/>
          </w:tcPr>
          <w:p w14:paraId="19B9F137"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Monthly</w:t>
            </w:r>
          </w:p>
        </w:tc>
        <w:tc>
          <w:tcPr>
            <w:tcW w:w="0" w:type="auto"/>
            <w:vAlign w:val="center"/>
            <w:hideMark/>
          </w:tcPr>
          <w:p w14:paraId="0D677E4F"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Operations</w:t>
            </w:r>
          </w:p>
        </w:tc>
      </w:tr>
      <w:tr w:rsidR="009A0D88" w:rsidRPr="009A0D88" w14:paraId="0A4CF15E" w14:textId="77777777" w:rsidTr="009A0D88">
        <w:trPr>
          <w:tblCellSpacing w:w="15" w:type="dxa"/>
        </w:trPr>
        <w:tc>
          <w:tcPr>
            <w:tcW w:w="0" w:type="auto"/>
            <w:vAlign w:val="center"/>
            <w:hideMark/>
          </w:tcPr>
          <w:p w14:paraId="0A3163F6"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Tier 1 supplier digital integration</w:t>
            </w:r>
          </w:p>
        </w:tc>
        <w:tc>
          <w:tcPr>
            <w:tcW w:w="0" w:type="auto"/>
            <w:vAlign w:val="center"/>
            <w:hideMark/>
          </w:tcPr>
          <w:p w14:paraId="23D47B7B"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90% integration by July 2028</w:t>
            </w:r>
          </w:p>
        </w:tc>
        <w:tc>
          <w:tcPr>
            <w:tcW w:w="0" w:type="auto"/>
            <w:vAlign w:val="center"/>
            <w:hideMark/>
          </w:tcPr>
          <w:p w14:paraId="2991F07B"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Quarterly</w:t>
            </w:r>
          </w:p>
        </w:tc>
        <w:tc>
          <w:tcPr>
            <w:tcW w:w="0" w:type="auto"/>
            <w:vAlign w:val="center"/>
            <w:hideMark/>
          </w:tcPr>
          <w:p w14:paraId="5EC36D82"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Procurement</w:t>
            </w:r>
          </w:p>
        </w:tc>
      </w:tr>
      <w:tr w:rsidR="009A0D88" w:rsidRPr="009A0D88" w14:paraId="778A56A0" w14:textId="77777777" w:rsidTr="009A0D88">
        <w:trPr>
          <w:tblCellSpacing w:w="15" w:type="dxa"/>
        </w:trPr>
        <w:tc>
          <w:tcPr>
            <w:tcW w:w="0" w:type="auto"/>
            <w:vAlign w:val="center"/>
            <w:hideMark/>
          </w:tcPr>
          <w:p w14:paraId="44D44E28"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Employee digital training completion</w:t>
            </w:r>
          </w:p>
        </w:tc>
        <w:tc>
          <w:tcPr>
            <w:tcW w:w="0" w:type="auto"/>
            <w:vAlign w:val="center"/>
            <w:hideMark/>
          </w:tcPr>
          <w:p w14:paraId="1FC7386A"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100% of production workforce</w:t>
            </w:r>
          </w:p>
        </w:tc>
        <w:tc>
          <w:tcPr>
            <w:tcW w:w="0" w:type="auto"/>
            <w:vAlign w:val="center"/>
            <w:hideMark/>
          </w:tcPr>
          <w:p w14:paraId="38CBF2DB"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Quarterly</w:t>
            </w:r>
          </w:p>
        </w:tc>
        <w:tc>
          <w:tcPr>
            <w:tcW w:w="0" w:type="auto"/>
            <w:vAlign w:val="center"/>
            <w:hideMark/>
          </w:tcPr>
          <w:p w14:paraId="033085D1"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Human Resources</w:t>
            </w:r>
          </w:p>
        </w:tc>
      </w:tr>
      <w:tr w:rsidR="009A0D88" w:rsidRPr="009A0D88" w14:paraId="4E9A8D54" w14:textId="77777777" w:rsidTr="009A0D88">
        <w:trPr>
          <w:tblCellSpacing w:w="15" w:type="dxa"/>
        </w:trPr>
        <w:tc>
          <w:tcPr>
            <w:tcW w:w="0" w:type="auto"/>
            <w:vAlign w:val="center"/>
            <w:hideMark/>
          </w:tcPr>
          <w:p w14:paraId="112A1EB5"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Project budget performance</w:t>
            </w:r>
          </w:p>
        </w:tc>
        <w:tc>
          <w:tcPr>
            <w:tcW w:w="0" w:type="auto"/>
            <w:vAlign w:val="center"/>
            <w:hideMark/>
          </w:tcPr>
          <w:p w14:paraId="17E8C36C"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Within approved budget (±5%)</w:t>
            </w:r>
          </w:p>
        </w:tc>
        <w:tc>
          <w:tcPr>
            <w:tcW w:w="0" w:type="auto"/>
            <w:vAlign w:val="center"/>
            <w:hideMark/>
          </w:tcPr>
          <w:p w14:paraId="579DCC84"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Monthly</w:t>
            </w:r>
          </w:p>
        </w:tc>
        <w:tc>
          <w:tcPr>
            <w:tcW w:w="0" w:type="auto"/>
            <w:vAlign w:val="center"/>
            <w:hideMark/>
          </w:tcPr>
          <w:p w14:paraId="5BBBCC54" w14:textId="77777777" w:rsidR="009A0D88" w:rsidRPr="009A0D88" w:rsidRDefault="009A0D88" w:rsidP="009A0D88">
            <w:pPr>
              <w:spacing w:after="160" w:line="259" w:lineRule="auto"/>
              <w:rPr>
                <w:rFonts w:eastAsia="Calibri"/>
                <w:kern w:val="2"/>
                <w:sz w:val="24"/>
                <w:szCs w:val="24"/>
                <w:lang w:eastAsia="en-US"/>
                <w14:ligatures w14:val="standardContextual"/>
              </w:rPr>
            </w:pPr>
            <w:r w:rsidRPr="009A0D88">
              <w:rPr>
                <w:rFonts w:eastAsia="Calibri"/>
                <w:kern w:val="2"/>
                <w:sz w:val="24"/>
                <w:szCs w:val="24"/>
                <w:lang w:eastAsia="en-US"/>
                <w14:ligatures w14:val="standardContextual"/>
              </w:rPr>
              <w:t>Finance Department</w:t>
            </w:r>
          </w:p>
        </w:tc>
      </w:tr>
    </w:tbl>
    <w:p w14:paraId="5B275BB2" w14:textId="1688895F" w:rsidR="005C72DE" w:rsidRDefault="009A0D88" w:rsidP="005C72DE">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 xml:space="preserve">Table 10: </w:t>
      </w:r>
      <w:r w:rsidR="005C72DE">
        <w:rPr>
          <w:rFonts w:eastAsia="Calibri"/>
          <w:kern w:val="2"/>
          <w:sz w:val="24"/>
          <w:szCs w:val="24"/>
          <w:lang w:eastAsia="en-US"/>
          <w14:ligatures w14:val="standardContextual"/>
        </w:rPr>
        <w:t>Monitoring and evaluation plans</w:t>
      </w:r>
    </w:p>
    <w:p w14:paraId="2F980033" w14:textId="74968D2F" w:rsidR="005C72DE" w:rsidRPr="005D0067" w:rsidRDefault="005C72DE" w:rsidP="005C72DE">
      <w:pPr>
        <w:spacing w:after="160" w:line="259" w:lineRule="auto"/>
        <w:jc w:val="center"/>
        <w:rPr>
          <w:rFonts w:eastAsia="Calibri"/>
          <w:kern w:val="2"/>
          <w:sz w:val="24"/>
          <w:szCs w:val="24"/>
          <w:lang w:eastAsia="en-US"/>
          <w14:ligatures w14:val="standardContextual"/>
        </w:rPr>
      </w:pPr>
      <w:r>
        <w:rPr>
          <w:rFonts w:eastAsia="Calibri"/>
          <w:kern w:val="2"/>
          <w:sz w:val="24"/>
          <w:szCs w:val="24"/>
          <w:lang w:eastAsia="en-US"/>
          <w14:ligatures w14:val="standardContextual"/>
        </w:rPr>
        <w:t>(Source: own design)</w:t>
      </w:r>
    </w:p>
    <w:p w14:paraId="5798F302" w14:textId="77777777" w:rsidR="00E0483A" w:rsidRDefault="00E0483A" w:rsidP="005C72DE">
      <w:pPr>
        <w:spacing w:after="160" w:line="259" w:lineRule="auto"/>
        <w:jc w:val="center"/>
        <w:rPr>
          <w:rFonts w:eastAsia="Calibri"/>
          <w:kern w:val="2"/>
          <w:sz w:val="24"/>
          <w:szCs w:val="24"/>
          <w:lang w:eastAsia="en-US"/>
          <w14:ligatures w14:val="standardContextual"/>
        </w:rPr>
      </w:pPr>
    </w:p>
    <w:p w14:paraId="745FC72B" w14:textId="77777777" w:rsidR="009F7516" w:rsidRPr="009F7516" w:rsidRDefault="009F7516" w:rsidP="00330683">
      <w:pPr>
        <w:pStyle w:val="Heading1"/>
        <w:rPr>
          <w:rFonts w:eastAsia="Calibri"/>
          <w:lang w:eastAsia="en-US"/>
        </w:rPr>
      </w:pPr>
      <w:bookmarkStart w:id="32" w:name="_Toc235093271"/>
      <w:r w:rsidRPr="009F7516">
        <w:rPr>
          <w:rFonts w:eastAsia="Calibri"/>
          <w:lang w:eastAsia="en-US"/>
        </w:rPr>
        <w:t>7. Conclusion and recommendations</w:t>
      </w:r>
      <w:bookmarkEnd w:id="32"/>
    </w:p>
    <w:p w14:paraId="12A8F11B" w14:textId="3DD85829" w:rsidR="00CA5E9D" w:rsidRPr="00CA5E9D" w:rsidRDefault="00CA5E9D" w:rsidP="00CA5E9D">
      <w:pPr>
        <w:spacing w:after="160" w:line="259" w:lineRule="auto"/>
        <w:rPr>
          <w:rFonts w:eastAsia="Calibri"/>
          <w:kern w:val="2"/>
          <w:sz w:val="24"/>
          <w:szCs w:val="24"/>
          <w:lang w:eastAsia="en-US"/>
          <w14:ligatures w14:val="standardContextual"/>
        </w:rPr>
      </w:pPr>
      <w:r>
        <w:rPr>
          <w:rFonts w:eastAsia="Calibri"/>
          <w:kern w:val="2"/>
          <w:sz w:val="24"/>
          <w:szCs w:val="24"/>
          <w:lang w:eastAsia="en-US"/>
          <w14:ligatures w14:val="standardContextual"/>
        </w:rPr>
        <w:t>In conclusion, t</w:t>
      </w:r>
      <w:r w:rsidRPr="00CA5E9D">
        <w:rPr>
          <w:rFonts w:eastAsia="Calibri"/>
          <w:kern w:val="2"/>
          <w:sz w:val="24"/>
          <w:szCs w:val="24"/>
          <w:lang w:eastAsia="en-US"/>
          <w14:ligatures w14:val="standardContextual"/>
        </w:rPr>
        <w:t xml:space="preserve">his report has outlined the key internal and external drivers of strategic change at </w:t>
      </w:r>
      <w:r w:rsidR="009B1B26">
        <w:rPr>
          <w:rFonts w:eastAsia="Calibri"/>
          <w:kern w:val="2"/>
          <w:sz w:val="24"/>
          <w:szCs w:val="24"/>
          <w:lang w:eastAsia="en-US"/>
          <w14:ligatures w14:val="standardContextual"/>
        </w:rPr>
        <w:t>JLR</w:t>
      </w:r>
      <w:r w:rsidRPr="00CA5E9D">
        <w:rPr>
          <w:rFonts w:eastAsia="Calibri"/>
          <w:kern w:val="2"/>
          <w:sz w:val="24"/>
          <w:szCs w:val="24"/>
          <w:lang w:eastAsia="en-US"/>
          <w14:ligatures w14:val="standardContextual"/>
        </w:rPr>
        <w:t xml:space="preserve">(JLR), </w:t>
      </w:r>
      <w:r w:rsidRPr="00CA5E9D">
        <w:rPr>
          <w:rFonts w:eastAsia="Calibri"/>
          <w:kern w:val="2"/>
          <w:sz w:val="24"/>
          <w:szCs w:val="24"/>
          <w:lang w:eastAsia="en-US"/>
          <w14:ligatures w14:val="standardContextual"/>
        </w:rPr>
        <w:t>analysed</w:t>
      </w:r>
      <w:r w:rsidRPr="00CA5E9D">
        <w:rPr>
          <w:rFonts w:eastAsia="Calibri"/>
          <w:kern w:val="2"/>
          <w:sz w:val="24"/>
          <w:szCs w:val="24"/>
          <w:lang w:eastAsia="en-US"/>
          <w14:ligatures w14:val="standardContextual"/>
        </w:rPr>
        <w:t xml:space="preserve"> the application of Lewin's and Kotter's approaches to change management, and studied the role of leadership and organizational culture in the implementation of organizational change. This report also showed that digitalization, artificial intelligence, electrification, sustainability demands and growing competitive pressures have significantly transformed the automotive industry, making it essential for JLR to build up their organizational capabilities </w:t>
      </w:r>
      <w:proofErr w:type="gramStart"/>
      <w:r w:rsidRPr="00CA5E9D">
        <w:rPr>
          <w:rFonts w:eastAsia="Calibri"/>
          <w:kern w:val="2"/>
          <w:sz w:val="24"/>
          <w:szCs w:val="24"/>
          <w:lang w:eastAsia="en-US"/>
          <w14:ligatures w14:val="standardContextual"/>
        </w:rPr>
        <w:t>in order to</w:t>
      </w:r>
      <w:proofErr w:type="gramEnd"/>
      <w:r w:rsidRPr="00CA5E9D">
        <w:rPr>
          <w:rFonts w:eastAsia="Calibri"/>
          <w:kern w:val="2"/>
          <w:sz w:val="24"/>
          <w:szCs w:val="24"/>
          <w:lang w:eastAsia="en-US"/>
          <w14:ligatures w14:val="standardContextual"/>
        </w:rPr>
        <w:t xml:space="preserve"> remain competitive in the long run. The suggested initiative aimed at building up an AI-driven manufacturing process and digital supply chain has been recognized as one of the possible solutions that can help achieve the company's strategic goals and ensure its future success.</w:t>
      </w:r>
    </w:p>
    <w:p w14:paraId="2D3A5FEB" w14:textId="76365160" w:rsidR="002B62F3" w:rsidRDefault="00CA5E9D" w:rsidP="00CA5E9D">
      <w:pPr>
        <w:spacing w:after="160" w:line="259" w:lineRule="auto"/>
        <w:rPr>
          <w:rFonts w:eastAsia="Calibri"/>
          <w:kern w:val="2"/>
          <w:sz w:val="24"/>
          <w:szCs w:val="24"/>
          <w:lang w:eastAsia="en-US"/>
          <w14:ligatures w14:val="standardContextual"/>
        </w:rPr>
      </w:pPr>
      <w:r w:rsidRPr="00CA5E9D">
        <w:rPr>
          <w:rFonts w:eastAsia="Calibri"/>
          <w:kern w:val="2"/>
          <w:sz w:val="24"/>
          <w:szCs w:val="24"/>
          <w:lang w:eastAsia="en-US"/>
          <w14:ligatures w14:val="standardContextual"/>
        </w:rPr>
        <w:t>Considering the above-stated, it is suggested for JLR to implement AI-driven manufacturing technologies as soon as possible, continuously train and develop employees to increase their digital competencies, and cooperate with key suppliers using digital tools. These steps will help implement the suggested strategy effectively while ensuring JLR's competitive position in the global premium automotive market.</w:t>
      </w:r>
    </w:p>
    <w:p w14:paraId="173CED7E" w14:textId="77777777" w:rsidR="002B62F3" w:rsidRDefault="002B62F3" w:rsidP="00E0483A">
      <w:pPr>
        <w:spacing w:after="160" w:line="259" w:lineRule="auto"/>
        <w:rPr>
          <w:rFonts w:eastAsia="Calibri"/>
          <w:kern w:val="2"/>
          <w:sz w:val="24"/>
          <w:szCs w:val="24"/>
          <w:lang w:eastAsia="en-US"/>
          <w14:ligatures w14:val="standardContextual"/>
        </w:rPr>
      </w:pPr>
    </w:p>
    <w:p w14:paraId="36B84E2B" w14:textId="77777777" w:rsidR="002B62F3" w:rsidRDefault="002B62F3" w:rsidP="00E0483A">
      <w:pPr>
        <w:spacing w:after="160" w:line="259" w:lineRule="auto"/>
        <w:rPr>
          <w:rFonts w:eastAsia="Calibri"/>
          <w:kern w:val="2"/>
          <w:sz w:val="24"/>
          <w:szCs w:val="24"/>
          <w:lang w:eastAsia="en-US"/>
          <w14:ligatures w14:val="standardContextual"/>
        </w:rPr>
      </w:pPr>
    </w:p>
    <w:p w14:paraId="059FBF4C" w14:textId="77777777" w:rsidR="002B62F3" w:rsidRPr="00B8537A" w:rsidRDefault="002B62F3" w:rsidP="00E0483A">
      <w:pPr>
        <w:spacing w:after="160" w:line="259" w:lineRule="auto"/>
        <w:rPr>
          <w:rFonts w:eastAsia="Calibri"/>
          <w:kern w:val="2"/>
          <w:sz w:val="24"/>
          <w:szCs w:val="24"/>
          <w:lang w:eastAsia="en-US"/>
          <w14:ligatures w14:val="standardContextual"/>
        </w:rPr>
      </w:pPr>
    </w:p>
    <w:p w14:paraId="653B809E" w14:textId="77777777" w:rsidR="00E0483A" w:rsidRPr="00B8537A" w:rsidRDefault="00E0483A" w:rsidP="00E0483A">
      <w:pPr>
        <w:spacing w:after="160" w:line="259" w:lineRule="auto"/>
        <w:rPr>
          <w:rFonts w:eastAsia="Calibri"/>
          <w:kern w:val="2"/>
          <w:sz w:val="24"/>
          <w:szCs w:val="24"/>
          <w:lang w:eastAsia="en-US"/>
          <w14:ligatures w14:val="standardContextual"/>
        </w:rPr>
      </w:pPr>
    </w:p>
    <w:p w14:paraId="4F5FA104" w14:textId="77777777" w:rsidR="00E0483A" w:rsidRPr="00B8537A" w:rsidRDefault="00E0483A" w:rsidP="00E0483A">
      <w:pPr>
        <w:spacing w:after="160" w:line="259" w:lineRule="auto"/>
        <w:rPr>
          <w:rFonts w:eastAsia="Calibri"/>
          <w:kern w:val="2"/>
          <w:sz w:val="24"/>
          <w:szCs w:val="24"/>
          <w:lang w:eastAsia="en-US"/>
          <w14:ligatures w14:val="standardContextual"/>
        </w:rPr>
      </w:pPr>
    </w:p>
    <w:p w14:paraId="7C3B19AB" w14:textId="77777777" w:rsidR="00E0483A" w:rsidRDefault="00E0483A" w:rsidP="00E0483A">
      <w:pPr>
        <w:spacing w:after="160" w:line="259" w:lineRule="auto"/>
        <w:rPr>
          <w:rFonts w:eastAsia="Calibri"/>
          <w:kern w:val="2"/>
          <w:sz w:val="24"/>
          <w:szCs w:val="24"/>
          <w:lang w:eastAsia="en-US"/>
          <w14:ligatures w14:val="standardContextual"/>
        </w:rPr>
      </w:pPr>
    </w:p>
    <w:p w14:paraId="3779330A" w14:textId="77777777" w:rsidR="00E0483A" w:rsidRDefault="00E0483A" w:rsidP="00330683">
      <w:pPr>
        <w:pStyle w:val="Heading1"/>
        <w:rPr>
          <w:rFonts w:eastAsia="Calibri"/>
          <w:lang w:eastAsia="en-US"/>
        </w:rPr>
      </w:pPr>
      <w:bookmarkStart w:id="33" w:name="_Toc235093272"/>
      <w:r w:rsidRPr="00B8537A">
        <w:rPr>
          <w:rFonts w:eastAsia="Calibri"/>
          <w:bCs w:val="0"/>
          <w:lang w:eastAsia="en-US"/>
        </w:rPr>
        <w:t>8. List of references</w:t>
      </w:r>
      <w:bookmarkEnd w:id="33"/>
    </w:p>
    <w:p w14:paraId="192EB873" w14:textId="77777777" w:rsidR="00CA5E9D" w:rsidRPr="00B8537A" w:rsidRDefault="00CA5E9D"/>
    <w:p w14:paraId="3066C694" w14:textId="77777777" w:rsidR="00CA5E9D" w:rsidRDefault="00CA5E9D" w:rsidP="0057324D">
      <w:pPr>
        <w:tabs>
          <w:tab w:val="right" w:pos="9026"/>
        </w:tabs>
        <w:spacing w:after="160" w:line="259" w:lineRule="auto"/>
        <w:rPr>
          <w:rFonts w:eastAsia="Calibri"/>
          <w:kern w:val="2"/>
          <w:sz w:val="24"/>
          <w:szCs w:val="24"/>
          <w:lang w:eastAsia="en-US"/>
          <w14:ligatures w14:val="standardContextual"/>
        </w:rPr>
      </w:pPr>
      <w:r w:rsidRPr="005D0067">
        <w:rPr>
          <w:rFonts w:eastAsia="Calibri"/>
          <w:kern w:val="2"/>
          <w:sz w:val="24"/>
          <w:szCs w:val="24"/>
          <w:lang w:eastAsia="en-US"/>
          <w14:ligatures w14:val="standardContextual"/>
        </w:rPr>
        <w:t>Alvesson, M. (2012). Understanding organizational culture.</w:t>
      </w:r>
    </w:p>
    <w:p w14:paraId="71DCFB72" w14:textId="77777777" w:rsidR="00CA5E9D" w:rsidRDefault="00CA5E9D" w:rsidP="00E0483A">
      <w:pPr>
        <w:spacing w:after="160" w:line="259" w:lineRule="auto"/>
        <w:rPr>
          <w:rFonts w:eastAsia="Calibri"/>
          <w:kern w:val="2"/>
          <w:sz w:val="24"/>
          <w:szCs w:val="24"/>
          <w:lang w:eastAsia="en-US"/>
          <w14:ligatures w14:val="standardContextual"/>
        </w:rPr>
      </w:pPr>
      <w:r w:rsidRPr="0001466E">
        <w:rPr>
          <w:rFonts w:eastAsia="Calibri"/>
          <w:kern w:val="2"/>
          <w:sz w:val="24"/>
          <w:szCs w:val="24"/>
          <w:lang w:eastAsia="en-US"/>
          <w14:ligatures w14:val="standardContextual"/>
        </w:rPr>
        <w:t>Appelbaum, S. H., Habashy, S., Malo, J. L., &amp; Shafiq, H. (2012). Back to the future: revisiting Kotter's 1996 change model. </w:t>
      </w:r>
      <w:r w:rsidRPr="0001466E">
        <w:rPr>
          <w:rFonts w:eastAsia="Calibri"/>
          <w:i/>
          <w:iCs/>
          <w:kern w:val="2"/>
          <w:sz w:val="24"/>
          <w:szCs w:val="24"/>
          <w:lang w:eastAsia="en-US"/>
          <w14:ligatures w14:val="standardContextual"/>
        </w:rPr>
        <w:t>Journal of Management development</w:t>
      </w:r>
      <w:r w:rsidRPr="0001466E">
        <w:rPr>
          <w:rFonts w:eastAsia="Calibri"/>
          <w:kern w:val="2"/>
          <w:sz w:val="24"/>
          <w:szCs w:val="24"/>
          <w:lang w:eastAsia="en-US"/>
          <w14:ligatures w14:val="standardContextual"/>
        </w:rPr>
        <w:t>, </w:t>
      </w:r>
      <w:r w:rsidRPr="0001466E">
        <w:rPr>
          <w:rFonts w:eastAsia="Calibri"/>
          <w:i/>
          <w:iCs/>
          <w:kern w:val="2"/>
          <w:sz w:val="24"/>
          <w:szCs w:val="24"/>
          <w:lang w:eastAsia="en-US"/>
          <w14:ligatures w14:val="standardContextual"/>
        </w:rPr>
        <w:t>31</w:t>
      </w:r>
      <w:r w:rsidRPr="0001466E">
        <w:rPr>
          <w:rFonts w:eastAsia="Calibri"/>
          <w:kern w:val="2"/>
          <w:sz w:val="24"/>
          <w:szCs w:val="24"/>
          <w:lang w:eastAsia="en-US"/>
          <w14:ligatures w14:val="standardContextual"/>
        </w:rPr>
        <w:t>(8), 764-782.</w:t>
      </w:r>
    </w:p>
    <w:p w14:paraId="45A742E5" w14:textId="77777777" w:rsidR="00CA5E9D" w:rsidRDefault="00CA5E9D" w:rsidP="00E0483A">
      <w:pPr>
        <w:spacing w:after="160" w:line="259" w:lineRule="auto"/>
        <w:rPr>
          <w:rFonts w:eastAsia="Calibri"/>
          <w:kern w:val="2"/>
          <w:sz w:val="24"/>
          <w:szCs w:val="24"/>
          <w:lang w:eastAsia="en-US"/>
          <w14:ligatures w14:val="standardContextual"/>
        </w:rPr>
      </w:pPr>
      <w:proofErr w:type="spellStart"/>
      <w:r w:rsidRPr="005255CD">
        <w:rPr>
          <w:rFonts w:eastAsia="Calibri"/>
          <w:kern w:val="2"/>
          <w:sz w:val="24"/>
          <w:szCs w:val="24"/>
          <w:lang w:eastAsia="en-US"/>
          <w14:ligatures w14:val="standardContextual"/>
        </w:rPr>
        <w:t>Axsen</w:t>
      </w:r>
      <w:proofErr w:type="spellEnd"/>
      <w:r w:rsidRPr="005255CD">
        <w:rPr>
          <w:rFonts w:eastAsia="Calibri"/>
          <w:kern w:val="2"/>
          <w:sz w:val="24"/>
          <w:szCs w:val="24"/>
          <w:lang w:eastAsia="en-US"/>
          <w14:ligatures w14:val="standardContextual"/>
        </w:rPr>
        <w:t>, J., &amp; Bhardwaj, C. (2025). Subsidies, Standards, or Both? Trade-Offs among Policies for 100% Zero-Emissions Vehicle Sales. </w:t>
      </w:r>
      <w:r w:rsidRPr="005255CD">
        <w:rPr>
          <w:rFonts w:eastAsia="Calibri"/>
          <w:i/>
          <w:iCs/>
          <w:kern w:val="2"/>
          <w:sz w:val="24"/>
          <w:szCs w:val="24"/>
          <w:lang w:eastAsia="en-US"/>
          <w14:ligatures w14:val="standardContextual"/>
        </w:rPr>
        <w:t>Environmental Science &amp; Technology</w:t>
      </w:r>
      <w:r w:rsidRPr="005255CD">
        <w:rPr>
          <w:rFonts w:eastAsia="Calibri"/>
          <w:kern w:val="2"/>
          <w:sz w:val="24"/>
          <w:szCs w:val="24"/>
          <w:lang w:eastAsia="en-US"/>
          <w14:ligatures w14:val="standardContextual"/>
        </w:rPr>
        <w:t>, </w:t>
      </w:r>
      <w:r w:rsidRPr="005255CD">
        <w:rPr>
          <w:rFonts w:eastAsia="Calibri"/>
          <w:i/>
          <w:iCs/>
          <w:kern w:val="2"/>
          <w:sz w:val="24"/>
          <w:szCs w:val="24"/>
          <w:lang w:eastAsia="en-US"/>
          <w14:ligatures w14:val="standardContextual"/>
        </w:rPr>
        <w:t>59</w:t>
      </w:r>
      <w:r w:rsidRPr="005255CD">
        <w:rPr>
          <w:rFonts w:eastAsia="Calibri"/>
          <w:kern w:val="2"/>
          <w:sz w:val="24"/>
          <w:szCs w:val="24"/>
          <w:lang w:eastAsia="en-US"/>
          <w14:ligatures w14:val="standardContextual"/>
        </w:rPr>
        <w:t>(4), 1932-1941.</w:t>
      </w:r>
    </w:p>
    <w:p w14:paraId="3CBE160C" w14:textId="77777777" w:rsidR="00CA5E9D" w:rsidRDefault="00CA5E9D" w:rsidP="00E0483A">
      <w:pPr>
        <w:spacing w:after="160" w:line="259" w:lineRule="auto"/>
        <w:rPr>
          <w:rFonts w:eastAsia="Calibri"/>
          <w:kern w:val="2"/>
          <w:sz w:val="24"/>
          <w:szCs w:val="24"/>
          <w:lang w:eastAsia="en-US"/>
          <w14:ligatures w14:val="standardContextual"/>
        </w:rPr>
      </w:pPr>
      <w:r w:rsidRPr="00980CD5">
        <w:rPr>
          <w:rFonts w:eastAsia="Calibri"/>
          <w:kern w:val="2"/>
          <w:sz w:val="24"/>
          <w:szCs w:val="24"/>
          <w:lang w:eastAsia="en-US"/>
          <w14:ligatures w14:val="standardContextual"/>
        </w:rPr>
        <w:t xml:space="preserve">Bailey, D., &amp; De </w:t>
      </w:r>
      <w:proofErr w:type="spellStart"/>
      <w:r w:rsidRPr="00980CD5">
        <w:rPr>
          <w:rFonts w:eastAsia="Calibri"/>
          <w:kern w:val="2"/>
          <w:sz w:val="24"/>
          <w:szCs w:val="24"/>
          <w:lang w:eastAsia="en-US"/>
          <w14:ligatures w14:val="standardContextual"/>
        </w:rPr>
        <w:t>Propris</w:t>
      </w:r>
      <w:proofErr w:type="spellEnd"/>
      <w:r w:rsidRPr="00980CD5">
        <w:rPr>
          <w:rFonts w:eastAsia="Calibri"/>
          <w:kern w:val="2"/>
          <w:sz w:val="24"/>
          <w:szCs w:val="24"/>
          <w:lang w:eastAsia="en-US"/>
          <w14:ligatures w14:val="standardContextual"/>
        </w:rPr>
        <w:t>, L. (2017). Brexit and the UK automotive industry. </w:t>
      </w:r>
      <w:r w:rsidRPr="00980CD5">
        <w:rPr>
          <w:rFonts w:eastAsia="Calibri"/>
          <w:i/>
          <w:iCs/>
          <w:kern w:val="2"/>
          <w:sz w:val="24"/>
          <w:szCs w:val="24"/>
          <w:lang w:eastAsia="en-US"/>
          <w14:ligatures w14:val="standardContextual"/>
        </w:rPr>
        <w:t>National Institute Economic Review</w:t>
      </w:r>
      <w:r w:rsidRPr="00980CD5">
        <w:rPr>
          <w:rFonts w:eastAsia="Calibri"/>
          <w:kern w:val="2"/>
          <w:sz w:val="24"/>
          <w:szCs w:val="24"/>
          <w:lang w:eastAsia="en-US"/>
          <w14:ligatures w14:val="standardContextual"/>
        </w:rPr>
        <w:t>, </w:t>
      </w:r>
      <w:r w:rsidRPr="00980CD5">
        <w:rPr>
          <w:rFonts w:eastAsia="Calibri"/>
          <w:i/>
          <w:iCs/>
          <w:kern w:val="2"/>
          <w:sz w:val="24"/>
          <w:szCs w:val="24"/>
          <w:lang w:eastAsia="en-US"/>
          <w14:ligatures w14:val="standardContextual"/>
        </w:rPr>
        <w:t>242</w:t>
      </w:r>
      <w:r w:rsidRPr="00980CD5">
        <w:rPr>
          <w:rFonts w:eastAsia="Calibri"/>
          <w:kern w:val="2"/>
          <w:sz w:val="24"/>
          <w:szCs w:val="24"/>
          <w:lang w:eastAsia="en-US"/>
          <w14:ligatures w14:val="standardContextual"/>
        </w:rPr>
        <w:t>(1), R51-R59.</w:t>
      </w:r>
    </w:p>
    <w:p w14:paraId="63608F71" w14:textId="77777777" w:rsidR="00CA5E9D" w:rsidRDefault="00CA5E9D" w:rsidP="00E0483A">
      <w:pPr>
        <w:spacing w:after="160" w:line="259" w:lineRule="auto"/>
        <w:rPr>
          <w:rFonts w:eastAsia="Calibri"/>
          <w:kern w:val="2"/>
          <w:sz w:val="24"/>
          <w:szCs w:val="24"/>
          <w:lang w:eastAsia="en-US"/>
          <w14:ligatures w14:val="standardContextual"/>
        </w:rPr>
      </w:pPr>
      <w:r w:rsidRPr="005255CD">
        <w:rPr>
          <w:rFonts w:eastAsia="Calibri"/>
          <w:kern w:val="2"/>
          <w:sz w:val="24"/>
          <w:szCs w:val="24"/>
          <w:lang w:eastAsia="en-US"/>
          <w14:ligatures w14:val="standardContextual"/>
        </w:rPr>
        <w:t>Bailey, D., De Ruyter, A., MacRae, C., McNeill, J., &amp; Roberts, J. (2022). Perceiving and managing Brexit risk in UK manufacturing: evidence from the midlands. </w:t>
      </w:r>
      <w:r w:rsidRPr="005255CD">
        <w:rPr>
          <w:rFonts w:eastAsia="Calibri"/>
          <w:i/>
          <w:iCs/>
          <w:kern w:val="2"/>
          <w:sz w:val="24"/>
          <w:szCs w:val="24"/>
          <w:lang w:eastAsia="en-US"/>
          <w14:ligatures w14:val="standardContextual"/>
        </w:rPr>
        <w:t>Contemporary Social Science</w:t>
      </w:r>
      <w:r w:rsidRPr="005255CD">
        <w:rPr>
          <w:rFonts w:eastAsia="Calibri"/>
          <w:kern w:val="2"/>
          <w:sz w:val="24"/>
          <w:szCs w:val="24"/>
          <w:lang w:eastAsia="en-US"/>
          <w14:ligatures w14:val="standardContextual"/>
        </w:rPr>
        <w:t>, </w:t>
      </w:r>
      <w:r w:rsidRPr="005255CD">
        <w:rPr>
          <w:rFonts w:eastAsia="Calibri"/>
          <w:i/>
          <w:iCs/>
          <w:kern w:val="2"/>
          <w:sz w:val="24"/>
          <w:szCs w:val="24"/>
          <w:lang w:eastAsia="en-US"/>
          <w14:ligatures w14:val="standardContextual"/>
        </w:rPr>
        <w:t>17</w:t>
      </w:r>
      <w:r w:rsidRPr="005255CD">
        <w:rPr>
          <w:rFonts w:eastAsia="Calibri"/>
          <w:kern w:val="2"/>
          <w:sz w:val="24"/>
          <w:szCs w:val="24"/>
          <w:lang w:eastAsia="en-US"/>
          <w14:ligatures w14:val="standardContextual"/>
        </w:rPr>
        <w:t>(5), 468-484.</w:t>
      </w:r>
    </w:p>
    <w:p w14:paraId="0A6BCE07" w14:textId="77777777" w:rsidR="00CA5E9D" w:rsidRDefault="00CA5E9D" w:rsidP="00E0483A">
      <w:pPr>
        <w:spacing w:after="160" w:line="259" w:lineRule="auto"/>
        <w:rPr>
          <w:rFonts w:eastAsia="Calibri"/>
          <w:kern w:val="2"/>
          <w:sz w:val="24"/>
          <w:szCs w:val="24"/>
          <w:lang w:eastAsia="en-US"/>
          <w14:ligatures w14:val="standardContextual"/>
        </w:rPr>
      </w:pPr>
      <w:r w:rsidRPr="00F27E1E">
        <w:rPr>
          <w:rFonts w:eastAsia="Calibri"/>
          <w:kern w:val="2"/>
          <w:sz w:val="24"/>
          <w:szCs w:val="24"/>
          <w:lang w:eastAsia="en-US"/>
          <w14:ligatures w14:val="standardContextual"/>
        </w:rPr>
        <w:t>Bass, B. M. (1985). Leadership and performance beyond expectations.</w:t>
      </w:r>
    </w:p>
    <w:p w14:paraId="64CB8C34" w14:textId="77777777" w:rsidR="00CA5E9D" w:rsidRDefault="00CA5E9D" w:rsidP="0057324D">
      <w:pPr>
        <w:tabs>
          <w:tab w:val="right" w:pos="9026"/>
        </w:tabs>
        <w:spacing w:after="160" w:line="259" w:lineRule="auto"/>
        <w:rPr>
          <w:rFonts w:eastAsia="Calibri"/>
          <w:kern w:val="2"/>
          <w:sz w:val="24"/>
          <w:szCs w:val="24"/>
          <w:lang w:eastAsia="en-US"/>
          <w14:ligatures w14:val="standardContextual"/>
        </w:rPr>
      </w:pPr>
      <w:r w:rsidRPr="00F27E1E">
        <w:rPr>
          <w:rFonts w:eastAsia="Calibri"/>
          <w:kern w:val="2"/>
          <w:sz w:val="24"/>
          <w:szCs w:val="24"/>
          <w:lang w:eastAsia="en-US"/>
          <w14:ligatures w14:val="standardContextual"/>
        </w:rPr>
        <w:t>Bass, B. M., &amp; Riggio, R. E. (2006). Transformational leadership 2nd ed.</w:t>
      </w:r>
      <w:r>
        <w:rPr>
          <w:rFonts w:eastAsia="Calibri"/>
          <w:kern w:val="2"/>
          <w:sz w:val="24"/>
          <w:szCs w:val="24"/>
          <w:lang w:eastAsia="en-US"/>
          <w14:ligatures w14:val="standardContextual"/>
        </w:rPr>
        <w:tab/>
      </w:r>
    </w:p>
    <w:p w14:paraId="6FCE806D" w14:textId="77777777" w:rsidR="00CA5E9D" w:rsidRDefault="00CA5E9D" w:rsidP="00E0483A">
      <w:pPr>
        <w:spacing w:after="160" w:line="259" w:lineRule="auto"/>
        <w:rPr>
          <w:rFonts w:eastAsia="Calibri"/>
          <w:kern w:val="2"/>
          <w:sz w:val="24"/>
          <w:szCs w:val="24"/>
          <w:lang w:eastAsia="en-US"/>
          <w14:ligatures w14:val="standardContextual"/>
        </w:rPr>
      </w:pPr>
      <w:r w:rsidRPr="005255CD">
        <w:rPr>
          <w:rFonts w:eastAsia="Calibri"/>
          <w:kern w:val="2"/>
          <w:sz w:val="24"/>
          <w:szCs w:val="24"/>
          <w:lang w:eastAsia="en-US"/>
          <w14:ligatures w14:val="standardContextual"/>
        </w:rPr>
        <w:t>Berkeley, N., Jarvis, D., &amp; Jones, A. (2018). Analysing the take up of battery electric vehicles: An investigation of barriers amongst drivers in the UK. </w:t>
      </w:r>
      <w:r w:rsidRPr="005255CD">
        <w:rPr>
          <w:rFonts w:eastAsia="Calibri"/>
          <w:i/>
          <w:iCs/>
          <w:kern w:val="2"/>
          <w:sz w:val="24"/>
          <w:szCs w:val="24"/>
          <w:lang w:eastAsia="en-US"/>
          <w14:ligatures w14:val="standardContextual"/>
        </w:rPr>
        <w:t>Transportation Research Part D: Transport and Environment</w:t>
      </w:r>
      <w:r w:rsidRPr="005255CD">
        <w:rPr>
          <w:rFonts w:eastAsia="Calibri"/>
          <w:kern w:val="2"/>
          <w:sz w:val="24"/>
          <w:szCs w:val="24"/>
          <w:lang w:eastAsia="en-US"/>
          <w14:ligatures w14:val="standardContextual"/>
        </w:rPr>
        <w:t>, </w:t>
      </w:r>
      <w:r w:rsidRPr="005255CD">
        <w:rPr>
          <w:rFonts w:eastAsia="Calibri"/>
          <w:i/>
          <w:iCs/>
          <w:kern w:val="2"/>
          <w:sz w:val="24"/>
          <w:szCs w:val="24"/>
          <w:lang w:eastAsia="en-US"/>
          <w14:ligatures w14:val="standardContextual"/>
        </w:rPr>
        <w:t>63</w:t>
      </w:r>
      <w:r w:rsidRPr="005255CD">
        <w:rPr>
          <w:rFonts w:eastAsia="Calibri"/>
          <w:kern w:val="2"/>
          <w:sz w:val="24"/>
          <w:szCs w:val="24"/>
          <w:lang w:eastAsia="en-US"/>
          <w14:ligatures w14:val="standardContextual"/>
        </w:rPr>
        <w:t>, 466-481.</w:t>
      </w:r>
    </w:p>
    <w:p w14:paraId="6021D81F" w14:textId="31732929" w:rsidR="00CA5E9D" w:rsidRDefault="00CA5E9D" w:rsidP="00E0483A">
      <w:pPr>
        <w:spacing w:after="160" w:line="259" w:lineRule="auto"/>
        <w:rPr>
          <w:rFonts w:eastAsia="Calibri"/>
          <w:kern w:val="2"/>
          <w:sz w:val="24"/>
          <w:szCs w:val="24"/>
          <w:lang w:eastAsia="en-US"/>
          <w14:ligatures w14:val="standardContextual"/>
        </w:rPr>
      </w:pPr>
      <w:r w:rsidRPr="008246AE">
        <w:rPr>
          <w:rFonts w:eastAsia="Calibri"/>
          <w:kern w:val="2"/>
          <w:sz w:val="24"/>
          <w:szCs w:val="24"/>
          <w:lang w:eastAsia="en-US"/>
          <w14:ligatures w14:val="standardContextual"/>
        </w:rPr>
        <w:t xml:space="preserve">Borah, D., </w:t>
      </w:r>
      <w:proofErr w:type="spellStart"/>
      <w:r w:rsidRPr="008246AE">
        <w:rPr>
          <w:rFonts w:eastAsia="Calibri"/>
          <w:kern w:val="2"/>
          <w:sz w:val="24"/>
          <w:szCs w:val="24"/>
          <w:lang w:eastAsia="en-US"/>
          <w14:ligatures w14:val="standardContextual"/>
        </w:rPr>
        <w:t>Karabag</w:t>
      </w:r>
      <w:proofErr w:type="spellEnd"/>
      <w:r w:rsidRPr="008246AE">
        <w:rPr>
          <w:rFonts w:eastAsia="Calibri"/>
          <w:kern w:val="2"/>
          <w:sz w:val="24"/>
          <w:szCs w:val="24"/>
          <w:lang w:eastAsia="en-US"/>
          <w14:ligatures w14:val="standardContextual"/>
        </w:rPr>
        <w:t xml:space="preserve">, S. F., &amp; Berggren, C. (2015, June). Drivers of a successful acquisition: a study on </w:t>
      </w:r>
      <w:proofErr w:type="spellStart"/>
      <w:r w:rsidR="009B1B26">
        <w:rPr>
          <w:rFonts w:eastAsia="Calibri"/>
          <w:kern w:val="2"/>
          <w:sz w:val="24"/>
          <w:szCs w:val="24"/>
          <w:lang w:eastAsia="en-US"/>
          <w14:ligatures w14:val="standardContextual"/>
        </w:rPr>
        <w:t>JLR</w:t>
      </w:r>
      <w:r w:rsidRPr="008246AE">
        <w:rPr>
          <w:rFonts w:eastAsia="Calibri"/>
          <w:kern w:val="2"/>
          <w:sz w:val="24"/>
          <w:szCs w:val="24"/>
          <w:lang w:eastAsia="en-US"/>
          <w14:ligatures w14:val="standardContextual"/>
        </w:rPr>
        <w:t>acquisition</w:t>
      </w:r>
      <w:proofErr w:type="spellEnd"/>
      <w:r w:rsidRPr="008246AE">
        <w:rPr>
          <w:rFonts w:eastAsia="Calibri"/>
          <w:kern w:val="2"/>
          <w:sz w:val="24"/>
          <w:szCs w:val="24"/>
          <w:lang w:eastAsia="en-US"/>
          <w14:ligatures w14:val="standardContextual"/>
        </w:rPr>
        <w:t xml:space="preserve"> by Tata. In </w:t>
      </w:r>
      <w:r w:rsidRPr="008246AE">
        <w:rPr>
          <w:rFonts w:eastAsia="Calibri"/>
          <w:i/>
          <w:iCs/>
          <w:kern w:val="2"/>
          <w:sz w:val="24"/>
          <w:szCs w:val="24"/>
          <w:lang w:eastAsia="en-US"/>
          <w14:ligatures w14:val="standardContextual"/>
        </w:rPr>
        <w:t>23rd International Colloquium of GERPISA</w:t>
      </w:r>
      <w:r w:rsidRPr="008246AE">
        <w:rPr>
          <w:rFonts w:eastAsia="Calibri"/>
          <w:kern w:val="2"/>
          <w:sz w:val="24"/>
          <w:szCs w:val="24"/>
          <w:lang w:eastAsia="en-US"/>
          <w14:ligatures w14:val="standardContextual"/>
        </w:rPr>
        <w:t>.</w:t>
      </w:r>
    </w:p>
    <w:p w14:paraId="0D6D074A" w14:textId="77777777" w:rsidR="00CA5E9D" w:rsidRDefault="00CA5E9D" w:rsidP="00E0483A">
      <w:pPr>
        <w:spacing w:after="160" w:line="259" w:lineRule="auto"/>
        <w:rPr>
          <w:rFonts w:eastAsia="Calibri"/>
          <w:kern w:val="2"/>
          <w:sz w:val="24"/>
          <w:szCs w:val="24"/>
          <w:lang w:eastAsia="en-US"/>
          <w14:ligatures w14:val="standardContextual"/>
        </w:rPr>
      </w:pPr>
      <w:proofErr w:type="spellStart"/>
      <w:r w:rsidRPr="009B6E36">
        <w:rPr>
          <w:rFonts w:eastAsia="Calibri"/>
          <w:kern w:val="2"/>
          <w:sz w:val="24"/>
          <w:szCs w:val="24"/>
          <w:lang w:eastAsia="en-US"/>
          <w14:ligatures w14:val="standardContextual"/>
        </w:rPr>
        <w:t>Bughin</w:t>
      </w:r>
      <w:proofErr w:type="spellEnd"/>
      <w:r w:rsidRPr="009B6E36">
        <w:rPr>
          <w:rFonts w:eastAsia="Calibri"/>
          <w:kern w:val="2"/>
          <w:sz w:val="24"/>
          <w:szCs w:val="24"/>
          <w:lang w:eastAsia="en-US"/>
          <w14:ligatures w14:val="standardContextual"/>
        </w:rPr>
        <w:t>, J., Hazan, E., Sree Ramaswamy, P., DC, W., &amp; Chu, M. (2017). Artificial intelligence the next digital frontier.</w:t>
      </w:r>
    </w:p>
    <w:p w14:paraId="2ABD562F" w14:textId="77777777" w:rsidR="00CA5E9D" w:rsidRDefault="00CA5E9D" w:rsidP="00E0483A">
      <w:pPr>
        <w:spacing w:after="160" w:line="259" w:lineRule="auto"/>
        <w:rPr>
          <w:rFonts w:eastAsia="Calibri"/>
          <w:kern w:val="2"/>
          <w:sz w:val="24"/>
          <w:szCs w:val="24"/>
          <w:lang w:eastAsia="en-US"/>
          <w14:ligatures w14:val="standardContextual"/>
        </w:rPr>
      </w:pPr>
      <w:r w:rsidRPr="00C20498">
        <w:rPr>
          <w:rFonts w:eastAsia="Calibri"/>
          <w:kern w:val="2"/>
          <w:sz w:val="24"/>
          <w:szCs w:val="24"/>
          <w:lang w:eastAsia="en-US"/>
          <w14:ligatures w14:val="standardContextual"/>
        </w:rPr>
        <w:t>Burnes, B. (2020). The origins of Lewin’s three-step model of change. </w:t>
      </w:r>
      <w:r w:rsidRPr="00C20498">
        <w:rPr>
          <w:rFonts w:eastAsia="Calibri"/>
          <w:i/>
          <w:iCs/>
          <w:kern w:val="2"/>
          <w:sz w:val="24"/>
          <w:szCs w:val="24"/>
          <w:lang w:eastAsia="en-US"/>
          <w14:ligatures w14:val="standardContextual"/>
        </w:rPr>
        <w:t xml:space="preserve">The Journal of Applied </w:t>
      </w:r>
      <w:proofErr w:type="spellStart"/>
      <w:r w:rsidRPr="00C20498">
        <w:rPr>
          <w:rFonts w:eastAsia="Calibri"/>
          <w:i/>
          <w:iCs/>
          <w:kern w:val="2"/>
          <w:sz w:val="24"/>
          <w:szCs w:val="24"/>
          <w:lang w:eastAsia="en-US"/>
          <w14:ligatures w14:val="standardContextual"/>
        </w:rPr>
        <w:t>Behavioral</w:t>
      </w:r>
      <w:proofErr w:type="spellEnd"/>
      <w:r w:rsidRPr="00C20498">
        <w:rPr>
          <w:rFonts w:eastAsia="Calibri"/>
          <w:i/>
          <w:iCs/>
          <w:kern w:val="2"/>
          <w:sz w:val="24"/>
          <w:szCs w:val="24"/>
          <w:lang w:eastAsia="en-US"/>
          <w14:ligatures w14:val="standardContextual"/>
        </w:rPr>
        <w:t xml:space="preserve"> Science</w:t>
      </w:r>
      <w:r w:rsidRPr="00C20498">
        <w:rPr>
          <w:rFonts w:eastAsia="Calibri"/>
          <w:kern w:val="2"/>
          <w:sz w:val="24"/>
          <w:szCs w:val="24"/>
          <w:lang w:eastAsia="en-US"/>
          <w14:ligatures w14:val="standardContextual"/>
        </w:rPr>
        <w:t>, </w:t>
      </w:r>
      <w:r w:rsidRPr="00C20498">
        <w:rPr>
          <w:rFonts w:eastAsia="Calibri"/>
          <w:i/>
          <w:iCs/>
          <w:kern w:val="2"/>
          <w:sz w:val="24"/>
          <w:szCs w:val="24"/>
          <w:lang w:eastAsia="en-US"/>
          <w14:ligatures w14:val="standardContextual"/>
        </w:rPr>
        <w:t>56</w:t>
      </w:r>
      <w:r w:rsidRPr="00C20498">
        <w:rPr>
          <w:rFonts w:eastAsia="Calibri"/>
          <w:kern w:val="2"/>
          <w:sz w:val="24"/>
          <w:szCs w:val="24"/>
          <w:lang w:eastAsia="en-US"/>
          <w14:ligatures w14:val="standardContextual"/>
        </w:rPr>
        <w:t>(1), 32-59.</w:t>
      </w:r>
    </w:p>
    <w:p w14:paraId="3CA01AAC" w14:textId="77777777" w:rsidR="00CA5E9D" w:rsidRDefault="00CA5E9D" w:rsidP="00E0483A">
      <w:pPr>
        <w:spacing w:after="160" w:line="259" w:lineRule="auto"/>
        <w:rPr>
          <w:rFonts w:eastAsia="Calibri"/>
          <w:kern w:val="2"/>
          <w:sz w:val="24"/>
          <w:szCs w:val="24"/>
          <w:lang w:eastAsia="en-US"/>
          <w14:ligatures w14:val="standardContextual"/>
        </w:rPr>
      </w:pPr>
      <w:r w:rsidRPr="00E057BA">
        <w:rPr>
          <w:rFonts w:eastAsia="Calibri"/>
          <w:kern w:val="2"/>
          <w:sz w:val="24"/>
          <w:szCs w:val="24"/>
          <w:lang w:eastAsia="en-US"/>
          <w14:ligatures w14:val="standardContextual"/>
        </w:rPr>
        <w:t>Cohen, B., &amp; Kietzmann, J. (2014). Ride on! Mobility business models for the sharing economy. </w:t>
      </w:r>
      <w:r w:rsidRPr="00E057BA">
        <w:rPr>
          <w:rFonts w:eastAsia="Calibri"/>
          <w:i/>
          <w:iCs/>
          <w:kern w:val="2"/>
          <w:sz w:val="24"/>
          <w:szCs w:val="24"/>
          <w:lang w:eastAsia="en-US"/>
          <w14:ligatures w14:val="standardContextual"/>
        </w:rPr>
        <w:t>Organization &amp; environment</w:t>
      </w:r>
      <w:r w:rsidRPr="00E057BA">
        <w:rPr>
          <w:rFonts w:eastAsia="Calibri"/>
          <w:kern w:val="2"/>
          <w:sz w:val="24"/>
          <w:szCs w:val="24"/>
          <w:lang w:eastAsia="en-US"/>
          <w14:ligatures w14:val="standardContextual"/>
        </w:rPr>
        <w:t>, </w:t>
      </w:r>
      <w:r w:rsidRPr="00E057BA">
        <w:rPr>
          <w:rFonts w:eastAsia="Calibri"/>
          <w:i/>
          <w:iCs/>
          <w:kern w:val="2"/>
          <w:sz w:val="24"/>
          <w:szCs w:val="24"/>
          <w:lang w:eastAsia="en-US"/>
          <w14:ligatures w14:val="standardContextual"/>
        </w:rPr>
        <w:t>27</w:t>
      </w:r>
      <w:r w:rsidRPr="00E057BA">
        <w:rPr>
          <w:rFonts w:eastAsia="Calibri"/>
          <w:kern w:val="2"/>
          <w:sz w:val="24"/>
          <w:szCs w:val="24"/>
          <w:lang w:eastAsia="en-US"/>
          <w14:ligatures w14:val="standardContextual"/>
        </w:rPr>
        <w:t>(3), 279-296.</w:t>
      </w:r>
    </w:p>
    <w:p w14:paraId="652C0AE7" w14:textId="77777777" w:rsidR="00CA5E9D" w:rsidRDefault="00CA5E9D" w:rsidP="00E0483A">
      <w:pPr>
        <w:spacing w:after="160" w:line="259" w:lineRule="auto"/>
        <w:rPr>
          <w:rFonts w:eastAsia="Calibri"/>
          <w:kern w:val="2"/>
          <w:sz w:val="24"/>
          <w:szCs w:val="24"/>
          <w:lang w:eastAsia="en-US"/>
          <w14:ligatures w14:val="standardContextual"/>
        </w:rPr>
      </w:pPr>
      <w:r w:rsidRPr="00C20498">
        <w:rPr>
          <w:rFonts w:eastAsia="Calibri"/>
          <w:kern w:val="2"/>
          <w:sz w:val="24"/>
          <w:szCs w:val="24"/>
          <w:lang w:eastAsia="en-US"/>
          <w14:ligatures w14:val="standardContextual"/>
        </w:rPr>
        <w:t>Cummings, S., Bridgman, T., &amp; Brown, K. G. (2016). Unfreezing change as three steps: Rethinking Kurt Lewin’s legacy for change management. </w:t>
      </w:r>
      <w:r w:rsidRPr="00C20498">
        <w:rPr>
          <w:rFonts w:eastAsia="Calibri"/>
          <w:i/>
          <w:iCs/>
          <w:kern w:val="2"/>
          <w:sz w:val="24"/>
          <w:szCs w:val="24"/>
          <w:lang w:eastAsia="en-US"/>
          <w14:ligatures w14:val="standardContextual"/>
        </w:rPr>
        <w:t>Human relations</w:t>
      </w:r>
      <w:r w:rsidRPr="00C20498">
        <w:rPr>
          <w:rFonts w:eastAsia="Calibri"/>
          <w:kern w:val="2"/>
          <w:sz w:val="24"/>
          <w:szCs w:val="24"/>
          <w:lang w:eastAsia="en-US"/>
          <w14:ligatures w14:val="standardContextual"/>
        </w:rPr>
        <w:t>, </w:t>
      </w:r>
      <w:r w:rsidRPr="00C20498">
        <w:rPr>
          <w:rFonts w:eastAsia="Calibri"/>
          <w:i/>
          <w:iCs/>
          <w:kern w:val="2"/>
          <w:sz w:val="24"/>
          <w:szCs w:val="24"/>
          <w:lang w:eastAsia="en-US"/>
          <w14:ligatures w14:val="standardContextual"/>
        </w:rPr>
        <w:t>69</w:t>
      </w:r>
      <w:r w:rsidRPr="00C20498">
        <w:rPr>
          <w:rFonts w:eastAsia="Calibri"/>
          <w:kern w:val="2"/>
          <w:sz w:val="24"/>
          <w:szCs w:val="24"/>
          <w:lang w:eastAsia="en-US"/>
          <w14:ligatures w14:val="standardContextual"/>
        </w:rPr>
        <w:t>(1), 33-60.</w:t>
      </w:r>
    </w:p>
    <w:p w14:paraId="65AB38A0" w14:textId="77777777" w:rsidR="00CA5E9D" w:rsidRDefault="00CA5E9D" w:rsidP="00E0483A">
      <w:pPr>
        <w:spacing w:after="160" w:line="259" w:lineRule="auto"/>
        <w:rPr>
          <w:rFonts w:eastAsia="Calibri"/>
          <w:kern w:val="2"/>
          <w:sz w:val="24"/>
          <w:szCs w:val="24"/>
          <w:lang w:eastAsia="en-US"/>
          <w14:ligatures w14:val="standardContextual"/>
        </w:rPr>
      </w:pPr>
      <w:r w:rsidRPr="00AF3550">
        <w:rPr>
          <w:rFonts w:eastAsia="Calibri"/>
          <w:kern w:val="2"/>
          <w:sz w:val="24"/>
          <w:szCs w:val="24"/>
          <w:lang w:eastAsia="en-US"/>
          <w14:ligatures w14:val="standardContextual"/>
        </w:rPr>
        <w:t>Denison, D. R., &amp; Mishra, A. K. (1995). Toward a theory of organizational culture and effectiveness. </w:t>
      </w:r>
      <w:r w:rsidRPr="00AF3550">
        <w:rPr>
          <w:rFonts w:eastAsia="Calibri"/>
          <w:i/>
          <w:iCs/>
          <w:kern w:val="2"/>
          <w:sz w:val="24"/>
          <w:szCs w:val="24"/>
          <w:lang w:eastAsia="en-US"/>
          <w14:ligatures w14:val="standardContextual"/>
        </w:rPr>
        <w:t>Organization science</w:t>
      </w:r>
      <w:r w:rsidRPr="00AF3550">
        <w:rPr>
          <w:rFonts w:eastAsia="Calibri"/>
          <w:kern w:val="2"/>
          <w:sz w:val="24"/>
          <w:szCs w:val="24"/>
          <w:lang w:eastAsia="en-US"/>
          <w14:ligatures w14:val="standardContextual"/>
        </w:rPr>
        <w:t>, </w:t>
      </w:r>
      <w:r w:rsidRPr="00AF3550">
        <w:rPr>
          <w:rFonts w:eastAsia="Calibri"/>
          <w:i/>
          <w:iCs/>
          <w:kern w:val="2"/>
          <w:sz w:val="24"/>
          <w:szCs w:val="24"/>
          <w:lang w:eastAsia="en-US"/>
          <w14:ligatures w14:val="standardContextual"/>
        </w:rPr>
        <w:t>6</w:t>
      </w:r>
      <w:r w:rsidRPr="00AF3550">
        <w:rPr>
          <w:rFonts w:eastAsia="Calibri"/>
          <w:kern w:val="2"/>
          <w:sz w:val="24"/>
          <w:szCs w:val="24"/>
          <w:lang w:eastAsia="en-US"/>
          <w14:ligatures w14:val="standardContextual"/>
        </w:rPr>
        <w:t>(2), 204-223.</w:t>
      </w:r>
    </w:p>
    <w:p w14:paraId="74A843DD" w14:textId="32E294CE" w:rsidR="00CA5E9D" w:rsidRDefault="00CA5E9D" w:rsidP="00E0483A">
      <w:pPr>
        <w:spacing w:after="160" w:line="259" w:lineRule="auto"/>
        <w:rPr>
          <w:rFonts w:eastAsia="Calibri"/>
          <w:kern w:val="2"/>
          <w:sz w:val="24"/>
          <w:szCs w:val="24"/>
          <w:lang w:eastAsia="en-US"/>
          <w14:ligatures w14:val="standardContextual"/>
        </w:rPr>
      </w:pPr>
      <w:r w:rsidRPr="008F6F58">
        <w:rPr>
          <w:rFonts w:eastAsia="Calibri"/>
          <w:kern w:val="2"/>
          <w:sz w:val="24"/>
          <w:szCs w:val="24"/>
          <w:lang w:eastAsia="en-US"/>
          <w14:ligatures w14:val="standardContextual"/>
        </w:rPr>
        <w:t xml:space="preserve">European Automobile Manufacturers' Association (ACEA) (2026) </w:t>
      </w:r>
      <w:r w:rsidRPr="008F6F58">
        <w:rPr>
          <w:rFonts w:eastAsia="Calibri"/>
          <w:i/>
          <w:iCs/>
          <w:kern w:val="2"/>
          <w:sz w:val="24"/>
          <w:szCs w:val="24"/>
          <w:lang w:eastAsia="en-US"/>
          <w14:ligatures w14:val="standardContextual"/>
        </w:rPr>
        <w:t>Report: Vehicles on European roads 2026</w:t>
      </w:r>
      <w:r w:rsidRPr="008F6F58">
        <w:rPr>
          <w:rFonts w:eastAsia="Calibri"/>
          <w:kern w:val="2"/>
          <w:sz w:val="24"/>
          <w:szCs w:val="24"/>
          <w:lang w:eastAsia="en-US"/>
          <w14:ligatures w14:val="standardContextual"/>
        </w:rPr>
        <w:t xml:space="preserve">. Available at: </w:t>
      </w:r>
      <w:r w:rsidRPr="00330683">
        <w:rPr>
          <w:rFonts w:eastAsia="Calibri"/>
          <w:kern w:val="2"/>
          <w:sz w:val="24"/>
          <w:szCs w:val="24"/>
          <w:lang w:eastAsia="en-US"/>
          <w14:ligatures w14:val="standardContextual"/>
        </w:rPr>
        <w:t>https://www.acea.auto/publication/report-vehicles-on-european-roads-2026/</w:t>
      </w:r>
      <w:r w:rsidRPr="008F6F58">
        <w:rPr>
          <w:rFonts w:eastAsia="Calibri"/>
          <w:kern w:val="2"/>
          <w:sz w:val="24"/>
          <w:szCs w:val="24"/>
          <w:lang w:eastAsia="en-US"/>
          <w14:ligatures w14:val="standardContextual"/>
        </w:rPr>
        <w:t xml:space="preserve"> (Accessed: 16 July 2026).</w:t>
      </w:r>
    </w:p>
    <w:p w14:paraId="76406B25" w14:textId="77777777" w:rsidR="00CA5E9D" w:rsidRDefault="00CA5E9D" w:rsidP="00E0483A">
      <w:pPr>
        <w:spacing w:after="160" w:line="259" w:lineRule="auto"/>
        <w:rPr>
          <w:rFonts w:eastAsia="Calibri"/>
          <w:kern w:val="2"/>
          <w:sz w:val="24"/>
          <w:szCs w:val="24"/>
          <w:lang w:eastAsia="en-US"/>
          <w14:ligatures w14:val="standardContextual"/>
        </w:rPr>
      </w:pPr>
      <w:r w:rsidRPr="00E057BA">
        <w:rPr>
          <w:rFonts w:eastAsia="Calibri"/>
          <w:kern w:val="2"/>
          <w:sz w:val="24"/>
          <w:szCs w:val="24"/>
          <w:lang w:eastAsia="en-US"/>
          <w14:ligatures w14:val="standardContextual"/>
        </w:rPr>
        <w:t>Grundy, T. (2006). Rethinking and reinventing Michael Porter's five forces model. </w:t>
      </w:r>
      <w:r w:rsidRPr="00E057BA">
        <w:rPr>
          <w:rFonts w:eastAsia="Calibri"/>
          <w:i/>
          <w:iCs/>
          <w:kern w:val="2"/>
          <w:sz w:val="24"/>
          <w:szCs w:val="24"/>
          <w:lang w:eastAsia="en-US"/>
          <w14:ligatures w14:val="standardContextual"/>
        </w:rPr>
        <w:t>Strategic change</w:t>
      </w:r>
      <w:r w:rsidRPr="00E057BA">
        <w:rPr>
          <w:rFonts w:eastAsia="Calibri"/>
          <w:kern w:val="2"/>
          <w:sz w:val="24"/>
          <w:szCs w:val="24"/>
          <w:lang w:eastAsia="en-US"/>
          <w14:ligatures w14:val="standardContextual"/>
        </w:rPr>
        <w:t>, </w:t>
      </w:r>
      <w:r w:rsidRPr="00E057BA">
        <w:rPr>
          <w:rFonts w:eastAsia="Calibri"/>
          <w:i/>
          <w:iCs/>
          <w:kern w:val="2"/>
          <w:sz w:val="24"/>
          <w:szCs w:val="24"/>
          <w:lang w:eastAsia="en-US"/>
          <w14:ligatures w14:val="standardContextual"/>
        </w:rPr>
        <w:t>15</w:t>
      </w:r>
      <w:r w:rsidRPr="00E057BA">
        <w:rPr>
          <w:rFonts w:eastAsia="Calibri"/>
          <w:kern w:val="2"/>
          <w:sz w:val="24"/>
          <w:szCs w:val="24"/>
          <w:lang w:eastAsia="en-US"/>
          <w14:ligatures w14:val="standardContextual"/>
        </w:rPr>
        <w:t>(5), 213-229.</w:t>
      </w:r>
    </w:p>
    <w:p w14:paraId="205B6002" w14:textId="77777777" w:rsidR="00CA5E9D" w:rsidRPr="00B8537A" w:rsidRDefault="00CA5E9D" w:rsidP="00E0483A">
      <w:pPr>
        <w:spacing w:after="160" w:line="259" w:lineRule="auto"/>
        <w:rPr>
          <w:rFonts w:eastAsia="Calibri"/>
          <w:kern w:val="2"/>
          <w:sz w:val="24"/>
          <w:szCs w:val="24"/>
          <w:lang w:eastAsia="en-US"/>
          <w14:ligatures w14:val="standardContextual"/>
        </w:rPr>
      </w:pPr>
      <w:r w:rsidRPr="00980CD5">
        <w:rPr>
          <w:rFonts w:eastAsia="Calibri"/>
          <w:kern w:val="2"/>
          <w:sz w:val="24"/>
          <w:szCs w:val="24"/>
          <w:lang w:eastAsia="en-US"/>
          <w14:ligatures w14:val="standardContextual"/>
        </w:rPr>
        <w:lastRenderedPageBreak/>
        <w:t>Gürel, E., &amp; Tat, M. (2017). SWOT analysis: A theoretical review. </w:t>
      </w:r>
      <w:r w:rsidRPr="00980CD5">
        <w:rPr>
          <w:rFonts w:eastAsia="Calibri"/>
          <w:i/>
          <w:iCs/>
          <w:kern w:val="2"/>
          <w:sz w:val="24"/>
          <w:szCs w:val="24"/>
          <w:lang w:eastAsia="en-US"/>
          <w14:ligatures w14:val="standardContextual"/>
        </w:rPr>
        <w:t>Journal of International Social Research</w:t>
      </w:r>
      <w:r w:rsidRPr="00980CD5">
        <w:rPr>
          <w:rFonts w:eastAsia="Calibri"/>
          <w:kern w:val="2"/>
          <w:sz w:val="24"/>
          <w:szCs w:val="24"/>
          <w:lang w:eastAsia="en-US"/>
          <w14:ligatures w14:val="standardContextual"/>
        </w:rPr>
        <w:t>, </w:t>
      </w:r>
      <w:r w:rsidRPr="00980CD5">
        <w:rPr>
          <w:rFonts w:eastAsia="Calibri"/>
          <w:i/>
          <w:iCs/>
          <w:kern w:val="2"/>
          <w:sz w:val="24"/>
          <w:szCs w:val="24"/>
          <w:lang w:eastAsia="en-US"/>
          <w14:ligatures w14:val="standardContextual"/>
        </w:rPr>
        <w:t>10</w:t>
      </w:r>
      <w:r w:rsidRPr="00980CD5">
        <w:rPr>
          <w:rFonts w:eastAsia="Calibri"/>
          <w:kern w:val="2"/>
          <w:sz w:val="24"/>
          <w:szCs w:val="24"/>
          <w:lang w:eastAsia="en-US"/>
          <w14:ligatures w14:val="standardContextual"/>
        </w:rPr>
        <w:t>(51).</w:t>
      </w:r>
    </w:p>
    <w:p w14:paraId="6C7EE00D" w14:textId="77777777" w:rsidR="00CA5E9D" w:rsidRDefault="00CA5E9D" w:rsidP="0057324D">
      <w:pPr>
        <w:tabs>
          <w:tab w:val="right" w:pos="9026"/>
        </w:tabs>
        <w:spacing w:after="160" w:line="259" w:lineRule="auto"/>
        <w:rPr>
          <w:rFonts w:eastAsia="Calibri"/>
          <w:kern w:val="2"/>
          <w:sz w:val="24"/>
          <w:szCs w:val="24"/>
          <w:lang w:eastAsia="en-US"/>
          <w14:ligatures w14:val="standardContextual"/>
        </w:rPr>
      </w:pPr>
      <w:r w:rsidRPr="0057324D">
        <w:rPr>
          <w:rFonts w:eastAsia="Calibri"/>
          <w:kern w:val="2"/>
          <w:sz w:val="24"/>
          <w:szCs w:val="24"/>
          <w:lang w:eastAsia="en-US"/>
          <w14:ligatures w14:val="standardContextual"/>
        </w:rPr>
        <w:t>Hatch, M. J. (1993). The dynamics of organizational culture. </w:t>
      </w:r>
      <w:r w:rsidRPr="0057324D">
        <w:rPr>
          <w:rFonts w:eastAsia="Calibri"/>
          <w:i/>
          <w:iCs/>
          <w:kern w:val="2"/>
          <w:sz w:val="24"/>
          <w:szCs w:val="24"/>
          <w:lang w:eastAsia="en-US"/>
          <w14:ligatures w14:val="standardContextual"/>
        </w:rPr>
        <w:t>Academy of management review</w:t>
      </w:r>
      <w:r w:rsidRPr="0057324D">
        <w:rPr>
          <w:rFonts w:eastAsia="Calibri"/>
          <w:kern w:val="2"/>
          <w:sz w:val="24"/>
          <w:szCs w:val="24"/>
          <w:lang w:eastAsia="en-US"/>
          <w14:ligatures w14:val="standardContextual"/>
        </w:rPr>
        <w:t>, </w:t>
      </w:r>
      <w:r w:rsidRPr="0057324D">
        <w:rPr>
          <w:rFonts w:eastAsia="Calibri"/>
          <w:i/>
          <w:iCs/>
          <w:kern w:val="2"/>
          <w:sz w:val="24"/>
          <w:szCs w:val="24"/>
          <w:lang w:eastAsia="en-US"/>
          <w14:ligatures w14:val="standardContextual"/>
        </w:rPr>
        <w:t>18</w:t>
      </w:r>
      <w:r w:rsidRPr="0057324D">
        <w:rPr>
          <w:rFonts w:eastAsia="Calibri"/>
          <w:kern w:val="2"/>
          <w:sz w:val="24"/>
          <w:szCs w:val="24"/>
          <w:lang w:eastAsia="en-US"/>
          <w14:ligatures w14:val="standardContextual"/>
        </w:rPr>
        <w:t>(4), 657-693.</w:t>
      </w:r>
    </w:p>
    <w:p w14:paraId="5A663CD2" w14:textId="77777777" w:rsidR="00CA5E9D" w:rsidRDefault="00CA5E9D" w:rsidP="00E0483A">
      <w:pPr>
        <w:spacing w:after="160" w:line="259" w:lineRule="auto"/>
        <w:rPr>
          <w:rFonts w:eastAsia="Calibri"/>
          <w:kern w:val="2"/>
          <w:sz w:val="24"/>
          <w:szCs w:val="24"/>
          <w:lang w:eastAsia="en-US"/>
          <w14:ligatures w14:val="standardContextual"/>
        </w:rPr>
      </w:pPr>
      <w:r w:rsidRPr="00473CBC">
        <w:rPr>
          <w:rFonts w:eastAsia="Calibri"/>
          <w:kern w:val="2"/>
          <w:sz w:val="24"/>
          <w:szCs w:val="24"/>
          <w:lang w:eastAsia="en-US"/>
          <w14:ligatures w14:val="standardContextual"/>
        </w:rPr>
        <w:t xml:space="preserve">Hawkins, T. R., Singh, B., Majeau‐Bettez, G., &amp; </w:t>
      </w:r>
      <w:proofErr w:type="spellStart"/>
      <w:r w:rsidRPr="00473CBC">
        <w:rPr>
          <w:rFonts w:eastAsia="Calibri"/>
          <w:kern w:val="2"/>
          <w:sz w:val="24"/>
          <w:szCs w:val="24"/>
          <w:lang w:eastAsia="en-US"/>
          <w14:ligatures w14:val="standardContextual"/>
        </w:rPr>
        <w:t>Strømman</w:t>
      </w:r>
      <w:proofErr w:type="spellEnd"/>
      <w:r w:rsidRPr="00473CBC">
        <w:rPr>
          <w:rFonts w:eastAsia="Calibri"/>
          <w:kern w:val="2"/>
          <w:sz w:val="24"/>
          <w:szCs w:val="24"/>
          <w:lang w:eastAsia="en-US"/>
          <w14:ligatures w14:val="standardContextual"/>
        </w:rPr>
        <w:t>, A. H. (2013). Comparative environmental life cycle assessment of conventional and electric vehicles. </w:t>
      </w:r>
      <w:r w:rsidRPr="00473CBC">
        <w:rPr>
          <w:rFonts w:eastAsia="Calibri"/>
          <w:i/>
          <w:iCs/>
          <w:kern w:val="2"/>
          <w:sz w:val="24"/>
          <w:szCs w:val="24"/>
          <w:lang w:eastAsia="en-US"/>
          <w14:ligatures w14:val="standardContextual"/>
        </w:rPr>
        <w:t>Journal of industrial ecology</w:t>
      </w:r>
      <w:r w:rsidRPr="00473CBC">
        <w:rPr>
          <w:rFonts w:eastAsia="Calibri"/>
          <w:kern w:val="2"/>
          <w:sz w:val="24"/>
          <w:szCs w:val="24"/>
          <w:lang w:eastAsia="en-US"/>
          <w14:ligatures w14:val="standardContextual"/>
        </w:rPr>
        <w:t>, </w:t>
      </w:r>
      <w:r w:rsidRPr="00473CBC">
        <w:rPr>
          <w:rFonts w:eastAsia="Calibri"/>
          <w:i/>
          <w:iCs/>
          <w:kern w:val="2"/>
          <w:sz w:val="24"/>
          <w:szCs w:val="24"/>
          <w:lang w:eastAsia="en-US"/>
          <w14:ligatures w14:val="standardContextual"/>
        </w:rPr>
        <w:t>17</w:t>
      </w:r>
      <w:r w:rsidRPr="00473CBC">
        <w:rPr>
          <w:rFonts w:eastAsia="Calibri"/>
          <w:kern w:val="2"/>
          <w:sz w:val="24"/>
          <w:szCs w:val="24"/>
          <w:lang w:eastAsia="en-US"/>
          <w14:ligatures w14:val="standardContextual"/>
        </w:rPr>
        <w:t>(1), 53-64.</w:t>
      </w:r>
    </w:p>
    <w:p w14:paraId="1F3825EC" w14:textId="77777777" w:rsidR="00CA5E9D" w:rsidRDefault="00CA5E9D" w:rsidP="00E0483A">
      <w:pPr>
        <w:spacing w:after="160" w:line="259" w:lineRule="auto"/>
        <w:rPr>
          <w:rFonts w:eastAsia="Calibri"/>
          <w:kern w:val="2"/>
          <w:sz w:val="24"/>
          <w:szCs w:val="24"/>
          <w:lang w:eastAsia="en-US"/>
          <w14:ligatures w14:val="standardContextual"/>
        </w:rPr>
      </w:pPr>
      <w:r w:rsidRPr="00E5132E">
        <w:rPr>
          <w:rFonts w:eastAsia="Calibri"/>
          <w:kern w:val="2"/>
          <w:sz w:val="24"/>
          <w:szCs w:val="24"/>
          <w:lang w:eastAsia="en-US"/>
          <w14:ligatures w14:val="standardContextual"/>
        </w:rPr>
        <w:t>Helms, M. M., &amp; Nixon, J. (2010). Exploring SWOT analysis–where are we now? A review of academic research from the last decade. </w:t>
      </w:r>
      <w:r w:rsidRPr="00E5132E">
        <w:rPr>
          <w:rFonts w:eastAsia="Calibri"/>
          <w:i/>
          <w:iCs/>
          <w:kern w:val="2"/>
          <w:sz w:val="24"/>
          <w:szCs w:val="24"/>
          <w:lang w:eastAsia="en-US"/>
          <w14:ligatures w14:val="standardContextual"/>
        </w:rPr>
        <w:t>Journal of strategy and management</w:t>
      </w:r>
      <w:r w:rsidRPr="00E5132E">
        <w:rPr>
          <w:rFonts w:eastAsia="Calibri"/>
          <w:kern w:val="2"/>
          <w:sz w:val="24"/>
          <w:szCs w:val="24"/>
          <w:lang w:eastAsia="en-US"/>
          <w14:ligatures w14:val="standardContextual"/>
        </w:rPr>
        <w:t>, </w:t>
      </w:r>
      <w:r w:rsidRPr="00E5132E">
        <w:rPr>
          <w:rFonts w:eastAsia="Calibri"/>
          <w:i/>
          <w:iCs/>
          <w:kern w:val="2"/>
          <w:sz w:val="24"/>
          <w:szCs w:val="24"/>
          <w:lang w:eastAsia="en-US"/>
          <w14:ligatures w14:val="standardContextual"/>
        </w:rPr>
        <w:t>3</w:t>
      </w:r>
      <w:r w:rsidRPr="00E5132E">
        <w:rPr>
          <w:rFonts w:eastAsia="Calibri"/>
          <w:kern w:val="2"/>
          <w:sz w:val="24"/>
          <w:szCs w:val="24"/>
          <w:lang w:eastAsia="en-US"/>
          <w14:ligatures w14:val="standardContextual"/>
        </w:rPr>
        <w:t>(3), 215-251.</w:t>
      </w:r>
    </w:p>
    <w:p w14:paraId="48139C36" w14:textId="77777777" w:rsidR="00CA5E9D" w:rsidRDefault="00CA5E9D" w:rsidP="00E0483A">
      <w:pPr>
        <w:spacing w:after="160" w:line="259" w:lineRule="auto"/>
        <w:rPr>
          <w:rFonts w:eastAsia="Calibri"/>
          <w:kern w:val="2"/>
          <w:sz w:val="24"/>
          <w:szCs w:val="24"/>
          <w:lang w:eastAsia="en-US"/>
          <w14:ligatures w14:val="standardContextual"/>
        </w:rPr>
      </w:pPr>
      <w:r w:rsidRPr="003C5FC7">
        <w:rPr>
          <w:rFonts w:eastAsia="Calibri"/>
          <w:kern w:val="2"/>
          <w:sz w:val="24"/>
          <w:szCs w:val="24"/>
          <w:lang w:eastAsia="en-US"/>
          <w14:ligatures w14:val="standardContextual"/>
        </w:rPr>
        <w:t>Hiatt, J. (2006). </w:t>
      </w:r>
      <w:r w:rsidRPr="003C5FC7">
        <w:rPr>
          <w:rFonts w:eastAsia="Calibri"/>
          <w:i/>
          <w:iCs/>
          <w:kern w:val="2"/>
          <w:sz w:val="24"/>
          <w:szCs w:val="24"/>
          <w:lang w:eastAsia="en-US"/>
          <w14:ligatures w14:val="standardContextual"/>
        </w:rPr>
        <w:t>ADKAR: A model for change in business, government, and our community</w:t>
      </w:r>
      <w:r w:rsidRPr="003C5FC7">
        <w:rPr>
          <w:rFonts w:eastAsia="Calibri"/>
          <w:kern w:val="2"/>
          <w:sz w:val="24"/>
          <w:szCs w:val="24"/>
          <w:lang w:eastAsia="en-US"/>
          <w14:ligatures w14:val="standardContextual"/>
        </w:rPr>
        <w:t xml:space="preserve">. </w:t>
      </w:r>
      <w:proofErr w:type="spellStart"/>
      <w:r w:rsidRPr="003C5FC7">
        <w:rPr>
          <w:rFonts w:eastAsia="Calibri"/>
          <w:kern w:val="2"/>
          <w:sz w:val="24"/>
          <w:szCs w:val="24"/>
          <w:lang w:eastAsia="en-US"/>
          <w14:ligatures w14:val="standardContextual"/>
        </w:rPr>
        <w:t>Prosci</w:t>
      </w:r>
      <w:proofErr w:type="spellEnd"/>
      <w:r w:rsidRPr="003C5FC7">
        <w:rPr>
          <w:rFonts w:eastAsia="Calibri"/>
          <w:kern w:val="2"/>
          <w:sz w:val="24"/>
          <w:szCs w:val="24"/>
          <w:lang w:eastAsia="en-US"/>
          <w14:ligatures w14:val="standardContextual"/>
        </w:rPr>
        <w:t>.</w:t>
      </w:r>
    </w:p>
    <w:p w14:paraId="335C966A" w14:textId="77777777" w:rsidR="00CA5E9D" w:rsidRDefault="00CA5E9D" w:rsidP="00E0483A">
      <w:pPr>
        <w:spacing w:after="160" w:line="259" w:lineRule="auto"/>
        <w:rPr>
          <w:rFonts w:eastAsia="Calibri"/>
          <w:kern w:val="2"/>
          <w:sz w:val="24"/>
          <w:szCs w:val="24"/>
          <w:lang w:eastAsia="en-US"/>
          <w14:ligatures w14:val="standardContextual"/>
        </w:rPr>
      </w:pPr>
      <w:r w:rsidRPr="00473CBC">
        <w:rPr>
          <w:rFonts w:eastAsia="Calibri"/>
          <w:kern w:val="2"/>
          <w:sz w:val="24"/>
          <w:szCs w:val="24"/>
          <w:lang w:eastAsia="en-US"/>
          <w14:ligatures w14:val="standardContextual"/>
        </w:rPr>
        <w:t>Ho, J. K. K. (2014). Formulation of a systemic PEST analysis for strategic analysis. </w:t>
      </w:r>
      <w:r w:rsidRPr="00473CBC">
        <w:rPr>
          <w:rFonts w:eastAsia="Calibri"/>
          <w:i/>
          <w:iCs/>
          <w:kern w:val="2"/>
          <w:sz w:val="24"/>
          <w:szCs w:val="24"/>
          <w:lang w:eastAsia="en-US"/>
          <w14:ligatures w14:val="standardContextual"/>
        </w:rPr>
        <w:t>European academic research</w:t>
      </w:r>
      <w:r w:rsidRPr="00473CBC">
        <w:rPr>
          <w:rFonts w:eastAsia="Calibri"/>
          <w:kern w:val="2"/>
          <w:sz w:val="24"/>
          <w:szCs w:val="24"/>
          <w:lang w:eastAsia="en-US"/>
          <w14:ligatures w14:val="standardContextual"/>
        </w:rPr>
        <w:t>, </w:t>
      </w:r>
      <w:r w:rsidRPr="00473CBC">
        <w:rPr>
          <w:rFonts w:eastAsia="Calibri"/>
          <w:i/>
          <w:iCs/>
          <w:kern w:val="2"/>
          <w:sz w:val="24"/>
          <w:szCs w:val="24"/>
          <w:lang w:eastAsia="en-US"/>
          <w14:ligatures w14:val="standardContextual"/>
        </w:rPr>
        <w:t>2</w:t>
      </w:r>
      <w:r w:rsidRPr="00473CBC">
        <w:rPr>
          <w:rFonts w:eastAsia="Calibri"/>
          <w:kern w:val="2"/>
          <w:sz w:val="24"/>
          <w:szCs w:val="24"/>
          <w:lang w:eastAsia="en-US"/>
          <w14:ligatures w14:val="standardContextual"/>
        </w:rPr>
        <w:t>(5), 6478-6492.</w:t>
      </w:r>
    </w:p>
    <w:p w14:paraId="02032F56" w14:textId="3603CD73" w:rsidR="00CA5E9D" w:rsidRDefault="00CA5E9D" w:rsidP="00E0483A">
      <w:pPr>
        <w:spacing w:after="160" w:line="259" w:lineRule="auto"/>
        <w:rPr>
          <w:rFonts w:eastAsia="Calibri"/>
          <w:kern w:val="2"/>
          <w:sz w:val="24"/>
          <w:szCs w:val="24"/>
          <w:lang w:eastAsia="en-US"/>
          <w14:ligatures w14:val="standardContextual"/>
        </w:rPr>
      </w:pPr>
      <w:r w:rsidRPr="00E5132E">
        <w:rPr>
          <w:rFonts w:eastAsia="Calibri"/>
          <w:kern w:val="2"/>
          <w:sz w:val="24"/>
          <w:szCs w:val="24"/>
          <w:lang w:eastAsia="en-US"/>
          <w14:ligatures w14:val="standardContextual"/>
        </w:rPr>
        <w:t xml:space="preserve">International Energy Agency (2025) </w:t>
      </w:r>
      <w:r w:rsidRPr="00E5132E">
        <w:rPr>
          <w:rFonts w:eastAsia="Calibri"/>
          <w:i/>
          <w:iCs/>
          <w:kern w:val="2"/>
          <w:sz w:val="24"/>
          <w:szCs w:val="24"/>
          <w:lang w:eastAsia="en-US"/>
          <w14:ligatures w14:val="standardContextual"/>
        </w:rPr>
        <w:t>Global EV Outlook 2025</w:t>
      </w:r>
      <w:r w:rsidRPr="00E5132E">
        <w:rPr>
          <w:rFonts w:eastAsia="Calibri"/>
          <w:kern w:val="2"/>
          <w:sz w:val="24"/>
          <w:szCs w:val="24"/>
          <w:lang w:eastAsia="en-US"/>
          <w14:ligatures w14:val="standardContextual"/>
        </w:rPr>
        <w:t xml:space="preserve">. Paris: IEA. Available at: </w:t>
      </w:r>
      <w:r w:rsidRPr="00330683">
        <w:rPr>
          <w:rFonts w:eastAsia="Calibri"/>
          <w:kern w:val="2"/>
          <w:sz w:val="24"/>
          <w:szCs w:val="24"/>
          <w:lang w:eastAsia="en-US"/>
          <w14:ligatures w14:val="standardContextual"/>
        </w:rPr>
        <w:t>https://www.iea.org/reports/global-ev-outlook-2025</w:t>
      </w:r>
      <w:r w:rsidRPr="00E5132E">
        <w:rPr>
          <w:rFonts w:eastAsia="Calibri"/>
          <w:kern w:val="2"/>
          <w:sz w:val="24"/>
          <w:szCs w:val="24"/>
          <w:lang w:eastAsia="en-US"/>
          <w14:ligatures w14:val="standardContextual"/>
        </w:rPr>
        <w:t xml:space="preserve"> (Accessed: 16 July 2026).</w:t>
      </w:r>
    </w:p>
    <w:p w14:paraId="4F3BAD04" w14:textId="17B007A0" w:rsidR="00CA5E9D" w:rsidRDefault="00CA5E9D" w:rsidP="00E0483A">
      <w:pPr>
        <w:spacing w:after="160" w:line="259" w:lineRule="auto"/>
        <w:rPr>
          <w:rFonts w:eastAsia="Calibri"/>
          <w:kern w:val="2"/>
          <w:sz w:val="24"/>
          <w:szCs w:val="24"/>
          <w:lang w:eastAsia="en-US"/>
          <w14:ligatures w14:val="standardContextual"/>
        </w:rPr>
      </w:pPr>
      <w:r w:rsidRPr="00106AA3">
        <w:rPr>
          <w:rFonts w:eastAsia="Calibri"/>
          <w:kern w:val="2"/>
          <w:sz w:val="24"/>
          <w:szCs w:val="24"/>
          <w:lang w:eastAsia="en-US"/>
          <w14:ligatures w14:val="standardContextual"/>
        </w:rPr>
        <w:t xml:space="preserve">International Energy Agency (2025) </w:t>
      </w:r>
      <w:r w:rsidRPr="00106AA3">
        <w:rPr>
          <w:rFonts w:eastAsia="Calibri"/>
          <w:i/>
          <w:iCs/>
          <w:kern w:val="2"/>
          <w:sz w:val="24"/>
          <w:szCs w:val="24"/>
          <w:lang w:eastAsia="en-US"/>
          <w14:ligatures w14:val="standardContextual"/>
        </w:rPr>
        <w:t>Global EV Outlook 2025</w:t>
      </w:r>
      <w:r w:rsidRPr="00106AA3">
        <w:rPr>
          <w:rFonts w:eastAsia="Calibri"/>
          <w:kern w:val="2"/>
          <w:sz w:val="24"/>
          <w:szCs w:val="24"/>
          <w:lang w:eastAsia="en-US"/>
          <w14:ligatures w14:val="standardContextual"/>
        </w:rPr>
        <w:t xml:space="preserve">. Paris: International Energy Agency. Available at: </w:t>
      </w:r>
      <w:r w:rsidRPr="00330683">
        <w:rPr>
          <w:rFonts w:eastAsia="Calibri"/>
          <w:kern w:val="2"/>
          <w:sz w:val="24"/>
          <w:szCs w:val="24"/>
          <w:lang w:eastAsia="en-US"/>
          <w14:ligatures w14:val="standardContextual"/>
        </w:rPr>
        <w:t>https://www.iea.org/reports/global-ev-outlook-2025</w:t>
      </w:r>
      <w:r w:rsidRPr="00106AA3">
        <w:rPr>
          <w:rFonts w:eastAsia="Calibri"/>
          <w:kern w:val="2"/>
          <w:sz w:val="24"/>
          <w:szCs w:val="24"/>
          <w:lang w:eastAsia="en-US"/>
          <w14:ligatures w14:val="standardContextual"/>
        </w:rPr>
        <w:t xml:space="preserve"> (Accessed: 16 July 2026).</w:t>
      </w:r>
    </w:p>
    <w:p w14:paraId="3F6943D4" w14:textId="77777777" w:rsidR="00CA5E9D" w:rsidRDefault="00CA5E9D" w:rsidP="00E0483A">
      <w:pPr>
        <w:spacing w:after="160" w:line="259" w:lineRule="auto"/>
        <w:rPr>
          <w:rFonts w:eastAsia="Calibri"/>
          <w:kern w:val="2"/>
          <w:sz w:val="24"/>
          <w:szCs w:val="24"/>
          <w:lang w:eastAsia="en-US"/>
          <w14:ligatures w14:val="standardContextual"/>
        </w:rPr>
      </w:pPr>
      <w:r w:rsidRPr="00342869">
        <w:rPr>
          <w:rFonts w:eastAsia="Calibri"/>
          <w:kern w:val="2"/>
          <w:sz w:val="24"/>
          <w:szCs w:val="24"/>
          <w:lang w:eastAsia="en-US"/>
          <w14:ligatures w14:val="standardContextual"/>
        </w:rPr>
        <w:t xml:space="preserve">Ivanov, D., &amp; </w:t>
      </w:r>
      <w:proofErr w:type="spellStart"/>
      <w:r w:rsidRPr="00342869">
        <w:rPr>
          <w:rFonts w:eastAsia="Calibri"/>
          <w:kern w:val="2"/>
          <w:sz w:val="24"/>
          <w:szCs w:val="24"/>
          <w:lang w:eastAsia="en-US"/>
          <w14:ligatures w14:val="standardContextual"/>
        </w:rPr>
        <w:t>Dolgui</w:t>
      </w:r>
      <w:proofErr w:type="spellEnd"/>
      <w:r w:rsidRPr="00342869">
        <w:rPr>
          <w:rFonts w:eastAsia="Calibri"/>
          <w:kern w:val="2"/>
          <w:sz w:val="24"/>
          <w:szCs w:val="24"/>
          <w:lang w:eastAsia="en-US"/>
          <w14:ligatures w14:val="standardContextual"/>
        </w:rPr>
        <w:t>, A. (2020). Viability of intertwined supply networks: extending the supply chain resilience angles towards survivability. A position paper motivated by COVID-19 outbreak. </w:t>
      </w:r>
      <w:r w:rsidRPr="00342869">
        <w:rPr>
          <w:rFonts w:eastAsia="Calibri"/>
          <w:i/>
          <w:iCs/>
          <w:kern w:val="2"/>
          <w:sz w:val="24"/>
          <w:szCs w:val="24"/>
          <w:lang w:eastAsia="en-US"/>
          <w14:ligatures w14:val="standardContextual"/>
        </w:rPr>
        <w:t>International journal of production research</w:t>
      </w:r>
      <w:r w:rsidRPr="00342869">
        <w:rPr>
          <w:rFonts w:eastAsia="Calibri"/>
          <w:kern w:val="2"/>
          <w:sz w:val="24"/>
          <w:szCs w:val="24"/>
          <w:lang w:eastAsia="en-US"/>
          <w14:ligatures w14:val="standardContextual"/>
        </w:rPr>
        <w:t>, </w:t>
      </w:r>
      <w:r w:rsidRPr="00342869">
        <w:rPr>
          <w:rFonts w:eastAsia="Calibri"/>
          <w:i/>
          <w:iCs/>
          <w:kern w:val="2"/>
          <w:sz w:val="24"/>
          <w:szCs w:val="24"/>
          <w:lang w:eastAsia="en-US"/>
          <w14:ligatures w14:val="standardContextual"/>
        </w:rPr>
        <w:t>58</w:t>
      </w:r>
      <w:r w:rsidRPr="00342869">
        <w:rPr>
          <w:rFonts w:eastAsia="Calibri"/>
          <w:kern w:val="2"/>
          <w:sz w:val="24"/>
          <w:szCs w:val="24"/>
          <w:lang w:eastAsia="en-US"/>
          <w14:ligatures w14:val="standardContextual"/>
        </w:rPr>
        <w:t>(10), 2904-2915.</w:t>
      </w:r>
    </w:p>
    <w:p w14:paraId="445BF089" w14:textId="71ADC898" w:rsidR="00CA5E9D" w:rsidRDefault="009B1B26" w:rsidP="00E0483A">
      <w:pPr>
        <w:spacing w:after="160" w:line="259" w:lineRule="auto"/>
        <w:rPr>
          <w:rFonts w:eastAsia="Calibri"/>
          <w:kern w:val="2"/>
          <w:sz w:val="24"/>
          <w:szCs w:val="24"/>
          <w:lang w:eastAsia="en-US"/>
          <w14:ligatures w14:val="standardContextual"/>
        </w:rPr>
      </w:pPr>
      <w:proofErr w:type="gramStart"/>
      <w:r>
        <w:rPr>
          <w:rFonts w:eastAsia="Calibri"/>
          <w:kern w:val="2"/>
          <w:sz w:val="24"/>
          <w:szCs w:val="24"/>
          <w:lang w:eastAsia="en-US"/>
          <w14:ligatures w14:val="standardContextual"/>
        </w:rPr>
        <w:t>JLR</w:t>
      </w:r>
      <w:r w:rsidR="00CA5E9D" w:rsidRPr="001C0003">
        <w:rPr>
          <w:rFonts w:eastAsia="Calibri"/>
          <w:kern w:val="2"/>
          <w:sz w:val="24"/>
          <w:szCs w:val="24"/>
          <w:lang w:eastAsia="en-US"/>
          <w14:ligatures w14:val="standardContextual"/>
        </w:rPr>
        <w:t>(</w:t>
      </w:r>
      <w:proofErr w:type="gramEnd"/>
      <w:r w:rsidR="00CA5E9D" w:rsidRPr="001C0003">
        <w:rPr>
          <w:rFonts w:eastAsia="Calibri"/>
          <w:kern w:val="2"/>
          <w:sz w:val="24"/>
          <w:szCs w:val="24"/>
          <w:lang w:eastAsia="en-US"/>
          <w14:ligatures w14:val="standardContextual"/>
        </w:rPr>
        <w:t xml:space="preserve">2014) </w:t>
      </w:r>
      <w:proofErr w:type="spellStart"/>
      <w:r>
        <w:rPr>
          <w:rFonts w:eastAsia="Calibri"/>
          <w:i/>
          <w:iCs/>
          <w:kern w:val="2"/>
          <w:sz w:val="24"/>
          <w:szCs w:val="24"/>
          <w:lang w:eastAsia="en-US"/>
          <w14:ligatures w14:val="standardContextual"/>
        </w:rPr>
        <w:t>JLR</w:t>
      </w:r>
      <w:r w:rsidR="00CA5E9D" w:rsidRPr="001C0003">
        <w:rPr>
          <w:rFonts w:eastAsia="Calibri"/>
          <w:i/>
          <w:iCs/>
          <w:kern w:val="2"/>
          <w:sz w:val="24"/>
          <w:szCs w:val="24"/>
          <w:lang w:eastAsia="en-US"/>
          <w14:ligatures w14:val="standardContextual"/>
        </w:rPr>
        <w:t>Opens</w:t>
      </w:r>
      <w:proofErr w:type="spellEnd"/>
      <w:r w:rsidR="00CA5E9D" w:rsidRPr="001C0003">
        <w:rPr>
          <w:rFonts w:eastAsia="Calibri"/>
          <w:i/>
          <w:iCs/>
          <w:kern w:val="2"/>
          <w:sz w:val="24"/>
          <w:szCs w:val="24"/>
          <w:lang w:eastAsia="en-US"/>
          <w14:ligatures w14:val="standardContextual"/>
        </w:rPr>
        <w:t xml:space="preserve"> New Engine Manufacturing Centre</w:t>
      </w:r>
      <w:r w:rsidR="00CA5E9D" w:rsidRPr="001C0003">
        <w:rPr>
          <w:rFonts w:eastAsia="Calibri"/>
          <w:kern w:val="2"/>
          <w:sz w:val="24"/>
          <w:szCs w:val="24"/>
          <w:lang w:eastAsia="en-US"/>
          <w14:ligatures w14:val="standardContextual"/>
        </w:rPr>
        <w:t>. Available at: https://media.jaguarlandrover.com/news/2014/10/jaguar-land-rover-opens-new-engine-manufacturing-centre (Accessed: 16 July 2026).</w:t>
      </w:r>
    </w:p>
    <w:p w14:paraId="16278D6A" w14:textId="082B9FAE" w:rsidR="00CA5E9D" w:rsidRDefault="009B1B26" w:rsidP="00E0483A">
      <w:pPr>
        <w:spacing w:after="160" w:line="259" w:lineRule="auto"/>
        <w:rPr>
          <w:rFonts w:eastAsia="Calibri"/>
          <w:kern w:val="2"/>
          <w:sz w:val="24"/>
          <w:szCs w:val="24"/>
          <w:lang w:eastAsia="en-US"/>
          <w14:ligatures w14:val="standardContextual"/>
        </w:rPr>
      </w:pPr>
      <w:proofErr w:type="gramStart"/>
      <w:r>
        <w:rPr>
          <w:rFonts w:eastAsia="Calibri"/>
          <w:kern w:val="2"/>
          <w:sz w:val="24"/>
          <w:szCs w:val="24"/>
          <w:lang w:eastAsia="en-US"/>
          <w14:ligatures w14:val="standardContextual"/>
        </w:rPr>
        <w:t>JLR</w:t>
      </w:r>
      <w:r w:rsidR="00CA5E9D" w:rsidRPr="001C0003">
        <w:rPr>
          <w:rFonts w:eastAsia="Calibri"/>
          <w:kern w:val="2"/>
          <w:sz w:val="24"/>
          <w:szCs w:val="24"/>
          <w:lang w:eastAsia="en-US"/>
          <w14:ligatures w14:val="standardContextual"/>
        </w:rPr>
        <w:t>(</w:t>
      </w:r>
      <w:proofErr w:type="gramEnd"/>
      <w:r w:rsidR="00CA5E9D" w:rsidRPr="001C0003">
        <w:rPr>
          <w:rFonts w:eastAsia="Calibri"/>
          <w:kern w:val="2"/>
          <w:sz w:val="24"/>
          <w:szCs w:val="24"/>
          <w:lang w:eastAsia="en-US"/>
          <w14:ligatures w14:val="standardContextual"/>
        </w:rPr>
        <w:t xml:space="preserve">2021) </w:t>
      </w:r>
      <w:r w:rsidR="00CA5E9D" w:rsidRPr="001C0003">
        <w:rPr>
          <w:rFonts w:eastAsia="Calibri"/>
          <w:i/>
          <w:iCs/>
          <w:kern w:val="2"/>
          <w:sz w:val="24"/>
          <w:szCs w:val="24"/>
          <w:lang w:eastAsia="en-US"/>
          <w14:ligatures w14:val="standardContextual"/>
        </w:rPr>
        <w:t>Reimagine: A Strategy for Modern Luxury</w:t>
      </w:r>
      <w:r w:rsidR="00CA5E9D" w:rsidRPr="001C0003">
        <w:rPr>
          <w:rFonts w:eastAsia="Calibri"/>
          <w:kern w:val="2"/>
          <w:sz w:val="24"/>
          <w:szCs w:val="24"/>
          <w:lang w:eastAsia="en-US"/>
          <w14:ligatures w14:val="standardContextual"/>
        </w:rPr>
        <w:t>. Available at: https://media.jaguarlandrover.com/news/2021/02/reimagine-strategy-modern-luxury (Accessed: 16 July 2026).</w:t>
      </w:r>
    </w:p>
    <w:p w14:paraId="0668E697" w14:textId="76D9F269" w:rsidR="00CA5E9D" w:rsidRDefault="009B1B26" w:rsidP="00E0483A">
      <w:pPr>
        <w:spacing w:after="160" w:line="259" w:lineRule="auto"/>
        <w:rPr>
          <w:rFonts w:eastAsia="Calibri"/>
          <w:kern w:val="2"/>
          <w:sz w:val="24"/>
          <w:szCs w:val="24"/>
          <w:lang w:eastAsia="en-US"/>
          <w14:ligatures w14:val="standardContextual"/>
        </w:rPr>
      </w:pPr>
      <w:proofErr w:type="gramStart"/>
      <w:r>
        <w:rPr>
          <w:rFonts w:eastAsia="Calibri"/>
          <w:kern w:val="2"/>
          <w:sz w:val="24"/>
          <w:szCs w:val="24"/>
          <w:lang w:eastAsia="en-US"/>
          <w14:ligatures w14:val="standardContextual"/>
        </w:rPr>
        <w:t>JLR</w:t>
      </w:r>
      <w:r w:rsidR="00CA5E9D" w:rsidRPr="00B8537A">
        <w:rPr>
          <w:rFonts w:eastAsia="Calibri"/>
          <w:kern w:val="2"/>
          <w:sz w:val="24"/>
          <w:szCs w:val="24"/>
          <w:lang w:eastAsia="en-US"/>
          <w14:ligatures w14:val="standardContextual"/>
        </w:rPr>
        <w:t>(</w:t>
      </w:r>
      <w:proofErr w:type="gramEnd"/>
      <w:r w:rsidR="00CA5E9D" w:rsidRPr="00B8537A">
        <w:rPr>
          <w:rFonts w:eastAsia="Calibri"/>
          <w:kern w:val="2"/>
          <w:sz w:val="24"/>
          <w:szCs w:val="24"/>
          <w:lang w:eastAsia="en-US"/>
          <w14:ligatures w14:val="standardContextual"/>
        </w:rPr>
        <w:t xml:space="preserve">2025) </w:t>
      </w:r>
      <w:r w:rsidR="00CA5E9D" w:rsidRPr="00B8537A">
        <w:rPr>
          <w:rFonts w:eastAsia="Calibri"/>
          <w:i/>
          <w:iCs/>
          <w:kern w:val="2"/>
          <w:sz w:val="24"/>
          <w:szCs w:val="24"/>
          <w:lang w:eastAsia="en-US"/>
          <w14:ligatures w14:val="standardContextual"/>
        </w:rPr>
        <w:t>Annual Report 2024/25</w:t>
      </w:r>
      <w:r w:rsidR="00CA5E9D" w:rsidRPr="00B8537A">
        <w:rPr>
          <w:rFonts w:eastAsia="Calibri"/>
          <w:kern w:val="2"/>
          <w:sz w:val="24"/>
          <w:szCs w:val="24"/>
          <w:lang w:eastAsia="en-US"/>
          <w14:ligatures w14:val="standardContextual"/>
        </w:rPr>
        <w:t xml:space="preserve">. Coventry: Jaguar Land Rover. Available at: </w:t>
      </w:r>
      <w:r w:rsidR="00CA5E9D" w:rsidRPr="00330683">
        <w:rPr>
          <w:rFonts w:eastAsia="Calibri"/>
          <w:kern w:val="2"/>
          <w:sz w:val="24"/>
          <w:szCs w:val="24"/>
          <w:lang w:eastAsia="en-US"/>
          <w14:ligatures w14:val="standardContextual"/>
        </w:rPr>
        <w:t>https://www.jlr.com/annual-report-2025</w:t>
      </w:r>
      <w:r w:rsidR="00CA5E9D" w:rsidRPr="00B8537A">
        <w:rPr>
          <w:rFonts w:eastAsia="Calibri"/>
          <w:kern w:val="2"/>
          <w:sz w:val="24"/>
          <w:szCs w:val="24"/>
          <w:lang w:eastAsia="en-US"/>
          <w14:ligatures w14:val="standardContextual"/>
        </w:rPr>
        <w:t xml:space="preserve"> (Accessed: 16 July 2026).</w:t>
      </w:r>
    </w:p>
    <w:p w14:paraId="5088D665" w14:textId="77777777" w:rsidR="00CA5E9D" w:rsidRDefault="00CA5E9D" w:rsidP="00E0483A">
      <w:pPr>
        <w:spacing w:after="160" w:line="259" w:lineRule="auto"/>
        <w:rPr>
          <w:rFonts w:eastAsia="Calibri"/>
          <w:kern w:val="2"/>
          <w:sz w:val="24"/>
          <w:szCs w:val="24"/>
          <w:lang w:eastAsia="en-US"/>
          <w14:ligatures w14:val="standardContextual"/>
        </w:rPr>
      </w:pPr>
      <w:r w:rsidRPr="00FB5F1A">
        <w:rPr>
          <w:rFonts w:eastAsia="Calibri"/>
          <w:kern w:val="2"/>
          <w:sz w:val="24"/>
          <w:szCs w:val="24"/>
          <w:lang w:eastAsia="en-US"/>
          <w14:ligatures w14:val="standardContextual"/>
        </w:rPr>
        <w:t xml:space="preserve">Johnson, G., Whittington, R., Scholes, K., Angwin, D., &amp; </w:t>
      </w:r>
      <w:proofErr w:type="spellStart"/>
      <w:r w:rsidRPr="00FB5F1A">
        <w:rPr>
          <w:rFonts w:eastAsia="Calibri"/>
          <w:kern w:val="2"/>
          <w:sz w:val="24"/>
          <w:szCs w:val="24"/>
          <w:lang w:eastAsia="en-US"/>
          <w14:ligatures w14:val="standardContextual"/>
        </w:rPr>
        <w:t>Regnér</w:t>
      </w:r>
      <w:proofErr w:type="spellEnd"/>
      <w:r w:rsidRPr="00FB5F1A">
        <w:rPr>
          <w:rFonts w:eastAsia="Calibri"/>
          <w:kern w:val="2"/>
          <w:sz w:val="24"/>
          <w:szCs w:val="24"/>
          <w:lang w:eastAsia="en-US"/>
          <w14:ligatures w14:val="standardContextual"/>
        </w:rPr>
        <w:t>, P. (2011). </w:t>
      </w:r>
      <w:r w:rsidRPr="00FB5F1A">
        <w:rPr>
          <w:rFonts w:eastAsia="Calibri"/>
          <w:i/>
          <w:iCs/>
          <w:kern w:val="2"/>
          <w:sz w:val="24"/>
          <w:szCs w:val="24"/>
          <w:lang w:eastAsia="en-US"/>
          <w14:ligatures w14:val="standardContextual"/>
        </w:rPr>
        <w:t>Exploring strategy</w:t>
      </w:r>
      <w:r w:rsidRPr="00FB5F1A">
        <w:rPr>
          <w:rFonts w:eastAsia="Calibri"/>
          <w:kern w:val="2"/>
          <w:sz w:val="24"/>
          <w:szCs w:val="24"/>
          <w:lang w:eastAsia="en-US"/>
          <w14:ligatures w14:val="standardContextual"/>
        </w:rPr>
        <w:t>. London, UK: Financial Times Prentice Hall.</w:t>
      </w:r>
    </w:p>
    <w:p w14:paraId="2C95BB22" w14:textId="77777777" w:rsidR="00CA5E9D" w:rsidRDefault="00CA5E9D" w:rsidP="00E0483A">
      <w:pPr>
        <w:spacing w:after="160" w:line="259" w:lineRule="auto"/>
        <w:rPr>
          <w:rFonts w:eastAsia="Calibri"/>
          <w:kern w:val="2"/>
          <w:sz w:val="24"/>
          <w:szCs w:val="24"/>
          <w:lang w:eastAsia="en-US"/>
          <w14:ligatures w14:val="standardContextual"/>
        </w:rPr>
      </w:pPr>
      <w:r w:rsidRPr="000E6116">
        <w:rPr>
          <w:rFonts w:eastAsia="Calibri"/>
          <w:kern w:val="2"/>
          <w:sz w:val="24"/>
          <w:szCs w:val="24"/>
          <w:lang w:eastAsia="en-US"/>
          <w14:ligatures w14:val="standardContextual"/>
        </w:rPr>
        <w:t>Kotter, J. P. (1996). Leadership change. </w:t>
      </w:r>
      <w:r w:rsidRPr="000E6116">
        <w:rPr>
          <w:rFonts w:eastAsia="Calibri"/>
          <w:i/>
          <w:iCs/>
          <w:kern w:val="2"/>
          <w:sz w:val="24"/>
          <w:szCs w:val="24"/>
          <w:lang w:eastAsia="en-US"/>
          <w14:ligatures w14:val="standardContextual"/>
        </w:rPr>
        <w:t>Harvard Business School Press: Boston, MA, USA</w:t>
      </w:r>
      <w:r w:rsidRPr="000E6116">
        <w:rPr>
          <w:rFonts w:eastAsia="Calibri"/>
          <w:kern w:val="2"/>
          <w:sz w:val="24"/>
          <w:szCs w:val="24"/>
          <w:lang w:eastAsia="en-US"/>
          <w14:ligatures w14:val="standardContextual"/>
        </w:rPr>
        <w:t>.</w:t>
      </w:r>
    </w:p>
    <w:p w14:paraId="0738C40C" w14:textId="77777777" w:rsidR="00CA5E9D" w:rsidRDefault="00CA5E9D" w:rsidP="00E0483A">
      <w:pPr>
        <w:spacing w:after="160" w:line="259" w:lineRule="auto"/>
        <w:rPr>
          <w:rFonts w:eastAsia="Calibri"/>
          <w:kern w:val="2"/>
          <w:sz w:val="24"/>
          <w:szCs w:val="24"/>
          <w:lang w:eastAsia="en-US"/>
          <w14:ligatures w14:val="standardContextual"/>
        </w:rPr>
      </w:pPr>
      <w:r w:rsidRPr="00443189">
        <w:rPr>
          <w:rFonts w:eastAsia="Calibri"/>
          <w:kern w:val="2"/>
          <w:sz w:val="24"/>
          <w:szCs w:val="24"/>
          <w:lang w:eastAsia="en-US"/>
          <w14:ligatures w14:val="standardContextual"/>
        </w:rPr>
        <w:t>Kotter, J. P. (2012). </w:t>
      </w:r>
      <w:r w:rsidRPr="00443189">
        <w:rPr>
          <w:rFonts w:eastAsia="Calibri"/>
          <w:i/>
          <w:iCs/>
          <w:kern w:val="2"/>
          <w:sz w:val="24"/>
          <w:szCs w:val="24"/>
          <w:lang w:eastAsia="en-US"/>
          <w14:ligatures w14:val="standardContextual"/>
        </w:rPr>
        <w:t>Leading change</w:t>
      </w:r>
      <w:r w:rsidRPr="00443189">
        <w:rPr>
          <w:rFonts w:eastAsia="Calibri"/>
          <w:kern w:val="2"/>
          <w:sz w:val="24"/>
          <w:szCs w:val="24"/>
          <w:lang w:eastAsia="en-US"/>
          <w14:ligatures w14:val="standardContextual"/>
        </w:rPr>
        <w:t>. Harvard business press.</w:t>
      </w:r>
    </w:p>
    <w:p w14:paraId="27C5B8C8" w14:textId="77777777" w:rsidR="00CA5E9D" w:rsidRDefault="00CA5E9D" w:rsidP="00E0483A">
      <w:pPr>
        <w:spacing w:after="160" w:line="259" w:lineRule="auto"/>
        <w:rPr>
          <w:rFonts w:eastAsia="Calibri"/>
          <w:kern w:val="2"/>
          <w:sz w:val="24"/>
          <w:szCs w:val="24"/>
          <w:lang w:eastAsia="en-US"/>
          <w14:ligatures w14:val="standardContextual"/>
        </w:rPr>
      </w:pPr>
      <w:proofErr w:type="spellStart"/>
      <w:r w:rsidRPr="00BC3FA1">
        <w:rPr>
          <w:rFonts w:eastAsia="Calibri"/>
          <w:kern w:val="2"/>
          <w:sz w:val="24"/>
          <w:szCs w:val="24"/>
          <w:lang w:eastAsia="en-US"/>
          <w14:ligatures w14:val="standardContextual"/>
        </w:rPr>
        <w:t>Kukkamalla</w:t>
      </w:r>
      <w:proofErr w:type="spellEnd"/>
      <w:r w:rsidRPr="00BC3FA1">
        <w:rPr>
          <w:rFonts w:eastAsia="Calibri"/>
          <w:kern w:val="2"/>
          <w:sz w:val="24"/>
          <w:szCs w:val="24"/>
          <w:lang w:eastAsia="en-US"/>
          <w14:ligatures w14:val="standardContextual"/>
        </w:rPr>
        <w:t xml:space="preserve">, P. K., Bikfalvi, A., &amp; </w:t>
      </w:r>
      <w:proofErr w:type="spellStart"/>
      <w:r w:rsidRPr="00BC3FA1">
        <w:rPr>
          <w:rFonts w:eastAsia="Calibri"/>
          <w:kern w:val="2"/>
          <w:sz w:val="24"/>
          <w:szCs w:val="24"/>
          <w:lang w:eastAsia="en-US"/>
          <w14:ligatures w14:val="standardContextual"/>
        </w:rPr>
        <w:t>Arbussa</w:t>
      </w:r>
      <w:proofErr w:type="spellEnd"/>
      <w:r w:rsidRPr="00BC3FA1">
        <w:rPr>
          <w:rFonts w:eastAsia="Calibri"/>
          <w:kern w:val="2"/>
          <w:sz w:val="24"/>
          <w:szCs w:val="24"/>
          <w:lang w:eastAsia="en-US"/>
          <w14:ligatures w14:val="standardContextual"/>
        </w:rPr>
        <w:t>, A. (2021). The new BMW: business model innovation transforms an automotive leader. </w:t>
      </w:r>
      <w:r w:rsidRPr="00BC3FA1">
        <w:rPr>
          <w:rFonts w:eastAsia="Calibri"/>
          <w:i/>
          <w:iCs/>
          <w:kern w:val="2"/>
          <w:sz w:val="24"/>
          <w:szCs w:val="24"/>
          <w:lang w:eastAsia="en-US"/>
          <w14:ligatures w14:val="standardContextual"/>
        </w:rPr>
        <w:t>Journal of Business Strategy</w:t>
      </w:r>
      <w:r w:rsidRPr="00BC3FA1">
        <w:rPr>
          <w:rFonts w:eastAsia="Calibri"/>
          <w:kern w:val="2"/>
          <w:sz w:val="24"/>
          <w:szCs w:val="24"/>
          <w:lang w:eastAsia="en-US"/>
          <w14:ligatures w14:val="standardContextual"/>
        </w:rPr>
        <w:t>, </w:t>
      </w:r>
      <w:r w:rsidRPr="00BC3FA1">
        <w:rPr>
          <w:rFonts w:eastAsia="Calibri"/>
          <w:i/>
          <w:iCs/>
          <w:kern w:val="2"/>
          <w:sz w:val="24"/>
          <w:szCs w:val="24"/>
          <w:lang w:eastAsia="en-US"/>
          <w14:ligatures w14:val="standardContextual"/>
        </w:rPr>
        <w:t>42</w:t>
      </w:r>
      <w:r w:rsidRPr="00BC3FA1">
        <w:rPr>
          <w:rFonts w:eastAsia="Calibri"/>
          <w:kern w:val="2"/>
          <w:sz w:val="24"/>
          <w:szCs w:val="24"/>
          <w:lang w:eastAsia="en-US"/>
          <w14:ligatures w14:val="standardContextual"/>
        </w:rPr>
        <w:t>(4), 268-277.</w:t>
      </w:r>
    </w:p>
    <w:p w14:paraId="674EA1E0" w14:textId="77777777" w:rsidR="00CA5E9D" w:rsidRDefault="00CA5E9D" w:rsidP="00E0483A">
      <w:pPr>
        <w:spacing w:after="160" w:line="259" w:lineRule="auto"/>
        <w:rPr>
          <w:rFonts w:eastAsia="Calibri"/>
          <w:kern w:val="2"/>
          <w:sz w:val="24"/>
          <w:szCs w:val="24"/>
          <w:lang w:eastAsia="en-US"/>
          <w14:ligatures w14:val="standardContextual"/>
        </w:rPr>
      </w:pPr>
      <w:r w:rsidRPr="00443189">
        <w:rPr>
          <w:rFonts w:eastAsia="Calibri"/>
          <w:kern w:val="2"/>
          <w:sz w:val="24"/>
          <w:szCs w:val="24"/>
          <w:lang w:eastAsia="en-US"/>
          <w14:ligatures w14:val="standardContextual"/>
        </w:rPr>
        <w:t>Lewin, K. (1947). Frontiers in group dynamics: Concept, method and reality in social science; social equilibria and social change. </w:t>
      </w:r>
      <w:r w:rsidRPr="00443189">
        <w:rPr>
          <w:rFonts w:eastAsia="Calibri"/>
          <w:i/>
          <w:iCs/>
          <w:kern w:val="2"/>
          <w:sz w:val="24"/>
          <w:szCs w:val="24"/>
          <w:lang w:eastAsia="en-US"/>
          <w14:ligatures w14:val="standardContextual"/>
        </w:rPr>
        <w:t>Human relations</w:t>
      </w:r>
      <w:r w:rsidRPr="00443189">
        <w:rPr>
          <w:rFonts w:eastAsia="Calibri"/>
          <w:kern w:val="2"/>
          <w:sz w:val="24"/>
          <w:szCs w:val="24"/>
          <w:lang w:eastAsia="en-US"/>
          <w14:ligatures w14:val="standardContextual"/>
        </w:rPr>
        <w:t>, </w:t>
      </w:r>
      <w:r w:rsidRPr="00443189">
        <w:rPr>
          <w:rFonts w:eastAsia="Calibri"/>
          <w:i/>
          <w:iCs/>
          <w:kern w:val="2"/>
          <w:sz w:val="24"/>
          <w:szCs w:val="24"/>
          <w:lang w:eastAsia="en-US"/>
          <w14:ligatures w14:val="standardContextual"/>
        </w:rPr>
        <w:t>1</w:t>
      </w:r>
      <w:r w:rsidRPr="00443189">
        <w:rPr>
          <w:rFonts w:eastAsia="Calibri"/>
          <w:kern w:val="2"/>
          <w:sz w:val="24"/>
          <w:szCs w:val="24"/>
          <w:lang w:eastAsia="en-US"/>
          <w14:ligatures w14:val="standardContextual"/>
        </w:rPr>
        <w:t>(1), 5-41.</w:t>
      </w:r>
    </w:p>
    <w:p w14:paraId="4EA50AAE" w14:textId="77777777" w:rsidR="00CA5E9D" w:rsidRDefault="00CA5E9D" w:rsidP="00E0483A">
      <w:pPr>
        <w:spacing w:after="160" w:line="259" w:lineRule="auto"/>
        <w:rPr>
          <w:rFonts w:eastAsia="Calibri"/>
          <w:kern w:val="2"/>
          <w:sz w:val="24"/>
          <w:szCs w:val="24"/>
          <w:lang w:eastAsia="en-US"/>
          <w14:ligatures w14:val="standardContextual"/>
        </w:rPr>
      </w:pPr>
      <w:r w:rsidRPr="00BC3FA1">
        <w:rPr>
          <w:rFonts w:eastAsia="Calibri"/>
          <w:kern w:val="2"/>
          <w:sz w:val="24"/>
          <w:szCs w:val="24"/>
          <w:lang w:eastAsia="en-US"/>
          <w14:ligatures w14:val="standardContextual"/>
        </w:rPr>
        <w:lastRenderedPageBreak/>
        <w:t xml:space="preserve">Li, D., </w:t>
      </w:r>
      <w:proofErr w:type="spellStart"/>
      <w:r w:rsidRPr="00BC3FA1">
        <w:rPr>
          <w:rFonts w:eastAsia="Calibri"/>
          <w:kern w:val="2"/>
          <w:sz w:val="24"/>
          <w:szCs w:val="24"/>
          <w:lang w:eastAsia="en-US"/>
          <w14:ligatures w14:val="standardContextual"/>
        </w:rPr>
        <w:t>Shishank</w:t>
      </w:r>
      <w:proofErr w:type="spellEnd"/>
      <w:r w:rsidRPr="00BC3FA1">
        <w:rPr>
          <w:rFonts w:eastAsia="Calibri"/>
          <w:kern w:val="2"/>
          <w:sz w:val="24"/>
          <w:szCs w:val="24"/>
          <w:lang w:eastAsia="en-US"/>
          <w14:ligatures w14:val="standardContextual"/>
        </w:rPr>
        <w:t>, S., de Ruyter, A., Ali, S., Bailey, D., Hearne, D., &amp; Salh, S. (2019). Brexit and the auto industry: Understanding the issues for supply chain management. In </w:t>
      </w:r>
      <w:r w:rsidRPr="00BC3FA1">
        <w:rPr>
          <w:rFonts w:eastAsia="Calibri"/>
          <w:i/>
          <w:iCs/>
          <w:kern w:val="2"/>
          <w:sz w:val="24"/>
          <w:szCs w:val="24"/>
          <w:lang w:eastAsia="en-US"/>
          <w14:ligatures w14:val="standardContextual"/>
        </w:rPr>
        <w:t>Brexit Negotiations After Article 50: Assessing Process, Progress and Impact</w:t>
      </w:r>
      <w:r w:rsidRPr="00BC3FA1">
        <w:rPr>
          <w:rFonts w:eastAsia="Calibri"/>
          <w:kern w:val="2"/>
          <w:sz w:val="24"/>
          <w:szCs w:val="24"/>
          <w:lang w:eastAsia="en-US"/>
          <w14:ligatures w14:val="standardContextual"/>
        </w:rPr>
        <w:t> (pp. 173-191). Emerald Publishing Limited.</w:t>
      </w:r>
    </w:p>
    <w:p w14:paraId="2C979C2A" w14:textId="77777777" w:rsidR="00CA5E9D" w:rsidRDefault="00CA5E9D" w:rsidP="00E0483A">
      <w:pPr>
        <w:spacing w:after="160" w:line="259" w:lineRule="auto"/>
        <w:rPr>
          <w:rFonts w:eastAsia="Calibri"/>
          <w:kern w:val="2"/>
          <w:sz w:val="24"/>
          <w:szCs w:val="24"/>
          <w:lang w:eastAsia="en-US"/>
          <w14:ligatures w14:val="standardContextual"/>
        </w:rPr>
      </w:pPr>
      <w:proofErr w:type="spellStart"/>
      <w:r w:rsidRPr="00342869">
        <w:rPr>
          <w:rFonts w:eastAsia="Calibri"/>
          <w:kern w:val="2"/>
          <w:sz w:val="24"/>
          <w:szCs w:val="24"/>
          <w:lang w:eastAsia="en-US"/>
          <w14:ligatures w14:val="standardContextual"/>
        </w:rPr>
        <w:t>Lüdeke</w:t>
      </w:r>
      <w:proofErr w:type="spellEnd"/>
      <w:r w:rsidRPr="00342869">
        <w:rPr>
          <w:rFonts w:eastAsia="Calibri"/>
          <w:kern w:val="2"/>
          <w:sz w:val="24"/>
          <w:szCs w:val="24"/>
          <w:lang w:eastAsia="en-US"/>
          <w14:ligatures w14:val="standardContextual"/>
        </w:rPr>
        <w:t xml:space="preserve">-Freund, F., </w:t>
      </w:r>
      <w:proofErr w:type="spellStart"/>
      <w:r w:rsidRPr="00342869">
        <w:rPr>
          <w:rFonts w:eastAsia="Calibri"/>
          <w:kern w:val="2"/>
          <w:sz w:val="24"/>
          <w:szCs w:val="24"/>
          <w:lang w:eastAsia="en-US"/>
          <w14:ligatures w14:val="standardContextual"/>
        </w:rPr>
        <w:t>Carroux</w:t>
      </w:r>
      <w:proofErr w:type="spellEnd"/>
      <w:r w:rsidRPr="00342869">
        <w:rPr>
          <w:rFonts w:eastAsia="Calibri"/>
          <w:kern w:val="2"/>
          <w:sz w:val="24"/>
          <w:szCs w:val="24"/>
          <w:lang w:eastAsia="en-US"/>
          <w14:ligatures w14:val="standardContextual"/>
        </w:rPr>
        <w:t>, S., Joyce, A., Massa, L., &amp; Breuer, H. (2018). The sustainable business model pattern taxonomy—45 patterns to support sustainability-oriented business model innovation. </w:t>
      </w:r>
      <w:r w:rsidRPr="00342869">
        <w:rPr>
          <w:rFonts w:eastAsia="Calibri"/>
          <w:i/>
          <w:iCs/>
          <w:kern w:val="2"/>
          <w:sz w:val="24"/>
          <w:szCs w:val="24"/>
          <w:lang w:eastAsia="en-US"/>
          <w14:ligatures w14:val="standardContextual"/>
        </w:rPr>
        <w:t>Sustainable production and consumption</w:t>
      </w:r>
      <w:r w:rsidRPr="00342869">
        <w:rPr>
          <w:rFonts w:eastAsia="Calibri"/>
          <w:kern w:val="2"/>
          <w:sz w:val="24"/>
          <w:szCs w:val="24"/>
          <w:lang w:eastAsia="en-US"/>
          <w14:ligatures w14:val="standardContextual"/>
        </w:rPr>
        <w:t>, </w:t>
      </w:r>
      <w:r w:rsidRPr="00342869">
        <w:rPr>
          <w:rFonts w:eastAsia="Calibri"/>
          <w:i/>
          <w:iCs/>
          <w:kern w:val="2"/>
          <w:sz w:val="24"/>
          <w:szCs w:val="24"/>
          <w:lang w:eastAsia="en-US"/>
          <w14:ligatures w14:val="standardContextual"/>
        </w:rPr>
        <w:t>15</w:t>
      </w:r>
      <w:r w:rsidRPr="00342869">
        <w:rPr>
          <w:rFonts w:eastAsia="Calibri"/>
          <w:kern w:val="2"/>
          <w:sz w:val="24"/>
          <w:szCs w:val="24"/>
          <w:lang w:eastAsia="en-US"/>
          <w14:ligatures w14:val="standardContextual"/>
        </w:rPr>
        <w:t>, 145-162.</w:t>
      </w:r>
    </w:p>
    <w:p w14:paraId="4F4EC0C3" w14:textId="275FE4BC" w:rsidR="00CA5E9D" w:rsidRDefault="00CA5E9D" w:rsidP="00E0483A">
      <w:pPr>
        <w:spacing w:after="160" w:line="259" w:lineRule="auto"/>
        <w:rPr>
          <w:rFonts w:eastAsia="Calibri"/>
          <w:kern w:val="2"/>
          <w:sz w:val="24"/>
          <w:szCs w:val="24"/>
          <w:lang w:eastAsia="en-US"/>
          <w14:ligatures w14:val="standardContextual"/>
        </w:rPr>
      </w:pPr>
      <w:r w:rsidRPr="00891A98">
        <w:rPr>
          <w:rFonts w:eastAsia="Calibri"/>
          <w:kern w:val="2"/>
          <w:sz w:val="24"/>
          <w:szCs w:val="24"/>
          <w:lang w:eastAsia="en-US"/>
          <w14:ligatures w14:val="standardContextual"/>
        </w:rPr>
        <w:t xml:space="preserve">McKinsey &amp; Company (2024) </w:t>
      </w:r>
      <w:r w:rsidRPr="00891A98">
        <w:rPr>
          <w:rFonts w:eastAsia="Calibri"/>
          <w:i/>
          <w:iCs/>
          <w:kern w:val="2"/>
          <w:sz w:val="24"/>
          <w:szCs w:val="24"/>
          <w:lang w:eastAsia="en-US"/>
          <w14:ligatures w14:val="standardContextual"/>
        </w:rPr>
        <w:t>Mapping the automotive software and electronics landscape</w:t>
      </w:r>
      <w:r w:rsidRPr="00891A98">
        <w:rPr>
          <w:rFonts w:eastAsia="Calibri"/>
          <w:kern w:val="2"/>
          <w:sz w:val="24"/>
          <w:szCs w:val="24"/>
          <w:lang w:eastAsia="en-US"/>
          <w14:ligatures w14:val="standardContextual"/>
        </w:rPr>
        <w:t xml:space="preserve">. Available at: </w:t>
      </w:r>
      <w:r w:rsidRPr="00330683">
        <w:rPr>
          <w:rFonts w:eastAsia="Calibri"/>
          <w:kern w:val="2"/>
          <w:sz w:val="24"/>
          <w:szCs w:val="24"/>
          <w:lang w:eastAsia="en-US"/>
          <w14:ligatures w14:val="standardContextual"/>
        </w:rPr>
        <w:t>https://www.mckinsey.com/features/mckinsey-center-for-future-mobility/our-insights/mapping-the-automotive-software-and-electronics-landscape</w:t>
      </w:r>
      <w:r w:rsidRPr="00891A98">
        <w:rPr>
          <w:rFonts w:eastAsia="Calibri"/>
          <w:kern w:val="2"/>
          <w:sz w:val="24"/>
          <w:szCs w:val="24"/>
          <w:lang w:eastAsia="en-US"/>
          <w14:ligatures w14:val="standardContextual"/>
        </w:rPr>
        <w:t xml:space="preserve"> (Accessed: 16 July 2026).</w:t>
      </w:r>
    </w:p>
    <w:p w14:paraId="1B45D9F3" w14:textId="77777777" w:rsidR="00CA5E9D" w:rsidRDefault="00CA5E9D" w:rsidP="00E0483A">
      <w:pPr>
        <w:spacing w:after="160" w:line="259" w:lineRule="auto"/>
        <w:rPr>
          <w:rFonts w:eastAsia="Calibri"/>
          <w:kern w:val="2"/>
          <w:sz w:val="24"/>
          <w:szCs w:val="24"/>
          <w:lang w:eastAsia="en-US"/>
          <w14:ligatures w14:val="standardContextual"/>
        </w:rPr>
      </w:pPr>
      <w:r w:rsidRPr="001C0003">
        <w:rPr>
          <w:rFonts w:eastAsia="Calibri"/>
          <w:kern w:val="2"/>
          <w:sz w:val="24"/>
          <w:szCs w:val="24"/>
          <w:lang w:eastAsia="en-US"/>
          <w14:ligatures w14:val="standardContextual"/>
        </w:rPr>
        <w:t>Mukherjee, D. (2016). Case analysis: Tata Motors' acquisition of Jaguar Land Rover. </w:t>
      </w:r>
      <w:r w:rsidRPr="001C0003">
        <w:rPr>
          <w:rFonts w:eastAsia="Calibri"/>
          <w:i/>
          <w:iCs/>
          <w:kern w:val="2"/>
          <w:sz w:val="24"/>
          <w:szCs w:val="24"/>
          <w:lang w:eastAsia="en-US"/>
          <w14:ligatures w14:val="standardContextual"/>
        </w:rPr>
        <w:t>The Business &amp; Management Review</w:t>
      </w:r>
      <w:r w:rsidRPr="001C0003">
        <w:rPr>
          <w:rFonts w:eastAsia="Calibri"/>
          <w:kern w:val="2"/>
          <w:sz w:val="24"/>
          <w:szCs w:val="24"/>
          <w:lang w:eastAsia="en-US"/>
          <w14:ligatures w14:val="standardContextual"/>
        </w:rPr>
        <w:t>, </w:t>
      </w:r>
      <w:r w:rsidRPr="001C0003">
        <w:rPr>
          <w:rFonts w:eastAsia="Calibri"/>
          <w:i/>
          <w:iCs/>
          <w:kern w:val="2"/>
          <w:sz w:val="24"/>
          <w:szCs w:val="24"/>
          <w:lang w:eastAsia="en-US"/>
          <w14:ligatures w14:val="standardContextual"/>
        </w:rPr>
        <w:t>8</w:t>
      </w:r>
      <w:r w:rsidRPr="001C0003">
        <w:rPr>
          <w:rFonts w:eastAsia="Calibri"/>
          <w:kern w:val="2"/>
          <w:sz w:val="24"/>
          <w:szCs w:val="24"/>
          <w:lang w:eastAsia="en-US"/>
          <w14:ligatures w14:val="standardContextual"/>
        </w:rPr>
        <w:t>(3), 48.</w:t>
      </w:r>
    </w:p>
    <w:p w14:paraId="61C70256" w14:textId="77777777" w:rsidR="00CA5E9D" w:rsidRPr="00B8537A" w:rsidRDefault="00CA5E9D" w:rsidP="00E0483A">
      <w:pPr>
        <w:spacing w:after="160" w:line="259" w:lineRule="auto"/>
        <w:rPr>
          <w:rFonts w:eastAsia="Calibri"/>
          <w:kern w:val="2"/>
          <w:sz w:val="24"/>
          <w:szCs w:val="24"/>
          <w:lang w:eastAsia="en-US"/>
          <w14:ligatures w14:val="standardContextual"/>
        </w:rPr>
      </w:pPr>
      <w:r w:rsidRPr="00F10FC5">
        <w:rPr>
          <w:rFonts w:eastAsia="Calibri"/>
          <w:kern w:val="2"/>
          <w:sz w:val="24"/>
          <w:szCs w:val="24"/>
          <w:lang w:eastAsia="en-US"/>
          <w14:ligatures w14:val="standardContextual"/>
        </w:rPr>
        <w:t>Northouse, P. G. (2025). </w:t>
      </w:r>
      <w:r w:rsidRPr="00F10FC5">
        <w:rPr>
          <w:rFonts w:eastAsia="Calibri"/>
          <w:i/>
          <w:iCs/>
          <w:kern w:val="2"/>
          <w:sz w:val="24"/>
          <w:szCs w:val="24"/>
          <w:lang w:eastAsia="en-US"/>
          <w14:ligatures w14:val="standardContextual"/>
        </w:rPr>
        <w:t>Leadership: Theory and practice</w:t>
      </w:r>
      <w:r w:rsidRPr="00F10FC5">
        <w:rPr>
          <w:rFonts w:eastAsia="Calibri"/>
          <w:kern w:val="2"/>
          <w:sz w:val="24"/>
          <w:szCs w:val="24"/>
          <w:lang w:eastAsia="en-US"/>
          <w14:ligatures w14:val="standardContextual"/>
        </w:rPr>
        <w:t>. Sage publications.</w:t>
      </w:r>
    </w:p>
    <w:p w14:paraId="2AB18CE3" w14:textId="7FB71097" w:rsidR="00CA5E9D" w:rsidRDefault="00CA5E9D" w:rsidP="00E0483A">
      <w:pPr>
        <w:spacing w:after="160" w:line="259" w:lineRule="auto"/>
        <w:rPr>
          <w:rFonts w:eastAsia="Calibri"/>
          <w:kern w:val="2"/>
          <w:sz w:val="24"/>
          <w:szCs w:val="24"/>
          <w:lang w:eastAsia="en-US"/>
          <w14:ligatures w14:val="standardContextual"/>
        </w:rPr>
      </w:pPr>
      <w:r w:rsidRPr="00772B88">
        <w:rPr>
          <w:rFonts w:eastAsia="Calibri"/>
          <w:kern w:val="2"/>
          <w:sz w:val="24"/>
          <w:szCs w:val="24"/>
          <w:lang w:eastAsia="en-US"/>
          <w14:ligatures w14:val="standardContextual"/>
        </w:rPr>
        <w:t xml:space="preserve">NVIDIA (2022) </w:t>
      </w:r>
      <w:proofErr w:type="spellStart"/>
      <w:r w:rsidR="009B1B26">
        <w:rPr>
          <w:rFonts w:eastAsia="Calibri"/>
          <w:i/>
          <w:iCs/>
          <w:kern w:val="2"/>
          <w:sz w:val="24"/>
          <w:szCs w:val="24"/>
          <w:lang w:eastAsia="en-US"/>
          <w14:ligatures w14:val="standardContextual"/>
        </w:rPr>
        <w:t>JLR</w:t>
      </w:r>
      <w:r w:rsidRPr="00772B88">
        <w:rPr>
          <w:rFonts w:eastAsia="Calibri"/>
          <w:i/>
          <w:iCs/>
          <w:kern w:val="2"/>
          <w:sz w:val="24"/>
          <w:szCs w:val="24"/>
          <w:lang w:eastAsia="en-US"/>
          <w14:ligatures w14:val="standardContextual"/>
        </w:rPr>
        <w:t>and</w:t>
      </w:r>
      <w:proofErr w:type="spellEnd"/>
      <w:r w:rsidRPr="00772B88">
        <w:rPr>
          <w:rFonts w:eastAsia="Calibri"/>
          <w:i/>
          <w:iCs/>
          <w:kern w:val="2"/>
          <w:sz w:val="24"/>
          <w:szCs w:val="24"/>
          <w:lang w:eastAsia="en-US"/>
          <w14:ligatures w14:val="standardContextual"/>
        </w:rPr>
        <w:t xml:space="preserve"> NVIDIA Partner to Deliver Next-Generation Automated Driving Systems and AI Services</w:t>
      </w:r>
      <w:r w:rsidRPr="00772B88">
        <w:rPr>
          <w:rFonts w:eastAsia="Calibri"/>
          <w:kern w:val="2"/>
          <w:sz w:val="24"/>
          <w:szCs w:val="24"/>
          <w:lang w:eastAsia="en-US"/>
          <w14:ligatures w14:val="standardContextual"/>
        </w:rPr>
        <w:t>. Available at: https://nvidianews.nvidia.com/news/jaguar-land-rover-and-nvidia-partner-to-deliver-next-generation-automated-driving-systems-and-ai-services (Accessed: 16 July 2026).</w:t>
      </w:r>
    </w:p>
    <w:p w14:paraId="7876ACAA" w14:textId="77777777" w:rsidR="00CA5E9D" w:rsidRPr="002E1024" w:rsidRDefault="00CA5E9D" w:rsidP="002E1024">
      <w:pPr>
        <w:spacing w:after="160" w:line="259" w:lineRule="auto"/>
        <w:rPr>
          <w:rFonts w:eastAsia="Calibri"/>
          <w:kern w:val="2"/>
          <w:sz w:val="24"/>
          <w:szCs w:val="24"/>
          <w:lang w:eastAsia="en-US"/>
          <w14:ligatures w14:val="standardContextual"/>
        </w:rPr>
      </w:pPr>
      <w:r w:rsidRPr="002E1024">
        <w:rPr>
          <w:rFonts w:eastAsia="Calibri"/>
          <w:kern w:val="2"/>
          <w:sz w:val="24"/>
          <w:szCs w:val="24"/>
          <w:lang w:eastAsia="en-US"/>
          <w14:ligatures w14:val="standardContextual"/>
        </w:rPr>
        <w:t xml:space="preserve">Porter, M.E. (1980) </w:t>
      </w:r>
      <w:r w:rsidRPr="002E1024">
        <w:rPr>
          <w:rFonts w:eastAsia="Calibri"/>
          <w:i/>
          <w:iCs/>
          <w:kern w:val="2"/>
          <w:sz w:val="24"/>
          <w:szCs w:val="24"/>
          <w:lang w:eastAsia="en-US"/>
          <w14:ligatures w14:val="standardContextual"/>
        </w:rPr>
        <w:t>Competitive Strategy: Techniques for Analysing Industries and Competitors</w:t>
      </w:r>
      <w:r w:rsidRPr="002E1024">
        <w:rPr>
          <w:rFonts w:eastAsia="Calibri"/>
          <w:kern w:val="2"/>
          <w:sz w:val="24"/>
          <w:szCs w:val="24"/>
          <w:lang w:eastAsia="en-US"/>
          <w14:ligatures w14:val="standardContextual"/>
        </w:rPr>
        <w:t>. New York: Free Press.</w:t>
      </w:r>
    </w:p>
    <w:p w14:paraId="7BCAEB8B" w14:textId="5C709C74" w:rsidR="00CA5E9D" w:rsidRDefault="00CA5E9D" w:rsidP="00E0483A">
      <w:pPr>
        <w:spacing w:after="160" w:line="259" w:lineRule="auto"/>
        <w:rPr>
          <w:rFonts w:eastAsia="Calibri"/>
          <w:kern w:val="2"/>
          <w:sz w:val="24"/>
          <w:szCs w:val="24"/>
          <w:lang w:eastAsia="en-US"/>
          <w14:ligatures w14:val="standardContextual"/>
        </w:rPr>
      </w:pPr>
      <w:r w:rsidRPr="00106AA3">
        <w:rPr>
          <w:rFonts w:eastAsia="Calibri"/>
          <w:kern w:val="2"/>
          <w:sz w:val="24"/>
          <w:szCs w:val="24"/>
          <w:lang w:eastAsia="en-US"/>
          <w14:ligatures w14:val="standardContextual"/>
        </w:rPr>
        <w:t xml:space="preserve">PwC (2025) </w:t>
      </w:r>
      <w:proofErr w:type="spellStart"/>
      <w:r w:rsidRPr="00106AA3">
        <w:rPr>
          <w:rFonts w:eastAsia="Calibri"/>
          <w:i/>
          <w:iCs/>
          <w:kern w:val="2"/>
          <w:sz w:val="24"/>
          <w:szCs w:val="24"/>
          <w:lang w:eastAsia="en-US"/>
          <w14:ligatures w14:val="standardContextual"/>
        </w:rPr>
        <w:t>eReadiness</w:t>
      </w:r>
      <w:proofErr w:type="spellEnd"/>
      <w:r w:rsidRPr="00106AA3">
        <w:rPr>
          <w:rFonts w:eastAsia="Calibri"/>
          <w:i/>
          <w:iCs/>
          <w:kern w:val="2"/>
          <w:sz w:val="24"/>
          <w:szCs w:val="24"/>
          <w:lang w:eastAsia="en-US"/>
          <w14:ligatures w14:val="standardContextual"/>
        </w:rPr>
        <w:t xml:space="preserve"> Survey 2025: Automotive Industry</w:t>
      </w:r>
      <w:r w:rsidRPr="00106AA3">
        <w:rPr>
          <w:rFonts w:eastAsia="Calibri"/>
          <w:kern w:val="2"/>
          <w:sz w:val="24"/>
          <w:szCs w:val="24"/>
          <w:lang w:eastAsia="en-US"/>
          <w14:ligatures w14:val="standardContextual"/>
        </w:rPr>
        <w:t xml:space="preserve">. London: PricewaterhouseCoopers. Available at: </w:t>
      </w:r>
      <w:r w:rsidRPr="00330683">
        <w:rPr>
          <w:rFonts w:eastAsia="Calibri"/>
          <w:kern w:val="2"/>
          <w:sz w:val="24"/>
          <w:szCs w:val="24"/>
          <w:lang w:eastAsia="en-US"/>
          <w14:ligatures w14:val="standardContextual"/>
        </w:rPr>
        <w:t>https://www.pwc.co.uk/industries/automotive.html</w:t>
      </w:r>
      <w:r w:rsidRPr="00106AA3">
        <w:rPr>
          <w:rFonts w:eastAsia="Calibri"/>
          <w:kern w:val="2"/>
          <w:sz w:val="24"/>
          <w:szCs w:val="24"/>
          <w:lang w:eastAsia="en-US"/>
          <w14:ligatures w14:val="standardContextual"/>
        </w:rPr>
        <w:t xml:space="preserve"> (Accessed: 16 July 2026).</w:t>
      </w:r>
    </w:p>
    <w:p w14:paraId="32BB2204" w14:textId="77777777" w:rsidR="00CA5E9D" w:rsidRDefault="00CA5E9D" w:rsidP="00E0483A">
      <w:pPr>
        <w:spacing w:after="160" w:line="259" w:lineRule="auto"/>
        <w:rPr>
          <w:rFonts w:eastAsia="Calibri"/>
          <w:kern w:val="2"/>
          <w:sz w:val="24"/>
          <w:szCs w:val="24"/>
          <w:lang w:eastAsia="en-US"/>
          <w14:ligatures w14:val="standardContextual"/>
        </w:rPr>
      </w:pPr>
      <w:r w:rsidRPr="00BC3FA1">
        <w:rPr>
          <w:rFonts w:eastAsia="Calibri"/>
          <w:kern w:val="2"/>
          <w:sz w:val="24"/>
          <w:szCs w:val="24"/>
          <w:lang w:eastAsia="en-US"/>
          <w14:ligatures w14:val="standardContextual"/>
        </w:rPr>
        <w:t>Rastogi, N., &amp; Trivedi, M. K. (2016). PESTLE technique–a tool to identify external risks in construction projects. </w:t>
      </w:r>
      <w:r w:rsidRPr="00BC3FA1">
        <w:rPr>
          <w:rFonts w:eastAsia="Calibri"/>
          <w:i/>
          <w:iCs/>
          <w:kern w:val="2"/>
          <w:sz w:val="24"/>
          <w:szCs w:val="24"/>
          <w:lang w:eastAsia="en-US"/>
          <w14:ligatures w14:val="standardContextual"/>
        </w:rPr>
        <w:t>International Research Journal of Engineering and Technology (IRJET)</w:t>
      </w:r>
      <w:r w:rsidRPr="00BC3FA1">
        <w:rPr>
          <w:rFonts w:eastAsia="Calibri"/>
          <w:kern w:val="2"/>
          <w:sz w:val="24"/>
          <w:szCs w:val="24"/>
          <w:lang w:eastAsia="en-US"/>
          <w14:ligatures w14:val="standardContextual"/>
        </w:rPr>
        <w:t>, </w:t>
      </w:r>
      <w:r w:rsidRPr="00BC3FA1">
        <w:rPr>
          <w:rFonts w:eastAsia="Calibri"/>
          <w:i/>
          <w:iCs/>
          <w:kern w:val="2"/>
          <w:sz w:val="24"/>
          <w:szCs w:val="24"/>
          <w:lang w:eastAsia="en-US"/>
          <w14:ligatures w14:val="standardContextual"/>
        </w:rPr>
        <w:t>3</w:t>
      </w:r>
      <w:r w:rsidRPr="00BC3FA1">
        <w:rPr>
          <w:rFonts w:eastAsia="Calibri"/>
          <w:kern w:val="2"/>
          <w:sz w:val="24"/>
          <w:szCs w:val="24"/>
          <w:lang w:eastAsia="en-US"/>
          <w14:ligatures w14:val="standardContextual"/>
        </w:rPr>
        <w:t>(1), 384-388.</w:t>
      </w:r>
    </w:p>
    <w:p w14:paraId="5014CA4B" w14:textId="77777777" w:rsidR="00CA5E9D" w:rsidRDefault="00CA5E9D" w:rsidP="0057324D">
      <w:pPr>
        <w:tabs>
          <w:tab w:val="right" w:pos="9026"/>
        </w:tabs>
        <w:spacing w:after="160" w:line="259" w:lineRule="auto"/>
        <w:rPr>
          <w:rFonts w:eastAsia="Calibri"/>
          <w:kern w:val="2"/>
          <w:sz w:val="24"/>
          <w:szCs w:val="24"/>
          <w:lang w:eastAsia="en-US"/>
          <w14:ligatures w14:val="standardContextual"/>
        </w:rPr>
      </w:pPr>
      <w:r w:rsidRPr="0057324D">
        <w:rPr>
          <w:rFonts w:eastAsia="Calibri"/>
          <w:kern w:val="2"/>
          <w:sz w:val="24"/>
          <w:szCs w:val="24"/>
          <w:lang w:eastAsia="en-US"/>
          <w14:ligatures w14:val="standardContextual"/>
        </w:rPr>
        <w:t>Schein, E. H. (2010). </w:t>
      </w:r>
      <w:r w:rsidRPr="0057324D">
        <w:rPr>
          <w:rFonts w:eastAsia="Calibri"/>
          <w:i/>
          <w:iCs/>
          <w:kern w:val="2"/>
          <w:sz w:val="24"/>
          <w:szCs w:val="24"/>
          <w:lang w:eastAsia="en-US"/>
          <w14:ligatures w14:val="standardContextual"/>
        </w:rPr>
        <w:t>Organizational culture and leadership</w:t>
      </w:r>
      <w:r w:rsidRPr="0057324D">
        <w:rPr>
          <w:rFonts w:eastAsia="Calibri"/>
          <w:kern w:val="2"/>
          <w:sz w:val="24"/>
          <w:szCs w:val="24"/>
          <w:lang w:eastAsia="en-US"/>
          <w14:ligatures w14:val="standardContextual"/>
        </w:rPr>
        <w:t> (Vol. 2). John Wiley &amp; Sons.</w:t>
      </w:r>
    </w:p>
    <w:p w14:paraId="48A18D17" w14:textId="77777777" w:rsidR="00CA5E9D" w:rsidRDefault="00CA5E9D" w:rsidP="00E0483A">
      <w:pPr>
        <w:spacing w:after="160" w:line="259" w:lineRule="auto"/>
        <w:rPr>
          <w:rFonts w:eastAsia="Calibri"/>
          <w:kern w:val="2"/>
          <w:sz w:val="24"/>
          <w:szCs w:val="24"/>
          <w:lang w:eastAsia="en-US"/>
          <w14:ligatures w14:val="standardContextual"/>
        </w:rPr>
      </w:pPr>
      <w:r w:rsidRPr="002B62F3">
        <w:rPr>
          <w:rFonts w:eastAsia="Calibri"/>
          <w:kern w:val="2"/>
          <w:sz w:val="24"/>
          <w:szCs w:val="24"/>
          <w:lang w:eastAsia="en-US"/>
          <w14:ligatures w14:val="standardContextual"/>
        </w:rPr>
        <w:t xml:space="preserve">Silva, I. M. M. A. T. D. (2024). </w:t>
      </w:r>
      <w:proofErr w:type="spellStart"/>
      <w:r w:rsidRPr="002B62F3">
        <w:rPr>
          <w:rFonts w:eastAsia="Calibri"/>
          <w:kern w:val="2"/>
          <w:sz w:val="24"/>
          <w:szCs w:val="24"/>
          <w:lang w:eastAsia="en-US"/>
          <w14:ligatures w14:val="standardContextual"/>
        </w:rPr>
        <w:t>Bmw</w:t>
      </w:r>
      <w:proofErr w:type="spellEnd"/>
      <w:r w:rsidRPr="002B62F3">
        <w:rPr>
          <w:rFonts w:eastAsia="Calibri"/>
          <w:kern w:val="2"/>
          <w:sz w:val="24"/>
          <w:szCs w:val="24"/>
          <w:lang w:eastAsia="en-US"/>
          <w14:ligatures w14:val="standardContextual"/>
        </w:rPr>
        <w:t xml:space="preserve"> equity research: unveiling </w:t>
      </w:r>
      <w:proofErr w:type="spellStart"/>
      <w:r w:rsidRPr="002B62F3">
        <w:rPr>
          <w:rFonts w:eastAsia="Calibri"/>
          <w:kern w:val="2"/>
          <w:sz w:val="24"/>
          <w:szCs w:val="24"/>
          <w:lang w:eastAsia="en-US"/>
          <w14:ligatures w14:val="standardContextual"/>
        </w:rPr>
        <w:t>Bmw</w:t>
      </w:r>
      <w:proofErr w:type="spellEnd"/>
      <w:r w:rsidRPr="002B62F3">
        <w:rPr>
          <w:rFonts w:eastAsia="Calibri"/>
          <w:kern w:val="2"/>
          <w:sz w:val="24"/>
          <w:szCs w:val="24"/>
          <w:lang w:eastAsia="en-US"/>
          <w14:ligatures w14:val="standardContextual"/>
        </w:rPr>
        <w:t xml:space="preserve">´ s potential in a dynamic landscape-navigating future </w:t>
      </w:r>
      <w:proofErr w:type="gramStart"/>
      <w:r w:rsidRPr="002B62F3">
        <w:rPr>
          <w:rFonts w:eastAsia="Calibri"/>
          <w:kern w:val="2"/>
          <w:sz w:val="24"/>
          <w:szCs w:val="24"/>
          <w:lang w:eastAsia="en-US"/>
          <w14:ligatures w14:val="standardContextual"/>
        </w:rPr>
        <w:t>trends</w:t>
      </w:r>
      <w:proofErr w:type="gramEnd"/>
      <w:r w:rsidRPr="002B62F3">
        <w:rPr>
          <w:rFonts w:eastAsia="Calibri"/>
          <w:kern w:val="2"/>
          <w:sz w:val="24"/>
          <w:szCs w:val="24"/>
          <w:lang w:eastAsia="en-US"/>
          <w14:ligatures w14:val="standardContextual"/>
        </w:rPr>
        <w:t>.</w:t>
      </w:r>
    </w:p>
    <w:p w14:paraId="78AE9022" w14:textId="0ECB2B3F" w:rsidR="00CA5E9D" w:rsidRDefault="00CA5E9D" w:rsidP="00E0483A">
      <w:pPr>
        <w:spacing w:after="160" w:line="259" w:lineRule="auto"/>
        <w:rPr>
          <w:rFonts w:eastAsia="Calibri"/>
          <w:kern w:val="2"/>
          <w:sz w:val="24"/>
          <w:szCs w:val="24"/>
          <w:lang w:eastAsia="en-US"/>
          <w14:ligatures w14:val="standardContextual"/>
        </w:rPr>
      </w:pPr>
      <w:r w:rsidRPr="00B8537A">
        <w:rPr>
          <w:rFonts w:eastAsia="Calibri"/>
          <w:kern w:val="2"/>
          <w:sz w:val="24"/>
          <w:szCs w:val="24"/>
          <w:lang w:eastAsia="en-US"/>
          <w14:ligatures w14:val="standardContextual"/>
        </w:rPr>
        <w:t xml:space="preserve">Society of Motor Manufacturers and Traders (SMMT) (2025) </w:t>
      </w:r>
      <w:r w:rsidRPr="00B8537A">
        <w:rPr>
          <w:rFonts w:eastAsia="Calibri"/>
          <w:i/>
          <w:iCs/>
          <w:kern w:val="2"/>
          <w:sz w:val="24"/>
          <w:szCs w:val="24"/>
          <w:lang w:eastAsia="en-US"/>
          <w14:ligatures w14:val="standardContextual"/>
        </w:rPr>
        <w:t>UK Automotive Sustainability Report 2025</w:t>
      </w:r>
      <w:r w:rsidRPr="00B8537A">
        <w:rPr>
          <w:rFonts w:eastAsia="Calibri"/>
          <w:kern w:val="2"/>
          <w:sz w:val="24"/>
          <w:szCs w:val="24"/>
          <w:lang w:eastAsia="en-US"/>
          <w14:ligatures w14:val="standardContextual"/>
        </w:rPr>
        <w:t xml:space="preserve">. London: SMMT. Available at: </w:t>
      </w:r>
      <w:r w:rsidRPr="00330683">
        <w:rPr>
          <w:rFonts w:eastAsia="Calibri"/>
          <w:kern w:val="2"/>
          <w:sz w:val="24"/>
          <w:szCs w:val="24"/>
          <w:lang w:eastAsia="en-US"/>
          <w14:ligatures w14:val="standardContextual"/>
        </w:rPr>
        <w:t>https://www.smmt.co.uk</w:t>
      </w:r>
      <w:r w:rsidRPr="00B8537A">
        <w:rPr>
          <w:rFonts w:eastAsia="Calibri"/>
          <w:kern w:val="2"/>
          <w:sz w:val="24"/>
          <w:szCs w:val="24"/>
          <w:lang w:eastAsia="en-US"/>
          <w14:ligatures w14:val="standardContextual"/>
        </w:rPr>
        <w:t xml:space="preserve"> (Accessed: 16 July 2026).</w:t>
      </w:r>
    </w:p>
    <w:p w14:paraId="5BDC4DF4" w14:textId="6BE4426A" w:rsidR="00CA5E9D" w:rsidRDefault="00CA5E9D" w:rsidP="00E0483A">
      <w:pPr>
        <w:spacing w:after="160" w:line="259" w:lineRule="auto"/>
        <w:rPr>
          <w:rFonts w:eastAsia="Calibri"/>
          <w:kern w:val="2"/>
          <w:sz w:val="24"/>
          <w:szCs w:val="24"/>
          <w:lang w:eastAsia="en-US"/>
          <w14:ligatures w14:val="standardContextual"/>
        </w:rPr>
      </w:pPr>
      <w:r w:rsidRPr="00D11839">
        <w:rPr>
          <w:rFonts w:eastAsia="Calibri"/>
          <w:kern w:val="2"/>
          <w:sz w:val="24"/>
          <w:szCs w:val="24"/>
          <w:lang w:eastAsia="en-US"/>
          <w14:ligatures w14:val="standardContextual"/>
        </w:rPr>
        <w:t xml:space="preserve">Tata Group (2024) </w:t>
      </w:r>
      <w:r w:rsidRPr="00D11839">
        <w:rPr>
          <w:rFonts w:eastAsia="Calibri"/>
          <w:i/>
          <w:iCs/>
          <w:kern w:val="2"/>
          <w:sz w:val="24"/>
          <w:szCs w:val="24"/>
          <w:lang w:eastAsia="en-US"/>
          <w14:ligatures w14:val="standardContextual"/>
        </w:rPr>
        <w:t>Tata values and purpose</w:t>
      </w:r>
      <w:r w:rsidRPr="00D11839">
        <w:rPr>
          <w:rFonts w:eastAsia="Calibri"/>
          <w:kern w:val="2"/>
          <w:sz w:val="24"/>
          <w:szCs w:val="24"/>
          <w:lang w:eastAsia="en-US"/>
          <w14:ligatures w14:val="standardContextual"/>
        </w:rPr>
        <w:t xml:space="preserve">. Available at: </w:t>
      </w:r>
      <w:r w:rsidRPr="00330683">
        <w:rPr>
          <w:rFonts w:eastAsia="Calibri"/>
          <w:kern w:val="2"/>
          <w:sz w:val="24"/>
          <w:szCs w:val="24"/>
          <w:lang w:eastAsia="en-US"/>
          <w14:ligatures w14:val="standardContextual"/>
        </w:rPr>
        <w:t>https://www.tata.com/about-us/tata-values-purpose</w:t>
      </w:r>
      <w:r w:rsidRPr="00D11839">
        <w:rPr>
          <w:rFonts w:eastAsia="Calibri"/>
          <w:kern w:val="2"/>
          <w:sz w:val="24"/>
          <w:szCs w:val="24"/>
          <w:lang w:eastAsia="en-US"/>
          <w14:ligatures w14:val="standardContextual"/>
        </w:rPr>
        <w:t xml:space="preserve"> (Accessed: 16 July 2026).</w:t>
      </w:r>
    </w:p>
    <w:p w14:paraId="2DA76F2B" w14:textId="77777777" w:rsidR="00CA5E9D" w:rsidRDefault="00CA5E9D" w:rsidP="00E0483A">
      <w:pPr>
        <w:spacing w:after="160" w:line="259" w:lineRule="auto"/>
        <w:rPr>
          <w:rFonts w:eastAsia="Calibri"/>
          <w:kern w:val="2"/>
          <w:sz w:val="24"/>
          <w:szCs w:val="24"/>
          <w:lang w:eastAsia="en-US"/>
          <w14:ligatures w14:val="standardContextual"/>
        </w:rPr>
      </w:pPr>
      <w:r w:rsidRPr="002E1024">
        <w:rPr>
          <w:rFonts w:eastAsia="Calibri"/>
          <w:kern w:val="2"/>
          <w:sz w:val="24"/>
          <w:szCs w:val="24"/>
          <w:lang w:eastAsia="en-US"/>
          <w14:ligatures w14:val="standardContextual"/>
        </w:rPr>
        <w:t>Teece, D. J. (2018). Business models and dynamic capabilities. </w:t>
      </w:r>
      <w:r w:rsidRPr="002E1024">
        <w:rPr>
          <w:rFonts w:eastAsia="Calibri"/>
          <w:i/>
          <w:iCs/>
          <w:kern w:val="2"/>
          <w:sz w:val="24"/>
          <w:szCs w:val="24"/>
          <w:lang w:eastAsia="en-US"/>
          <w14:ligatures w14:val="standardContextual"/>
        </w:rPr>
        <w:t>Long range planning</w:t>
      </w:r>
      <w:r w:rsidRPr="002E1024">
        <w:rPr>
          <w:rFonts w:eastAsia="Calibri"/>
          <w:kern w:val="2"/>
          <w:sz w:val="24"/>
          <w:szCs w:val="24"/>
          <w:lang w:eastAsia="en-US"/>
          <w14:ligatures w14:val="standardContextual"/>
        </w:rPr>
        <w:t>, </w:t>
      </w:r>
      <w:r w:rsidRPr="002E1024">
        <w:rPr>
          <w:rFonts w:eastAsia="Calibri"/>
          <w:i/>
          <w:iCs/>
          <w:kern w:val="2"/>
          <w:sz w:val="24"/>
          <w:szCs w:val="24"/>
          <w:lang w:eastAsia="en-US"/>
          <w14:ligatures w14:val="standardContextual"/>
        </w:rPr>
        <w:t>51</w:t>
      </w:r>
      <w:r w:rsidRPr="002E1024">
        <w:rPr>
          <w:rFonts w:eastAsia="Calibri"/>
          <w:kern w:val="2"/>
          <w:sz w:val="24"/>
          <w:szCs w:val="24"/>
          <w:lang w:eastAsia="en-US"/>
          <w14:ligatures w14:val="standardContextual"/>
        </w:rPr>
        <w:t>(1), 40-49.</w:t>
      </w:r>
    </w:p>
    <w:p w14:paraId="0B60A32F" w14:textId="77777777" w:rsidR="00CA5E9D" w:rsidRDefault="00CA5E9D" w:rsidP="00E0483A">
      <w:pPr>
        <w:spacing w:after="160" w:line="259" w:lineRule="auto"/>
        <w:rPr>
          <w:rFonts w:eastAsia="Calibri"/>
          <w:kern w:val="2"/>
          <w:sz w:val="24"/>
          <w:szCs w:val="24"/>
          <w:lang w:eastAsia="en-US"/>
          <w14:ligatures w14:val="standardContextual"/>
        </w:rPr>
      </w:pPr>
      <w:r w:rsidRPr="00ED6AA3">
        <w:rPr>
          <w:rFonts w:eastAsia="Calibri"/>
          <w:kern w:val="2"/>
          <w:sz w:val="24"/>
          <w:szCs w:val="24"/>
          <w:lang w:eastAsia="en-US"/>
          <w14:ligatures w14:val="standardContextual"/>
        </w:rPr>
        <w:t xml:space="preserve">Teece, D., </w:t>
      </w:r>
      <w:proofErr w:type="spellStart"/>
      <w:r w:rsidRPr="00ED6AA3">
        <w:rPr>
          <w:rFonts w:eastAsia="Calibri"/>
          <w:kern w:val="2"/>
          <w:sz w:val="24"/>
          <w:szCs w:val="24"/>
          <w:lang w:eastAsia="en-US"/>
          <w14:ligatures w14:val="standardContextual"/>
        </w:rPr>
        <w:t>Peteraf</w:t>
      </w:r>
      <w:proofErr w:type="spellEnd"/>
      <w:r w:rsidRPr="00ED6AA3">
        <w:rPr>
          <w:rFonts w:eastAsia="Calibri"/>
          <w:kern w:val="2"/>
          <w:sz w:val="24"/>
          <w:szCs w:val="24"/>
          <w:lang w:eastAsia="en-US"/>
          <w14:ligatures w14:val="standardContextual"/>
        </w:rPr>
        <w:t>, M., &amp; Leih, S. (2016). Dynamic capabilities and organizational agility: Risk, uncertainty, and strategy in the innovation economy. </w:t>
      </w:r>
      <w:r w:rsidRPr="00ED6AA3">
        <w:rPr>
          <w:rFonts w:eastAsia="Calibri"/>
          <w:i/>
          <w:iCs/>
          <w:kern w:val="2"/>
          <w:sz w:val="24"/>
          <w:szCs w:val="24"/>
          <w:lang w:eastAsia="en-US"/>
          <w14:ligatures w14:val="standardContextual"/>
        </w:rPr>
        <w:t>California management review</w:t>
      </w:r>
      <w:r w:rsidRPr="00ED6AA3">
        <w:rPr>
          <w:rFonts w:eastAsia="Calibri"/>
          <w:kern w:val="2"/>
          <w:sz w:val="24"/>
          <w:szCs w:val="24"/>
          <w:lang w:eastAsia="en-US"/>
          <w14:ligatures w14:val="standardContextual"/>
        </w:rPr>
        <w:t>, </w:t>
      </w:r>
      <w:r w:rsidRPr="00ED6AA3">
        <w:rPr>
          <w:rFonts w:eastAsia="Calibri"/>
          <w:i/>
          <w:iCs/>
          <w:kern w:val="2"/>
          <w:sz w:val="24"/>
          <w:szCs w:val="24"/>
          <w:lang w:eastAsia="en-US"/>
          <w14:ligatures w14:val="standardContextual"/>
        </w:rPr>
        <w:t>58</w:t>
      </w:r>
      <w:r w:rsidRPr="00ED6AA3">
        <w:rPr>
          <w:rFonts w:eastAsia="Calibri"/>
          <w:kern w:val="2"/>
          <w:sz w:val="24"/>
          <w:szCs w:val="24"/>
          <w:lang w:eastAsia="en-US"/>
          <w14:ligatures w14:val="standardContextual"/>
        </w:rPr>
        <w:t>(4), 13-35.</w:t>
      </w:r>
    </w:p>
    <w:p w14:paraId="1560FE65" w14:textId="77777777" w:rsidR="00CA5E9D" w:rsidRDefault="00CA5E9D" w:rsidP="00E0483A">
      <w:pPr>
        <w:spacing w:after="160" w:line="259" w:lineRule="auto"/>
        <w:rPr>
          <w:rFonts w:eastAsia="Calibri"/>
          <w:kern w:val="2"/>
          <w:sz w:val="24"/>
          <w:szCs w:val="24"/>
          <w:lang w:eastAsia="en-US"/>
          <w14:ligatures w14:val="standardContextual"/>
        </w:rPr>
      </w:pPr>
      <w:r w:rsidRPr="002B1643">
        <w:rPr>
          <w:rFonts w:eastAsia="Calibri"/>
          <w:kern w:val="2"/>
          <w:sz w:val="24"/>
          <w:szCs w:val="24"/>
          <w:lang w:eastAsia="en-US"/>
          <w14:ligatures w14:val="standardContextual"/>
        </w:rPr>
        <w:lastRenderedPageBreak/>
        <w:t>Vial, G. (2021). Understanding digital transformation: A review and a research agenda. </w:t>
      </w:r>
      <w:r w:rsidRPr="002B1643">
        <w:rPr>
          <w:rFonts w:eastAsia="Calibri"/>
          <w:i/>
          <w:iCs/>
          <w:kern w:val="2"/>
          <w:sz w:val="24"/>
          <w:szCs w:val="24"/>
          <w:lang w:eastAsia="en-US"/>
          <w14:ligatures w14:val="standardContextual"/>
        </w:rPr>
        <w:t>Managing digital transformation</w:t>
      </w:r>
      <w:r w:rsidRPr="002B1643">
        <w:rPr>
          <w:rFonts w:eastAsia="Calibri"/>
          <w:kern w:val="2"/>
          <w:sz w:val="24"/>
          <w:szCs w:val="24"/>
          <w:lang w:eastAsia="en-US"/>
          <w14:ligatures w14:val="standardContextual"/>
        </w:rPr>
        <w:t>, 13-66.</w:t>
      </w:r>
    </w:p>
    <w:p w14:paraId="450C24A2" w14:textId="77777777" w:rsidR="00CA5E9D" w:rsidRDefault="00CA5E9D" w:rsidP="00E0483A">
      <w:pPr>
        <w:spacing w:after="160" w:line="259" w:lineRule="auto"/>
        <w:rPr>
          <w:rFonts w:eastAsia="Calibri"/>
          <w:kern w:val="2"/>
          <w:sz w:val="24"/>
          <w:szCs w:val="24"/>
          <w:lang w:eastAsia="en-US"/>
          <w14:ligatures w14:val="standardContextual"/>
        </w:rPr>
      </w:pPr>
      <w:r w:rsidRPr="002B1643">
        <w:rPr>
          <w:rFonts w:eastAsia="Calibri"/>
          <w:kern w:val="2"/>
          <w:sz w:val="24"/>
          <w:szCs w:val="24"/>
          <w:lang w:eastAsia="en-US"/>
          <w14:ligatures w14:val="standardContextual"/>
        </w:rPr>
        <w:t xml:space="preserve">Warner, K. S., &amp; </w:t>
      </w:r>
      <w:proofErr w:type="spellStart"/>
      <w:r w:rsidRPr="002B1643">
        <w:rPr>
          <w:rFonts w:eastAsia="Calibri"/>
          <w:kern w:val="2"/>
          <w:sz w:val="24"/>
          <w:szCs w:val="24"/>
          <w:lang w:eastAsia="en-US"/>
          <w14:ligatures w14:val="standardContextual"/>
        </w:rPr>
        <w:t>Wäger</w:t>
      </w:r>
      <w:proofErr w:type="spellEnd"/>
      <w:r w:rsidRPr="002B1643">
        <w:rPr>
          <w:rFonts w:eastAsia="Calibri"/>
          <w:kern w:val="2"/>
          <w:sz w:val="24"/>
          <w:szCs w:val="24"/>
          <w:lang w:eastAsia="en-US"/>
          <w14:ligatures w14:val="standardContextual"/>
        </w:rPr>
        <w:t>, M. (2019). Building dynamic capabilities for digital transformation: An ongoing process of strategic renewal. </w:t>
      </w:r>
      <w:r w:rsidRPr="002B1643">
        <w:rPr>
          <w:rFonts w:eastAsia="Calibri"/>
          <w:i/>
          <w:iCs/>
          <w:kern w:val="2"/>
          <w:sz w:val="24"/>
          <w:szCs w:val="24"/>
          <w:lang w:eastAsia="en-US"/>
          <w14:ligatures w14:val="standardContextual"/>
        </w:rPr>
        <w:t>Long range planning</w:t>
      </w:r>
      <w:r w:rsidRPr="002B1643">
        <w:rPr>
          <w:rFonts w:eastAsia="Calibri"/>
          <w:kern w:val="2"/>
          <w:sz w:val="24"/>
          <w:szCs w:val="24"/>
          <w:lang w:eastAsia="en-US"/>
          <w14:ligatures w14:val="standardContextual"/>
        </w:rPr>
        <w:t>, </w:t>
      </w:r>
      <w:r w:rsidRPr="002B1643">
        <w:rPr>
          <w:rFonts w:eastAsia="Calibri"/>
          <w:i/>
          <w:iCs/>
          <w:kern w:val="2"/>
          <w:sz w:val="24"/>
          <w:szCs w:val="24"/>
          <w:lang w:eastAsia="en-US"/>
          <w14:ligatures w14:val="standardContextual"/>
        </w:rPr>
        <w:t>52</w:t>
      </w:r>
      <w:r w:rsidRPr="002B1643">
        <w:rPr>
          <w:rFonts w:eastAsia="Calibri"/>
          <w:kern w:val="2"/>
          <w:sz w:val="24"/>
          <w:szCs w:val="24"/>
          <w:lang w:eastAsia="en-US"/>
          <w14:ligatures w14:val="standardContextual"/>
        </w:rPr>
        <w:t>(3), 326-349.</w:t>
      </w:r>
    </w:p>
    <w:p w14:paraId="7DE640AD" w14:textId="77777777" w:rsidR="00CA5E9D" w:rsidRDefault="00CA5E9D" w:rsidP="00E0483A">
      <w:pPr>
        <w:spacing w:after="160" w:line="259" w:lineRule="auto"/>
        <w:rPr>
          <w:rFonts w:eastAsia="Calibri"/>
          <w:kern w:val="2"/>
          <w:sz w:val="24"/>
          <w:szCs w:val="24"/>
          <w:lang w:eastAsia="en-US"/>
          <w14:ligatures w14:val="standardContextual"/>
        </w:rPr>
      </w:pPr>
      <w:r w:rsidRPr="002E1024">
        <w:rPr>
          <w:rFonts w:eastAsia="Calibri"/>
          <w:kern w:val="2"/>
          <w:sz w:val="24"/>
          <w:szCs w:val="24"/>
          <w:lang w:eastAsia="en-US"/>
          <w14:ligatures w14:val="standardContextual"/>
        </w:rPr>
        <w:t>Wells, P., &amp; Nieuwenhuis, P. (2012). Transition failure: Understanding continuity in the automotive industry. </w:t>
      </w:r>
      <w:r w:rsidRPr="002E1024">
        <w:rPr>
          <w:rFonts w:eastAsia="Calibri"/>
          <w:i/>
          <w:iCs/>
          <w:kern w:val="2"/>
          <w:sz w:val="24"/>
          <w:szCs w:val="24"/>
          <w:lang w:eastAsia="en-US"/>
          <w14:ligatures w14:val="standardContextual"/>
        </w:rPr>
        <w:t>Technological forecasting and social change</w:t>
      </w:r>
      <w:r w:rsidRPr="002E1024">
        <w:rPr>
          <w:rFonts w:eastAsia="Calibri"/>
          <w:kern w:val="2"/>
          <w:sz w:val="24"/>
          <w:szCs w:val="24"/>
          <w:lang w:eastAsia="en-US"/>
          <w14:ligatures w14:val="standardContextual"/>
        </w:rPr>
        <w:t>, </w:t>
      </w:r>
      <w:r w:rsidRPr="002E1024">
        <w:rPr>
          <w:rFonts w:eastAsia="Calibri"/>
          <w:i/>
          <w:iCs/>
          <w:kern w:val="2"/>
          <w:sz w:val="24"/>
          <w:szCs w:val="24"/>
          <w:lang w:eastAsia="en-US"/>
          <w14:ligatures w14:val="standardContextual"/>
        </w:rPr>
        <w:t>79</w:t>
      </w:r>
      <w:r w:rsidRPr="002E1024">
        <w:rPr>
          <w:rFonts w:eastAsia="Calibri"/>
          <w:kern w:val="2"/>
          <w:sz w:val="24"/>
          <w:szCs w:val="24"/>
          <w:lang w:eastAsia="en-US"/>
          <w14:ligatures w14:val="standardContextual"/>
        </w:rPr>
        <w:t>(9), 1681-1692.</w:t>
      </w:r>
    </w:p>
    <w:p w14:paraId="054C2749" w14:textId="77777777" w:rsidR="00CA5E9D" w:rsidRDefault="00CA5E9D" w:rsidP="00E0483A">
      <w:pPr>
        <w:spacing w:after="160" w:line="259" w:lineRule="auto"/>
        <w:rPr>
          <w:rFonts w:eastAsia="Calibri"/>
          <w:kern w:val="2"/>
          <w:sz w:val="24"/>
          <w:szCs w:val="24"/>
          <w:lang w:eastAsia="en-US"/>
          <w14:ligatures w14:val="standardContextual"/>
        </w:rPr>
      </w:pPr>
      <w:r w:rsidRPr="00E86D58">
        <w:rPr>
          <w:rFonts w:eastAsia="Calibri"/>
          <w:kern w:val="2"/>
          <w:sz w:val="24"/>
          <w:szCs w:val="24"/>
          <w:lang w:eastAsia="en-US"/>
          <w14:ligatures w14:val="standardContextual"/>
        </w:rPr>
        <w:t xml:space="preserve">Yukl, G. (2013). Leadership in organisations. 8th </w:t>
      </w:r>
      <w:proofErr w:type="spellStart"/>
      <w:r w:rsidRPr="00E86D58">
        <w:rPr>
          <w:rFonts w:eastAsia="Calibri"/>
          <w:kern w:val="2"/>
          <w:sz w:val="24"/>
          <w:szCs w:val="24"/>
          <w:lang w:eastAsia="en-US"/>
          <w14:ligatures w14:val="standardContextual"/>
        </w:rPr>
        <w:t>edn</w:t>
      </w:r>
      <w:proofErr w:type="spellEnd"/>
      <w:r w:rsidRPr="00E86D58">
        <w:rPr>
          <w:rFonts w:eastAsia="Calibri"/>
          <w:kern w:val="2"/>
          <w:sz w:val="24"/>
          <w:szCs w:val="24"/>
          <w:lang w:eastAsia="en-US"/>
          <w14:ligatures w14:val="standardContextual"/>
        </w:rPr>
        <w:t xml:space="preserve"> Harlow.</w:t>
      </w:r>
    </w:p>
    <w:sectPr w:rsidR="00CA5E9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BE05C6" w14:textId="77777777" w:rsidR="0030587A" w:rsidRDefault="0030587A" w:rsidP="001B6C97">
      <w:r>
        <w:separator/>
      </w:r>
    </w:p>
  </w:endnote>
  <w:endnote w:type="continuationSeparator" w:id="0">
    <w:p w14:paraId="37F86CD5" w14:textId="77777777" w:rsidR="0030587A" w:rsidRDefault="0030587A" w:rsidP="001B6C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9873414"/>
      <w:docPartObj>
        <w:docPartGallery w:val="Page Numbers (Bottom of Page)"/>
        <w:docPartUnique/>
      </w:docPartObj>
    </w:sdtPr>
    <w:sdtContent>
      <w:p w14:paraId="2DFABD84" w14:textId="680DDC29" w:rsidR="00330683" w:rsidRDefault="00330683">
        <w:pPr>
          <w:pStyle w:val="Footer"/>
        </w:pPr>
        <w:r>
          <w:fldChar w:fldCharType="begin"/>
        </w:r>
        <w:r>
          <w:instrText>PAGE   \* MERGEFORMAT</w:instrText>
        </w:r>
        <w:r>
          <w:fldChar w:fldCharType="separate"/>
        </w:r>
        <w:r>
          <w:t>2</w:t>
        </w:r>
        <w:r>
          <w:fldChar w:fldCharType="end"/>
        </w:r>
      </w:p>
    </w:sdtContent>
  </w:sdt>
  <w:p w14:paraId="048AAF45" w14:textId="77777777" w:rsidR="00330683" w:rsidRDefault="00330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0AC49" w14:textId="77777777" w:rsidR="0030587A" w:rsidRDefault="0030587A" w:rsidP="001B6C97">
      <w:r>
        <w:separator/>
      </w:r>
    </w:p>
  </w:footnote>
  <w:footnote w:type="continuationSeparator" w:id="0">
    <w:p w14:paraId="1EB7BE52" w14:textId="77777777" w:rsidR="0030587A" w:rsidRDefault="0030587A" w:rsidP="001B6C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53CCA" w14:textId="2138C08C" w:rsidR="001B6C97" w:rsidRDefault="001B6C97">
    <w:pPr>
      <w:pStyle w:val="Header"/>
    </w:pPr>
    <w:r w:rsidRPr="00A406E5">
      <w:rPr>
        <w:rFonts w:ascii="Arial" w:hAnsi="Arial" w:cs="Arial"/>
        <w:noProof/>
      </w:rPr>
      <w:drawing>
        <wp:anchor distT="0" distB="0" distL="114300" distR="114300" simplePos="0" relativeHeight="251659264" behindDoc="0" locked="0" layoutInCell="1" allowOverlap="1" wp14:anchorId="193F77B4" wp14:editId="166A3641">
          <wp:simplePos x="0" y="0"/>
          <wp:positionH relativeFrom="column">
            <wp:posOffset>-428625</wp:posOffset>
          </wp:positionH>
          <wp:positionV relativeFrom="paragraph">
            <wp:posOffset>-97155</wp:posOffset>
          </wp:positionV>
          <wp:extent cx="1461770" cy="533400"/>
          <wp:effectExtent l="0" t="0" r="508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61770" cy="533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01445D" w14:textId="77777777" w:rsidR="001B6C97" w:rsidRDefault="001B6C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62D85"/>
    <w:multiLevelType w:val="multilevel"/>
    <w:tmpl w:val="184C7CB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906836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CD5"/>
    <w:rsid w:val="0001435C"/>
    <w:rsid w:val="0001466E"/>
    <w:rsid w:val="00051AE5"/>
    <w:rsid w:val="00091DA7"/>
    <w:rsid w:val="000E6116"/>
    <w:rsid w:val="001011EE"/>
    <w:rsid w:val="00106AA3"/>
    <w:rsid w:val="00154581"/>
    <w:rsid w:val="00164E53"/>
    <w:rsid w:val="00187791"/>
    <w:rsid w:val="001A033B"/>
    <w:rsid w:val="001B68DB"/>
    <w:rsid w:val="001B6C97"/>
    <w:rsid w:val="001C0003"/>
    <w:rsid w:val="001C0198"/>
    <w:rsid w:val="001D3743"/>
    <w:rsid w:val="00221576"/>
    <w:rsid w:val="00224B44"/>
    <w:rsid w:val="00227FDA"/>
    <w:rsid w:val="002878A1"/>
    <w:rsid w:val="002B1643"/>
    <w:rsid w:val="002B62F3"/>
    <w:rsid w:val="002E1024"/>
    <w:rsid w:val="002F39A4"/>
    <w:rsid w:val="0030076B"/>
    <w:rsid w:val="0030587A"/>
    <w:rsid w:val="00330683"/>
    <w:rsid w:val="00342869"/>
    <w:rsid w:val="00350BF1"/>
    <w:rsid w:val="003801BD"/>
    <w:rsid w:val="003C5FC7"/>
    <w:rsid w:val="003C7449"/>
    <w:rsid w:val="003D55C1"/>
    <w:rsid w:val="00440E07"/>
    <w:rsid w:val="00443189"/>
    <w:rsid w:val="0046479E"/>
    <w:rsid w:val="00472F09"/>
    <w:rsid w:val="00473CBC"/>
    <w:rsid w:val="004A3A9A"/>
    <w:rsid w:val="004D3E62"/>
    <w:rsid w:val="00504562"/>
    <w:rsid w:val="005255CD"/>
    <w:rsid w:val="00527DA7"/>
    <w:rsid w:val="00564FBF"/>
    <w:rsid w:val="0057324D"/>
    <w:rsid w:val="00582329"/>
    <w:rsid w:val="0058711D"/>
    <w:rsid w:val="00587369"/>
    <w:rsid w:val="005B567D"/>
    <w:rsid w:val="005C72DE"/>
    <w:rsid w:val="005D0067"/>
    <w:rsid w:val="00614CFC"/>
    <w:rsid w:val="00617EBA"/>
    <w:rsid w:val="00633537"/>
    <w:rsid w:val="0063568D"/>
    <w:rsid w:val="00671F82"/>
    <w:rsid w:val="00690D4F"/>
    <w:rsid w:val="006C373E"/>
    <w:rsid w:val="00702481"/>
    <w:rsid w:val="007218D0"/>
    <w:rsid w:val="007450C5"/>
    <w:rsid w:val="00772B88"/>
    <w:rsid w:val="0078268E"/>
    <w:rsid w:val="007A7696"/>
    <w:rsid w:val="007D1CD2"/>
    <w:rsid w:val="007D54D4"/>
    <w:rsid w:val="007E3F45"/>
    <w:rsid w:val="008031BB"/>
    <w:rsid w:val="008246AE"/>
    <w:rsid w:val="008456D9"/>
    <w:rsid w:val="00857BB9"/>
    <w:rsid w:val="00891A98"/>
    <w:rsid w:val="008A700C"/>
    <w:rsid w:val="008D78D8"/>
    <w:rsid w:val="008E0C4B"/>
    <w:rsid w:val="008E73D6"/>
    <w:rsid w:val="008F6F58"/>
    <w:rsid w:val="00902A71"/>
    <w:rsid w:val="0090493C"/>
    <w:rsid w:val="0094085E"/>
    <w:rsid w:val="0097559D"/>
    <w:rsid w:val="00980CD5"/>
    <w:rsid w:val="009A0D88"/>
    <w:rsid w:val="009B1B26"/>
    <w:rsid w:val="009B6E36"/>
    <w:rsid w:val="009C03A9"/>
    <w:rsid w:val="009D27F2"/>
    <w:rsid w:val="009F3158"/>
    <w:rsid w:val="009F7516"/>
    <w:rsid w:val="00A2361C"/>
    <w:rsid w:val="00AB6506"/>
    <w:rsid w:val="00AB6D46"/>
    <w:rsid w:val="00AB7253"/>
    <w:rsid w:val="00AE0AC3"/>
    <w:rsid w:val="00AF3550"/>
    <w:rsid w:val="00AF5313"/>
    <w:rsid w:val="00B0259F"/>
    <w:rsid w:val="00B17FA0"/>
    <w:rsid w:val="00B42000"/>
    <w:rsid w:val="00B8537A"/>
    <w:rsid w:val="00BC3FA1"/>
    <w:rsid w:val="00C05F60"/>
    <w:rsid w:val="00C20498"/>
    <w:rsid w:val="00C5485A"/>
    <w:rsid w:val="00C706E9"/>
    <w:rsid w:val="00C91E99"/>
    <w:rsid w:val="00CA5E9D"/>
    <w:rsid w:val="00CC1DDE"/>
    <w:rsid w:val="00D11839"/>
    <w:rsid w:val="00D95E59"/>
    <w:rsid w:val="00DC316F"/>
    <w:rsid w:val="00DD0FF0"/>
    <w:rsid w:val="00DE6374"/>
    <w:rsid w:val="00E0483A"/>
    <w:rsid w:val="00E057BA"/>
    <w:rsid w:val="00E252B1"/>
    <w:rsid w:val="00E26F9D"/>
    <w:rsid w:val="00E273F0"/>
    <w:rsid w:val="00E33193"/>
    <w:rsid w:val="00E332C0"/>
    <w:rsid w:val="00E468FB"/>
    <w:rsid w:val="00E5132E"/>
    <w:rsid w:val="00E56D47"/>
    <w:rsid w:val="00E6708C"/>
    <w:rsid w:val="00E82CD5"/>
    <w:rsid w:val="00E86D58"/>
    <w:rsid w:val="00E92B24"/>
    <w:rsid w:val="00E93902"/>
    <w:rsid w:val="00E93EB5"/>
    <w:rsid w:val="00EA268B"/>
    <w:rsid w:val="00ED6AA3"/>
    <w:rsid w:val="00EE414E"/>
    <w:rsid w:val="00EF01BC"/>
    <w:rsid w:val="00F10FC5"/>
    <w:rsid w:val="00F23153"/>
    <w:rsid w:val="00F26FEA"/>
    <w:rsid w:val="00F27E1E"/>
    <w:rsid w:val="00F4187D"/>
    <w:rsid w:val="00F42B68"/>
    <w:rsid w:val="00F50218"/>
    <w:rsid w:val="00F94792"/>
    <w:rsid w:val="00FB392E"/>
    <w:rsid w:val="00FB44CC"/>
    <w:rsid w:val="00FB5F1A"/>
    <w:rsid w:val="00FC4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98253"/>
  <w15:chartTrackingRefBased/>
  <w15:docId w15:val="{A00C8467-5748-47D0-A660-B8B676380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Cs/>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14E"/>
    <w:pPr>
      <w:spacing w:after="0" w:line="240" w:lineRule="auto"/>
    </w:pPr>
    <w:rPr>
      <w:rFonts w:eastAsia="Times New Roman"/>
      <w:bCs w:val="0"/>
      <w:kern w:val="0"/>
      <w:sz w:val="20"/>
      <w:szCs w:val="20"/>
      <w:lang w:eastAsia="en-GB"/>
      <w14:ligatures w14:val="none"/>
    </w:rPr>
  </w:style>
  <w:style w:type="paragraph" w:styleId="Heading1">
    <w:name w:val="heading 1"/>
    <w:aliases w:val="Heading"/>
    <w:basedOn w:val="Normal"/>
    <w:next w:val="Normal"/>
    <w:link w:val="Heading1Char"/>
    <w:autoRedefine/>
    <w:uiPriority w:val="9"/>
    <w:qFormat/>
    <w:rsid w:val="009C03A9"/>
    <w:pPr>
      <w:keepNext/>
      <w:keepLines/>
      <w:spacing w:before="360" w:after="80" w:line="276" w:lineRule="auto"/>
      <w:outlineLvl w:val="0"/>
    </w:pPr>
    <w:rPr>
      <w:rFonts w:eastAsiaTheme="majorEastAsia" w:cstheme="majorBidi"/>
      <w:b/>
      <w:bCs/>
      <w:sz w:val="28"/>
      <w:szCs w:val="40"/>
    </w:rPr>
  </w:style>
  <w:style w:type="paragraph" w:styleId="Heading2">
    <w:name w:val="heading 2"/>
    <w:basedOn w:val="Normal"/>
    <w:next w:val="Normal"/>
    <w:link w:val="Heading2Char"/>
    <w:autoRedefine/>
    <w:uiPriority w:val="9"/>
    <w:unhideWhenUsed/>
    <w:qFormat/>
    <w:rsid w:val="009C03A9"/>
    <w:pPr>
      <w:keepNext/>
      <w:keepLines/>
      <w:spacing w:before="160" w:after="80" w:line="276" w:lineRule="auto"/>
      <w:outlineLvl w:val="1"/>
    </w:pPr>
    <w:rPr>
      <w:rFonts w:eastAsiaTheme="majorEastAsia" w:cstheme="majorBidi"/>
      <w:b/>
      <w:i/>
      <w:szCs w:val="32"/>
    </w:rPr>
  </w:style>
  <w:style w:type="paragraph" w:styleId="Heading3">
    <w:name w:val="heading 3"/>
    <w:basedOn w:val="Normal"/>
    <w:next w:val="Normal"/>
    <w:link w:val="Heading3Char"/>
    <w:autoRedefine/>
    <w:uiPriority w:val="9"/>
    <w:semiHidden/>
    <w:unhideWhenUsed/>
    <w:qFormat/>
    <w:rsid w:val="00C5485A"/>
    <w:pPr>
      <w:keepNext/>
      <w:keepLines/>
      <w:spacing w:before="160" w:after="80"/>
      <w:outlineLvl w:val="2"/>
    </w:pPr>
    <w:rPr>
      <w:rFonts w:eastAsiaTheme="majorEastAsia" w:cstheme="majorBidi"/>
      <w:bCs/>
      <w:i/>
      <w:szCs w:val="28"/>
      <w:lang w:val="en-US"/>
    </w:rPr>
  </w:style>
  <w:style w:type="paragraph" w:styleId="Heading4">
    <w:name w:val="heading 4"/>
    <w:basedOn w:val="Normal"/>
    <w:next w:val="Normal"/>
    <w:link w:val="Heading4Char"/>
    <w:uiPriority w:val="9"/>
    <w:semiHidden/>
    <w:unhideWhenUsed/>
    <w:qFormat/>
    <w:rsid w:val="00E82CD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82CD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82CD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2CD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2CD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2CD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Char"/>
    <w:basedOn w:val="DefaultParagraphFont"/>
    <w:link w:val="Heading1"/>
    <w:uiPriority w:val="9"/>
    <w:rsid w:val="009C03A9"/>
    <w:rPr>
      <w:rFonts w:eastAsiaTheme="majorEastAsia" w:cstheme="majorBidi"/>
      <w:b/>
      <w:bCs w:val="0"/>
      <w:kern w:val="0"/>
      <w:sz w:val="28"/>
      <w:szCs w:val="40"/>
      <w14:ligatures w14:val="none"/>
    </w:rPr>
  </w:style>
  <w:style w:type="character" w:customStyle="1" w:styleId="Heading2Char">
    <w:name w:val="Heading 2 Char"/>
    <w:basedOn w:val="DefaultParagraphFont"/>
    <w:link w:val="Heading2"/>
    <w:uiPriority w:val="9"/>
    <w:rsid w:val="009C03A9"/>
    <w:rPr>
      <w:rFonts w:eastAsiaTheme="majorEastAsia" w:cstheme="majorBidi"/>
      <w:b/>
      <w:i/>
      <w:kern w:val="0"/>
      <w:szCs w:val="32"/>
      <w14:ligatures w14:val="none"/>
    </w:rPr>
  </w:style>
  <w:style w:type="character" w:customStyle="1" w:styleId="Heading3Char">
    <w:name w:val="Heading 3 Char"/>
    <w:basedOn w:val="DefaultParagraphFont"/>
    <w:link w:val="Heading3"/>
    <w:uiPriority w:val="9"/>
    <w:semiHidden/>
    <w:rsid w:val="00C5485A"/>
    <w:rPr>
      <w:rFonts w:eastAsiaTheme="majorEastAsia" w:cstheme="majorBidi"/>
      <w:bCs w:val="0"/>
      <w:i/>
      <w:kern w:val="0"/>
      <w:szCs w:val="28"/>
      <w:lang w:val="en-US"/>
      <w14:ligatures w14:val="none"/>
    </w:rPr>
  </w:style>
  <w:style w:type="paragraph" w:styleId="Title">
    <w:name w:val="Title"/>
    <w:basedOn w:val="Normal"/>
    <w:next w:val="Normal"/>
    <w:link w:val="TitleChar"/>
    <w:autoRedefine/>
    <w:uiPriority w:val="10"/>
    <w:qFormat/>
    <w:rsid w:val="0094085E"/>
    <w:pPr>
      <w:spacing w:after="80"/>
      <w:contextualSpacing/>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94085E"/>
    <w:rPr>
      <w:rFonts w:eastAsiaTheme="majorEastAsia" w:cstheme="majorBidi"/>
      <w:b/>
      <w:spacing w:val="-10"/>
      <w:kern w:val="28"/>
      <w:sz w:val="40"/>
      <w:szCs w:val="56"/>
    </w:rPr>
  </w:style>
  <w:style w:type="character" w:customStyle="1" w:styleId="Heading4Char">
    <w:name w:val="Heading 4 Char"/>
    <w:basedOn w:val="DefaultParagraphFont"/>
    <w:link w:val="Heading4"/>
    <w:uiPriority w:val="9"/>
    <w:semiHidden/>
    <w:rsid w:val="00E82CD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82CD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82CD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82CD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82CD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82CD5"/>
    <w:rPr>
      <w:rFonts w:asciiTheme="minorHAnsi" w:eastAsiaTheme="majorEastAsia" w:hAnsiTheme="minorHAnsi" w:cstheme="majorBidi"/>
      <w:color w:val="272727" w:themeColor="text1" w:themeTint="D8"/>
    </w:rPr>
  </w:style>
  <w:style w:type="paragraph" w:styleId="Subtitle">
    <w:name w:val="Subtitle"/>
    <w:basedOn w:val="Normal"/>
    <w:next w:val="Normal"/>
    <w:link w:val="SubtitleChar"/>
    <w:uiPriority w:val="11"/>
    <w:qFormat/>
    <w:rsid w:val="00E82CD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CD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82CD5"/>
    <w:pPr>
      <w:spacing w:before="160"/>
      <w:jc w:val="center"/>
    </w:pPr>
    <w:rPr>
      <w:i/>
      <w:iCs/>
      <w:color w:val="404040" w:themeColor="text1" w:themeTint="BF"/>
    </w:rPr>
  </w:style>
  <w:style w:type="character" w:customStyle="1" w:styleId="QuoteChar">
    <w:name w:val="Quote Char"/>
    <w:basedOn w:val="DefaultParagraphFont"/>
    <w:link w:val="Quote"/>
    <w:uiPriority w:val="29"/>
    <w:rsid w:val="00E82CD5"/>
    <w:rPr>
      <w:i/>
      <w:iCs/>
      <w:color w:val="404040" w:themeColor="text1" w:themeTint="BF"/>
    </w:rPr>
  </w:style>
  <w:style w:type="paragraph" w:styleId="ListParagraph">
    <w:name w:val="List Paragraph"/>
    <w:basedOn w:val="Normal"/>
    <w:uiPriority w:val="34"/>
    <w:qFormat/>
    <w:rsid w:val="00E82CD5"/>
    <w:pPr>
      <w:ind w:left="720"/>
      <w:contextualSpacing/>
    </w:pPr>
  </w:style>
  <w:style w:type="character" w:styleId="IntenseEmphasis">
    <w:name w:val="Intense Emphasis"/>
    <w:basedOn w:val="DefaultParagraphFont"/>
    <w:uiPriority w:val="21"/>
    <w:qFormat/>
    <w:rsid w:val="00E82CD5"/>
    <w:rPr>
      <w:i/>
      <w:iCs/>
      <w:color w:val="0F4761" w:themeColor="accent1" w:themeShade="BF"/>
    </w:rPr>
  </w:style>
  <w:style w:type="paragraph" w:styleId="IntenseQuote">
    <w:name w:val="Intense Quote"/>
    <w:basedOn w:val="Normal"/>
    <w:next w:val="Normal"/>
    <w:link w:val="IntenseQuoteChar"/>
    <w:uiPriority w:val="30"/>
    <w:qFormat/>
    <w:rsid w:val="00E82C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CD5"/>
    <w:rPr>
      <w:i/>
      <w:iCs/>
      <w:color w:val="0F4761" w:themeColor="accent1" w:themeShade="BF"/>
    </w:rPr>
  </w:style>
  <w:style w:type="character" w:styleId="IntenseReference">
    <w:name w:val="Intense Reference"/>
    <w:basedOn w:val="DefaultParagraphFont"/>
    <w:uiPriority w:val="32"/>
    <w:qFormat/>
    <w:rsid w:val="00E82CD5"/>
    <w:rPr>
      <w:b/>
      <w:bCs w:val="0"/>
      <w:smallCaps/>
      <w:color w:val="0F4761" w:themeColor="accent1" w:themeShade="BF"/>
      <w:spacing w:val="5"/>
    </w:rPr>
  </w:style>
  <w:style w:type="paragraph" w:styleId="Header">
    <w:name w:val="header"/>
    <w:basedOn w:val="Normal"/>
    <w:link w:val="HeaderChar"/>
    <w:uiPriority w:val="99"/>
    <w:unhideWhenUsed/>
    <w:rsid w:val="001B6C97"/>
    <w:pPr>
      <w:tabs>
        <w:tab w:val="center" w:pos="4513"/>
        <w:tab w:val="right" w:pos="9026"/>
      </w:tabs>
    </w:pPr>
  </w:style>
  <w:style w:type="character" w:customStyle="1" w:styleId="HeaderChar">
    <w:name w:val="Header Char"/>
    <w:basedOn w:val="DefaultParagraphFont"/>
    <w:link w:val="Header"/>
    <w:uiPriority w:val="99"/>
    <w:rsid w:val="001B6C97"/>
    <w:rPr>
      <w:rFonts w:eastAsia="Times New Roman"/>
      <w:bCs w:val="0"/>
      <w:kern w:val="0"/>
      <w:sz w:val="20"/>
      <w:szCs w:val="20"/>
      <w:lang w:eastAsia="en-GB"/>
      <w14:ligatures w14:val="none"/>
    </w:rPr>
  </w:style>
  <w:style w:type="paragraph" w:styleId="Footer">
    <w:name w:val="footer"/>
    <w:basedOn w:val="Normal"/>
    <w:link w:val="FooterChar"/>
    <w:uiPriority w:val="99"/>
    <w:unhideWhenUsed/>
    <w:rsid w:val="001B6C97"/>
    <w:pPr>
      <w:tabs>
        <w:tab w:val="center" w:pos="4513"/>
        <w:tab w:val="right" w:pos="9026"/>
      </w:tabs>
    </w:pPr>
  </w:style>
  <w:style w:type="character" w:customStyle="1" w:styleId="FooterChar">
    <w:name w:val="Footer Char"/>
    <w:basedOn w:val="DefaultParagraphFont"/>
    <w:link w:val="Footer"/>
    <w:uiPriority w:val="99"/>
    <w:rsid w:val="001B6C97"/>
    <w:rPr>
      <w:rFonts w:eastAsia="Times New Roman"/>
      <w:bCs w:val="0"/>
      <w:kern w:val="0"/>
      <w:sz w:val="20"/>
      <w:szCs w:val="20"/>
      <w:lang w:eastAsia="en-GB"/>
      <w14:ligatures w14:val="none"/>
    </w:rPr>
  </w:style>
  <w:style w:type="character" w:styleId="Hyperlink">
    <w:name w:val="Hyperlink"/>
    <w:basedOn w:val="DefaultParagraphFont"/>
    <w:uiPriority w:val="99"/>
    <w:unhideWhenUsed/>
    <w:rsid w:val="00E0483A"/>
    <w:rPr>
      <w:color w:val="467886" w:themeColor="hyperlink"/>
      <w:u w:val="single"/>
    </w:rPr>
  </w:style>
  <w:style w:type="character" w:styleId="UnresolvedMention">
    <w:name w:val="Unresolved Mention"/>
    <w:basedOn w:val="DefaultParagraphFont"/>
    <w:uiPriority w:val="99"/>
    <w:semiHidden/>
    <w:unhideWhenUsed/>
    <w:rsid w:val="00E0483A"/>
    <w:rPr>
      <w:color w:val="605E5C"/>
      <w:shd w:val="clear" w:color="auto" w:fill="E1DFDD"/>
    </w:rPr>
  </w:style>
  <w:style w:type="character" w:styleId="Strong">
    <w:name w:val="Strong"/>
    <w:basedOn w:val="DefaultParagraphFont"/>
    <w:uiPriority w:val="22"/>
    <w:qFormat/>
    <w:rsid w:val="00E26F9D"/>
    <w:rPr>
      <w:b/>
      <w:bCs w:val="0"/>
    </w:rPr>
  </w:style>
  <w:style w:type="paragraph" w:styleId="TOCHeading">
    <w:name w:val="TOC Heading"/>
    <w:basedOn w:val="Heading1"/>
    <w:next w:val="Normal"/>
    <w:uiPriority w:val="39"/>
    <w:unhideWhenUsed/>
    <w:qFormat/>
    <w:rsid w:val="00E6708C"/>
    <w:pPr>
      <w:spacing w:before="240" w:after="0" w:line="259" w:lineRule="auto"/>
      <w:outlineLvl w:val="9"/>
    </w:pPr>
    <w:rPr>
      <w:rFonts w:asciiTheme="majorHAnsi" w:hAnsiTheme="majorHAnsi"/>
      <w:b w:val="0"/>
      <w:bCs w:val="0"/>
      <w:color w:val="0F4761" w:themeColor="accent1" w:themeShade="BF"/>
      <w:sz w:val="32"/>
      <w:szCs w:val="32"/>
    </w:rPr>
  </w:style>
  <w:style w:type="paragraph" w:styleId="TOC1">
    <w:name w:val="toc 1"/>
    <w:basedOn w:val="Normal"/>
    <w:next w:val="Normal"/>
    <w:autoRedefine/>
    <w:uiPriority w:val="39"/>
    <w:unhideWhenUsed/>
    <w:rsid w:val="00E6708C"/>
    <w:pPr>
      <w:spacing w:after="100"/>
    </w:pPr>
  </w:style>
  <w:style w:type="paragraph" w:styleId="TOC2">
    <w:name w:val="toc 2"/>
    <w:basedOn w:val="Normal"/>
    <w:next w:val="Normal"/>
    <w:autoRedefine/>
    <w:uiPriority w:val="39"/>
    <w:unhideWhenUsed/>
    <w:rsid w:val="00E6708C"/>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10091</Words>
  <Characters>57523</Characters>
  <Application>Microsoft Office Word</Application>
  <DocSecurity>0</DocSecurity>
  <Lines>479</Lines>
  <Paragraphs>134</Paragraphs>
  <ScaleCrop>false</ScaleCrop>
  <Company/>
  <LinksUpToDate>false</LinksUpToDate>
  <CharactersWithSpaces>67480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T</dc:creator>
  <cp:keywords/>
  <dc:description/>
  <cp:lastModifiedBy>Oana T</cp:lastModifiedBy>
  <cp:revision>2</cp:revision>
  <dcterms:created xsi:type="dcterms:W3CDTF">2026-07-16T10:24:00Z</dcterms:created>
  <dcterms:modified xsi:type="dcterms:W3CDTF">2026-07-16T10:24:00Z</dcterms:modified>
</cp:coreProperties>
</file>