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0DA0894" w14:textId="12FFBBFE" w:rsidR="00D20D56" w:rsidRDefault="003760CA" w:rsidP="00D0186E">
      <w:pPr>
        <w:spacing w:line="360" w:lineRule="auto"/>
        <w:jc w:val="center"/>
        <w:rPr>
          <w:rFonts w:ascii="Arial" w:hAnsi="Arial" w:cs="Arial"/>
          <w:sz w:val="22"/>
          <w:szCs w:val="22"/>
        </w:rPr>
      </w:pPr>
      <w:r w:rsidRPr="00E52532">
        <w:rPr>
          <w:rFonts w:ascii="Arial" w:hAnsi="Arial" w:cs="Arial"/>
          <w:b/>
          <w:bCs/>
          <w:sz w:val="22"/>
          <w:szCs w:val="22"/>
        </w:rPr>
        <w:t>Assignment title</w:t>
      </w:r>
      <w:r w:rsidR="00D20D56" w:rsidRPr="00D0186E">
        <w:rPr>
          <w:rFonts w:ascii="Arial" w:hAnsi="Arial" w:cs="Arial"/>
          <w:sz w:val="22"/>
          <w:szCs w:val="22"/>
        </w:rPr>
        <w:t xml:space="preserve">: </w:t>
      </w:r>
      <w:r w:rsidR="00C37F96" w:rsidRPr="00D0186E">
        <w:rPr>
          <w:rFonts w:ascii="Arial" w:hAnsi="Arial" w:cs="Arial"/>
          <w:sz w:val="22"/>
          <w:szCs w:val="22"/>
        </w:rPr>
        <w:t xml:space="preserve">Report </w:t>
      </w:r>
      <w:r w:rsidR="00CF1EB5" w:rsidRPr="00D0186E">
        <w:rPr>
          <w:rFonts w:ascii="Arial" w:hAnsi="Arial" w:cs="Arial"/>
          <w:sz w:val="22"/>
          <w:szCs w:val="22"/>
        </w:rPr>
        <w:t>o</w:t>
      </w:r>
      <w:r w:rsidR="00C37F96" w:rsidRPr="00D0186E">
        <w:rPr>
          <w:rFonts w:ascii="Arial" w:hAnsi="Arial" w:cs="Arial"/>
          <w:sz w:val="22"/>
          <w:szCs w:val="22"/>
        </w:rPr>
        <w:t>n</w:t>
      </w:r>
      <w:r w:rsidR="00CF1EB5" w:rsidRPr="00D0186E">
        <w:rPr>
          <w:rFonts w:ascii="Arial" w:hAnsi="Arial" w:cs="Arial"/>
          <w:sz w:val="22"/>
          <w:szCs w:val="22"/>
        </w:rPr>
        <w:t xml:space="preserve"> a Health Issue</w:t>
      </w:r>
    </w:p>
    <w:p w14:paraId="0A54C90D" w14:textId="77777777" w:rsidR="00362FEA" w:rsidRPr="00D0186E" w:rsidRDefault="00362FEA" w:rsidP="00D0186E">
      <w:pPr>
        <w:spacing w:line="360" w:lineRule="auto"/>
        <w:jc w:val="center"/>
        <w:rPr>
          <w:rFonts w:ascii="Arial" w:hAnsi="Arial" w:cs="Arial"/>
          <w:sz w:val="22"/>
          <w:szCs w:val="22"/>
        </w:rPr>
      </w:pPr>
    </w:p>
    <w:p w14:paraId="4BE33019" w14:textId="3B7D6A62" w:rsidR="008635E5" w:rsidRDefault="008635E5" w:rsidP="00D0186E">
      <w:pPr>
        <w:spacing w:line="360" w:lineRule="auto"/>
        <w:jc w:val="center"/>
        <w:rPr>
          <w:rFonts w:ascii="Arial" w:hAnsi="Arial" w:cs="Arial"/>
          <w:sz w:val="22"/>
          <w:szCs w:val="22"/>
        </w:rPr>
      </w:pPr>
      <w:r w:rsidRPr="00E52532">
        <w:rPr>
          <w:rFonts w:ascii="Arial" w:hAnsi="Arial" w:cs="Arial"/>
          <w:b/>
          <w:bCs/>
          <w:sz w:val="22"/>
          <w:szCs w:val="22"/>
        </w:rPr>
        <w:t>Community Health R</w:t>
      </w:r>
      <w:r w:rsidR="00BF68EF" w:rsidRPr="00E52532">
        <w:rPr>
          <w:rFonts w:ascii="Arial" w:hAnsi="Arial" w:cs="Arial"/>
          <w:b/>
          <w:bCs/>
          <w:sz w:val="22"/>
          <w:szCs w:val="22"/>
        </w:rPr>
        <w:t>eport</w:t>
      </w:r>
      <w:r w:rsidR="00BF68EF" w:rsidRPr="00D0186E">
        <w:rPr>
          <w:rFonts w:ascii="Arial" w:hAnsi="Arial" w:cs="Arial"/>
          <w:sz w:val="22"/>
          <w:szCs w:val="22"/>
        </w:rPr>
        <w:t>: Type 1 Diabetes</w:t>
      </w:r>
    </w:p>
    <w:p w14:paraId="4A65D9A7" w14:textId="77777777" w:rsidR="00362FEA" w:rsidRPr="00D0186E" w:rsidRDefault="00362FEA" w:rsidP="00D0186E">
      <w:pPr>
        <w:spacing w:line="360" w:lineRule="auto"/>
        <w:jc w:val="center"/>
        <w:rPr>
          <w:rFonts w:ascii="Arial" w:hAnsi="Arial" w:cs="Arial"/>
          <w:sz w:val="22"/>
          <w:szCs w:val="22"/>
        </w:rPr>
      </w:pPr>
    </w:p>
    <w:p w14:paraId="45CD4C37" w14:textId="0AF4F172" w:rsidR="008B2E85" w:rsidRDefault="008B2E85" w:rsidP="00D0186E">
      <w:pPr>
        <w:spacing w:line="360" w:lineRule="auto"/>
        <w:jc w:val="center"/>
        <w:rPr>
          <w:rFonts w:ascii="Arial" w:hAnsi="Arial" w:cs="Arial"/>
          <w:sz w:val="22"/>
          <w:szCs w:val="22"/>
        </w:rPr>
      </w:pPr>
      <w:r w:rsidRPr="00E52532">
        <w:rPr>
          <w:rFonts w:ascii="Arial" w:hAnsi="Arial" w:cs="Arial"/>
          <w:b/>
          <w:bCs/>
          <w:sz w:val="22"/>
          <w:szCs w:val="22"/>
        </w:rPr>
        <w:t>Module Title</w:t>
      </w:r>
      <w:r w:rsidRPr="00D0186E">
        <w:rPr>
          <w:rFonts w:ascii="Arial" w:hAnsi="Arial" w:cs="Arial"/>
          <w:sz w:val="22"/>
          <w:szCs w:val="22"/>
        </w:rPr>
        <w:t>: Introduction to Public Health</w:t>
      </w:r>
    </w:p>
    <w:p w14:paraId="19F006A9" w14:textId="77777777" w:rsidR="00362FEA" w:rsidRPr="00D0186E" w:rsidRDefault="00362FEA" w:rsidP="00D0186E">
      <w:pPr>
        <w:spacing w:line="360" w:lineRule="auto"/>
        <w:jc w:val="center"/>
        <w:rPr>
          <w:rFonts w:ascii="Arial" w:hAnsi="Arial" w:cs="Arial"/>
          <w:sz w:val="22"/>
          <w:szCs w:val="22"/>
        </w:rPr>
      </w:pPr>
    </w:p>
    <w:p w14:paraId="5D65E4CB" w14:textId="11338DB9" w:rsidR="00652FC5" w:rsidRDefault="00652FC5" w:rsidP="00D0186E">
      <w:pPr>
        <w:spacing w:line="360" w:lineRule="auto"/>
        <w:jc w:val="center"/>
        <w:rPr>
          <w:rFonts w:ascii="Arial" w:hAnsi="Arial" w:cs="Arial"/>
          <w:sz w:val="22"/>
          <w:szCs w:val="22"/>
        </w:rPr>
      </w:pPr>
      <w:r w:rsidRPr="00E52532">
        <w:rPr>
          <w:rFonts w:ascii="Arial" w:hAnsi="Arial" w:cs="Arial"/>
          <w:b/>
          <w:bCs/>
          <w:sz w:val="22"/>
          <w:szCs w:val="22"/>
        </w:rPr>
        <w:t>Module Code</w:t>
      </w:r>
      <w:r w:rsidRPr="00D0186E">
        <w:rPr>
          <w:rFonts w:ascii="Arial" w:hAnsi="Arial" w:cs="Arial"/>
          <w:sz w:val="22"/>
          <w:szCs w:val="22"/>
        </w:rPr>
        <w:t>: LCHS4008</w:t>
      </w:r>
    </w:p>
    <w:p w14:paraId="289CE27F" w14:textId="77777777" w:rsidR="00362FEA" w:rsidRPr="00D0186E" w:rsidRDefault="00362FEA" w:rsidP="00D0186E">
      <w:pPr>
        <w:spacing w:line="360" w:lineRule="auto"/>
        <w:jc w:val="center"/>
        <w:rPr>
          <w:rFonts w:ascii="Arial" w:hAnsi="Arial" w:cs="Arial"/>
          <w:sz w:val="22"/>
          <w:szCs w:val="22"/>
        </w:rPr>
      </w:pPr>
    </w:p>
    <w:p w14:paraId="3CFDD5E9" w14:textId="3EB87BA7" w:rsidR="00652FC5" w:rsidRDefault="00652FC5" w:rsidP="00D0186E">
      <w:pPr>
        <w:spacing w:line="360" w:lineRule="auto"/>
        <w:jc w:val="center"/>
        <w:rPr>
          <w:rFonts w:ascii="Arial" w:hAnsi="Arial" w:cs="Arial"/>
          <w:sz w:val="22"/>
          <w:szCs w:val="22"/>
        </w:rPr>
      </w:pPr>
      <w:r w:rsidRPr="00E52532">
        <w:rPr>
          <w:rFonts w:ascii="Arial" w:hAnsi="Arial" w:cs="Arial"/>
          <w:b/>
          <w:bCs/>
          <w:sz w:val="22"/>
          <w:szCs w:val="22"/>
        </w:rPr>
        <w:t>Name</w:t>
      </w:r>
      <w:r w:rsidRPr="00D0186E">
        <w:rPr>
          <w:rFonts w:ascii="Arial" w:hAnsi="Arial" w:cs="Arial"/>
          <w:sz w:val="22"/>
          <w:szCs w:val="22"/>
        </w:rPr>
        <w:t xml:space="preserve">: Alishba Khan </w:t>
      </w:r>
    </w:p>
    <w:p w14:paraId="570FF922" w14:textId="77777777" w:rsidR="00E52532" w:rsidRPr="00D0186E" w:rsidRDefault="00E52532" w:rsidP="00D0186E">
      <w:pPr>
        <w:spacing w:line="360" w:lineRule="auto"/>
        <w:jc w:val="center"/>
        <w:rPr>
          <w:rFonts w:ascii="Arial" w:hAnsi="Arial" w:cs="Arial"/>
          <w:sz w:val="22"/>
          <w:szCs w:val="22"/>
        </w:rPr>
      </w:pPr>
    </w:p>
    <w:p w14:paraId="58B8F3A9" w14:textId="138EC46F" w:rsidR="007523AD" w:rsidRDefault="007523AD" w:rsidP="00D0186E">
      <w:pPr>
        <w:spacing w:line="360" w:lineRule="auto"/>
        <w:jc w:val="center"/>
        <w:rPr>
          <w:rFonts w:ascii="Arial" w:hAnsi="Arial" w:cs="Arial"/>
          <w:sz w:val="22"/>
          <w:szCs w:val="22"/>
        </w:rPr>
      </w:pPr>
      <w:r w:rsidRPr="00E52532">
        <w:rPr>
          <w:rFonts w:ascii="Arial" w:hAnsi="Arial" w:cs="Arial"/>
          <w:b/>
          <w:bCs/>
          <w:sz w:val="22"/>
          <w:szCs w:val="22"/>
        </w:rPr>
        <w:t>Student Number</w:t>
      </w:r>
      <w:r w:rsidRPr="00D0186E">
        <w:rPr>
          <w:rFonts w:ascii="Arial" w:hAnsi="Arial" w:cs="Arial"/>
          <w:sz w:val="22"/>
          <w:szCs w:val="22"/>
        </w:rPr>
        <w:t>: 2522168</w:t>
      </w:r>
    </w:p>
    <w:p w14:paraId="08910CB7" w14:textId="77777777" w:rsidR="00E52532" w:rsidRPr="00D0186E" w:rsidRDefault="00E52532" w:rsidP="00D0186E">
      <w:pPr>
        <w:spacing w:line="360" w:lineRule="auto"/>
        <w:jc w:val="center"/>
        <w:rPr>
          <w:rFonts w:ascii="Arial" w:hAnsi="Arial" w:cs="Arial"/>
          <w:sz w:val="22"/>
          <w:szCs w:val="22"/>
        </w:rPr>
      </w:pPr>
    </w:p>
    <w:p w14:paraId="4F96141D" w14:textId="3B26C202" w:rsidR="007523AD" w:rsidRPr="00D0186E" w:rsidRDefault="007523AD" w:rsidP="00D0186E">
      <w:pPr>
        <w:spacing w:line="360" w:lineRule="auto"/>
        <w:jc w:val="center"/>
        <w:rPr>
          <w:rFonts w:ascii="Arial" w:hAnsi="Arial" w:cs="Arial"/>
          <w:sz w:val="22"/>
          <w:szCs w:val="22"/>
        </w:rPr>
      </w:pPr>
      <w:r w:rsidRPr="00E52532">
        <w:rPr>
          <w:rFonts w:ascii="Arial" w:hAnsi="Arial" w:cs="Arial"/>
          <w:b/>
          <w:bCs/>
          <w:sz w:val="22"/>
          <w:szCs w:val="22"/>
        </w:rPr>
        <w:t>Lecturer Name</w:t>
      </w:r>
      <w:r w:rsidRPr="00D0186E">
        <w:rPr>
          <w:rFonts w:ascii="Arial" w:hAnsi="Arial" w:cs="Arial"/>
          <w:sz w:val="22"/>
          <w:szCs w:val="22"/>
        </w:rPr>
        <w:t>: Gillian Weaver (Module Lead</w:t>
      </w:r>
      <w:r w:rsidR="00BB7D53" w:rsidRPr="00D0186E">
        <w:rPr>
          <w:rFonts w:ascii="Arial" w:hAnsi="Arial" w:cs="Arial"/>
          <w:sz w:val="22"/>
          <w:szCs w:val="22"/>
        </w:rPr>
        <w:t>)</w:t>
      </w:r>
    </w:p>
    <w:p w14:paraId="2B6A1810" w14:textId="77777777" w:rsidR="00BB7D53" w:rsidRPr="00D0186E" w:rsidRDefault="00BB7D53" w:rsidP="00D0186E">
      <w:pPr>
        <w:spacing w:line="360" w:lineRule="auto"/>
        <w:jc w:val="center"/>
        <w:rPr>
          <w:rFonts w:ascii="Arial" w:hAnsi="Arial" w:cs="Arial"/>
          <w:sz w:val="22"/>
          <w:szCs w:val="22"/>
        </w:rPr>
      </w:pPr>
    </w:p>
    <w:p w14:paraId="0103C1E7" w14:textId="77777777" w:rsidR="00BB7D53" w:rsidRPr="00D0186E" w:rsidRDefault="00BB7D53" w:rsidP="00D0186E">
      <w:pPr>
        <w:spacing w:line="360" w:lineRule="auto"/>
        <w:jc w:val="center"/>
        <w:rPr>
          <w:rFonts w:ascii="Arial" w:hAnsi="Arial" w:cs="Arial"/>
          <w:sz w:val="22"/>
          <w:szCs w:val="22"/>
        </w:rPr>
      </w:pPr>
    </w:p>
    <w:p w14:paraId="0FCDC0DF" w14:textId="77777777" w:rsidR="00BB7D53" w:rsidRPr="00D0186E" w:rsidRDefault="00BB7D53" w:rsidP="00D0186E">
      <w:pPr>
        <w:spacing w:line="360" w:lineRule="auto"/>
        <w:jc w:val="center"/>
        <w:rPr>
          <w:rFonts w:ascii="Arial" w:hAnsi="Arial" w:cs="Arial"/>
          <w:sz w:val="22"/>
          <w:szCs w:val="22"/>
        </w:rPr>
      </w:pPr>
    </w:p>
    <w:p w14:paraId="62820470" w14:textId="77777777" w:rsidR="00BB7D53" w:rsidRPr="00D0186E" w:rsidRDefault="00BB7D53" w:rsidP="00D0186E">
      <w:pPr>
        <w:spacing w:line="360" w:lineRule="auto"/>
        <w:jc w:val="center"/>
        <w:rPr>
          <w:rFonts w:ascii="Arial" w:hAnsi="Arial" w:cs="Arial"/>
          <w:sz w:val="22"/>
          <w:szCs w:val="22"/>
        </w:rPr>
      </w:pPr>
    </w:p>
    <w:p w14:paraId="2F8661D9" w14:textId="77777777" w:rsidR="00BB7D53" w:rsidRPr="00D0186E" w:rsidRDefault="00BB7D53" w:rsidP="00D0186E">
      <w:pPr>
        <w:spacing w:line="360" w:lineRule="auto"/>
        <w:jc w:val="center"/>
        <w:rPr>
          <w:rFonts w:ascii="Arial" w:hAnsi="Arial" w:cs="Arial"/>
          <w:sz w:val="22"/>
          <w:szCs w:val="22"/>
        </w:rPr>
      </w:pPr>
    </w:p>
    <w:p w14:paraId="1BF42450" w14:textId="77777777" w:rsidR="00BB7D53" w:rsidRPr="00D0186E" w:rsidRDefault="00BB7D53" w:rsidP="00D0186E">
      <w:pPr>
        <w:spacing w:line="360" w:lineRule="auto"/>
        <w:jc w:val="center"/>
        <w:rPr>
          <w:rFonts w:ascii="Arial" w:hAnsi="Arial" w:cs="Arial"/>
          <w:sz w:val="22"/>
          <w:szCs w:val="22"/>
        </w:rPr>
      </w:pPr>
    </w:p>
    <w:p w14:paraId="2E158A6C" w14:textId="77777777" w:rsidR="00BB7D53" w:rsidRPr="00D0186E" w:rsidRDefault="00BB7D53" w:rsidP="00D0186E">
      <w:pPr>
        <w:spacing w:line="360" w:lineRule="auto"/>
        <w:jc w:val="center"/>
        <w:rPr>
          <w:rFonts w:ascii="Arial" w:hAnsi="Arial" w:cs="Arial"/>
          <w:sz w:val="22"/>
          <w:szCs w:val="22"/>
        </w:rPr>
      </w:pPr>
    </w:p>
    <w:p w14:paraId="4D843191" w14:textId="77777777" w:rsidR="00BB7D53" w:rsidRPr="00D0186E" w:rsidRDefault="00BB7D53" w:rsidP="00D0186E">
      <w:pPr>
        <w:spacing w:line="360" w:lineRule="auto"/>
        <w:jc w:val="center"/>
        <w:rPr>
          <w:rFonts w:ascii="Arial" w:hAnsi="Arial" w:cs="Arial"/>
          <w:sz w:val="22"/>
          <w:szCs w:val="22"/>
        </w:rPr>
      </w:pPr>
    </w:p>
    <w:p w14:paraId="1D634DD5" w14:textId="77777777" w:rsidR="00BB7D53" w:rsidRPr="00D0186E" w:rsidRDefault="00BB7D53" w:rsidP="00D0186E">
      <w:pPr>
        <w:spacing w:line="360" w:lineRule="auto"/>
        <w:jc w:val="center"/>
        <w:rPr>
          <w:rFonts w:ascii="Arial" w:hAnsi="Arial" w:cs="Arial"/>
          <w:sz w:val="22"/>
          <w:szCs w:val="22"/>
        </w:rPr>
      </w:pPr>
    </w:p>
    <w:p w14:paraId="739590F7" w14:textId="77777777" w:rsidR="00BB7D53" w:rsidRPr="00D0186E" w:rsidRDefault="00BB7D53" w:rsidP="00D0186E">
      <w:pPr>
        <w:spacing w:line="360" w:lineRule="auto"/>
        <w:jc w:val="center"/>
        <w:rPr>
          <w:rFonts w:ascii="Arial" w:hAnsi="Arial" w:cs="Arial"/>
          <w:sz w:val="22"/>
          <w:szCs w:val="22"/>
        </w:rPr>
      </w:pPr>
    </w:p>
    <w:p w14:paraId="010AF1ED" w14:textId="77777777" w:rsidR="00BB7D53" w:rsidRPr="00D0186E" w:rsidRDefault="00BB7D53" w:rsidP="00D0186E">
      <w:pPr>
        <w:spacing w:line="360" w:lineRule="auto"/>
        <w:jc w:val="center"/>
        <w:rPr>
          <w:rFonts w:ascii="Arial" w:hAnsi="Arial" w:cs="Arial"/>
          <w:sz w:val="22"/>
          <w:szCs w:val="22"/>
        </w:rPr>
      </w:pPr>
    </w:p>
    <w:p w14:paraId="568641E5" w14:textId="77777777" w:rsidR="00BB7D53" w:rsidRPr="00D0186E" w:rsidRDefault="00BB7D53" w:rsidP="00D0186E">
      <w:pPr>
        <w:spacing w:line="360" w:lineRule="auto"/>
        <w:jc w:val="center"/>
        <w:rPr>
          <w:rFonts w:ascii="Arial" w:hAnsi="Arial" w:cs="Arial"/>
          <w:sz w:val="22"/>
          <w:szCs w:val="22"/>
        </w:rPr>
      </w:pPr>
    </w:p>
    <w:p w14:paraId="11B37903" w14:textId="77777777" w:rsidR="00ED6D1B" w:rsidRDefault="00ED6D1B" w:rsidP="00D0186E">
      <w:pPr>
        <w:pStyle w:val="p1"/>
        <w:spacing w:line="360" w:lineRule="auto"/>
        <w:rPr>
          <w:rStyle w:val="s1"/>
          <w:rFonts w:ascii="Arial" w:hAnsi="Arial" w:cs="Arial"/>
          <w:b/>
          <w:bCs/>
          <w:sz w:val="22"/>
          <w:szCs w:val="22"/>
        </w:rPr>
      </w:pPr>
    </w:p>
    <w:p w14:paraId="1072BC94" w14:textId="063A9D5C" w:rsidR="00787808" w:rsidRPr="00ED6D1B" w:rsidRDefault="00787808" w:rsidP="00D0186E">
      <w:pPr>
        <w:pStyle w:val="p1"/>
        <w:spacing w:line="360" w:lineRule="auto"/>
        <w:rPr>
          <w:rStyle w:val="s1"/>
          <w:rFonts w:ascii="Arial" w:hAnsi="Arial" w:cs="Arial"/>
          <w:b/>
          <w:bCs/>
          <w:sz w:val="22"/>
          <w:szCs w:val="22"/>
        </w:rPr>
      </w:pPr>
      <w:r w:rsidRPr="00ED6D1B">
        <w:rPr>
          <w:rStyle w:val="s1"/>
          <w:rFonts w:ascii="Arial" w:hAnsi="Arial" w:cs="Arial"/>
          <w:b/>
          <w:bCs/>
          <w:sz w:val="22"/>
          <w:szCs w:val="22"/>
        </w:rPr>
        <w:t>Introduction</w:t>
      </w:r>
    </w:p>
    <w:p w14:paraId="412B932D" w14:textId="77777777" w:rsidR="00364326" w:rsidRPr="00D0186E" w:rsidRDefault="00364326" w:rsidP="00D0186E">
      <w:pPr>
        <w:pStyle w:val="p1"/>
        <w:spacing w:line="360" w:lineRule="auto"/>
        <w:rPr>
          <w:rStyle w:val="s1"/>
          <w:rFonts w:ascii="Arial" w:hAnsi="Arial" w:cs="Arial"/>
          <w:sz w:val="22"/>
          <w:szCs w:val="22"/>
        </w:rPr>
      </w:pPr>
    </w:p>
    <w:p w14:paraId="618C978B" w14:textId="699E9206" w:rsidR="00787808" w:rsidRPr="00D0186E" w:rsidRDefault="00787808" w:rsidP="00D0186E">
      <w:pPr>
        <w:pStyle w:val="p1"/>
        <w:spacing w:line="360" w:lineRule="auto"/>
        <w:rPr>
          <w:rFonts w:ascii="Arial" w:hAnsi="Arial" w:cs="Arial"/>
          <w:sz w:val="22"/>
          <w:szCs w:val="22"/>
        </w:rPr>
      </w:pPr>
      <w:r w:rsidRPr="00D0186E">
        <w:rPr>
          <w:rStyle w:val="s1"/>
          <w:rFonts w:ascii="Arial" w:hAnsi="Arial" w:cs="Arial"/>
          <w:sz w:val="22"/>
          <w:szCs w:val="22"/>
        </w:rPr>
        <w:t xml:space="preserve"> </w:t>
      </w:r>
    </w:p>
    <w:p w14:paraId="6FE6F290" w14:textId="77777777" w:rsidR="00364326" w:rsidRPr="00D0186E" w:rsidRDefault="00364326" w:rsidP="00D0186E">
      <w:pPr>
        <w:pStyle w:val="p1"/>
        <w:spacing w:line="360" w:lineRule="auto"/>
        <w:rPr>
          <w:rFonts w:ascii="Arial" w:hAnsi="Arial" w:cs="Arial"/>
          <w:sz w:val="22"/>
          <w:szCs w:val="22"/>
        </w:rPr>
      </w:pPr>
      <w:r w:rsidRPr="00D0186E">
        <w:rPr>
          <w:rStyle w:val="s1"/>
          <w:rFonts w:ascii="Arial" w:hAnsi="Arial" w:cs="Arial"/>
          <w:sz w:val="22"/>
          <w:szCs w:val="22"/>
        </w:rPr>
        <w:t xml:space="preserve">Type 1 diabetes (T1D) is an autoimmune chronic condition where the body’s immune system mistakenly attacks and destroys the insulin-producing beta cells in the pancreas (NHS, 2025). Without insulin, the body cannot regulate blood glucose levels, leading to potentially life-threatening high blood sugar. Unlike type 2 diabetes, it is not linked to lifestyle or weight, and exact causes are not fully confirmed but involve genetic and environmental triggers (Diabetes UK, 2026). Key signs and symptoms include excessive thirst, frequent urination, extreme fatigue, unexplained weight loss, blurred vision, and slow wound healing; severe cases may present with diabetic </w:t>
      </w:r>
      <w:proofErr w:type="spellStart"/>
      <w:r w:rsidRPr="00D0186E">
        <w:rPr>
          <w:rStyle w:val="s1"/>
          <w:rFonts w:ascii="Arial" w:hAnsi="Arial" w:cs="Arial"/>
          <w:sz w:val="22"/>
          <w:szCs w:val="22"/>
        </w:rPr>
        <w:t>ketoacidosis</w:t>
      </w:r>
      <w:proofErr w:type="spellEnd"/>
      <w:r w:rsidRPr="00D0186E">
        <w:rPr>
          <w:rStyle w:val="s1"/>
          <w:rFonts w:ascii="Arial" w:hAnsi="Arial" w:cs="Arial"/>
          <w:sz w:val="22"/>
          <w:szCs w:val="22"/>
        </w:rPr>
        <w:t xml:space="preserve"> at diagnosis (World Health </w:t>
      </w:r>
      <w:proofErr w:type="spellStart"/>
      <w:r w:rsidRPr="00D0186E">
        <w:rPr>
          <w:rStyle w:val="s1"/>
          <w:rFonts w:ascii="Arial" w:hAnsi="Arial" w:cs="Arial"/>
          <w:sz w:val="22"/>
          <w:szCs w:val="22"/>
        </w:rPr>
        <w:t>Organization</w:t>
      </w:r>
      <w:proofErr w:type="spellEnd"/>
      <w:r w:rsidRPr="00D0186E">
        <w:rPr>
          <w:rStyle w:val="s1"/>
          <w:rFonts w:ascii="Arial" w:hAnsi="Arial" w:cs="Arial"/>
          <w:sz w:val="22"/>
          <w:szCs w:val="22"/>
        </w:rPr>
        <w:t xml:space="preserve"> [WHO], 2025).</w:t>
      </w:r>
    </w:p>
    <w:p w14:paraId="09F47274" w14:textId="77777777" w:rsidR="00364326" w:rsidRPr="00D0186E" w:rsidRDefault="00364326" w:rsidP="00D0186E">
      <w:pPr>
        <w:pStyle w:val="p2"/>
        <w:spacing w:line="360" w:lineRule="auto"/>
        <w:rPr>
          <w:rFonts w:ascii="Arial" w:hAnsi="Arial" w:cs="Arial"/>
          <w:sz w:val="22"/>
          <w:szCs w:val="22"/>
        </w:rPr>
      </w:pPr>
    </w:p>
    <w:p w14:paraId="01D79473" w14:textId="77777777" w:rsidR="00364326" w:rsidRPr="00D0186E" w:rsidRDefault="00364326" w:rsidP="00D0186E">
      <w:pPr>
        <w:pStyle w:val="p1"/>
        <w:spacing w:line="360" w:lineRule="auto"/>
        <w:rPr>
          <w:rFonts w:ascii="Arial" w:hAnsi="Arial" w:cs="Arial"/>
          <w:sz w:val="22"/>
          <w:szCs w:val="22"/>
        </w:rPr>
      </w:pPr>
      <w:r w:rsidRPr="00D0186E">
        <w:rPr>
          <w:rStyle w:val="s1"/>
          <w:rFonts w:ascii="Arial" w:hAnsi="Arial" w:cs="Arial"/>
          <w:sz w:val="22"/>
          <w:szCs w:val="22"/>
        </w:rPr>
        <w:t>Globally, over 9 million people live with T1D, with around 500,000 new cases recorded annually in under-20s alone (International Diabetes Federation [IDF], 2025). In the UK, approximately 370,000 people have T1D, including around 29,000 children and young people; incidence has risen by nearly 40% in the last 15 years, making it a growing public health concern (Office for Health Improvement and Disparities [OHID], 2026). This report will examine how T1D is measured and monitored, how it is controlled, its impacts on communities, and the support services available for those affected.</w:t>
      </w:r>
    </w:p>
    <w:p w14:paraId="2AD9B043" w14:textId="77777777" w:rsidR="00BB7D53" w:rsidRPr="00D0186E" w:rsidRDefault="00BB7D53" w:rsidP="00D0186E">
      <w:pPr>
        <w:spacing w:line="360" w:lineRule="auto"/>
        <w:rPr>
          <w:rFonts w:ascii="Arial" w:hAnsi="Arial" w:cs="Arial"/>
          <w:sz w:val="22"/>
          <w:szCs w:val="22"/>
        </w:rPr>
      </w:pPr>
    </w:p>
    <w:p w14:paraId="07936EFE" w14:textId="77777777" w:rsidR="00787808" w:rsidRPr="00D0186E" w:rsidRDefault="00787808" w:rsidP="00D0186E">
      <w:pPr>
        <w:spacing w:line="360" w:lineRule="auto"/>
        <w:jc w:val="center"/>
        <w:rPr>
          <w:rFonts w:ascii="Arial" w:hAnsi="Arial" w:cs="Arial"/>
          <w:sz w:val="22"/>
          <w:szCs w:val="22"/>
        </w:rPr>
      </w:pPr>
    </w:p>
    <w:p w14:paraId="62393447" w14:textId="77777777" w:rsidR="00397DF7" w:rsidRPr="00D0186E" w:rsidRDefault="00397DF7" w:rsidP="00D0186E">
      <w:pPr>
        <w:spacing w:line="360" w:lineRule="auto"/>
        <w:jc w:val="center"/>
        <w:rPr>
          <w:rFonts w:ascii="Arial" w:hAnsi="Arial" w:cs="Arial"/>
          <w:sz w:val="22"/>
          <w:szCs w:val="22"/>
        </w:rPr>
      </w:pPr>
    </w:p>
    <w:p w14:paraId="16D9A665" w14:textId="77777777" w:rsidR="00397DF7" w:rsidRPr="00D0186E" w:rsidRDefault="00397DF7" w:rsidP="00D0186E">
      <w:pPr>
        <w:spacing w:line="360" w:lineRule="auto"/>
        <w:jc w:val="center"/>
        <w:rPr>
          <w:rFonts w:ascii="Arial" w:hAnsi="Arial" w:cs="Arial"/>
          <w:sz w:val="22"/>
          <w:szCs w:val="22"/>
        </w:rPr>
      </w:pPr>
    </w:p>
    <w:p w14:paraId="12CF5B7E" w14:textId="77777777" w:rsidR="00397DF7" w:rsidRPr="00D0186E" w:rsidRDefault="00397DF7" w:rsidP="00D0186E">
      <w:pPr>
        <w:spacing w:line="360" w:lineRule="auto"/>
        <w:jc w:val="center"/>
        <w:rPr>
          <w:rFonts w:ascii="Arial" w:hAnsi="Arial" w:cs="Arial"/>
          <w:sz w:val="22"/>
          <w:szCs w:val="22"/>
        </w:rPr>
      </w:pPr>
    </w:p>
    <w:p w14:paraId="650CE408" w14:textId="77777777" w:rsidR="00397DF7" w:rsidRPr="00D0186E" w:rsidRDefault="00397DF7" w:rsidP="00D0186E">
      <w:pPr>
        <w:spacing w:line="360" w:lineRule="auto"/>
        <w:jc w:val="center"/>
        <w:rPr>
          <w:rFonts w:ascii="Arial" w:hAnsi="Arial" w:cs="Arial"/>
          <w:sz w:val="22"/>
          <w:szCs w:val="22"/>
        </w:rPr>
      </w:pPr>
    </w:p>
    <w:p w14:paraId="01A635B4" w14:textId="77777777" w:rsidR="00397DF7" w:rsidRPr="00D0186E" w:rsidRDefault="00397DF7" w:rsidP="00D0186E">
      <w:pPr>
        <w:spacing w:line="360" w:lineRule="auto"/>
        <w:jc w:val="center"/>
        <w:rPr>
          <w:rFonts w:ascii="Arial" w:hAnsi="Arial" w:cs="Arial"/>
          <w:sz w:val="22"/>
          <w:szCs w:val="22"/>
        </w:rPr>
      </w:pPr>
    </w:p>
    <w:p w14:paraId="65EBA466" w14:textId="77777777" w:rsidR="00397DF7" w:rsidRPr="00D0186E" w:rsidRDefault="00397DF7" w:rsidP="00D0186E">
      <w:pPr>
        <w:spacing w:line="360" w:lineRule="auto"/>
        <w:jc w:val="center"/>
        <w:rPr>
          <w:rFonts w:ascii="Arial" w:hAnsi="Arial" w:cs="Arial"/>
          <w:sz w:val="22"/>
          <w:szCs w:val="22"/>
        </w:rPr>
      </w:pPr>
    </w:p>
    <w:p w14:paraId="00200C1A" w14:textId="77777777" w:rsidR="00397DF7" w:rsidRPr="00D0186E" w:rsidRDefault="00397DF7" w:rsidP="00D0186E">
      <w:pPr>
        <w:spacing w:line="360" w:lineRule="auto"/>
        <w:jc w:val="center"/>
        <w:rPr>
          <w:rFonts w:ascii="Arial" w:hAnsi="Arial" w:cs="Arial"/>
          <w:sz w:val="22"/>
          <w:szCs w:val="22"/>
        </w:rPr>
      </w:pPr>
    </w:p>
    <w:p w14:paraId="1DB888CE" w14:textId="77777777" w:rsidR="00397DF7" w:rsidRPr="00D0186E" w:rsidRDefault="00397DF7" w:rsidP="00D0186E">
      <w:pPr>
        <w:spacing w:line="360" w:lineRule="auto"/>
        <w:jc w:val="center"/>
        <w:rPr>
          <w:rFonts w:ascii="Arial" w:hAnsi="Arial" w:cs="Arial"/>
          <w:sz w:val="22"/>
          <w:szCs w:val="22"/>
        </w:rPr>
      </w:pPr>
    </w:p>
    <w:p w14:paraId="7F13FC01" w14:textId="77777777" w:rsidR="00397DF7" w:rsidRPr="00D0186E" w:rsidRDefault="00397DF7" w:rsidP="00D0186E">
      <w:pPr>
        <w:spacing w:line="360" w:lineRule="auto"/>
        <w:jc w:val="center"/>
        <w:rPr>
          <w:rFonts w:ascii="Arial" w:hAnsi="Arial" w:cs="Arial"/>
          <w:sz w:val="22"/>
          <w:szCs w:val="22"/>
        </w:rPr>
      </w:pPr>
    </w:p>
    <w:p w14:paraId="12EE5745" w14:textId="77777777" w:rsidR="00ED6D1B" w:rsidRDefault="00ED6D1B" w:rsidP="00D0186E">
      <w:pPr>
        <w:spacing w:line="360" w:lineRule="auto"/>
        <w:rPr>
          <w:rFonts w:ascii="Arial" w:hAnsi="Arial" w:cs="Arial"/>
          <w:sz w:val="22"/>
          <w:szCs w:val="22"/>
        </w:rPr>
      </w:pPr>
    </w:p>
    <w:p w14:paraId="521CE9B8" w14:textId="2D363079" w:rsidR="00722101" w:rsidRPr="00ED6D1B" w:rsidRDefault="00021805" w:rsidP="00D0186E">
      <w:pPr>
        <w:spacing w:line="360" w:lineRule="auto"/>
        <w:rPr>
          <w:rFonts w:ascii="Arial" w:hAnsi="Arial" w:cs="Arial"/>
          <w:b/>
          <w:bCs/>
          <w:sz w:val="22"/>
          <w:szCs w:val="22"/>
        </w:rPr>
      </w:pPr>
      <w:r w:rsidRPr="00ED6D1B">
        <w:rPr>
          <w:rFonts w:ascii="Arial" w:hAnsi="Arial" w:cs="Arial"/>
          <w:b/>
          <w:bCs/>
          <w:sz w:val="22"/>
          <w:szCs w:val="22"/>
        </w:rPr>
        <w:t>Main body</w:t>
      </w:r>
    </w:p>
    <w:p w14:paraId="078750B7" w14:textId="77777777" w:rsidR="00851AFA" w:rsidRPr="00D0186E" w:rsidRDefault="00851AFA" w:rsidP="00D0186E">
      <w:pPr>
        <w:pStyle w:val="p1"/>
        <w:spacing w:line="360" w:lineRule="auto"/>
        <w:rPr>
          <w:rFonts w:ascii="Arial" w:hAnsi="Arial" w:cs="Arial"/>
          <w:sz w:val="22"/>
          <w:szCs w:val="22"/>
        </w:rPr>
      </w:pPr>
      <w:r w:rsidRPr="00D0186E">
        <w:rPr>
          <w:rStyle w:val="s1"/>
          <w:rFonts w:ascii="Arial" w:hAnsi="Arial" w:cs="Arial"/>
          <w:sz w:val="22"/>
          <w:szCs w:val="22"/>
        </w:rPr>
        <w:t>1. Approaches to Measuring and Monitoring Type 1 Diabetes</w:t>
      </w:r>
    </w:p>
    <w:p w14:paraId="6D302983" w14:textId="77777777" w:rsidR="00851AFA" w:rsidRPr="00D0186E" w:rsidRDefault="00851AFA" w:rsidP="00D0186E">
      <w:pPr>
        <w:pStyle w:val="p2"/>
        <w:spacing w:line="360" w:lineRule="auto"/>
        <w:rPr>
          <w:rFonts w:ascii="Arial" w:hAnsi="Arial" w:cs="Arial"/>
          <w:sz w:val="22"/>
          <w:szCs w:val="22"/>
        </w:rPr>
      </w:pPr>
    </w:p>
    <w:p w14:paraId="6BB566CC" w14:textId="77777777" w:rsidR="00851AFA" w:rsidRPr="00D0186E" w:rsidRDefault="00851AFA" w:rsidP="00D0186E">
      <w:pPr>
        <w:pStyle w:val="p1"/>
        <w:spacing w:line="360" w:lineRule="auto"/>
        <w:rPr>
          <w:rFonts w:ascii="Arial" w:hAnsi="Arial" w:cs="Arial"/>
          <w:sz w:val="22"/>
          <w:szCs w:val="22"/>
        </w:rPr>
      </w:pPr>
      <w:r w:rsidRPr="00D0186E">
        <w:rPr>
          <w:rStyle w:val="s1"/>
          <w:rFonts w:ascii="Arial" w:hAnsi="Arial" w:cs="Arial"/>
          <w:sz w:val="22"/>
          <w:szCs w:val="22"/>
        </w:rPr>
        <w:t>Public health and clinical teams use multiple complementary methods to track T1D prevalence, trends, and outcomes across populations and for individual care.</w:t>
      </w:r>
    </w:p>
    <w:p w14:paraId="293582A4" w14:textId="77777777" w:rsidR="00851AFA" w:rsidRPr="00D0186E" w:rsidRDefault="00851AFA" w:rsidP="00D0186E">
      <w:pPr>
        <w:pStyle w:val="p2"/>
        <w:spacing w:line="360" w:lineRule="auto"/>
        <w:rPr>
          <w:rFonts w:ascii="Arial" w:hAnsi="Arial" w:cs="Arial"/>
          <w:sz w:val="22"/>
          <w:szCs w:val="22"/>
        </w:rPr>
      </w:pPr>
    </w:p>
    <w:p w14:paraId="04E1A207" w14:textId="77777777" w:rsidR="00851AFA" w:rsidRPr="00D0186E" w:rsidRDefault="00851AFA" w:rsidP="00D0186E">
      <w:pPr>
        <w:pStyle w:val="p1"/>
        <w:spacing w:line="360" w:lineRule="auto"/>
        <w:rPr>
          <w:rFonts w:ascii="Arial" w:hAnsi="Arial" w:cs="Arial"/>
          <w:sz w:val="22"/>
          <w:szCs w:val="22"/>
        </w:rPr>
      </w:pPr>
      <w:r w:rsidRPr="00D0186E">
        <w:rPr>
          <w:rStyle w:val="s1"/>
          <w:rFonts w:ascii="Arial" w:hAnsi="Arial" w:cs="Arial"/>
          <w:sz w:val="22"/>
          <w:szCs w:val="22"/>
        </w:rPr>
        <w:t>Population-level surveillance forms the core of national monitoring. NHS Digital and OHID collate GP diagnosis records, hospital admission data, and mortality statistics to map T1D rates by age, region, and demographic group (NHS Digital, 2026). This identifies trends – such as rising cases in young children – and geographic variations. The WHO Global Health Observatory and IDF Diabetes Atlas standardise this data to produce comparable global estimates (WHO, 2025; IDF, 2025).</w:t>
      </w:r>
    </w:p>
    <w:p w14:paraId="5F118EDA" w14:textId="77777777" w:rsidR="00851AFA" w:rsidRPr="00D0186E" w:rsidRDefault="00851AFA" w:rsidP="00D0186E">
      <w:pPr>
        <w:pStyle w:val="p2"/>
        <w:spacing w:line="360" w:lineRule="auto"/>
        <w:rPr>
          <w:rFonts w:ascii="Arial" w:hAnsi="Arial" w:cs="Arial"/>
          <w:sz w:val="22"/>
          <w:szCs w:val="22"/>
        </w:rPr>
      </w:pPr>
    </w:p>
    <w:p w14:paraId="3FA236C2" w14:textId="77777777" w:rsidR="00851AFA" w:rsidRPr="00D0186E" w:rsidRDefault="00851AFA" w:rsidP="00D0186E">
      <w:pPr>
        <w:pStyle w:val="p1"/>
        <w:spacing w:line="360" w:lineRule="auto"/>
        <w:rPr>
          <w:rFonts w:ascii="Arial" w:hAnsi="Arial" w:cs="Arial"/>
          <w:sz w:val="22"/>
          <w:szCs w:val="22"/>
        </w:rPr>
      </w:pPr>
      <w:r w:rsidRPr="00D0186E">
        <w:rPr>
          <w:rStyle w:val="s1"/>
          <w:rFonts w:ascii="Arial" w:hAnsi="Arial" w:cs="Arial"/>
          <w:sz w:val="22"/>
          <w:szCs w:val="22"/>
        </w:rPr>
        <w:t>Specialist registries provide detailed clinical insights. The National Paediatric Diabetes Audit (NPDA) and Adult Diabetes Audit collect data on diagnosis timelines, blood glucose control, complication rates, and care access for all T1D patients in England (NHS England, 2025). This ensures services meet NICE standards and highlights gaps such as unequal access to insulin pumps.</w:t>
      </w:r>
    </w:p>
    <w:p w14:paraId="4D1B8A17" w14:textId="77777777" w:rsidR="00851AFA" w:rsidRPr="00D0186E" w:rsidRDefault="00851AFA" w:rsidP="00D0186E">
      <w:pPr>
        <w:pStyle w:val="p2"/>
        <w:spacing w:line="360" w:lineRule="auto"/>
        <w:rPr>
          <w:rFonts w:ascii="Arial" w:hAnsi="Arial" w:cs="Arial"/>
          <w:sz w:val="22"/>
          <w:szCs w:val="22"/>
        </w:rPr>
      </w:pPr>
    </w:p>
    <w:p w14:paraId="348D777D" w14:textId="77777777" w:rsidR="00851AFA" w:rsidRPr="00D0186E" w:rsidRDefault="00851AFA" w:rsidP="00D0186E">
      <w:pPr>
        <w:pStyle w:val="p1"/>
        <w:spacing w:line="360" w:lineRule="auto"/>
        <w:rPr>
          <w:rFonts w:ascii="Arial" w:hAnsi="Arial" w:cs="Arial"/>
          <w:sz w:val="22"/>
          <w:szCs w:val="22"/>
        </w:rPr>
      </w:pPr>
      <w:r w:rsidRPr="00D0186E">
        <w:rPr>
          <w:rStyle w:val="s1"/>
          <w:rFonts w:ascii="Arial" w:hAnsi="Arial" w:cs="Arial"/>
          <w:sz w:val="22"/>
          <w:szCs w:val="22"/>
        </w:rPr>
        <w:t xml:space="preserve">Individual clinical monitoring tools include </w:t>
      </w:r>
      <w:proofErr w:type="spellStart"/>
      <w:r w:rsidRPr="00D0186E">
        <w:rPr>
          <w:rStyle w:val="s1"/>
          <w:rFonts w:ascii="Arial" w:hAnsi="Arial" w:cs="Arial"/>
          <w:sz w:val="22"/>
          <w:szCs w:val="22"/>
        </w:rPr>
        <w:t>glycated</w:t>
      </w:r>
      <w:proofErr w:type="spellEnd"/>
      <w:r w:rsidRPr="00D0186E">
        <w:rPr>
          <w:rStyle w:val="s1"/>
          <w:rFonts w:ascii="Arial" w:hAnsi="Arial" w:cs="Arial"/>
          <w:sz w:val="22"/>
          <w:szCs w:val="22"/>
        </w:rPr>
        <w:t xml:space="preserve"> haemoglobin (HbA1c) tests, which measure average blood glucose over 3 months, and continuous glucose monitoring (CGM) devices for daily tracking (National Institute for Health and Care Excellence [NICE], 2024). Population research projects like the Type 1 Diabetes Study also track long-term trends to identify risk factors and evaluate new prevention and management approaches (Diabetes UK, 2026).</w:t>
      </w:r>
    </w:p>
    <w:p w14:paraId="066AB847" w14:textId="77777777" w:rsidR="00021805" w:rsidRPr="00D0186E" w:rsidRDefault="00021805" w:rsidP="00D0186E">
      <w:pPr>
        <w:spacing w:line="360" w:lineRule="auto"/>
        <w:rPr>
          <w:rFonts w:ascii="Arial" w:hAnsi="Arial" w:cs="Arial"/>
          <w:sz w:val="22"/>
          <w:szCs w:val="22"/>
        </w:rPr>
      </w:pPr>
    </w:p>
    <w:p w14:paraId="1EA44694" w14:textId="77777777" w:rsidR="00851AFA" w:rsidRPr="00D0186E" w:rsidRDefault="00851AFA" w:rsidP="00D0186E">
      <w:pPr>
        <w:spacing w:line="360" w:lineRule="auto"/>
        <w:rPr>
          <w:rFonts w:ascii="Arial" w:hAnsi="Arial" w:cs="Arial"/>
          <w:sz w:val="22"/>
          <w:szCs w:val="22"/>
        </w:rPr>
      </w:pPr>
    </w:p>
    <w:p w14:paraId="583EDFF5" w14:textId="77777777" w:rsidR="00B752CD" w:rsidRPr="00D0186E" w:rsidRDefault="00B752CD" w:rsidP="00D0186E">
      <w:pPr>
        <w:pStyle w:val="p1"/>
        <w:spacing w:line="360" w:lineRule="auto"/>
        <w:rPr>
          <w:rFonts w:ascii="Arial" w:hAnsi="Arial" w:cs="Arial"/>
          <w:sz w:val="22"/>
          <w:szCs w:val="22"/>
        </w:rPr>
      </w:pPr>
      <w:r w:rsidRPr="00D0186E">
        <w:rPr>
          <w:rStyle w:val="s1"/>
          <w:rFonts w:ascii="Arial" w:hAnsi="Arial" w:cs="Arial"/>
          <w:sz w:val="22"/>
          <w:szCs w:val="22"/>
        </w:rPr>
        <w:t>2. Controlling Type 1 Diabetes</w:t>
      </w:r>
    </w:p>
    <w:p w14:paraId="7F22B1BC" w14:textId="77777777" w:rsidR="00B752CD" w:rsidRPr="00D0186E" w:rsidRDefault="00B752CD" w:rsidP="00D0186E">
      <w:pPr>
        <w:pStyle w:val="p2"/>
        <w:spacing w:line="360" w:lineRule="auto"/>
        <w:rPr>
          <w:rFonts w:ascii="Arial" w:hAnsi="Arial" w:cs="Arial"/>
          <w:sz w:val="22"/>
          <w:szCs w:val="22"/>
        </w:rPr>
      </w:pPr>
    </w:p>
    <w:p w14:paraId="71098389" w14:textId="77777777" w:rsidR="00B752CD" w:rsidRPr="00D0186E" w:rsidRDefault="00B752CD" w:rsidP="00D0186E">
      <w:pPr>
        <w:pStyle w:val="p1"/>
        <w:spacing w:line="360" w:lineRule="auto"/>
        <w:rPr>
          <w:rFonts w:ascii="Arial" w:hAnsi="Arial" w:cs="Arial"/>
          <w:sz w:val="22"/>
          <w:szCs w:val="22"/>
        </w:rPr>
      </w:pPr>
      <w:r w:rsidRPr="00D0186E">
        <w:rPr>
          <w:rStyle w:val="s1"/>
          <w:rFonts w:ascii="Arial" w:hAnsi="Arial" w:cs="Arial"/>
          <w:sz w:val="22"/>
          <w:szCs w:val="22"/>
        </w:rPr>
        <w:t>There is currently no cure for T1D, so control focuses on safe blood glucose management, complication prevention, and quality of life support, aligned with the NHS Long Term Plan (NHS, 2025).</w:t>
      </w:r>
    </w:p>
    <w:p w14:paraId="150823EC" w14:textId="77777777" w:rsidR="00B752CD" w:rsidRPr="00D0186E" w:rsidRDefault="00B752CD" w:rsidP="00D0186E">
      <w:pPr>
        <w:pStyle w:val="p2"/>
        <w:spacing w:line="360" w:lineRule="auto"/>
        <w:rPr>
          <w:rFonts w:ascii="Arial" w:hAnsi="Arial" w:cs="Arial"/>
          <w:sz w:val="22"/>
          <w:szCs w:val="22"/>
        </w:rPr>
      </w:pPr>
    </w:p>
    <w:p w14:paraId="7456BFAA" w14:textId="77777777" w:rsidR="00B752CD" w:rsidRPr="00D0186E" w:rsidRDefault="00B752CD" w:rsidP="00D0186E">
      <w:pPr>
        <w:pStyle w:val="p1"/>
        <w:spacing w:line="360" w:lineRule="auto"/>
        <w:rPr>
          <w:rFonts w:ascii="Arial" w:hAnsi="Arial" w:cs="Arial"/>
          <w:sz w:val="22"/>
          <w:szCs w:val="22"/>
        </w:rPr>
      </w:pPr>
      <w:r w:rsidRPr="00D0186E">
        <w:rPr>
          <w:rStyle w:val="s1"/>
          <w:rFonts w:ascii="Arial" w:hAnsi="Arial" w:cs="Arial"/>
          <w:sz w:val="22"/>
          <w:szCs w:val="22"/>
        </w:rPr>
        <w:t>Core clinical management relies on insulin replacement, as the body can no longer produce it. Most people use a combination of long-acting basal insulin and rapid-acting bolus insulin before meals, delivered via injections or insulin pumps (NICE, 2024). Regular blood glucose testing, balanced eating, physical activity, and adjusting insulin doses accordingly are essential for stability. Patients also learn to manage high glucose (hyperglycaemia) and low glucose (hypoglycaemia) emergencies to avoid seizures or coma.</w:t>
      </w:r>
    </w:p>
    <w:p w14:paraId="3F03E008" w14:textId="77777777" w:rsidR="00B752CD" w:rsidRPr="00D0186E" w:rsidRDefault="00B752CD" w:rsidP="00D0186E">
      <w:pPr>
        <w:pStyle w:val="p2"/>
        <w:spacing w:line="360" w:lineRule="auto"/>
        <w:rPr>
          <w:rFonts w:ascii="Arial" w:hAnsi="Arial" w:cs="Arial"/>
          <w:sz w:val="22"/>
          <w:szCs w:val="22"/>
        </w:rPr>
      </w:pPr>
    </w:p>
    <w:p w14:paraId="12B675BD" w14:textId="77777777" w:rsidR="00B752CD" w:rsidRPr="00D0186E" w:rsidRDefault="00B752CD" w:rsidP="00D0186E">
      <w:pPr>
        <w:pStyle w:val="p1"/>
        <w:spacing w:line="360" w:lineRule="auto"/>
        <w:rPr>
          <w:rFonts w:ascii="Arial" w:hAnsi="Arial" w:cs="Arial"/>
          <w:sz w:val="22"/>
          <w:szCs w:val="22"/>
        </w:rPr>
      </w:pPr>
      <w:r w:rsidRPr="00D0186E">
        <w:rPr>
          <w:rStyle w:val="s1"/>
          <w:rFonts w:ascii="Arial" w:hAnsi="Arial" w:cs="Arial"/>
          <w:sz w:val="22"/>
          <w:szCs w:val="22"/>
        </w:rPr>
        <w:t>Secondary prevention reduces long-term risks. Annual screening for eye damage (retinopathy), kidney disease (</w:t>
      </w:r>
      <w:proofErr w:type="spellStart"/>
      <w:r w:rsidRPr="00D0186E">
        <w:rPr>
          <w:rStyle w:val="s1"/>
          <w:rFonts w:ascii="Arial" w:hAnsi="Arial" w:cs="Arial"/>
          <w:sz w:val="22"/>
          <w:szCs w:val="22"/>
        </w:rPr>
        <w:t>nephropathy</w:t>
      </w:r>
      <w:proofErr w:type="spellEnd"/>
      <w:r w:rsidRPr="00D0186E">
        <w:rPr>
          <w:rStyle w:val="s1"/>
          <w:rFonts w:ascii="Arial" w:hAnsi="Arial" w:cs="Arial"/>
          <w:sz w:val="22"/>
          <w:szCs w:val="22"/>
        </w:rPr>
        <w:t>), nerve damage (neuropathy), and cardiovascular issues catches complications early (OHID, 2026). Vaccinations for flu, pneumonia, and COVID-19 are prioritised, as T1D increases infection risk. Education programmes such as Dose Adjustment for Normal Eating (DAFNE) empower patients to self-manage effectively, which cuts emergency hospital admissions by up to 30% (Diabetes UK, 2026).</w:t>
      </w:r>
    </w:p>
    <w:p w14:paraId="47CBC3C8" w14:textId="77777777" w:rsidR="00B752CD" w:rsidRPr="00D0186E" w:rsidRDefault="00B752CD" w:rsidP="00D0186E">
      <w:pPr>
        <w:spacing w:line="360" w:lineRule="auto"/>
        <w:rPr>
          <w:rFonts w:ascii="Arial" w:hAnsi="Arial" w:cs="Arial"/>
          <w:sz w:val="22"/>
          <w:szCs w:val="22"/>
        </w:rPr>
      </w:pPr>
    </w:p>
    <w:p w14:paraId="649B17A0" w14:textId="77777777" w:rsidR="00957229" w:rsidRPr="00D0186E" w:rsidRDefault="00957229" w:rsidP="00D0186E">
      <w:pPr>
        <w:pStyle w:val="p1"/>
        <w:spacing w:line="360" w:lineRule="auto"/>
        <w:rPr>
          <w:rFonts w:ascii="Arial" w:hAnsi="Arial" w:cs="Arial"/>
          <w:sz w:val="22"/>
          <w:szCs w:val="22"/>
        </w:rPr>
      </w:pPr>
      <w:r w:rsidRPr="00D0186E">
        <w:rPr>
          <w:rStyle w:val="s1"/>
          <w:rFonts w:ascii="Arial" w:hAnsi="Arial" w:cs="Arial"/>
          <w:sz w:val="22"/>
          <w:szCs w:val="22"/>
        </w:rPr>
        <w:t>4. Health and Social Care Support Services</w:t>
      </w:r>
    </w:p>
    <w:p w14:paraId="2CE62EAA" w14:textId="77777777" w:rsidR="00957229" w:rsidRPr="00D0186E" w:rsidRDefault="00957229" w:rsidP="00D0186E">
      <w:pPr>
        <w:pStyle w:val="p2"/>
        <w:spacing w:line="360" w:lineRule="auto"/>
        <w:rPr>
          <w:rFonts w:ascii="Arial" w:hAnsi="Arial" w:cs="Arial"/>
          <w:sz w:val="22"/>
          <w:szCs w:val="22"/>
        </w:rPr>
      </w:pPr>
    </w:p>
    <w:p w14:paraId="15990BEC" w14:textId="77777777" w:rsidR="00957229" w:rsidRPr="00D0186E" w:rsidRDefault="00957229" w:rsidP="00D0186E">
      <w:pPr>
        <w:pStyle w:val="p1"/>
        <w:spacing w:line="360" w:lineRule="auto"/>
        <w:rPr>
          <w:rFonts w:ascii="Arial" w:hAnsi="Arial" w:cs="Arial"/>
          <w:sz w:val="22"/>
          <w:szCs w:val="22"/>
        </w:rPr>
      </w:pPr>
      <w:r w:rsidRPr="00D0186E">
        <w:rPr>
          <w:rStyle w:val="s1"/>
          <w:rFonts w:ascii="Arial" w:hAnsi="Arial" w:cs="Arial"/>
          <w:sz w:val="22"/>
          <w:szCs w:val="22"/>
        </w:rPr>
        <w:t>A joined-up network of NHS and voluntary services is needed to meet the complex needs of people living with T1D.</w:t>
      </w:r>
    </w:p>
    <w:p w14:paraId="2B6B203F" w14:textId="77777777" w:rsidR="00957229" w:rsidRPr="00D0186E" w:rsidRDefault="00957229" w:rsidP="00D0186E">
      <w:pPr>
        <w:pStyle w:val="p2"/>
        <w:spacing w:line="360" w:lineRule="auto"/>
        <w:rPr>
          <w:rFonts w:ascii="Arial" w:hAnsi="Arial" w:cs="Arial"/>
          <w:sz w:val="22"/>
          <w:szCs w:val="22"/>
        </w:rPr>
      </w:pPr>
    </w:p>
    <w:p w14:paraId="47C0DD9D" w14:textId="77777777" w:rsidR="00957229" w:rsidRPr="00D0186E" w:rsidRDefault="00957229" w:rsidP="00D0186E">
      <w:pPr>
        <w:pStyle w:val="p1"/>
        <w:spacing w:line="360" w:lineRule="auto"/>
        <w:rPr>
          <w:rFonts w:ascii="Arial" w:hAnsi="Arial" w:cs="Arial"/>
          <w:sz w:val="22"/>
          <w:szCs w:val="22"/>
        </w:rPr>
      </w:pPr>
      <w:r w:rsidRPr="00D0186E">
        <w:rPr>
          <w:rStyle w:val="s1"/>
          <w:rFonts w:ascii="Arial" w:hAnsi="Arial" w:cs="Arial"/>
          <w:sz w:val="22"/>
          <w:szCs w:val="22"/>
        </w:rPr>
        <w:t xml:space="preserve">Specialist health services form the foundation: multidisciplinary diabetes teams include consultants, specialist nurses, </w:t>
      </w:r>
      <w:proofErr w:type="spellStart"/>
      <w:r w:rsidRPr="00D0186E">
        <w:rPr>
          <w:rStyle w:val="s1"/>
          <w:rFonts w:ascii="Arial" w:hAnsi="Arial" w:cs="Arial"/>
          <w:sz w:val="22"/>
          <w:szCs w:val="22"/>
        </w:rPr>
        <w:t>dietitians</w:t>
      </w:r>
      <w:proofErr w:type="spellEnd"/>
      <w:r w:rsidRPr="00D0186E">
        <w:rPr>
          <w:rStyle w:val="s1"/>
          <w:rFonts w:ascii="Arial" w:hAnsi="Arial" w:cs="Arial"/>
          <w:sz w:val="22"/>
          <w:szCs w:val="22"/>
        </w:rPr>
        <w:t xml:space="preserve">, psychologists, and podiatrists who provide ongoing care and advice (NHS, 2025). Specialist paediatric teams support children and young people, while transition services help 16–25 year olds move from child to adult care without disruption. All eligible patients now have access to CGM or flash monitoring devices under NHS guidelines, alongside urgent care for </w:t>
      </w:r>
      <w:proofErr w:type="spellStart"/>
      <w:r w:rsidRPr="00D0186E">
        <w:rPr>
          <w:rStyle w:val="s1"/>
          <w:rFonts w:ascii="Arial" w:hAnsi="Arial" w:cs="Arial"/>
          <w:sz w:val="22"/>
          <w:szCs w:val="22"/>
        </w:rPr>
        <w:t>ketoacidosis</w:t>
      </w:r>
      <w:proofErr w:type="spellEnd"/>
      <w:r w:rsidRPr="00D0186E">
        <w:rPr>
          <w:rStyle w:val="s1"/>
          <w:rFonts w:ascii="Arial" w:hAnsi="Arial" w:cs="Arial"/>
          <w:sz w:val="22"/>
          <w:szCs w:val="22"/>
        </w:rPr>
        <w:t xml:space="preserve"> or severe hypoglycaemia.</w:t>
      </w:r>
    </w:p>
    <w:p w14:paraId="4D02A9E0" w14:textId="77777777" w:rsidR="00957229" w:rsidRPr="00D0186E" w:rsidRDefault="00957229" w:rsidP="00D0186E">
      <w:pPr>
        <w:pStyle w:val="p2"/>
        <w:spacing w:line="360" w:lineRule="auto"/>
        <w:rPr>
          <w:rFonts w:ascii="Arial" w:hAnsi="Arial" w:cs="Arial"/>
          <w:sz w:val="22"/>
          <w:szCs w:val="22"/>
        </w:rPr>
      </w:pPr>
    </w:p>
    <w:p w14:paraId="7A3BC80B" w14:textId="77777777" w:rsidR="00957229" w:rsidRPr="00D0186E" w:rsidRDefault="00957229" w:rsidP="00D0186E">
      <w:pPr>
        <w:pStyle w:val="p1"/>
        <w:spacing w:line="360" w:lineRule="auto"/>
        <w:rPr>
          <w:rStyle w:val="s1"/>
          <w:rFonts w:ascii="Arial" w:hAnsi="Arial" w:cs="Arial"/>
          <w:sz w:val="22"/>
          <w:szCs w:val="22"/>
        </w:rPr>
      </w:pPr>
      <w:r w:rsidRPr="00D0186E">
        <w:rPr>
          <w:rStyle w:val="s1"/>
          <w:rFonts w:ascii="Arial" w:hAnsi="Arial" w:cs="Arial"/>
          <w:sz w:val="22"/>
          <w:szCs w:val="22"/>
        </w:rPr>
        <w:t>Community and social support includes free education courses, peer support groups run by charities like Diabetes UK, and school/workplace training for staff to support young people and employees with T1D (Diabetes UK, 2026). Social workers can help with benefit applications, home adaptations, or care needs for those with advanced complications. Local health teams also offer tailored lifestyle advice to improve glucose stability and overall wellbeing (NICE, 2024).</w:t>
      </w:r>
    </w:p>
    <w:p w14:paraId="45522690" w14:textId="77777777" w:rsidR="00B0394E" w:rsidRPr="00D0186E" w:rsidRDefault="00B0394E" w:rsidP="00D0186E">
      <w:pPr>
        <w:pStyle w:val="p1"/>
        <w:spacing w:line="360" w:lineRule="auto"/>
        <w:rPr>
          <w:rStyle w:val="s1"/>
          <w:rFonts w:ascii="Arial" w:hAnsi="Arial" w:cs="Arial"/>
          <w:sz w:val="22"/>
          <w:szCs w:val="22"/>
        </w:rPr>
      </w:pPr>
    </w:p>
    <w:p w14:paraId="01C3E6D8" w14:textId="77777777" w:rsidR="00B0394E" w:rsidRPr="00D0186E" w:rsidRDefault="00B0394E" w:rsidP="00D0186E">
      <w:pPr>
        <w:pStyle w:val="p1"/>
        <w:spacing w:line="360" w:lineRule="auto"/>
        <w:rPr>
          <w:rStyle w:val="s1"/>
          <w:rFonts w:ascii="Arial" w:hAnsi="Arial" w:cs="Arial"/>
          <w:sz w:val="22"/>
          <w:szCs w:val="22"/>
        </w:rPr>
      </w:pPr>
    </w:p>
    <w:p w14:paraId="45FC37E3" w14:textId="77777777" w:rsidR="00B0394E" w:rsidRPr="00D0186E" w:rsidRDefault="00B0394E" w:rsidP="00D0186E">
      <w:pPr>
        <w:pStyle w:val="p1"/>
        <w:spacing w:line="360" w:lineRule="auto"/>
        <w:rPr>
          <w:rStyle w:val="s1"/>
          <w:rFonts w:ascii="Arial" w:hAnsi="Arial" w:cs="Arial"/>
          <w:sz w:val="22"/>
          <w:szCs w:val="22"/>
        </w:rPr>
      </w:pPr>
    </w:p>
    <w:p w14:paraId="1E51128E" w14:textId="77777777" w:rsidR="00B0394E" w:rsidRPr="00D0186E" w:rsidRDefault="00B0394E" w:rsidP="00D0186E">
      <w:pPr>
        <w:pStyle w:val="p1"/>
        <w:spacing w:line="360" w:lineRule="auto"/>
        <w:rPr>
          <w:rStyle w:val="s1"/>
          <w:rFonts w:ascii="Arial" w:hAnsi="Arial" w:cs="Arial"/>
          <w:sz w:val="22"/>
          <w:szCs w:val="22"/>
        </w:rPr>
      </w:pPr>
    </w:p>
    <w:p w14:paraId="6D2FF662" w14:textId="77777777" w:rsidR="00D0599D" w:rsidRDefault="00D0599D" w:rsidP="00D0186E">
      <w:pPr>
        <w:pStyle w:val="p1"/>
        <w:spacing w:line="360" w:lineRule="auto"/>
        <w:rPr>
          <w:rStyle w:val="s1"/>
          <w:rFonts w:ascii="Arial" w:hAnsi="Arial" w:cs="Arial"/>
          <w:sz w:val="22"/>
          <w:szCs w:val="22"/>
        </w:rPr>
      </w:pPr>
    </w:p>
    <w:p w14:paraId="62764DBF" w14:textId="1507F433" w:rsidR="00957229" w:rsidRPr="00D0599D" w:rsidRDefault="00957229" w:rsidP="00D0186E">
      <w:pPr>
        <w:pStyle w:val="p1"/>
        <w:spacing w:line="360" w:lineRule="auto"/>
        <w:rPr>
          <w:rFonts w:ascii="Arial" w:hAnsi="Arial" w:cs="Arial"/>
          <w:b/>
          <w:bCs/>
          <w:sz w:val="22"/>
          <w:szCs w:val="22"/>
        </w:rPr>
      </w:pPr>
      <w:r w:rsidRPr="00D0599D">
        <w:rPr>
          <w:rStyle w:val="s1"/>
          <w:rFonts w:ascii="Arial" w:hAnsi="Arial" w:cs="Arial"/>
          <w:b/>
          <w:bCs/>
          <w:sz w:val="22"/>
          <w:szCs w:val="22"/>
        </w:rPr>
        <w:t xml:space="preserve">Conclusion </w:t>
      </w:r>
    </w:p>
    <w:p w14:paraId="6F918D0C" w14:textId="77777777" w:rsidR="00957229" w:rsidRPr="00D0186E" w:rsidRDefault="00957229" w:rsidP="00D0186E">
      <w:pPr>
        <w:pStyle w:val="p2"/>
        <w:spacing w:line="360" w:lineRule="auto"/>
        <w:rPr>
          <w:rFonts w:ascii="Arial" w:hAnsi="Arial" w:cs="Arial"/>
          <w:sz w:val="22"/>
          <w:szCs w:val="22"/>
        </w:rPr>
      </w:pPr>
    </w:p>
    <w:p w14:paraId="3DDCFE72" w14:textId="6FFEFC37" w:rsidR="00957229" w:rsidRPr="00D0186E" w:rsidRDefault="00957229" w:rsidP="00D0186E">
      <w:pPr>
        <w:pStyle w:val="p1"/>
        <w:spacing w:line="360" w:lineRule="auto"/>
        <w:rPr>
          <w:rFonts w:ascii="Arial" w:hAnsi="Arial" w:cs="Arial"/>
          <w:sz w:val="22"/>
          <w:szCs w:val="22"/>
        </w:rPr>
      </w:pPr>
      <w:r w:rsidRPr="00D0186E">
        <w:rPr>
          <w:rStyle w:val="s1"/>
          <w:rFonts w:ascii="Arial" w:hAnsi="Arial" w:cs="Arial"/>
          <w:sz w:val="22"/>
          <w:szCs w:val="22"/>
        </w:rPr>
        <w:t xml:space="preserve">Type 1 diabetes is a lifelong autoimmune condition with no known cure, creating significant health, social, and financial burdens for individuals and UK communities alike. While global and national incidence continues to rise, robust surveillance systems, improved insulin therapies, and expanding access to monitoring tools have </w:t>
      </w:r>
      <w:r w:rsidR="00D45EB1" w:rsidRPr="00D0186E">
        <w:rPr>
          <w:rStyle w:val="s1"/>
          <w:rFonts w:ascii="Arial" w:hAnsi="Arial" w:cs="Arial"/>
          <w:sz w:val="22"/>
          <w:szCs w:val="22"/>
        </w:rPr>
        <w:t>enhanced</w:t>
      </w:r>
      <w:r w:rsidRPr="00D0186E">
        <w:rPr>
          <w:rStyle w:val="s1"/>
          <w:rFonts w:ascii="Arial" w:hAnsi="Arial" w:cs="Arial"/>
          <w:sz w:val="22"/>
          <w:szCs w:val="22"/>
        </w:rPr>
        <w:t xml:space="preserve"> outcomes in recent years. Effective control depends on equal access to specialist care, self-management education, and mental health support to reduce complication rates and health inequalities. Future public health efforts must focus on earlier diagnosis, closing service gaps for marginalised groups, and advancing research toward prevention and a cure. Coordinated action between the NHS, local authorities, and voluntary organisations remains essential to ensuring all people with T1D can live healthy, independent lives.</w:t>
      </w:r>
    </w:p>
    <w:p w14:paraId="204039A3" w14:textId="77777777" w:rsidR="00B752CD" w:rsidRPr="00D0186E" w:rsidRDefault="00B752CD" w:rsidP="00D0186E">
      <w:pPr>
        <w:spacing w:line="360" w:lineRule="auto"/>
        <w:rPr>
          <w:rFonts w:ascii="Arial" w:hAnsi="Arial" w:cs="Arial"/>
          <w:sz w:val="22"/>
          <w:szCs w:val="22"/>
        </w:rPr>
      </w:pPr>
    </w:p>
    <w:p w14:paraId="1FC7EF53" w14:textId="77777777" w:rsidR="00957229" w:rsidRPr="00D0186E" w:rsidRDefault="00957229" w:rsidP="00D0186E">
      <w:pPr>
        <w:spacing w:line="360" w:lineRule="auto"/>
        <w:rPr>
          <w:rFonts w:ascii="Arial" w:hAnsi="Arial" w:cs="Arial"/>
          <w:sz w:val="22"/>
          <w:szCs w:val="22"/>
        </w:rPr>
      </w:pPr>
    </w:p>
    <w:p w14:paraId="1352DD35" w14:textId="77777777" w:rsidR="00957229" w:rsidRPr="00D0186E" w:rsidRDefault="00957229" w:rsidP="00D0186E">
      <w:pPr>
        <w:spacing w:line="360" w:lineRule="auto"/>
        <w:rPr>
          <w:rFonts w:ascii="Arial" w:hAnsi="Arial" w:cs="Arial"/>
          <w:sz w:val="22"/>
          <w:szCs w:val="22"/>
        </w:rPr>
      </w:pPr>
    </w:p>
    <w:p w14:paraId="420A44A3" w14:textId="77777777" w:rsidR="00957229" w:rsidRPr="00D0186E" w:rsidRDefault="00957229" w:rsidP="00D0186E">
      <w:pPr>
        <w:spacing w:line="360" w:lineRule="auto"/>
        <w:rPr>
          <w:rFonts w:ascii="Arial" w:hAnsi="Arial" w:cs="Arial"/>
          <w:sz w:val="22"/>
          <w:szCs w:val="22"/>
        </w:rPr>
      </w:pPr>
    </w:p>
    <w:p w14:paraId="27537D32" w14:textId="77777777" w:rsidR="00957229" w:rsidRPr="00D0186E" w:rsidRDefault="00957229" w:rsidP="00D0186E">
      <w:pPr>
        <w:spacing w:line="360" w:lineRule="auto"/>
        <w:rPr>
          <w:rFonts w:ascii="Arial" w:hAnsi="Arial" w:cs="Arial"/>
          <w:sz w:val="22"/>
          <w:szCs w:val="22"/>
        </w:rPr>
      </w:pPr>
    </w:p>
    <w:p w14:paraId="3A043B51" w14:textId="77777777" w:rsidR="00957229" w:rsidRPr="00D0186E" w:rsidRDefault="00957229" w:rsidP="00D0186E">
      <w:pPr>
        <w:spacing w:line="360" w:lineRule="auto"/>
        <w:rPr>
          <w:rFonts w:ascii="Arial" w:hAnsi="Arial" w:cs="Arial"/>
          <w:sz w:val="22"/>
          <w:szCs w:val="22"/>
        </w:rPr>
      </w:pPr>
    </w:p>
    <w:p w14:paraId="595E0C99" w14:textId="77777777" w:rsidR="00957229" w:rsidRPr="00D0186E" w:rsidRDefault="00957229" w:rsidP="00D0186E">
      <w:pPr>
        <w:spacing w:line="360" w:lineRule="auto"/>
        <w:rPr>
          <w:rFonts w:ascii="Arial" w:hAnsi="Arial" w:cs="Arial"/>
          <w:sz w:val="22"/>
          <w:szCs w:val="22"/>
        </w:rPr>
      </w:pPr>
    </w:p>
    <w:p w14:paraId="58FA029F" w14:textId="77777777" w:rsidR="00957229" w:rsidRPr="00D0186E" w:rsidRDefault="00957229" w:rsidP="00D0186E">
      <w:pPr>
        <w:spacing w:line="360" w:lineRule="auto"/>
        <w:rPr>
          <w:rFonts w:ascii="Arial" w:hAnsi="Arial" w:cs="Arial"/>
          <w:sz w:val="22"/>
          <w:szCs w:val="22"/>
        </w:rPr>
      </w:pPr>
    </w:p>
    <w:p w14:paraId="5B1D603F" w14:textId="77777777" w:rsidR="00957229" w:rsidRPr="00D0186E" w:rsidRDefault="00957229" w:rsidP="00D0186E">
      <w:pPr>
        <w:spacing w:line="360" w:lineRule="auto"/>
        <w:rPr>
          <w:rFonts w:ascii="Arial" w:hAnsi="Arial" w:cs="Arial"/>
          <w:sz w:val="22"/>
          <w:szCs w:val="22"/>
        </w:rPr>
      </w:pPr>
    </w:p>
    <w:p w14:paraId="0AC614AE" w14:textId="77777777" w:rsidR="00957229" w:rsidRPr="00D0186E" w:rsidRDefault="00957229" w:rsidP="00D0186E">
      <w:pPr>
        <w:spacing w:line="360" w:lineRule="auto"/>
        <w:rPr>
          <w:rFonts w:ascii="Arial" w:hAnsi="Arial" w:cs="Arial"/>
          <w:sz w:val="22"/>
          <w:szCs w:val="22"/>
        </w:rPr>
      </w:pPr>
    </w:p>
    <w:p w14:paraId="5635E744" w14:textId="77777777" w:rsidR="00957229" w:rsidRPr="00D0186E" w:rsidRDefault="00957229" w:rsidP="00D0186E">
      <w:pPr>
        <w:spacing w:line="360" w:lineRule="auto"/>
        <w:rPr>
          <w:rFonts w:ascii="Arial" w:hAnsi="Arial" w:cs="Arial"/>
          <w:sz w:val="22"/>
          <w:szCs w:val="22"/>
        </w:rPr>
      </w:pPr>
    </w:p>
    <w:p w14:paraId="1AADB7D6" w14:textId="77777777" w:rsidR="000A5103" w:rsidRPr="00D0186E" w:rsidRDefault="000A5103" w:rsidP="00D0186E">
      <w:pPr>
        <w:spacing w:line="360" w:lineRule="auto"/>
        <w:rPr>
          <w:rFonts w:ascii="Arial" w:hAnsi="Arial" w:cs="Arial"/>
          <w:sz w:val="22"/>
          <w:szCs w:val="22"/>
        </w:rPr>
      </w:pPr>
    </w:p>
    <w:p w14:paraId="5F15C7F9" w14:textId="77777777" w:rsidR="000A5103" w:rsidRPr="00D0186E" w:rsidRDefault="000A5103" w:rsidP="00D0186E">
      <w:pPr>
        <w:spacing w:line="360" w:lineRule="auto"/>
        <w:rPr>
          <w:rFonts w:ascii="Arial" w:hAnsi="Arial" w:cs="Arial"/>
          <w:sz w:val="22"/>
          <w:szCs w:val="22"/>
        </w:rPr>
      </w:pPr>
    </w:p>
    <w:p w14:paraId="27DBC4E1" w14:textId="77777777" w:rsidR="000A5103" w:rsidRPr="00D0186E" w:rsidRDefault="000A5103" w:rsidP="00D0186E">
      <w:pPr>
        <w:spacing w:line="360" w:lineRule="auto"/>
        <w:rPr>
          <w:rFonts w:ascii="Arial" w:hAnsi="Arial" w:cs="Arial"/>
          <w:sz w:val="22"/>
          <w:szCs w:val="22"/>
        </w:rPr>
      </w:pPr>
    </w:p>
    <w:p w14:paraId="2B8F938B" w14:textId="77777777" w:rsidR="000A5103" w:rsidRPr="00D0186E" w:rsidRDefault="000A5103" w:rsidP="00D0186E">
      <w:pPr>
        <w:spacing w:line="360" w:lineRule="auto"/>
        <w:rPr>
          <w:rFonts w:ascii="Arial" w:hAnsi="Arial" w:cs="Arial"/>
          <w:sz w:val="22"/>
          <w:szCs w:val="22"/>
        </w:rPr>
      </w:pPr>
    </w:p>
    <w:p w14:paraId="53ED32A0" w14:textId="77777777" w:rsidR="000A5103" w:rsidRPr="00D0186E" w:rsidRDefault="000A5103" w:rsidP="00D0186E">
      <w:pPr>
        <w:spacing w:line="360" w:lineRule="auto"/>
        <w:rPr>
          <w:rFonts w:ascii="Arial" w:hAnsi="Arial" w:cs="Arial"/>
          <w:sz w:val="22"/>
          <w:szCs w:val="22"/>
        </w:rPr>
      </w:pPr>
    </w:p>
    <w:p w14:paraId="38AC20EF" w14:textId="77777777" w:rsidR="00D0599D" w:rsidRDefault="00D0599D" w:rsidP="00D0186E">
      <w:pPr>
        <w:pStyle w:val="p1"/>
        <w:spacing w:line="360" w:lineRule="auto"/>
        <w:rPr>
          <w:rStyle w:val="s1"/>
          <w:rFonts w:ascii="Arial" w:hAnsi="Arial" w:cs="Arial"/>
          <w:sz w:val="22"/>
          <w:szCs w:val="22"/>
        </w:rPr>
      </w:pPr>
    </w:p>
    <w:p w14:paraId="02550022" w14:textId="77777777" w:rsidR="00D0599D" w:rsidRDefault="00D0599D" w:rsidP="00D0186E">
      <w:pPr>
        <w:pStyle w:val="p1"/>
        <w:spacing w:line="360" w:lineRule="auto"/>
        <w:rPr>
          <w:rStyle w:val="s1"/>
          <w:rFonts w:ascii="Arial" w:hAnsi="Arial" w:cs="Arial"/>
          <w:sz w:val="22"/>
          <w:szCs w:val="22"/>
        </w:rPr>
      </w:pPr>
    </w:p>
    <w:p w14:paraId="70A0FAB9" w14:textId="06DDB427" w:rsidR="00604FB4" w:rsidRPr="00D0599D" w:rsidRDefault="00604FB4" w:rsidP="00D0186E">
      <w:pPr>
        <w:pStyle w:val="p1"/>
        <w:spacing w:line="360" w:lineRule="auto"/>
        <w:rPr>
          <w:rStyle w:val="apple-converted-space"/>
          <w:rFonts w:ascii="Arial" w:hAnsi="Arial" w:cs="Arial"/>
          <w:b/>
          <w:bCs/>
          <w:sz w:val="22"/>
          <w:szCs w:val="22"/>
        </w:rPr>
      </w:pPr>
      <w:r w:rsidRPr="00D0599D">
        <w:rPr>
          <w:rStyle w:val="s1"/>
          <w:rFonts w:ascii="Arial" w:hAnsi="Arial" w:cs="Arial"/>
          <w:b/>
          <w:bCs/>
          <w:sz w:val="22"/>
          <w:szCs w:val="22"/>
        </w:rPr>
        <w:t>Reference List</w:t>
      </w:r>
      <w:r w:rsidRPr="00D0599D">
        <w:rPr>
          <w:rStyle w:val="apple-converted-space"/>
          <w:rFonts w:ascii="Arial" w:hAnsi="Arial" w:cs="Arial"/>
          <w:b/>
          <w:bCs/>
          <w:sz w:val="22"/>
          <w:szCs w:val="22"/>
        </w:rPr>
        <w:t> </w:t>
      </w:r>
    </w:p>
    <w:p w14:paraId="6D89003B" w14:textId="77777777" w:rsidR="008A04D9" w:rsidRPr="00D0186E" w:rsidRDefault="008A04D9" w:rsidP="00D0186E">
      <w:pPr>
        <w:pStyle w:val="p1"/>
        <w:spacing w:line="360" w:lineRule="auto"/>
        <w:rPr>
          <w:rFonts w:ascii="Arial" w:hAnsi="Arial" w:cs="Arial"/>
          <w:sz w:val="22"/>
          <w:szCs w:val="22"/>
        </w:rPr>
      </w:pPr>
    </w:p>
    <w:p w14:paraId="5C4564B8" w14:textId="77777777" w:rsidR="008A04D9" w:rsidRPr="00D0186E" w:rsidRDefault="008A04D9" w:rsidP="00D0186E">
      <w:pPr>
        <w:pStyle w:val="p1"/>
        <w:spacing w:line="360" w:lineRule="auto"/>
        <w:rPr>
          <w:rFonts w:ascii="Arial" w:hAnsi="Arial" w:cs="Arial"/>
          <w:sz w:val="22"/>
          <w:szCs w:val="22"/>
        </w:rPr>
      </w:pPr>
      <w:r w:rsidRPr="00D0186E">
        <w:rPr>
          <w:rStyle w:val="apple-converted-space"/>
          <w:rFonts w:ascii="Arial" w:hAnsi="Arial" w:cs="Arial"/>
          <w:sz w:val="22"/>
          <w:szCs w:val="22"/>
        </w:rPr>
        <w:t> </w:t>
      </w:r>
      <w:r w:rsidRPr="00D0186E">
        <w:rPr>
          <w:rStyle w:val="s1"/>
          <w:rFonts w:ascii="Arial" w:hAnsi="Arial" w:cs="Arial"/>
          <w:sz w:val="22"/>
          <w:szCs w:val="22"/>
        </w:rPr>
        <w:t>British Heart Foundation. (2025). The UK Cost of Cardiovascular Disease and Diabetes. London: British Heart Foundation.</w:t>
      </w:r>
    </w:p>
    <w:p w14:paraId="6D35D895" w14:textId="77777777" w:rsidR="008A04D9" w:rsidRPr="00D0186E" w:rsidRDefault="008A04D9" w:rsidP="00D0186E">
      <w:pPr>
        <w:pStyle w:val="p2"/>
        <w:spacing w:line="360" w:lineRule="auto"/>
        <w:rPr>
          <w:rFonts w:ascii="Arial" w:hAnsi="Arial" w:cs="Arial"/>
          <w:sz w:val="22"/>
          <w:szCs w:val="22"/>
        </w:rPr>
      </w:pPr>
    </w:p>
    <w:p w14:paraId="45C2C1FE" w14:textId="77777777" w:rsidR="008A04D9" w:rsidRPr="00D0186E" w:rsidRDefault="008A04D9" w:rsidP="00D0186E">
      <w:pPr>
        <w:pStyle w:val="p1"/>
        <w:spacing w:line="360" w:lineRule="auto"/>
        <w:rPr>
          <w:rFonts w:ascii="Arial" w:hAnsi="Arial" w:cs="Arial"/>
          <w:sz w:val="22"/>
          <w:szCs w:val="22"/>
        </w:rPr>
      </w:pPr>
      <w:r w:rsidRPr="00D0186E">
        <w:rPr>
          <w:rStyle w:val="s1"/>
          <w:rFonts w:ascii="Arial" w:hAnsi="Arial" w:cs="Arial"/>
          <w:sz w:val="22"/>
          <w:szCs w:val="22"/>
        </w:rPr>
        <w:t>• Diabetes UK. (2026). Type 1 Diabetes: Facts and Statistics. London: Diabetes UK.</w:t>
      </w:r>
    </w:p>
    <w:p w14:paraId="5B98FC79" w14:textId="77777777" w:rsidR="008A04D9" w:rsidRPr="00D0186E" w:rsidRDefault="008A04D9" w:rsidP="00D0186E">
      <w:pPr>
        <w:pStyle w:val="p2"/>
        <w:spacing w:line="360" w:lineRule="auto"/>
        <w:rPr>
          <w:rFonts w:ascii="Arial" w:hAnsi="Arial" w:cs="Arial"/>
          <w:sz w:val="22"/>
          <w:szCs w:val="22"/>
        </w:rPr>
      </w:pPr>
    </w:p>
    <w:p w14:paraId="171A8793" w14:textId="77777777" w:rsidR="008A04D9" w:rsidRPr="00D0186E" w:rsidRDefault="008A04D9" w:rsidP="00D0186E">
      <w:pPr>
        <w:pStyle w:val="p1"/>
        <w:spacing w:line="360" w:lineRule="auto"/>
        <w:rPr>
          <w:rFonts w:ascii="Arial" w:hAnsi="Arial" w:cs="Arial"/>
          <w:sz w:val="22"/>
          <w:szCs w:val="22"/>
        </w:rPr>
      </w:pPr>
      <w:r w:rsidRPr="00D0186E">
        <w:rPr>
          <w:rStyle w:val="s1"/>
          <w:rFonts w:ascii="Arial" w:hAnsi="Arial" w:cs="Arial"/>
          <w:sz w:val="22"/>
          <w:szCs w:val="22"/>
        </w:rPr>
        <w:t>• International Diabetes Federation. (2025). IDF Diabetes Atlas (11th ed.). Brussels: International Diabetes Federation.</w:t>
      </w:r>
    </w:p>
    <w:p w14:paraId="6FCFCF2B" w14:textId="77777777" w:rsidR="008A04D9" w:rsidRPr="00D0186E" w:rsidRDefault="008A04D9" w:rsidP="00D0186E">
      <w:pPr>
        <w:pStyle w:val="p2"/>
        <w:spacing w:line="360" w:lineRule="auto"/>
        <w:rPr>
          <w:rFonts w:ascii="Arial" w:hAnsi="Arial" w:cs="Arial"/>
          <w:sz w:val="22"/>
          <w:szCs w:val="22"/>
        </w:rPr>
      </w:pPr>
    </w:p>
    <w:p w14:paraId="124B8A60" w14:textId="77777777" w:rsidR="008A04D9" w:rsidRPr="00D0186E" w:rsidRDefault="008A04D9" w:rsidP="00D0186E">
      <w:pPr>
        <w:pStyle w:val="p1"/>
        <w:spacing w:line="360" w:lineRule="auto"/>
        <w:rPr>
          <w:rFonts w:ascii="Arial" w:hAnsi="Arial" w:cs="Arial"/>
          <w:sz w:val="22"/>
          <w:szCs w:val="22"/>
        </w:rPr>
      </w:pPr>
      <w:r w:rsidRPr="00D0186E">
        <w:rPr>
          <w:rStyle w:val="s1"/>
          <w:rFonts w:ascii="Arial" w:hAnsi="Arial" w:cs="Arial"/>
          <w:sz w:val="22"/>
          <w:szCs w:val="22"/>
        </w:rPr>
        <w:t>• National Institute for Health and Care Excellence. (2024). Type 1 Diabetes in Adults and Children: Diagnosis and Management (NG17). London: NICE.</w:t>
      </w:r>
    </w:p>
    <w:p w14:paraId="770851F9" w14:textId="77777777" w:rsidR="008A04D9" w:rsidRPr="00D0186E" w:rsidRDefault="008A04D9" w:rsidP="00D0186E">
      <w:pPr>
        <w:pStyle w:val="p2"/>
        <w:spacing w:line="360" w:lineRule="auto"/>
        <w:rPr>
          <w:rFonts w:ascii="Arial" w:hAnsi="Arial" w:cs="Arial"/>
          <w:sz w:val="22"/>
          <w:szCs w:val="22"/>
        </w:rPr>
      </w:pPr>
    </w:p>
    <w:p w14:paraId="153DBA24" w14:textId="77777777" w:rsidR="008A04D9" w:rsidRPr="00D0186E" w:rsidRDefault="008A04D9" w:rsidP="00D0186E">
      <w:pPr>
        <w:pStyle w:val="p1"/>
        <w:spacing w:line="360" w:lineRule="auto"/>
        <w:rPr>
          <w:rFonts w:ascii="Arial" w:hAnsi="Arial" w:cs="Arial"/>
          <w:sz w:val="22"/>
          <w:szCs w:val="22"/>
        </w:rPr>
      </w:pPr>
      <w:r w:rsidRPr="00D0186E">
        <w:rPr>
          <w:rStyle w:val="s1"/>
          <w:rFonts w:ascii="Arial" w:hAnsi="Arial" w:cs="Arial"/>
          <w:sz w:val="22"/>
          <w:szCs w:val="22"/>
        </w:rPr>
        <w:t>• NHS. (2025). Type 1 Diabetes Overview. London: NHS Choices.</w:t>
      </w:r>
    </w:p>
    <w:p w14:paraId="7C1AB424" w14:textId="77777777" w:rsidR="008A04D9" w:rsidRPr="00D0186E" w:rsidRDefault="008A04D9" w:rsidP="00D0186E">
      <w:pPr>
        <w:pStyle w:val="p2"/>
        <w:spacing w:line="360" w:lineRule="auto"/>
        <w:rPr>
          <w:rFonts w:ascii="Arial" w:hAnsi="Arial" w:cs="Arial"/>
          <w:sz w:val="22"/>
          <w:szCs w:val="22"/>
        </w:rPr>
      </w:pPr>
    </w:p>
    <w:p w14:paraId="277DCAB5" w14:textId="77777777" w:rsidR="008A04D9" w:rsidRPr="00D0186E" w:rsidRDefault="008A04D9" w:rsidP="00D0186E">
      <w:pPr>
        <w:pStyle w:val="p1"/>
        <w:spacing w:line="360" w:lineRule="auto"/>
        <w:rPr>
          <w:rFonts w:ascii="Arial" w:hAnsi="Arial" w:cs="Arial"/>
          <w:sz w:val="22"/>
          <w:szCs w:val="22"/>
        </w:rPr>
      </w:pPr>
      <w:r w:rsidRPr="00D0186E">
        <w:rPr>
          <w:rStyle w:val="s1"/>
          <w:rFonts w:ascii="Arial" w:hAnsi="Arial" w:cs="Arial"/>
          <w:sz w:val="22"/>
          <w:szCs w:val="22"/>
        </w:rPr>
        <w:t>• NHS Digital. (2026). National Diabetes Statistics England 2025/26. Leeds: NHS Digital.</w:t>
      </w:r>
    </w:p>
    <w:p w14:paraId="1FD63E60" w14:textId="77777777" w:rsidR="008A04D9" w:rsidRPr="00D0186E" w:rsidRDefault="008A04D9" w:rsidP="00D0186E">
      <w:pPr>
        <w:pStyle w:val="p2"/>
        <w:spacing w:line="360" w:lineRule="auto"/>
        <w:rPr>
          <w:rFonts w:ascii="Arial" w:hAnsi="Arial" w:cs="Arial"/>
          <w:sz w:val="22"/>
          <w:szCs w:val="22"/>
        </w:rPr>
      </w:pPr>
    </w:p>
    <w:p w14:paraId="79239A53" w14:textId="77777777" w:rsidR="008A04D9" w:rsidRPr="00D0186E" w:rsidRDefault="008A04D9" w:rsidP="00D0186E">
      <w:pPr>
        <w:pStyle w:val="p1"/>
        <w:spacing w:line="360" w:lineRule="auto"/>
        <w:rPr>
          <w:rFonts w:ascii="Arial" w:hAnsi="Arial" w:cs="Arial"/>
          <w:sz w:val="22"/>
          <w:szCs w:val="22"/>
        </w:rPr>
      </w:pPr>
      <w:r w:rsidRPr="00D0186E">
        <w:rPr>
          <w:rStyle w:val="s1"/>
          <w:rFonts w:ascii="Arial" w:hAnsi="Arial" w:cs="Arial"/>
          <w:sz w:val="22"/>
          <w:szCs w:val="22"/>
        </w:rPr>
        <w:t>• Office for Health Improvement and Disparities. (2026). Public Health Burden of Type 1 Diabetes in the UK. London: OHID.</w:t>
      </w:r>
    </w:p>
    <w:p w14:paraId="65E45DDB" w14:textId="77777777" w:rsidR="008A04D9" w:rsidRPr="00D0186E" w:rsidRDefault="008A04D9" w:rsidP="00D0186E">
      <w:pPr>
        <w:pStyle w:val="p2"/>
        <w:spacing w:line="360" w:lineRule="auto"/>
        <w:rPr>
          <w:rFonts w:ascii="Arial" w:hAnsi="Arial" w:cs="Arial"/>
          <w:sz w:val="22"/>
          <w:szCs w:val="22"/>
        </w:rPr>
      </w:pPr>
    </w:p>
    <w:p w14:paraId="04F19692" w14:textId="77777777" w:rsidR="008A04D9" w:rsidRPr="00D0186E" w:rsidRDefault="008A04D9" w:rsidP="00D0186E">
      <w:pPr>
        <w:pStyle w:val="p1"/>
        <w:spacing w:line="360" w:lineRule="auto"/>
        <w:rPr>
          <w:rFonts w:ascii="Arial" w:hAnsi="Arial" w:cs="Arial"/>
          <w:sz w:val="22"/>
          <w:szCs w:val="22"/>
        </w:rPr>
      </w:pPr>
      <w:r w:rsidRPr="00D0186E">
        <w:rPr>
          <w:rStyle w:val="s1"/>
          <w:rFonts w:ascii="Arial" w:hAnsi="Arial" w:cs="Arial"/>
          <w:sz w:val="22"/>
          <w:szCs w:val="22"/>
        </w:rPr>
        <w:t xml:space="preserve">• World Health </w:t>
      </w:r>
      <w:proofErr w:type="spellStart"/>
      <w:r w:rsidRPr="00D0186E">
        <w:rPr>
          <w:rStyle w:val="s1"/>
          <w:rFonts w:ascii="Arial" w:hAnsi="Arial" w:cs="Arial"/>
          <w:sz w:val="22"/>
          <w:szCs w:val="22"/>
        </w:rPr>
        <w:t>Organization</w:t>
      </w:r>
      <w:proofErr w:type="spellEnd"/>
      <w:r w:rsidRPr="00D0186E">
        <w:rPr>
          <w:rStyle w:val="s1"/>
          <w:rFonts w:ascii="Arial" w:hAnsi="Arial" w:cs="Arial"/>
          <w:sz w:val="22"/>
          <w:szCs w:val="22"/>
        </w:rPr>
        <w:t xml:space="preserve">. (2025). Global Report on Diabetes. Geneva: World Health </w:t>
      </w:r>
      <w:proofErr w:type="spellStart"/>
      <w:r w:rsidRPr="00D0186E">
        <w:rPr>
          <w:rStyle w:val="s1"/>
          <w:rFonts w:ascii="Arial" w:hAnsi="Arial" w:cs="Arial"/>
          <w:sz w:val="22"/>
          <w:szCs w:val="22"/>
        </w:rPr>
        <w:t>Organization</w:t>
      </w:r>
      <w:proofErr w:type="spellEnd"/>
      <w:r w:rsidRPr="00D0186E">
        <w:rPr>
          <w:rStyle w:val="s1"/>
          <w:rFonts w:ascii="Arial" w:hAnsi="Arial" w:cs="Arial"/>
          <w:sz w:val="22"/>
          <w:szCs w:val="22"/>
        </w:rPr>
        <w:t>.</w:t>
      </w:r>
    </w:p>
    <w:p w14:paraId="4DB8503D" w14:textId="77777777" w:rsidR="000A5103" w:rsidRPr="00D0186E" w:rsidRDefault="000A5103" w:rsidP="00D0186E">
      <w:pPr>
        <w:spacing w:line="360" w:lineRule="auto"/>
        <w:rPr>
          <w:rFonts w:ascii="Arial" w:hAnsi="Arial" w:cs="Arial"/>
          <w:sz w:val="22"/>
          <w:szCs w:val="22"/>
        </w:rPr>
      </w:pPr>
    </w:p>
    <w:sectPr w:rsidR="000A5103" w:rsidRPr="00D0186E">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61ABB59" w14:textId="77777777" w:rsidR="000F0A69" w:rsidRDefault="000F0A69" w:rsidP="000F0A69">
      <w:pPr>
        <w:spacing w:after="0" w:line="240" w:lineRule="auto"/>
      </w:pPr>
      <w:r>
        <w:separator/>
      </w:r>
    </w:p>
  </w:endnote>
  <w:endnote w:type="continuationSeparator" w:id="0">
    <w:p w14:paraId="12C2ACA9" w14:textId="77777777" w:rsidR="000F0A69" w:rsidRDefault="000F0A69" w:rsidP="000F0A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01419087"/>
      <w:docPartObj>
        <w:docPartGallery w:val="Page Numbers (Bottom of Page)"/>
        <w:docPartUnique/>
      </w:docPartObj>
    </w:sdtPr>
    <w:sdtEndPr>
      <w:rPr>
        <w:rStyle w:val="PageNumber"/>
      </w:rPr>
    </w:sdtEndPr>
    <w:sdtContent>
      <w:p w14:paraId="424019AD" w14:textId="3697EA0D" w:rsidR="001903A0" w:rsidRDefault="001903A0" w:rsidP="00D04908">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40574103"/>
      <w:docPartObj>
        <w:docPartGallery w:val="Page Numbers (Bottom of Page)"/>
        <w:docPartUnique/>
      </w:docPartObj>
    </w:sdtPr>
    <w:sdtEndPr>
      <w:rPr>
        <w:rStyle w:val="PageNumber"/>
      </w:rPr>
    </w:sdtEndPr>
    <w:sdtContent>
      <w:p w14:paraId="1A54D3C6" w14:textId="7EBEE125" w:rsidR="000F0A69" w:rsidRDefault="000F0A69" w:rsidP="001903A0">
        <w:pPr>
          <w:pStyle w:val="Footer"/>
          <w:framePr w:wrap="none" w:vAnchor="text" w:hAnchor="margin"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4BBFA4" w14:textId="77777777" w:rsidR="000F0A69" w:rsidRDefault="000F0A69" w:rsidP="000F0A69">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062524690"/>
      <w:docPartObj>
        <w:docPartGallery w:val="Page Numbers (Bottom of Page)"/>
        <w:docPartUnique/>
      </w:docPartObj>
    </w:sdtPr>
    <w:sdtEndPr>
      <w:rPr>
        <w:rStyle w:val="PageNumber"/>
      </w:rPr>
    </w:sdtEndPr>
    <w:sdtContent>
      <w:p w14:paraId="14C30F87" w14:textId="19A2D4BC" w:rsidR="001903A0" w:rsidRDefault="001903A0" w:rsidP="00D04908">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BE9D4C" w14:textId="77777777" w:rsidR="000F0A69" w:rsidRDefault="000F0A69" w:rsidP="001903A0">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82B049C" w14:textId="77777777" w:rsidR="000F0A69" w:rsidRDefault="000F0A69" w:rsidP="000F0A69">
      <w:pPr>
        <w:spacing w:after="0" w:line="240" w:lineRule="auto"/>
      </w:pPr>
      <w:r>
        <w:separator/>
      </w:r>
    </w:p>
  </w:footnote>
  <w:footnote w:type="continuationSeparator" w:id="0">
    <w:p w14:paraId="3F9429C8" w14:textId="77777777" w:rsidR="000F0A69" w:rsidRDefault="000F0A69" w:rsidP="000F0A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formatting="0"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169"/>
    <w:rsid w:val="00021805"/>
    <w:rsid w:val="0005186C"/>
    <w:rsid w:val="000A5103"/>
    <w:rsid w:val="000F0A69"/>
    <w:rsid w:val="001903A0"/>
    <w:rsid w:val="00260AA7"/>
    <w:rsid w:val="003443FA"/>
    <w:rsid w:val="00362FEA"/>
    <w:rsid w:val="00364326"/>
    <w:rsid w:val="003760CA"/>
    <w:rsid w:val="00397DF7"/>
    <w:rsid w:val="0053061B"/>
    <w:rsid w:val="005777E3"/>
    <w:rsid w:val="00604FB4"/>
    <w:rsid w:val="00652FC5"/>
    <w:rsid w:val="00722101"/>
    <w:rsid w:val="0073226C"/>
    <w:rsid w:val="007523AD"/>
    <w:rsid w:val="00763D62"/>
    <w:rsid w:val="00787808"/>
    <w:rsid w:val="008133C4"/>
    <w:rsid w:val="00851AFA"/>
    <w:rsid w:val="008635E5"/>
    <w:rsid w:val="008A04D9"/>
    <w:rsid w:val="008A3889"/>
    <w:rsid w:val="008B2E85"/>
    <w:rsid w:val="00957229"/>
    <w:rsid w:val="00985BC5"/>
    <w:rsid w:val="00AC77F8"/>
    <w:rsid w:val="00B0394E"/>
    <w:rsid w:val="00B752CD"/>
    <w:rsid w:val="00BB7D53"/>
    <w:rsid w:val="00BF68EF"/>
    <w:rsid w:val="00C37F96"/>
    <w:rsid w:val="00CA05CA"/>
    <w:rsid w:val="00CF1EB5"/>
    <w:rsid w:val="00D0186E"/>
    <w:rsid w:val="00D0599D"/>
    <w:rsid w:val="00D20D56"/>
    <w:rsid w:val="00D45EB1"/>
    <w:rsid w:val="00DB73BA"/>
    <w:rsid w:val="00E52532"/>
    <w:rsid w:val="00ED6D1B"/>
    <w:rsid w:val="00FA7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6EF573"/>
  <w15:chartTrackingRefBased/>
  <w15:docId w15:val="{F6A476B5-66C9-B847-8D04-7DEAD3592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71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71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71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71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71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71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71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71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71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1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71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71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71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71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71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71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71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7169"/>
    <w:rPr>
      <w:rFonts w:eastAsiaTheme="majorEastAsia" w:cstheme="majorBidi"/>
      <w:color w:val="272727" w:themeColor="text1" w:themeTint="D8"/>
    </w:rPr>
  </w:style>
  <w:style w:type="paragraph" w:styleId="Title">
    <w:name w:val="Title"/>
    <w:basedOn w:val="Normal"/>
    <w:next w:val="Normal"/>
    <w:link w:val="TitleChar"/>
    <w:uiPriority w:val="10"/>
    <w:qFormat/>
    <w:rsid w:val="00FA71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71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71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71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7169"/>
    <w:pPr>
      <w:spacing w:before="160"/>
      <w:jc w:val="center"/>
    </w:pPr>
    <w:rPr>
      <w:i/>
      <w:iCs/>
      <w:color w:val="404040" w:themeColor="text1" w:themeTint="BF"/>
    </w:rPr>
  </w:style>
  <w:style w:type="character" w:customStyle="1" w:styleId="QuoteChar">
    <w:name w:val="Quote Char"/>
    <w:basedOn w:val="DefaultParagraphFont"/>
    <w:link w:val="Quote"/>
    <w:uiPriority w:val="29"/>
    <w:rsid w:val="00FA7169"/>
    <w:rPr>
      <w:i/>
      <w:iCs/>
      <w:color w:val="404040" w:themeColor="text1" w:themeTint="BF"/>
    </w:rPr>
  </w:style>
  <w:style w:type="paragraph" w:styleId="ListParagraph">
    <w:name w:val="List Paragraph"/>
    <w:basedOn w:val="Normal"/>
    <w:uiPriority w:val="34"/>
    <w:qFormat/>
    <w:rsid w:val="00FA7169"/>
    <w:pPr>
      <w:ind w:left="720"/>
      <w:contextualSpacing/>
    </w:pPr>
  </w:style>
  <w:style w:type="character" w:styleId="IntenseEmphasis">
    <w:name w:val="Intense Emphasis"/>
    <w:basedOn w:val="DefaultParagraphFont"/>
    <w:uiPriority w:val="21"/>
    <w:qFormat/>
    <w:rsid w:val="00FA7169"/>
    <w:rPr>
      <w:i/>
      <w:iCs/>
      <w:color w:val="0F4761" w:themeColor="accent1" w:themeShade="BF"/>
    </w:rPr>
  </w:style>
  <w:style w:type="paragraph" w:styleId="IntenseQuote">
    <w:name w:val="Intense Quote"/>
    <w:basedOn w:val="Normal"/>
    <w:next w:val="Normal"/>
    <w:link w:val="IntenseQuoteChar"/>
    <w:uiPriority w:val="30"/>
    <w:qFormat/>
    <w:rsid w:val="00FA71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7169"/>
    <w:rPr>
      <w:i/>
      <w:iCs/>
      <w:color w:val="0F4761" w:themeColor="accent1" w:themeShade="BF"/>
    </w:rPr>
  </w:style>
  <w:style w:type="character" w:styleId="IntenseReference">
    <w:name w:val="Intense Reference"/>
    <w:basedOn w:val="DefaultParagraphFont"/>
    <w:uiPriority w:val="32"/>
    <w:qFormat/>
    <w:rsid w:val="00FA7169"/>
    <w:rPr>
      <w:b/>
      <w:bCs/>
      <w:smallCaps/>
      <w:color w:val="0F4761" w:themeColor="accent1" w:themeShade="BF"/>
      <w:spacing w:val="5"/>
    </w:rPr>
  </w:style>
  <w:style w:type="paragraph" w:customStyle="1" w:styleId="p1">
    <w:name w:val="p1"/>
    <w:basedOn w:val="Normal"/>
    <w:rsid w:val="00787808"/>
    <w:pPr>
      <w:spacing w:after="0" w:line="240" w:lineRule="auto"/>
    </w:pPr>
    <w:rPr>
      <w:rFonts w:ascii=".AppleSystemUIFont" w:hAnsi=".AppleSystemUIFont" w:cs="Times New Roman"/>
      <w:kern w:val="0"/>
      <w:sz w:val="23"/>
      <w:szCs w:val="23"/>
      <w14:ligatures w14:val="none"/>
    </w:rPr>
  </w:style>
  <w:style w:type="character" w:customStyle="1" w:styleId="s1">
    <w:name w:val="s1"/>
    <w:basedOn w:val="DefaultParagraphFont"/>
    <w:rsid w:val="00787808"/>
    <w:rPr>
      <w:rFonts w:ascii="UICTFontTextStyleBody" w:hAnsi="UICTFontTextStyleBody" w:hint="default"/>
      <w:b w:val="0"/>
      <w:bCs w:val="0"/>
      <w:i w:val="0"/>
      <w:iCs w:val="0"/>
      <w:sz w:val="23"/>
      <w:szCs w:val="23"/>
    </w:rPr>
  </w:style>
  <w:style w:type="paragraph" w:customStyle="1" w:styleId="p2">
    <w:name w:val="p2"/>
    <w:basedOn w:val="Normal"/>
    <w:rsid w:val="00364326"/>
    <w:pPr>
      <w:spacing w:after="0" w:line="240" w:lineRule="auto"/>
    </w:pPr>
    <w:rPr>
      <w:rFonts w:ascii=".AppleSystemUIFont" w:hAnsi=".AppleSystemUIFont" w:cs="Times New Roman"/>
      <w:kern w:val="0"/>
      <w:sz w:val="23"/>
      <w:szCs w:val="23"/>
      <w14:ligatures w14:val="none"/>
    </w:rPr>
  </w:style>
  <w:style w:type="character" w:customStyle="1" w:styleId="apple-converted-space">
    <w:name w:val="apple-converted-space"/>
    <w:basedOn w:val="DefaultParagraphFont"/>
    <w:rsid w:val="00604FB4"/>
  </w:style>
  <w:style w:type="paragraph" w:styleId="Header">
    <w:name w:val="header"/>
    <w:basedOn w:val="Normal"/>
    <w:link w:val="HeaderChar"/>
    <w:uiPriority w:val="99"/>
    <w:unhideWhenUsed/>
    <w:rsid w:val="000F0A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0A69"/>
  </w:style>
  <w:style w:type="paragraph" w:styleId="Footer">
    <w:name w:val="footer"/>
    <w:basedOn w:val="Normal"/>
    <w:link w:val="FooterChar"/>
    <w:uiPriority w:val="99"/>
    <w:unhideWhenUsed/>
    <w:rsid w:val="000F0A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0A69"/>
  </w:style>
  <w:style w:type="character" w:styleId="PageNumber">
    <w:name w:val="page number"/>
    <w:basedOn w:val="DefaultParagraphFont"/>
    <w:uiPriority w:val="99"/>
    <w:semiHidden/>
    <w:unhideWhenUsed/>
    <w:rsid w:val="000F0A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1095</Words>
  <Characters>6245</Characters>
  <Application>Microsoft Office Word</Application>
  <DocSecurity>0</DocSecurity>
  <Lines>52</Lines>
  <Paragraphs>14</Paragraphs>
  <ScaleCrop>false</ScaleCrop>
  <Company/>
  <LinksUpToDate>false</LinksUpToDate>
  <CharactersWithSpaces>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Alishba Arita Zenib Mahmood Khan (2522168)</dc:creator>
  <cp:keywords/>
  <dc:description/>
  <cp:lastModifiedBy>Alishba Arita Zenib Mahmood Khan (2522168)</cp:lastModifiedBy>
  <cp:revision>2</cp:revision>
  <dcterms:created xsi:type="dcterms:W3CDTF">2026-07-18T17:57:00Z</dcterms:created>
  <dcterms:modified xsi:type="dcterms:W3CDTF">2026-07-18T17:57:00Z</dcterms:modified>
</cp:coreProperties>
</file>