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1235E" w14:textId="216ACFF6" w:rsidR="00E51DF7" w:rsidRDefault="00E51DF7" w:rsidP="00F267D9">
      <w:pPr>
        <w:pStyle w:val="Title"/>
        <w:jc w:val="both"/>
        <w:rPr>
          <w:b/>
          <w:bCs/>
        </w:rPr>
      </w:pPr>
      <w:r w:rsidRPr="00E51DF7">
        <w:rPr>
          <w:b/>
          <w:bCs/>
          <w:noProof/>
        </w:rPr>
        <w:drawing>
          <wp:inline distT="0" distB="0" distL="0" distR="0" wp14:anchorId="19B8E4BD" wp14:editId="792CD457">
            <wp:extent cx="2281555" cy="1343025"/>
            <wp:effectExtent l="0" t="0" r="4445" b="9525"/>
            <wp:docPr id="3" name="Image 2" descr="Discover University of Wales Trinity Saint David">
              <a:extLst xmlns:a="http://schemas.openxmlformats.org/drawingml/2006/main">
                <a:ext uri="{FF2B5EF4-FFF2-40B4-BE49-F238E27FC236}">
                  <a16:creationId xmlns:a16="http://schemas.microsoft.com/office/drawing/2014/main" id="{7F8D97DA-6E6D-9FD7-ED65-7D098BA2AB5E}"/>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2" descr="Discover University of Wales Trinity Saint David">
                      <a:extLst>
                        <a:ext uri="{FF2B5EF4-FFF2-40B4-BE49-F238E27FC236}">
                          <a16:creationId xmlns:a16="http://schemas.microsoft.com/office/drawing/2014/main" id="{7F8D97DA-6E6D-9FD7-ED65-7D098BA2AB5E}"/>
                        </a:ext>
                      </a:extLst>
                    </pic:cNvPr>
                    <pic:cNvPicPr>
                      <a:picLocks/>
                    </pic:cNvPicPr>
                  </pic:nvPicPr>
                  <pic:blipFill>
                    <a:blip r:embed="rId8" cstate="print"/>
                    <a:stretch>
                      <a:fillRect/>
                    </a:stretch>
                  </pic:blipFill>
                  <pic:spPr>
                    <a:xfrm>
                      <a:off x="0" y="0"/>
                      <a:ext cx="2312093" cy="1361001"/>
                    </a:xfrm>
                    <a:prstGeom prst="rect">
                      <a:avLst/>
                    </a:prstGeom>
                  </pic:spPr>
                </pic:pic>
              </a:graphicData>
            </a:graphic>
          </wp:inline>
        </w:drawing>
      </w:r>
    </w:p>
    <w:p w14:paraId="6F790EC0" w14:textId="77777777" w:rsidR="00E51DF7" w:rsidRDefault="00E51DF7" w:rsidP="00D751EB">
      <w:pPr>
        <w:spacing w:line="360" w:lineRule="auto"/>
      </w:pPr>
    </w:p>
    <w:p w14:paraId="7F5506FB" w14:textId="77777777" w:rsidR="00E51DF7" w:rsidRPr="00E51DF7" w:rsidRDefault="00E51DF7" w:rsidP="00E51DF7"/>
    <w:p w14:paraId="0DABA85B" w14:textId="77777777" w:rsidR="00F267D9" w:rsidRDefault="00F5561F" w:rsidP="00F267D9">
      <w:pPr>
        <w:pStyle w:val="Title"/>
      </w:pPr>
      <w:r w:rsidRPr="00E071B5">
        <w:t xml:space="preserve">Nike RE: LOOP </w:t>
      </w:r>
      <w:r w:rsidR="00E071B5">
        <w:t>-</w:t>
      </w:r>
      <w:r w:rsidRPr="00E071B5">
        <w:t xml:space="preserve"> A Sustainable Brand Extension: </w:t>
      </w:r>
      <w:r w:rsidRPr="00722088">
        <w:t>Poster</w:t>
      </w:r>
      <w:r w:rsidRPr="00E071B5">
        <w:t xml:space="preserve">, STDP Analysis, </w:t>
      </w:r>
    </w:p>
    <w:p w14:paraId="3A2EEA0D" w14:textId="0D6658FE" w:rsidR="00F267D9" w:rsidRDefault="00F5561F" w:rsidP="00F267D9">
      <w:pPr>
        <w:pStyle w:val="Title"/>
      </w:pPr>
      <w:r w:rsidRPr="00E071B5">
        <w:t>Marketing Mix and Reflection</w:t>
      </w:r>
    </w:p>
    <w:p w14:paraId="75E3ED45" w14:textId="77777777" w:rsidR="00F267D9" w:rsidRPr="00F267D9" w:rsidRDefault="00F267D9" w:rsidP="00F267D9"/>
    <w:p w14:paraId="3BD7B08C" w14:textId="0A4551C5" w:rsidR="00F267D9" w:rsidRDefault="00F267D9" w:rsidP="00F267D9">
      <w:pPr>
        <w:pStyle w:val="Title"/>
        <w:spacing w:line="360" w:lineRule="auto"/>
        <w:jc w:val="both"/>
        <w:rPr>
          <w:rFonts w:cs="Arial"/>
          <w:sz w:val="32"/>
          <w:szCs w:val="32"/>
        </w:rPr>
      </w:pPr>
      <w:r w:rsidRPr="00E51DF7">
        <w:rPr>
          <w:rFonts w:cs="Arial"/>
          <w:b/>
          <w:bCs/>
          <w:sz w:val="32"/>
          <w:szCs w:val="32"/>
        </w:rPr>
        <w:t xml:space="preserve">Student Name: </w:t>
      </w:r>
      <w:r w:rsidRPr="00D751EB">
        <w:rPr>
          <w:rFonts w:cs="Arial"/>
          <w:sz w:val="32"/>
          <w:szCs w:val="32"/>
        </w:rPr>
        <w:t>Tarjan Bhandari</w:t>
      </w:r>
    </w:p>
    <w:p w14:paraId="5C9CC034" w14:textId="77777777" w:rsidR="00F267D9" w:rsidRDefault="00F267D9" w:rsidP="00F267D9">
      <w:pPr>
        <w:pStyle w:val="Title"/>
        <w:spacing w:line="360" w:lineRule="auto"/>
        <w:jc w:val="both"/>
        <w:rPr>
          <w:rFonts w:cs="Arial"/>
          <w:sz w:val="32"/>
          <w:szCs w:val="32"/>
        </w:rPr>
      </w:pPr>
      <w:r w:rsidRPr="00D751EB">
        <w:rPr>
          <w:rFonts w:cs="Arial"/>
          <w:b/>
          <w:bCs/>
          <w:sz w:val="32"/>
          <w:szCs w:val="32"/>
        </w:rPr>
        <w:t>Student ID</w:t>
      </w:r>
      <w:r w:rsidRPr="00D751EB">
        <w:rPr>
          <w:rFonts w:cs="Arial"/>
          <w:sz w:val="32"/>
          <w:szCs w:val="32"/>
        </w:rPr>
        <w:t>: 2542504</w:t>
      </w:r>
    </w:p>
    <w:p w14:paraId="04866076" w14:textId="77777777" w:rsidR="00F267D9" w:rsidRPr="00D751EB" w:rsidRDefault="00F267D9" w:rsidP="00F267D9">
      <w:pPr>
        <w:spacing w:line="360" w:lineRule="auto"/>
        <w:jc w:val="both"/>
        <w:rPr>
          <w:rFonts w:ascii="Arial" w:hAnsi="Arial" w:cs="Arial"/>
          <w:b/>
          <w:bCs/>
          <w:sz w:val="32"/>
          <w:szCs w:val="32"/>
        </w:rPr>
      </w:pPr>
      <w:proofErr w:type="spellStart"/>
      <w:r w:rsidRPr="00D751EB">
        <w:rPr>
          <w:rFonts w:ascii="Arial" w:hAnsi="Arial" w:cs="Arial"/>
          <w:b/>
          <w:bCs/>
          <w:sz w:val="32"/>
          <w:szCs w:val="32"/>
        </w:rPr>
        <w:t>Programme</w:t>
      </w:r>
      <w:proofErr w:type="spellEnd"/>
      <w:r w:rsidRPr="00D751EB">
        <w:rPr>
          <w:rFonts w:ascii="Arial" w:hAnsi="Arial" w:cs="Arial"/>
          <w:b/>
          <w:bCs/>
          <w:sz w:val="32"/>
          <w:szCs w:val="32"/>
        </w:rPr>
        <w:t>:</w:t>
      </w:r>
      <w:r>
        <w:rPr>
          <w:rFonts w:ascii="Arial" w:hAnsi="Arial" w:cs="Arial"/>
          <w:b/>
          <w:bCs/>
          <w:sz w:val="32"/>
          <w:szCs w:val="32"/>
        </w:rPr>
        <w:t xml:space="preserve"> </w:t>
      </w:r>
      <w:r w:rsidRPr="00D751EB">
        <w:rPr>
          <w:rFonts w:ascii="Arial" w:hAnsi="Arial" w:cs="Arial"/>
          <w:sz w:val="32"/>
          <w:szCs w:val="32"/>
        </w:rPr>
        <w:t>Master of Business Administration</w:t>
      </w:r>
    </w:p>
    <w:p w14:paraId="322F52FA" w14:textId="77777777" w:rsidR="00F267D9" w:rsidRPr="00D751EB" w:rsidRDefault="00F267D9" w:rsidP="00F267D9">
      <w:pPr>
        <w:pStyle w:val="Title"/>
        <w:spacing w:line="360" w:lineRule="auto"/>
        <w:jc w:val="both"/>
        <w:rPr>
          <w:rFonts w:cs="Arial"/>
          <w:sz w:val="32"/>
          <w:szCs w:val="32"/>
        </w:rPr>
      </w:pPr>
      <w:r w:rsidRPr="00E51DF7">
        <w:rPr>
          <w:rFonts w:cs="Arial"/>
          <w:b/>
          <w:bCs/>
          <w:sz w:val="32"/>
          <w:szCs w:val="32"/>
        </w:rPr>
        <w:t xml:space="preserve">Module Name: </w:t>
      </w:r>
      <w:r w:rsidRPr="00D751EB">
        <w:rPr>
          <w:rFonts w:cs="Arial"/>
          <w:sz w:val="32"/>
          <w:szCs w:val="32"/>
        </w:rPr>
        <w:t>Marketing Management</w:t>
      </w:r>
    </w:p>
    <w:p w14:paraId="5C8F1EEE" w14:textId="44125A3D" w:rsidR="00F267D9" w:rsidRPr="00E51DF7" w:rsidRDefault="00F267D9" w:rsidP="00F267D9">
      <w:pPr>
        <w:pStyle w:val="Title"/>
        <w:spacing w:line="360" w:lineRule="auto"/>
        <w:jc w:val="both"/>
        <w:rPr>
          <w:rFonts w:cs="Arial"/>
          <w:sz w:val="32"/>
          <w:szCs w:val="32"/>
        </w:rPr>
      </w:pPr>
      <w:r w:rsidRPr="00E51DF7">
        <w:rPr>
          <w:rFonts w:cs="Arial"/>
          <w:b/>
          <w:bCs/>
          <w:sz w:val="32"/>
          <w:szCs w:val="32"/>
        </w:rPr>
        <w:t xml:space="preserve">Module Code: </w:t>
      </w:r>
      <w:r w:rsidRPr="00E51DF7">
        <w:rPr>
          <w:rFonts w:cs="Arial"/>
          <w:sz w:val="32"/>
          <w:szCs w:val="32"/>
        </w:rPr>
        <w:t>LCMB7024</w:t>
      </w:r>
    </w:p>
    <w:p w14:paraId="79A26FB1" w14:textId="2A040CDF" w:rsidR="00F267D9" w:rsidRPr="00E51DF7" w:rsidRDefault="00F267D9" w:rsidP="00F267D9">
      <w:pPr>
        <w:pStyle w:val="Title"/>
        <w:spacing w:line="360" w:lineRule="auto"/>
        <w:jc w:val="both"/>
        <w:rPr>
          <w:rFonts w:cs="Arial"/>
          <w:sz w:val="32"/>
          <w:szCs w:val="32"/>
        </w:rPr>
      </w:pPr>
      <w:r w:rsidRPr="00E51DF7">
        <w:rPr>
          <w:rFonts w:cs="Arial"/>
          <w:b/>
          <w:bCs/>
          <w:sz w:val="32"/>
          <w:szCs w:val="32"/>
        </w:rPr>
        <w:t xml:space="preserve">Lecturer’s Name: </w:t>
      </w:r>
      <w:r w:rsidR="00BB38AF" w:rsidRPr="00BB38AF">
        <w:rPr>
          <w:rFonts w:cs="Arial"/>
          <w:sz w:val="32"/>
          <w:szCs w:val="32"/>
        </w:rPr>
        <w:t>Sinan He</w:t>
      </w:r>
    </w:p>
    <w:p w14:paraId="2D07C22B" w14:textId="09E43714" w:rsidR="00F267D9" w:rsidRDefault="00F267D9" w:rsidP="00F267D9">
      <w:pPr>
        <w:pStyle w:val="Title"/>
        <w:spacing w:line="360" w:lineRule="auto"/>
        <w:jc w:val="both"/>
        <w:rPr>
          <w:sz w:val="32"/>
          <w:szCs w:val="32"/>
        </w:rPr>
      </w:pPr>
      <w:r w:rsidRPr="00F267D9">
        <w:rPr>
          <w:b/>
          <w:bCs/>
          <w:sz w:val="32"/>
          <w:szCs w:val="32"/>
        </w:rPr>
        <w:t>Assignment Title</w:t>
      </w:r>
      <w:r w:rsidRPr="00F267D9">
        <w:rPr>
          <w:b/>
          <w:bCs/>
        </w:rPr>
        <w:t xml:space="preserve"> </w:t>
      </w:r>
      <w:r w:rsidRPr="00F267D9">
        <w:rPr>
          <w:b/>
          <w:bCs/>
          <w:sz w:val="32"/>
          <w:szCs w:val="32"/>
        </w:rPr>
        <w:t>Portfolio</w:t>
      </w:r>
      <w:r>
        <w:t xml:space="preserve">: </w:t>
      </w:r>
      <w:r w:rsidRPr="00D751EB">
        <w:rPr>
          <w:sz w:val="32"/>
          <w:szCs w:val="32"/>
        </w:rPr>
        <w:t xml:space="preserve">Presentation </w:t>
      </w:r>
      <w:r w:rsidRPr="00D751EB">
        <w:rPr>
          <w:sz w:val="32"/>
          <w:szCs w:val="32"/>
        </w:rPr>
        <w:sym w:font="Symbol" w:char="F0B7"/>
      </w:r>
      <w:r w:rsidRPr="00D751EB">
        <w:rPr>
          <w:sz w:val="32"/>
          <w:szCs w:val="32"/>
        </w:rPr>
        <w:t xml:space="preserve"> Report </w:t>
      </w:r>
      <w:r w:rsidRPr="00D751EB">
        <w:rPr>
          <w:sz w:val="32"/>
          <w:szCs w:val="32"/>
        </w:rPr>
        <w:sym w:font="Symbol" w:char="F0B7"/>
      </w:r>
      <w:r w:rsidRPr="00D751EB">
        <w:rPr>
          <w:sz w:val="32"/>
          <w:szCs w:val="32"/>
        </w:rPr>
        <w:t xml:space="preserve"> Reflection</w:t>
      </w:r>
    </w:p>
    <w:p w14:paraId="67A3D455" w14:textId="144CB1A9" w:rsidR="00F267D9" w:rsidRPr="00BB38AF" w:rsidRDefault="00BB38AF" w:rsidP="00F267D9">
      <w:pPr>
        <w:pStyle w:val="Title"/>
        <w:spacing w:line="360" w:lineRule="auto"/>
        <w:jc w:val="both"/>
        <w:rPr>
          <w:sz w:val="36"/>
          <w:szCs w:val="36"/>
        </w:rPr>
      </w:pPr>
      <w:r w:rsidRPr="00BB38AF">
        <w:rPr>
          <w:b/>
          <w:bCs/>
          <w:sz w:val="36"/>
          <w:szCs w:val="36"/>
        </w:rPr>
        <w:t>Word count</w:t>
      </w:r>
      <w:r w:rsidRPr="00BB38AF">
        <w:rPr>
          <w:sz w:val="36"/>
          <w:szCs w:val="36"/>
        </w:rPr>
        <w:t>: 2500</w:t>
      </w:r>
    </w:p>
    <w:p w14:paraId="1315A49D" w14:textId="5747C552" w:rsidR="00F267D9" w:rsidRPr="00BB38AF" w:rsidRDefault="00BB38AF" w:rsidP="00F267D9">
      <w:pPr>
        <w:pStyle w:val="Title"/>
        <w:spacing w:line="360" w:lineRule="auto"/>
        <w:jc w:val="both"/>
        <w:rPr>
          <w:sz w:val="36"/>
          <w:szCs w:val="36"/>
        </w:rPr>
      </w:pPr>
      <w:r w:rsidRPr="00BB38AF">
        <w:rPr>
          <w:b/>
          <w:bCs/>
          <w:sz w:val="36"/>
          <w:szCs w:val="36"/>
        </w:rPr>
        <w:t>Date:</w:t>
      </w:r>
      <w:r w:rsidRPr="00BB38AF">
        <w:rPr>
          <w:sz w:val="36"/>
          <w:szCs w:val="36"/>
        </w:rPr>
        <w:t xml:space="preserve"> 08/14/2026</w:t>
      </w:r>
      <w:r w:rsidR="00F267D9" w:rsidRPr="00BB38AF">
        <w:rPr>
          <w:sz w:val="36"/>
          <w:szCs w:val="36"/>
        </w:rPr>
        <w:t xml:space="preserve">                 </w:t>
      </w:r>
    </w:p>
    <w:p w14:paraId="6CF7846E" w14:textId="77777777" w:rsidR="00F267D9" w:rsidRDefault="00F267D9" w:rsidP="00F267D9"/>
    <w:p w14:paraId="186C9614" w14:textId="77777777" w:rsidR="00F267D9" w:rsidRPr="00F267D9" w:rsidRDefault="00F267D9" w:rsidP="00F267D9"/>
    <w:p w14:paraId="23138DFD" w14:textId="4058C572" w:rsidR="00A6790C" w:rsidRDefault="00A6790C" w:rsidP="00DB40F8">
      <w:pPr>
        <w:rPr>
          <w:rFonts w:ascii="Arial" w:eastAsiaTheme="majorEastAsia" w:hAnsi="Arial" w:cstheme="majorBidi"/>
          <w:spacing w:val="-10"/>
          <w:kern w:val="28"/>
          <w:sz w:val="56"/>
          <w:szCs w:val="56"/>
        </w:rPr>
      </w:pPr>
    </w:p>
    <w:sdt>
      <w:sdtPr>
        <w:rPr>
          <w:rFonts w:asciiTheme="minorHAnsi" w:eastAsiaTheme="minorHAnsi" w:hAnsiTheme="minorHAnsi" w:cstheme="minorBidi"/>
          <w:color w:val="auto"/>
          <w:kern w:val="2"/>
          <w:sz w:val="24"/>
          <w:szCs w:val="24"/>
          <w14:ligatures w14:val="standardContextual"/>
        </w:rPr>
        <w:id w:val="-266163466"/>
        <w:docPartObj>
          <w:docPartGallery w:val="Table of Contents"/>
          <w:docPartUnique/>
        </w:docPartObj>
      </w:sdtPr>
      <w:sdtEndPr>
        <w:rPr>
          <w:b/>
          <w:bCs/>
          <w:noProof/>
        </w:rPr>
      </w:sdtEndPr>
      <w:sdtContent>
        <w:p w14:paraId="0F528682" w14:textId="1CDA26DC" w:rsidR="00A6790C" w:rsidRDefault="00A6790C">
          <w:pPr>
            <w:pStyle w:val="TOCHeading"/>
          </w:pPr>
          <w:r>
            <w:t>Table of Contents</w:t>
          </w:r>
        </w:p>
        <w:p w14:paraId="23374C8A" w14:textId="1485EA32" w:rsidR="00E51DF7" w:rsidRDefault="00A6790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6650635" w:history="1">
            <w:r w:rsidR="00E51DF7" w:rsidRPr="003C568A">
              <w:rPr>
                <w:rStyle w:val="Hyperlink"/>
                <w:noProof/>
              </w:rPr>
              <w:t>1. Element 1: Sustainable Brand Extension Poster Presentation</w:t>
            </w:r>
            <w:r w:rsidR="00E51DF7">
              <w:rPr>
                <w:noProof/>
                <w:webHidden/>
              </w:rPr>
              <w:tab/>
            </w:r>
            <w:r w:rsidR="00E51DF7">
              <w:rPr>
                <w:noProof/>
                <w:webHidden/>
              </w:rPr>
              <w:fldChar w:fldCharType="begin"/>
            </w:r>
            <w:r w:rsidR="00E51DF7">
              <w:rPr>
                <w:noProof/>
                <w:webHidden/>
              </w:rPr>
              <w:instrText xml:space="preserve"> PAGEREF _Toc236650635 \h </w:instrText>
            </w:r>
            <w:r w:rsidR="00E51DF7">
              <w:rPr>
                <w:noProof/>
                <w:webHidden/>
              </w:rPr>
            </w:r>
            <w:r w:rsidR="00E51DF7">
              <w:rPr>
                <w:noProof/>
                <w:webHidden/>
              </w:rPr>
              <w:fldChar w:fldCharType="separate"/>
            </w:r>
            <w:r w:rsidR="00E51DF7">
              <w:rPr>
                <w:noProof/>
                <w:webHidden/>
              </w:rPr>
              <w:t>1</w:t>
            </w:r>
            <w:r w:rsidR="00E51DF7">
              <w:rPr>
                <w:noProof/>
                <w:webHidden/>
              </w:rPr>
              <w:fldChar w:fldCharType="end"/>
            </w:r>
          </w:hyperlink>
        </w:p>
        <w:p w14:paraId="1B8013CA" w14:textId="01EFC905" w:rsidR="00E51DF7" w:rsidRDefault="00E51DF7">
          <w:pPr>
            <w:pStyle w:val="TOC1"/>
            <w:tabs>
              <w:tab w:val="right" w:leader="dot" w:pos="9350"/>
            </w:tabs>
            <w:rPr>
              <w:rFonts w:eastAsiaTheme="minorEastAsia"/>
              <w:noProof/>
            </w:rPr>
          </w:pPr>
          <w:hyperlink w:anchor="_Toc236650636" w:history="1">
            <w:r w:rsidRPr="003C568A">
              <w:rPr>
                <w:rStyle w:val="Hyperlink"/>
                <w:noProof/>
              </w:rPr>
              <w:t>2. Element 2: Segmentation, Targeting, Differentiation and Positioning (STDP) Analysis</w:t>
            </w:r>
            <w:r>
              <w:rPr>
                <w:noProof/>
                <w:webHidden/>
              </w:rPr>
              <w:tab/>
            </w:r>
            <w:r>
              <w:rPr>
                <w:noProof/>
                <w:webHidden/>
              </w:rPr>
              <w:fldChar w:fldCharType="begin"/>
            </w:r>
            <w:r>
              <w:rPr>
                <w:noProof/>
                <w:webHidden/>
              </w:rPr>
              <w:instrText xml:space="preserve"> PAGEREF _Toc236650636 \h </w:instrText>
            </w:r>
            <w:r>
              <w:rPr>
                <w:noProof/>
                <w:webHidden/>
              </w:rPr>
            </w:r>
            <w:r>
              <w:rPr>
                <w:noProof/>
                <w:webHidden/>
              </w:rPr>
              <w:fldChar w:fldCharType="separate"/>
            </w:r>
            <w:r>
              <w:rPr>
                <w:noProof/>
                <w:webHidden/>
              </w:rPr>
              <w:t>2</w:t>
            </w:r>
            <w:r>
              <w:rPr>
                <w:noProof/>
                <w:webHidden/>
              </w:rPr>
              <w:fldChar w:fldCharType="end"/>
            </w:r>
          </w:hyperlink>
        </w:p>
        <w:p w14:paraId="1B83F511" w14:textId="737712BE" w:rsidR="00E51DF7" w:rsidRDefault="00E51DF7">
          <w:pPr>
            <w:pStyle w:val="TOC2"/>
            <w:tabs>
              <w:tab w:val="right" w:leader="dot" w:pos="9350"/>
            </w:tabs>
            <w:rPr>
              <w:rFonts w:eastAsiaTheme="minorEastAsia"/>
              <w:noProof/>
            </w:rPr>
          </w:pPr>
          <w:hyperlink w:anchor="_Toc236650637" w:history="1">
            <w:r w:rsidRPr="003C568A">
              <w:rPr>
                <w:rStyle w:val="Hyperlink"/>
                <w:noProof/>
              </w:rPr>
              <w:t>2.1 Segmentation</w:t>
            </w:r>
            <w:r>
              <w:rPr>
                <w:noProof/>
                <w:webHidden/>
              </w:rPr>
              <w:tab/>
            </w:r>
            <w:r>
              <w:rPr>
                <w:noProof/>
                <w:webHidden/>
              </w:rPr>
              <w:fldChar w:fldCharType="begin"/>
            </w:r>
            <w:r>
              <w:rPr>
                <w:noProof/>
                <w:webHidden/>
              </w:rPr>
              <w:instrText xml:space="preserve"> PAGEREF _Toc236650637 \h </w:instrText>
            </w:r>
            <w:r>
              <w:rPr>
                <w:noProof/>
                <w:webHidden/>
              </w:rPr>
            </w:r>
            <w:r>
              <w:rPr>
                <w:noProof/>
                <w:webHidden/>
              </w:rPr>
              <w:fldChar w:fldCharType="separate"/>
            </w:r>
            <w:r>
              <w:rPr>
                <w:noProof/>
                <w:webHidden/>
              </w:rPr>
              <w:t>2</w:t>
            </w:r>
            <w:r>
              <w:rPr>
                <w:noProof/>
                <w:webHidden/>
              </w:rPr>
              <w:fldChar w:fldCharType="end"/>
            </w:r>
          </w:hyperlink>
        </w:p>
        <w:p w14:paraId="305D47FF" w14:textId="1EE984FF" w:rsidR="00E51DF7" w:rsidRDefault="00E51DF7">
          <w:pPr>
            <w:pStyle w:val="TOC2"/>
            <w:tabs>
              <w:tab w:val="right" w:leader="dot" w:pos="9350"/>
            </w:tabs>
            <w:rPr>
              <w:rFonts w:eastAsiaTheme="minorEastAsia"/>
              <w:noProof/>
            </w:rPr>
          </w:pPr>
          <w:hyperlink w:anchor="_Toc236650638" w:history="1">
            <w:r w:rsidRPr="003C568A">
              <w:rPr>
                <w:rStyle w:val="Hyperlink"/>
                <w:noProof/>
              </w:rPr>
              <w:t>2.2 Targeting</w:t>
            </w:r>
            <w:r>
              <w:rPr>
                <w:noProof/>
                <w:webHidden/>
              </w:rPr>
              <w:tab/>
            </w:r>
            <w:r>
              <w:rPr>
                <w:noProof/>
                <w:webHidden/>
              </w:rPr>
              <w:fldChar w:fldCharType="begin"/>
            </w:r>
            <w:r>
              <w:rPr>
                <w:noProof/>
                <w:webHidden/>
              </w:rPr>
              <w:instrText xml:space="preserve"> PAGEREF _Toc236650638 \h </w:instrText>
            </w:r>
            <w:r>
              <w:rPr>
                <w:noProof/>
                <w:webHidden/>
              </w:rPr>
            </w:r>
            <w:r>
              <w:rPr>
                <w:noProof/>
                <w:webHidden/>
              </w:rPr>
              <w:fldChar w:fldCharType="separate"/>
            </w:r>
            <w:r>
              <w:rPr>
                <w:noProof/>
                <w:webHidden/>
              </w:rPr>
              <w:t>3</w:t>
            </w:r>
            <w:r>
              <w:rPr>
                <w:noProof/>
                <w:webHidden/>
              </w:rPr>
              <w:fldChar w:fldCharType="end"/>
            </w:r>
          </w:hyperlink>
        </w:p>
        <w:p w14:paraId="059FCBAB" w14:textId="35045A18" w:rsidR="00E51DF7" w:rsidRDefault="00E51DF7">
          <w:pPr>
            <w:pStyle w:val="TOC2"/>
            <w:tabs>
              <w:tab w:val="right" w:leader="dot" w:pos="9350"/>
            </w:tabs>
            <w:rPr>
              <w:rFonts w:eastAsiaTheme="minorEastAsia"/>
              <w:noProof/>
            </w:rPr>
          </w:pPr>
          <w:hyperlink w:anchor="_Toc236650639" w:history="1">
            <w:r w:rsidRPr="003C568A">
              <w:rPr>
                <w:rStyle w:val="Hyperlink"/>
                <w:noProof/>
              </w:rPr>
              <w:t>2.3 Differentiation</w:t>
            </w:r>
            <w:r>
              <w:rPr>
                <w:noProof/>
                <w:webHidden/>
              </w:rPr>
              <w:tab/>
            </w:r>
            <w:r>
              <w:rPr>
                <w:noProof/>
                <w:webHidden/>
              </w:rPr>
              <w:fldChar w:fldCharType="begin"/>
            </w:r>
            <w:r>
              <w:rPr>
                <w:noProof/>
                <w:webHidden/>
              </w:rPr>
              <w:instrText xml:space="preserve"> PAGEREF _Toc236650639 \h </w:instrText>
            </w:r>
            <w:r>
              <w:rPr>
                <w:noProof/>
                <w:webHidden/>
              </w:rPr>
            </w:r>
            <w:r>
              <w:rPr>
                <w:noProof/>
                <w:webHidden/>
              </w:rPr>
              <w:fldChar w:fldCharType="separate"/>
            </w:r>
            <w:r>
              <w:rPr>
                <w:noProof/>
                <w:webHidden/>
              </w:rPr>
              <w:t>4</w:t>
            </w:r>
            <w:r>
              <w:rPr>
                <w:noProof/>
                <w:webHidden/>
              </w:rPr>
              <w:fldChar w:fldCharType="end"/>
            </w:r>
          </w:hyperlink>
        </w:p>
        <w:p w14:paraId="5E552447" w14:textId="5BB6ACB5" w:rsidR="00E51DF7" w:rsidRDefault="00E51DF7">
          <w:pPr>
            <w:pStyle w:val="TOC2"/>
            <w:tabs>
              <w:tab w:val="right" w:leader="dot" w:pos="9350"/>
            </w:tabs>
            <w:rPr>
              <w:rFonts w:eastAsiaTheme="minorEastAsia"/>
              <w:noProof/>
            </w:rPr>
          </w:pPr>
          <w:hyperlink w:anchor="_Toc236650640" w:history="1">
            <w:r w:rsidRPr="003C568A">
              <w:rPr>
                <w:rStyle w:val="Hyperlink"/>
                <w:noProof/>
              </w:rPr>
              <w:t>2.4 Positioning</w:t>
            </w:r>
            <w:r>
              <w:rPr>
                <w:noProof/>
                <w:webHidden/>
              </w:rPr>
              <w:tab/>
            </w:r>
            <w:r>
              <w:rPr>
                <w:noProof/>
                <w:webHidden/>
              </w:rPr>
              <w:fldChar w:fldCharType="begin"/>
            </w:r>
            <w:r>
              <w:rPr>
                <w:noProof/>
                <w:webHidden/>
              </w:rPr>
              <w:instrText xml:space="preserve"> PAGEREF _Toc236650640 \h </w:instrText>
            </w:r>
            <w:r>
              <w:rPr>
                <w:noProof/>
                <w:webHidden/>
              </w:rPr>
            </w:r>
            <w:r>
              <w:rPr>
                <w:noProof/>
                <w:webHidden/>
              </w:rPr>
              <w:fldChar w:fldCharType="separate"/>
            </w:r>
            <w:r>
              <w:rPr>
                <w:noProof/>
                <w:webHidden/>
              </w:rPr>
              <w:t>6</w:t>
            </w:r>
            <w:r>
              <w:rPr>
                <w:noProof/>
                <w:webHidden/>
              </w:rPr>
              <w:fldChar w:fldCharType="end"/>
            </w:r>
          </w:hyperlink>
        </w:p>
        <w:p w14:paraId="035DAABD" w14:textId="1FCAFA10" w:rsidR="00E51DF7" w:rsidRDefault="00E51DF7">
          <w:pPr>
            <w:pStyle w:val="TOC1"/>
            <w:tabs>
              <w:tab w:val="right" w:leader="dot" w:pos="9350"/>
            </w:tabs>
            <w:rPr>
              <w:rFonts w:eastAsiaTheme="minorEastAsia"/>
              <w:noProof/>
            </w:rPr>
          </w:pPr>
          <w:hyperlink w:anchor="_Toc236650641" w:history="1">
            <w:r w:rsidRPr="003C568A">
              <w:rPr>
                <w:rStyle w:val="Hyperlink"/>
                <w:noProof/>
              </w:rPr>
              <w:t>Element 3: Marketing Mix (7Ps)</w:t>
            </w:r>
            <w:r>
              <w:rPr>
                <w:noProof/>
                <w:webHidden/>
              </w:rPr>
              <w:tab/>
            </w:r>
            <w:r>
              <w:rPr>
                <w:noProof/>
                <w:webHidden/>
              </w:rPr>
              <w:fldChar w:fldCharType="begin"/>
            </w:r>
            <w:r>
              <w:rPr>
                <w:noProof/>
                <w:webHidden/>
              </w:rPr>
              <w:instrText xml:space="preserve"> PAGEREF _Toc236650641 \h </w:instrText>
            </w:r>
            <w:r>
              <w:rPr>
                <w:noProof/>
                <w:webHidden/>
              </w:rPr>
            </w:r>
            <w:r>
              <w:rPr>
                <w:noProof/>
                <w:webHidden/>
              </w:rPr>
              <w:fldChar w:fldCharType="separate"/>
            </w:r>
            <w:r>
              <w:rPr>
                <w:noProof/>
                <w:webHidden/>
              </w:rPr>
              <w:t>8</w:t>
            </w:r>
            <w:r>
              <w:rPr>
                <w:noProof/>
                <w:webHidden/>
              </w:rPr>
              <w:fldChar w:fldCharType="end"/>
            </w:r>
          </w:hyperlink>
        </w:p>
        <w:p w14:paraId="3B6BBA33" w14:textId="056819FB" w:rsidR="00E51DF7" w:rsidRDefault="00E51DF7">
          <w:pPr>
            <w:pStyle w:val="TOC2"/>
            <w:tabs>
              <w:tab w:val="right" w:leader="dot" w:pos="9350"/>
            </w:tabs>
            <w:rPr>
              <w:rFonts w:eastAsiaTheme="minorEastAsia"/>
              <w:noProof/>
            </w:rPr>
          </w:pPr>
          <w:hyperlink w:anchor="_Toc236650642" w:history="1">
            <w:r w:rsidRPr="003C568A">
              <w:rPr>
                <w:rStyle w:val="Hyperlink"/>
                <w:noProof/>
              </w:rPr>
              <w:t>3.1 Product</w:t>
            </w:r>
            <w:r>
              <w:rPr>
                <w:noProof/>
                <w:webHidden/>
              </w:rPr>
              <w:tab/>
            </w:r>
            <w:r>
              <w:rPr>
                <w:noProof/>
                <w:webHidden/>
              </w:rPr>
              <w:fldChar w:fldCharType="begin"/>
            </w:r>
            <w:r>
              <w:rPr>
                <w:noProof/>
                <w:webHidden/>
              </w:rPr>
              <w:instrText xml:space="preserve"> PAGEREF _Toc236650642 \h </w:instrText>
            </w:r>
            <w:r>
              <w:rPr>
                <w:noProof/>
                <w:webHidden/>
              </w:rPr>
            </w:r>
            <w:r>
              <w:rPr>
                <w:noProof/>
                <w:webHidden/>
              </w:rPr>
              <w:fldChar w:fldCharType="separate"/>
            </w:r>
            <w:r>
              <w:rPr>
                <w:noProof/>
                <w:webHidden/>
              </w:rPr>
              <w:t>8</w:t>
            </w:r>
            <w:r>
              <w:rPr>
                <w:noProof/>
                <w:webHidden/>
              </w:rPr>
              <w:fldChar w:fldCharType="end"/>
            </w:r>
          </w:hyperlink>
        </w:p>
        <w:p w14:paraId="2ED31071" w14:textId="32D18956" w:rsidR="00E51DF7" w:rsidRDefault="00E51DF7">
          <w:pPr>
            <w:pStyle w:val="TOC2"/>
            <w:tabs>
              <w:tab w:val="right" w:leader="dot" w:pos="9350"/>
            </w:tabs>
            <w:rPr>
              <w:rFonts w:eastAsiaTheme="minorEastAsia"/>
              <w:noProof/>
            </w:rPr>
          </w:pPr>
          <w:hyperlink w:anchor="_Toc236650643" w:history="1">
            <w:r w:rsidRPr="003C568A">
              <w:rPr>
                <w:rStyle w:val="Hyperlink"/>
                <w:noProof/>
              </w:rPr>
              <w:t>3.2 Price</w:t>
            </w:r>
            <w:r>
              <w:rPr>
                <w:noProof/>
                <w:webHidden/>
              </w:rPr>
              <w:tab/>
            </w:r>
            <w:r>
              <w:rPr>
                <w:noProof/>
                <w:webHidden/>
              </w:rPr>
              <w:fldChar w:fldCharType="begin"/>
            </w:r>
            <w:r>
              <w:rPr>
                <w:noProof/>
                <w:webHidden/>
              </w:rPr>
              <w:instrText xml:space="preserve"> PAGEREF _Toc236650643 \h </w:instrText>
            </w:r>
            <w:r>
              <w:rPr>
                <w:noProof/>
                <w:webHidden/>
              </w:rPr>
            </w:r>
            <w:r>
              <w:rPr>
                <w:noProof/>
                <w:webHidden/>
              </w:rPr>
              <w:fldChar w:fldCharType="separate"/>
            </w:r>
            <w:r>
              <w:rPr>
                <w:noProof/>
                <w:webHidden/>
              </w:rPr>
              <w:t>9</w:t>
            </w:r>
            <w:r>
              <w:rPr>
                <w:noProof/>
                <w:webHidden/>
              </w:rPr>
              <w:fldChar w:fldCharType="end"/>
            </w:r>
          </w:hyperlink>
        </w:p>
        <w:p w14:paraId="722A97B0" w14:textId="151891B1" w:rsidR="00E51DF7" w:rsidRDefault="00E51DF7">
          <w:pPr>
            <w:pStyle w:val="TOC2"/>
            <w:tabs>
              <w:tab w:val="right" w:leader="dot" w:pos="9350"/>
            </w:tabs>
            <w:rPr>
              <w:rFonts w:eastAsiaTheme="minorEastAsia"/>
              <w:noProof/>
            </w:rPr>
          </w:pPr>
          <w:hyperlink w:anchor="_Toc236650644" w:history="1">
            <w:r w:rsidRPr="003C568A">
              <w:rPr>
                <w:rStyle w:val="Hyperlink"/>
                <w:noProof/>
              </w:rPr>
              <w:t>3.3 Place</w:t>
            </w:r>
            <w:r>
              <w:rPr>
                <w:noProof/>
                <w:webHidden/>
              </w:rPr>
              <w:tab/>
            </w:r>
            <w:r>
              <w:rPr>
                <w:noProof/>
                <w:webHidden/>
              </w:rPr>
              <w:fldChar w:fldCharType="begin"/>
            </w:r>
            <w:r>
              <w:rPr>
                <w:noProof/>
                <w:webHidden/>
              </w:rPr>
              <w:instrText xml:space="preserve"> PAGEREF _Toc236650644 \h </w:instrText>
            </w:r>
            <w:r>
              <w:rPr>
                <w:noProof/>
                <w:webHidden/>
              </w:rPr>
            </w:r>
            <w:r>
              <w:rPr>
                <w:noProof/>
                <w:webHidden/>
              </w:rPr>
              <w:fldChar w:fldCharType="separate"/>
            </w:r>
            <w:r>
              <w:rPr>
                <w:noProof/>
                <w:webHidden/>
              </w:rPr>
              <w:t>9</w:t>
            </w:r>
            <w:r>
              <w:rPr>
                <w:noProof/>
                <w:webHidden/>
              </w:rPr>
              <w:fldChar w:fldCharType="end"/>
            </w:r>
          </w:hyperlink>
        </w:p>
        <w:p w14:paraId="670A3691" w14:textId="2F003D67" w:rsidR="00E51DF7" w:rsidRDefault="00E51DF7">
          <w:pPr>
            <w:pStyle w:val="TOC2"/>
            <w:tabs>
              <w:tab w:val="right" w:leader="dot" w:pos="9350"/>
            </w:tabs>
            <w:rPr>
              <w:rFonts w:eastAsiaTheme="minorEastAsia"/>
              <w:noProof/>
            </w:rPr>
          </w:pPr>
          <w:hyperlink w:anchor="_Toc236650645" w:history="1">
            <w:r w:rsidRPr="003C568A">
              <w:rPr>
                <w:rStyle w:val="Hyperlink"/>
                <w:noProof/>
              </w:rPr>
              <w:t>3.4 Promotion</w:t>
            </w:r>
            <w:r>
              <w:rPr>
                <w:noProof/>
                <w:webHidden/>
              </w:rPr>
              <w:tab/>
            </w:r>
            <w:r>
              <w:rPr>
                <w:noProof/>
                <w:webHidden/>
              </w:rPr>
              <w:fldChar w:fldCharType="begin"/>
            </w:r>
            <w:r>
              <w:rPr>
                <w:noProof/>
                <w:webHidden/>
              </w:rPr>
              <w:instrText xml:space="preserve"> PAGEREF _Toc236650645 \h </w:instrText>
            </w:r>
            <w:r>
              <w:rPr>
                <w:noProof/>
                <w:webHidden/>
              </w:rPr>
            </w:r>
            <w:r>
              <w:rPr>
                <w:noProof/>
                <w:webHidden/>
              </w:rPr>
              <w:fldChar w:fldCharType="separate"/>
            </w:r>
            <w:r>
              <w:rPr>
                <w:noProof/>
                <w:webHidden/>
              </w:rPr>
              <w:t>10</w:t>
            </w:r>
            <w:r>
              <w:rPr>
                <w:noProof/>
                <w:webHidden/>
              </w:rPr>
              <w:fldChar w:fldCharType="end"/>
            </w:r>
          </w:hyperlink>
        </w:p>
        <w:p w14:paraId="0DDC4DCB" w14:textId="3DE505BA" w:rsidR="00E51DF7" w:rsidRDefault="00E51DF7">
          <w:pPr>
            <w:pStyle w:val="TOC2"/>
            <w:tabs>
              <w:tab w:val="right" w:leader="dot" w:pos="9350"/>
            </w:tabs>
            <w:rPr>
              <w:rFonts w:eastAsiaTheme="minorEastAsia"/>
              <w:noProof/>
            </w:rPr>
          </w:pPr>
          <w:hyperlink w:anchor="_Toc236650646" w:history="1">
            <w:r w:rsidRPr="003C568A">
              <w:rPr>
                <w:rStyle w:val="Hyperlink"/>
                <w:noProof/>
              </w:rPr>
              <w:t>3.5 People</w:t>
            </w:r>
            <w:r>
              <w:rPr>
                <w:noProof/>
                <w:webHidden/>
              </w:rPr>
              <w:tab/>
            </w:r>
            <w:r>
              <w:rPr>
                <w:noProof/>
                <w:webHidden/>
              </w:rPr>
              <w:fldChar w:fldCharType="begin"/>
            </w:r>
            <w:r>
              <w:rPr>
                <w:noProof/>
                <w:webHidden/>
              </w:rPr>
              <w:instrText xml:space="preserve"> PAGEREF _Toc236650646 \h </w:instrText>
            </w:r>
            <w:r>
              <w:rPr>
                <w:noProof/>
                <w:webHidden/>
              </w:rPr>
            </w:r>
            <w:r>
              <w:rPr>
                <w:noProof/>
                <w:webHidden/>
              </w:rPr>
              <w:fldChar w:fldCharType="separate"/>
            </w:r>
            <w:r>
              <w:rPr>
                <w:noProof/>
                <w:webHidden/>
              </w:rPr>
              <w:t>10</w:t>
            </w:r>
            <w:r>
              <w:rPr>
                <w:noProof/>
                <w:webHidden/>
              </w:rPr>
              <w:fldChar w:fldCharType="end"/>
            </w:r>
          </w:hyperlink>
        </w:p>
        <w:p w14:paraId="57A1148D" w14:textId="6D164D5B" w:rsidR="00E51DF7" w:rsidRDefault="00E51DF7">
          <w:pPr>
            <w:pStyle w:val="TOC2"/>
            <w:tabs>
              <w:tab w:val="right" w:leader="dot" w:pos="9350"/>
            </w:tabs>
            <w:rPr>
              <w:rFonts w:eastAsiaTheme="minorEastAsia"/>
              <w:noProof/>
            </w:rPr>
          </w:pPr>
          <w:hyperlink w:anchor="_Toc236650647" w:history="1">
            <w:r w:rsidRPr="003C568A">
              <w:rPr>
                <w:rStyle w:val="Hyperlink"/>
                <w:noProof/>
              </w:rPr>
              <w:t>3.6 Process</w:t>
            </w:r>
            <w:r>
              <w:rPr>
                <w:noProof/>
                <w:webHidden/>
              </w:rPr>
              <w:tab/>
            </w:r>
            <w:r>
              <w:rPr>
                <w:noProof/>
                <w:webHidden/>
              </w:rPr>
              <w:fldChar w:fldCharType="begin"/>
            </w:r>
            <w:r>
              <w:rPr>
                <w:noProof/>
                <w:webHidden/>
              </w:rPr>
              <w:instrText xml:space="preserve"> PAGEREF _Toc236650647 \h </w:instrText>
            </w:r>
            <w:r>
              <w:rPr>
                <w:noProof/>
                <w:webHidden/>
              </w:rPr>
            </w:r>
            <w:r>
              <w:rPr>
                <w:noProof/>
                <w:webHidden/>
              </w:rPr>
              <w:fldChar w:fldCharType="separate"/>
            </w:r>
            <w:r>
              <w:rPr>
                <w:noProof/>
                <w:webHidden/>
              </w:rPr>
              <w:t>11</w:t>
            </w:r>
            <w:r>
              <w:rPr>
                <w:noProof/>
                <w:webHidden/>
              </w:rPr>
              <w:fldChar w:fldCharType="end"/>
            </w:r>
          </w:hyperlink>
        </w:p>
        <w:p w14:paraId="599E3AB7" w14:textId="7803EB80" w:rsidR="00E51DF7" w:rsidRDefault="00E51DF7">
          <w:pPr>
            <w:pStyle w:val="TOC2"/>
            <w:tabs>
              <w:tab w:val="right" w:leader="dot" w:pos="9350"/>
            </w:tabs>
            <w:rPr>
              <w:rFonts w:eastAsiaTheme="minorEastAsia"/>
              <w:noProof/>
            </w:rPr>
          </w:pPr>
          <w:hyperlink w:anchor="_Toc236650648" w:history="1">
            <w:r w:rsidRPr="003C568A">
              <w:rPr>
                <w:rStyle w:val="Hyperlink"/>
                <w:noProof/>
              </w:rPr>
              <w:t>3.7 Physical Evidence</w:t>
            </w:r>
            <w:r>
              <w:rPr>
                <w:noProof/>
                <w:webHidden/>
              </w:rPr>
              <w:tab/>
            </w:r>
            <w:r>
              <w:rPr>
                <w:noProof/>
                <w:webHidden/>
              </w:rPr>
              <w:fldChar w:fldCharType="begin"/>
            </w:r>
            <w:r>
              <w:rPr>
                <w:noProof/>
                <w:webHidden/>
              </w:rPr>
              <w:instrText xml:space="preserve"> PAGEREF _Toc236650648 \h </w:instrText>
            </w:r>
            <w:r>
              <w:rPr>
                <w:noProof/>
                <w:webHidden/>
              </w:rPr>
            </w:r>
            <w:r>
              <w:rPr>
                <w:noProof/>
                <w:webHidden/>
              </w:rPr>
              <w:fldChar w:fldCharType="separate"/>
            </w:r>
            <w:r>
              <w:rPr>
                <w:noProof/>
                <w:webHidden/>
              </w:rPr>
              <w:t>11</w:t>
            </w:r>
            <w:r>
              <w:rPr>
                <w:noProof/>
                <w:webHidden/>
              </w:rPr>
              <w:fldChar w:fldCharType="end"/>
            </w:r>
          </w:hyperlink>
        </w:p>
        <w:p w14:paraId="263F61FD" w14:textId="309B2B96" w:rsidR="00E51DF7" w:rsidRDefault="00E51DF7">
          <w:pPr>
            <w:pStyle w:val="TOC1"/>
            <w:tabs>
              <w:tab w:val="right" w:leader="dot" w:pos="9350"/>
            </w:tabs>
            <w:rPr>
              <w:rFonts w:eastAsiaTheme="minorEastAsia"/>
              <w:noProof/>
            </w:rPr>
          </w:pPr>
          <w:hyperlink w:anchor="_Toc236650649" w:history="1">
            <w:r w:rsidRPr="003C568A">
              <w:rPr>
                <w:rStyle w:val="Hyperlink"/>
                <w:noProof/>
              </w:rPr>
              <w:t>Element 4: Reflection</w:t>
            </w:r>
            <w:r>
              <w:rPr>
                <w:noProof/>
                <w:webHidden/>
              </w:rPr>
              <w:tab/>
            </w:r>
            <w:r>
              <w:rPr>
                <w:noProof/>
                <w:webHidden/>
              </w:rPr>
              <w:fldChar w:fldCharType="begin"/>
            </w:r>
            <w:r>
              <w:rPr>
                <w:noProof/>
                <w:webHidden/>
              </w:rPr>
              <w:instrText xml:space="preserve"> PAGEREF _Toc236650649 \h </w:instrText>
            </w:r>
            <w:r>
              <w:rPr>
                <w:noProof/>
                <w:webHidden/>
              </w:rPr>
            </w:r>
            <w:r>
              <w:rPr>
                <w:noProof/>
                <w:webHidden/>
              </w:rPr>
              <w:fldChar w:fldCharType="separate"/>
            </w:r>
            <w:r>
              <w:rPr>
                <w:noProof/>
                <w:webHidden/>
              </w:rPr>
              <w:t>12</w:t>
            </w:r>
            <w:r>
              <w:rPr>
                <w:noProof/>
                <w:webHidden/>
              </w:rPr>
              <w:fldChar w:fldCharType="end"/>
            </w:r>
          </w:hyperlink>
        </w:p>
        <w:p w14:paraId="689EE2C7" w14:textId="7FF59856" w:rsidR="00E51DF7" w:rsidRDefault="00E51DF7">
          <w:pPr>
            <w:pStyle w:val="TOC2"/>
            <w:tabs>
              <w:tab w:val="right" w:leader="dot" w:pos="9350"/>
            </w:tabs>
            <w:rPr>
              <w:rFonts w:eastAsiaTheme="minorEastAsia"/>
              <w:noProof/>
            </w:rPr>
          </w:pPr>
          <w:hyperlink w:anchor="_Toc236650650" w:history="1">
            <w:r w:rsidRPr="003C568A">
              <w:rPr>
                <w:rStyle w:val="Hyperlink"/>
                <w:noProof/>
              </w:rPr>
              <w:t>4.1 Description</w:t>
            </w:r>
            <w:r>
              <w:rPr>
                <w:noProof/>
                <w:webHidden/>
              </w:rPr>
              <w:tab/>
            </w:r>
            <w:r>
              <w:rPr>
                <w:noProof/>
                <w:webHidden/>
              </w:rPr>
              <w:fldChar w:fldCharType="begin"/>
            </w:r>
            <w:r>
              <w:rPr>
                <w:noProof/>
                <w:webHidden/>
              </w:rPr>
              <w:instrText xml:space="preserve"> PAGEREF _Toc236650650 \h </w:instrText>
            </w:r>
            <w:r>
              <w:rPr>
                <w:noProof/>
                <w:webHidden/>
              </w:rPr>
            </w:r>
            <w:r>
              <w:rPr>
                <w:noProof/>
                <w:webHidden/>
              </w:rPr>
              <w:fldChar w:fldCharType="separate"/>
            </w:r>
            <w:r>
              <w:rPr>
                <w:noProof/>
                <w:webHidden/>
              </w:rPr>
              <w:t>12</w:t>
            </w:r>
            <w:r>
              <w:rPr>
                <w:noProof/>
                <w:webHidden/>
              </w:rPr>
              <w:fldChar w:fldCharType="end"/>
            </w:r>
          </w:hyperlink>
        </w:p>
        <w:p w14:paraId="326ECB27" w14:textId="7B9A1DB6" w:rsidR="00E51DF7" w:rsidRDefault="00E51DF7">
          <w:pPr>
            <w:pStyle w:val="TOC2"/>
            <w:tabs>
              <w:tab w:val="right" w:leader="dot" w:pos="9350"/>
            </w:tabs>
            <w:rPr>
              <w:rFonts w:eastAsiaTheme="minorEastAsia"/>
              <w:noProof/>
            </w:rPr>
          </w:pPr>
          <w:hyperlink w:anchor="_Toc236650651" w:history="1">
            <w:r w:rsidRPr="003C568A">
              <w:rPr>
                <w:rStyle w:val="Hyperlink"/>
                <w:noProof/>
              </w:rPr>
              <w:t>4.2 Feelings</w:t>
            </w:r>
            <w:r>
              <w:rPr>
                <w:noProof/>
                <w:webHidden/>
              </w:rPr>
              <w:tab/>
            </w:r>
            <w:r>
              <w:rPr>
                <w:noProof/>
                <w:webHidden/>
              </w:rPr>
              <w:fldChar w:fldCharType="begin"/>
            </w:r>
            <w:r>
              <w:rPr>
                <w:noProof/>
                <w:webHidden/>
              </w:rPr>
              <w:instrText xml:space="preserve"> PAGEREF _Toc236650651 \h </w:instrText>
            </w:r>
            <w:r>
              <w:rPr>
                <w:noProof/>
                <w:webHidden/>
              </w:rPr>
            </w:r>
            <w:r>
              <w:rPr>
                <w:noProof/>
                <w:webHidden/>
              </w:rPr>
              <w:fldChar w:fldCharType="separate"/>
            </w:r>
            <w:r>
              <w:rPr>
                <w:noProof/>
                <w:webHidden/>
              </w:rPr>
              <w:t>12</w:t>
            </w:r>
            <w:r>
              <w:rPr>
                <w:noProof/>
                <w:webHidden/>
              </w:rPr>
              <w:fldChar w:fldCharType="end"/>
            </w:r>
          </w:hyperlink>
        </w:p>
        <w:p w14:paraId="5F746F5B" w14:textId="6B685903" w:rsidR="00E51DF7" w:rsidRDefault="00E51DF7">
          <w:pPr>
            <w:pStyle w:val="TOC2"/>
            <w:tabs>
              <w:tab w:val="right" w:leader="dot" w:pos="9350"/>
            </w:tabs>
            <w:rPr>
              <w:rFonts w:eastAsiaTheme="minorEastAsia"/>
              <w:noProof/>
            </w:rPr>
          </w:pPr>
          <w:hyperlink w:anchor="_Toc236650652" w:history="1">
            <w:r w:rsidRPr="003C568A">
              <w:rPr>
                <w:rStyle w:val="Hyperlink"/>
                <w:noProof/>
              </w:rPr>
              <w:t>4.3 Evaluation</w:t>
            </w:r>
            <w:r>
              <w:rPr>
                <w:noProof/>
                <w:webHidden/>
              </w:rPr>
              <w:tab/>
            </w:r>
            <w:r>
              <w:rPr>
                <w:noProof/>
                <w:webHidden/>
              </w:rPr>
              <w:fldChar w:fldCharType="begin"/>
            </w:r>
            <w:r>
              <w:rPr>
                <w:noProof/>
                <w:webHidden/>
              </w:rPr>
              <w:instrText xml:space="preserve"> PAGEREF _Toc236650652 \h </w:instrText>
            </w:r>
            <w:r>
              <w:rPr>
                <w:noProof/>
                <w:webHidden/>
              </w:rPr>
            </w:r>
            <w:r>
              <w:rPr>
                <w:noProof/>
                <w:webHidden/>
              </w:rPr>
              <w:fldChar w:fldCharType="separate"/>
            </w:r>
            <w:r>
              <w:rPr>
                <w:noProof/>
                <w:webHidden/>
              </w:rPr>
              <w:t>13</w:t>
            </w:r>
            <w:r>
              <w:rPr>
                <w:noProof/>
                <w:webHidden/>
              </w:rPr>
              <w:fldChar w:fldCharType="end"/>
            </w:r>
          </w:hyperlink>
        </w:p>
        <w:p w14:paraId="10E0EE3F" w14:textId="304E7DFF" w:rsidR="00E51DF7" w:rsidRDefault="00E51DF7">
          <w:pPr>
            <w:pStyle w:val="TOC2"/>
            <w:tabs>
              <w:tab w:val="right" w:leader="dot" w:pos="9350"/>
            </w:tabs>
            <w:rPr>
              <w:rFonts w:eastAsiaTheme="minorEastAsia"/>
              <w:noProof/>
            </w:rPr>
          </w:pPr>
          <w:hyperlink w:anchor="_Toc236650653" w:history="1">
            <w:r w:rsidRPr="003C568A">
              <w:rPr>
                <w:rStyle w:val="Hyperlink"/>
                <w:noProof/>
              </w:rPr>
              <w:t>4.4 Analysis</w:t>
            </w:r>
            <w:r>
              <w:rPr>
                <w:noProof/>
                <w:webHidden/>
              </w:rPr>
              <w:tab/>
            </w:r>
            <w:r>
              <w:rPr>
                <w:noProof/>
                <w:webHidden/>
              </w:rPr>
              <w:fldChar w:fldCharType="begin"/>
            </w:r>
            <w:r>
              <w:rPr>
                <w:noProof/>
                <w:webHidden/>
              </w:rPr>
              <w:instrText xml:space="preserve"> PAGEREF _Toc236650653 \h </w:instrText>
            </w:r>
            <w:r>
              <w:rPr>
                <w:noProof/>
                <w:webHidden/>
              </w:rPr>
            </w:r>
            <w:r>
              <w:rPr>
                <w:noProof/>
                <w:webHidden/>
              </w:rPr>
              <w:fldChar w:fldCharType="separate"/>
            </w:r>
            <w:r>
              <w:rPr>
                <w:noProof/>
                <w:webHidden/>
              </w:rPr>
              <w:t>13</w:t>
            </w:r>
            <w:r>
              <w:rPr>
                <w:noProof/>
                <w:webHidden/>
              </w:rPr>
              <w:fldChar w:fldCharType="end"/>
            </w:r>
          </w:hyperlink>
        </w:p>
        <w:p w14:paraId="2020A7DA" w14:textId="322643D1" w:rsidR="00E51DF7" w:rsidRDefault="00E51DF7">
          <w:pPr>
            <w:pStyle w:val="TOC2"/>
            <w:tabs>
              <w:tab w:val="right" w:leader="dot" w:pos="9350"/>
            </w:tabs>
            <w:rPr>
              <w:rFonts w:eastAsiaTheme="minorEastAsia"/>
              <w:noProof/>
            </w:rPr>
          </w:pPr>
          <w:hyperlink w:anchor="_Toc236650654" w:history="1">
            <w:r w:rsidRPr="003C568A">
              <w:rPr>
                <w:rStyle w:val="Hyperlink"/>
                <w:noProof/>
              </w:rPr>
              <w:t>4.5 Conclusion</w:t>
            </w:r>
            <w:r>
              <w:rPr>
                <w:noProof/>
                <w:webHidden/>
              </w:rPr>
              <w:tab/>
            </w:r>
            <w:r>
              <w:rPr>
                <w:noProof/>
                <w:webHidden/>
              </w:rPr>
              <w:fldChar w:fldCharType="begin"/>
            </w:r>
            <w:r>
              <w:rPr>
                <w:noProof/>
                <w:webHidden/>
              </w:rPr>
              <w:instrText xml:space="preserve"> PAGEREF _Toc236650654 \h </w:instrText>
            </w:r>
            <w:r>
              <w:rPr>
                <w:noProof/>
                <w:webHidden/>
              </w:rPr>
            </w:r>
            <w:r>
              <w:rPr>
                <w:noProof/>
                <w:webHidden/>
              </w:rPr>
              <w:fldChar w:fldCharType="separate"/>
            </w:r>
            <w:r>
              <w:rPr>
                <w:noProof/>
                <w:webHidden/>
              </w:rPr>
              <w:t>13</w:t>
            </w:r>
            <w:r>
              <w:rPr>
                <w:noProof/>
                <w:webHidden/>
              </w:rPr>
              <w:fldChar w:fldCharType="end"/>
            </w:r>
          </w:hyperlink>
        </w:p>
        <w:p w14:paraId="1FD41C2E" w14:textId="20FA7A57" w:rsidR="00E51DF7" w:rsidRDefault="00E51DF7">
          <w:pPr>
            <w:pStyle w:val="TOC2"/>
            <w:tabs>
              <w:tab w:val="right" w:leader="dot" w:pos="9350"/>
            </w:tabs>
            <w:rPr>
              <w:rFonts w:eastAsiaTheme="minorEastAsia"/>
              <w:noProof/>
            </w:rPr>
          </w:pPr>
          <w:hyperlink w:anchor="_Toc236650655" w:history="1">
            <w:r w:rsidRPr="003C568A">
              <w:rPr>
                <w:rStyle w:val="Hyperlink"/>
                <w:noProof/>
              </w:rPr>
              <w:t>4.6 Action Plan</w:t>
            </w:r>
            <w:r>
              <w:rPr>
                <w:noProof/>
                <w:webHidden/>
              </w:rPr>
              <w:tab/>
            </w:r>
            <w:r>
              <w:rPr>
                <w:noProof/>
                <w:webHidden/>
              </w:rPr>
              <w:fldChar w:fldCharType="begin"/>
            </w:r>
            <w:r>
              <w:rPr>
                <w:noProof/>
                <w:webHidden/>
              </w:rPr>
              <w:instrText xml:space="preserve"> PAGEREF _Toc236650655 \h </w:instrText>
            </w:r>
            <w:r>
              <w:rPr>
                <w:noProof/>
                <w:webHidden/>
              </w:rPr>
            </w:r>
            <w:r>
              <w:rPr>
                <w:noProof/>
                <w:webHidden/>
              </w:rPr>
              <w:fldChar w:fldCharType="separate"/>
            </w:r>
            <w:r>
              <w:rPr>
                <w:noProof/>
                <w:webHidden/>
              </w:rPr>
              <w:t>14</w:t>
            </w:r>
            <w:r>
              <w:rPr>
                <w:noProof/>
                <w:webHidden/>
              </w:rPr>
              <w:fldChar w:fldCharType="end"/>
            </w:r>
          </w:hyperlink>
        </w:p>
        <w:p w14:paraId="2749DD37" w14:textId="1E91FA84" w:rsidR="00E51DF7" w:rsidRDefault="00E51DF7">
          <w:pPr>
            <w:pStyle w:val="TOC1"/>
            <w:tabs>
              <w:tab w:val="right" w:leader="dot" w:pos="9350"/>
            </w:tabs>
            <w:rPr>
              <w:rFonts w:eastAsiaTheme="minorEastAsia"/>
              <w:noProof/>
            </w:rPr>
          </w:pPr>
          <w:hyperlink w:anchor="_Toc236650656" w:history="1">
            <w:r w:rsidRPr="003C568A">
              <w:rPr>
                <w:rStyle w:val="Hyperlink"/>
                <w:noProof/>
              </w:rPr>
              <w:t>References:</w:t>
            </w:r>
            <w:r>
              <w:rPr>
                <w:noProof/>
                <w:webHidden/>
              </w:rPr>
              <w:tab/>
            </w:r>
            <w:r>
              <w:rPr>
                <w:noProof/>
                <w:webHidden/>
              </w:rPr>
              <w:fldChar w:fldCharType="begin"/>
            </w:r>
            <w:r>
              <w:rPr>
                <w:noProof/>
                <w:webHidden/>
              </w:rPr>
              <w:instrText xml:space="preserve"> PAGEREF _Toc236650656 \h </w:instrText>
            </w:r>
            <w:r>
              <w:rPr>
                <w:noProof/>
                <w:webHidden/>
              </w:rPr>
            </w:r>
            <w:r>
              <w:rPr>
                <w:noProof/>
                <w:webHidden/>
              </w:rPr>
              <w:fldChar w:fldCharType="separate"/>
            </w:r>
            <w:r>
              <w:rPr>
                <w:noProof/>
                <w:webHidden/>
              </w:rPr>
              <w:t>15</w:t>
            </w:r>
            <w:r>
              <w:rPr>
                <w:noProof/>
                <w:webHidden/>
              </w:rPr>
              <w:fldChar w:fldCharType="end"/>
            </w:r>
          </w:hyperlink>
        </w:p>
        <w:p w14:paraId="6BFED9A1" w14:textId="57B84BEA" w:rsidR="00A6790C" w:rsidRDefault="00A6790C">
          <w:r>
            <w:rPr>
              <w:b/>
              <w:bCs/>
              <w:noProof/>
            </w:rPr>
            <w:fldChar w:fldCharType="end"/>
          </w:r>
        </w:p>
      </w:sdtContent>
    </w:sdt>
    <w:p w14:paraId="4B42AFDF" w14:textId="77777777" w:rsidR="00A6790C" w:rsidRDefault="00A6790C" w:rsidP="00A6790C">
      <w:pPr>
        <w:spacing w:line="360" w:lineRule="auto"/>
      </w:pPr>
    </w:p>
    <w:p w14:paraId="3A63B1BC" w14:textId="77777777" w:rsidR="00A6790C" w:rsidRDefault="00A6790C" w:rsidP="00A6790C">
      <w:pPr>
        <w:spacing w:line="360" w:lineRule="auto"/>
      </w:pPr>
    </w:p>
    <w:p w14:paraId="0DC81A4F" w14:textId="77777777" w:rsidR="00A6790C" w:rsidRDefault="00A6790C" w:rsidP="00A6790C">
      <w:pPr>
        <w:spacing w:line="360" w:lineRule="auto"/>
      </w:pPr>
    </w:p>
    <w:p w14:paraId="0ABC9C8A" w14:textId="77777777" w:rsidR="00A6790C" w:rsidRDefault="00A6790C" w:rsidP="00A6790C">
      <w:pPr>
        <w:spacing w:line="360" w:lineRule="auto"/>
      </w:pPr>
    </w:p>
    <w:p w14:paraId="7E540FAA" w14:textId="40131932" w:rsidR="00A6790C" w:rsidRDefault="00ED33D2" w:rsidP="00A6790C">
      <w:pPr>
        <w:spacing w:line="360" w:lineRule="auto"/>
      </w:pPr>
      <w:r>
        <w:t>Table of Figure</w:t>
      </w:r>
    </w:p>
    <w:p w14:paraId="72DA0D5E" w14:textId="01358F61" w:rsidR="00ED33D2" w:rsidRDefault="00ED33D2">
      <w:pPr>
        <w:pStyle w:val="TableofFigures"/>
        <w:tabs>
          <w:tab w:val="right" w:leader="dot" w:pos="9350"/>
        </w:tabs>
        <w:rPr>
          <w:rFonts w:eastAsiaTheme="minorEastAsia"/>
          <w:noProof/>
        </w:rPr>
      </w:pPr>
      <w:r>
        <w:fldChar w:fldCharType="begin"/>
      </w:r>
      <w:r>
        <w:instrText xml:space="preserve"> TOC \h \z \c "Figure" </w:instrText>
      </w:r>
      <w:r>
        <w:fldChar w:fldCharType="separate"/>
      </w:r>
      <w:hyperlink w:anchor="_Toc236650403" w:history="1">
        <w:r w:rsidRPr="006C3693">
          <w:rPr>
            <w:rStyle w:val="Hyperlink"/>
            <w:noProof/>
          </w:rPr>
          <w:t>Figure 1: adidas recycled-polyester share vs. global apparel industry average, 2018–2024</w:t>
        </w:r>
        <w:r>
          <w:rPr>
            <w:noProof/>
            <w:webHidden/>
          </w:rPr>
          <w:tab/>
        </w:r>
        <w:r>
          <w:rPr>
            <w:noProof/>
            <w:webHidden/>
          </w:rPr>
          <w:fldChar w:fldCharType="begin"/>
        </w:r>
        <w:r>
          <w:rPr>
            <w:noProof/>
            <w:webHidden/>
          </w:rPr>
          <w:instrText xml:space="preserve"> PAGEREF _Toc236650403 \h </w:instrText>
        </w:r>
        <w:r>
          <w:rPr>
            <w:noProof/>
            <w:webHidden/>
          </w:rPr>
        </w:r>
        <w:r>
          <w:rPr>
            <w:noProof/>
            <w:webHidden/>
          </w:rPr>
          <w:fldChar w:fldCharType="separate"/>
        </w:r>
        <w:r>
          <w:rPr>
            <w:noProof/>
            <w:webHidden/>
          </w:rPr>
          <w:t>4</w:t>
        </w:r>
        <w:r>
          <w:rPr>
            <w:noProof/>
            <w:webHidden/>
          </w:rPr>
          <w:fldChar w:fldCharType="end"/>
        </w:r>
      </w:hyperlink>
    </w:p>
    <w:p w14:paraId="323FC7A2" w14:textId="2FE6E673" w:rsidR="00ED33D2" w:rsidRDefault="00ED33D2">
      <w:pPr>
        <w:pStyle w:val="TableofFigures"/>
        <w:tabs>
          <w:tab w:val="right" w:leader="dot" w:pos="9350"/>
        </w:tabs>
        <w:rPr>
          <w:rFonts w:eastAsiaTheme="minorEastAsia"/>
          <w:noProof/>
        </w:rPr>
      </w:pPr>
      <w:hyperlink w:anchor="_Toc236650404" w:history="1">
        <w:r w:rsidRPr="006C3693">
          <w:rPr>
            <w:rStyle w:val="Hyperlink"/>
            <w:noProof/>
          </w:rPr>
          <w:t>Figure 2: Global fibre production (million tonnes) and recycled fibre share, 2020–2024.</w:t>
        </w:r>
        <w:r>
          <w:rPr>
            <w:noProof/>
            <w:webHidden/>
          </w:rPr>
          <w:tab/>
        </w:r>
        <w:r>
          <w:rPr>
            <w:noProof/>
            <w:webHidden/>
          </w:rPr>
          <w:fldChar w:fldCharType="begin"/>
        </w:r>
        <w:r>
          <w:rPr>
            <w:noProof/>
            <w:webHidden/>
          </w:rPr>
          <w:instrText xml:space="preserve"> PAGEREF _Toc236650404 \h </w:instrText>
        </w:r>
        <w:r>
          <w:rPr>
            <w:noProof/>
            <w:webHidden/>
          </w:rPr>
        </w:r>
        <w:r>
          <w:rPr>
            <w:noProof/>
            <w:webHidden/>
          </w:rPr>
          <w:fldChar w:fldCharType="separate"/>
        </w:r>
        <w:r>
          <w:rPr>
            <w:noProof/>
            <w:webHidden/>
          </w:rPr>
          <w:t>5</w:t>
        </w:r>
        <w:r>
          <w:rPr>
            <w:noProof/>
            <w:webHidden/>
          </w:rPr>
          <w:fldChar w:fldCharType="end"/>
        </w:r>
      </w:hyperlink>
    </w:p>
    <w:p w14:paraId="53DA6EB0" w14:textId="18041032" w:rsidR="00ED33D2" w:rsidRDefault="00ED33D2">
      <w:pPr>
        <w:pStyle w:val="TableofFigures"/>
        <w:tabs>
          <w:tab w:val="right" w:leader="dot" w:pos="9350"/>
        </w:tabs>
        <w:rPr>
          <w:rFonts w:eastAsiaTheme="minorEastAsia"/>
          <w:noProof/>
        </w:rPr>
      </w:pPr>
      <w:hyperlink w:anchor="_Toc236650405" w:history="1">
        <w:r w:rsidRPr="006C3693">
          <w:rPr>
            <w:rStyle w:val="Hyperlink"/>
            <w:noProof/>
          </w:rPr>
          <w:t>Figure 3: Perceptual positioning map: Performance credibility vs. Sustainability credibility.</w:t>
        </w:r>
        <w:r>
          <w:rPr>
            <w:noProof/>
            <w:webHidden/>
          </w:rPr>
          <w:tab/>
        </w:r>
        <w:r>
          <w:rPr>
            <w:noProof/>
            <w:webHidden/>
          </w:rPr>
          <w:fldChar w:fldCharType="begin"/>
        </w:r>
        <w:r>
          <w:rPr>
            <w:noProof/>
            <w:webHidden/>
          </w:rPr>
          <w:instrText xml:space="preserve"> PAGEREF _Toc236650405 \h </w:instrText>
        </w:r>
        <w:r>
          <w:rPr>
            <w:noProof/>
            <w:webHidden/>
          </w:rPr>
        </w:r>
        <w:r>
          <w:rPr>
            <w:noProof/>
            <w:webHidden/>
          </w:rPr>
          <w:fldChar w:fldCharType="separate"/>
        </w:r>
        <w:r>
          <w:rPr>
            <w:noProof/>
            <w:webHidden/>
          </w:rPr>
          <w:t>6</w:t>
        </w:r>
        <w:r>
          <w:rPr>
            <w:noProof/>
            <w:webHidden/>
          </w:rPr>
          <w:fldChar w:fldCharType="end"/>
        </w:r>
      </w:hyperlink>
    </w:p>
    <w:p w14:paraId="7DD531CC" w14:textId="3FB594BA" w:rsidR="00ED33D2" w:rsidRDefault="00ED33D2">
      <w:pPr>
        <w:pStyle w:val="TableofFigures"/>
        <w:tabs>
          <w:tab w:val="right" w:leader="dot" w:pos="9350"/>
        </w:tabs>
        <w:rPr>
          <w:rFonts w:eastAsiaTheme="minorEastAsia"/>
          <w:noProof/>
        </w:rPr>
      </w:pPr>
      <w:hyperlink w:anchor="_Toc236650406" w:history="1">
        <w:r w:rsidRPr="006C3693">
          <w:rPr>
            <w:rStyle w:val="Hyperlink"/>
            <w:noProof/>
          </w:rPr>
          <w:t>Figure 4: The 7Ps Marketing Mix framework</w:t>
        </w:r>
        <w:r>
          <w:rPr>
            <w:noProof/>
            <w:webHidden/>
          </w:rPr>
          <w:tab/>
        </w:r>
        <w:r>
          <w:rPr>
            <w:noProof/>
            <w:webHidden/>
          </w:rPr>
          <w:fldChar w:fldCharType="begin"/>
        </w:r>
        <w:r>
          <w:rPr>
            <w:noProof/>
            <w:webHidden/>
          </w:rPr>
          <w:instrText xml:space="preserve"> PAGEREF _Toc236650406 \h </w:instrText>
        </w:r>
        <w:r>
          <w:rPr>
            <w:noProof/>
            <w:webHidden/>
          </w:rPr>
        </w:r>
        <w:r>
          <w:rPr>
            <w:noProof/>
            <w:webHidden/>
          </w:rPr>
          <w:fldChar w:fldCharType="separate"/>
        </w:r>
        <w:r>
          <w:rPr>
            <w:noProof/>
            <w:webHidden/>
          </w:rPr>
          <w:t>8</w:t>
        </w:r>
        <w:r>
          <w:rPr>
            <w:noProof/>
            <w:webHidden/>
          </w:rPr>
          <w:fldChar w:fldCharType="end"/>
        </w:r>
      </w:hyperlink>
    </w:p>
    <w:p w14:paraId="76E45378" w14:textId="053B6AEC" w:rsidR="00ED33D2" w:rsidRDefault="00ED33D2">
      <w:pPr>
        <w:pStyle w:val="TableofFigures"/>
        <w:tabs>
          <w:tab w:val="right" w:leader="dot" w:pos="9350"/>
        </w:tabs>
        <w:rPr>
          <w:rFonts w:eastAsiaTheme="minorEastAsia"/>
          <w:noProof/>
        </w:rPr>
      </w:pPr>
      <w:hyperlink w:anchor="_Toc236650407" w:history="1">
        <w:r w:rsidRPr="006C3693">
          <w:rPr>
            <w:rStyle w:val="Hyperlink"/>
            <w:noProof/>
          </w:rPr>
          <w:t>Figure 5: Gibbs' Reflective Cycle.</w:t>
        </w:r>
        <w:r>
          <w:rPr>
            <w:noProof/>
            <w:webHidden/>
          </w:rPr>
          <w:tab/>
        </w:r>
        <w:r>
          <w:rPr>
            <w:noProof/>
            <w:webHidden/>
          </w:rPr>
          <w:fldChar w:fldCharType="begin"/>
        </w:r>
        <w:r>
          <w:rPr>
            <w:noProof/>
            <w:webHidden/>
          </w:rPr>
          <w:instrText xml:space="preserve"> PAGEREF _Toc236650407 \h </w:instrText>
        </w:r>
        <w:r>
          <w:rPr>
            <w:noProof/>
            <w:webHidden/>
          </w:rPr>
        </w:r>
        <w:r>
          <w:rPr>
            <w:noProof/>
            <w:webHidden/>
          </w:rPr>
          <w:fldChar w:fldCharType="separate"/>
        </w:r>
        <w:r>
          <w:rPr>
            <w:noProof/>
            <w:webHidden/>
          </w:rPr>
          <w:t>12</w:t>
        </w:r>
        <w:r>
          <w:rPr>
            <w:noProof/>
            <w:webHidden/>
          </w:rPr>
          <w:fldChar w:fldCharType="end"/>
        </w:r>
      </w:hyperlink>
    </w:p>
    <w:p w14:paraId="543DF65F" w14:textId="3063263E" w:rsidR="00ED33D2" w:rsidRDefault="00ED33D2" w:rsidP="00A6790C">
      <w:pPr>
        <w:spacing w:line="360" w:lineRule="auto"/>
      </w:pPr>
      <w:r>
        <w:fldChar w:fldCharType="end"/>
      </w:r>
    </w:p>
    <w:p w14:paraId="05E631B0" w14:textId="77777777" w:rsidR="00ED33D2" w:rsidRDefault="00ED33D2" w:rsidP="00A6790C">
      <w:pPr>
        <w:spacing w:line="360" w:lineRule="auto"/>
      </w:pPr>
    </w:p>
    <w:p w14:paraId="22FC3BB3" w14:textId="6B0CCE34" w:rsidR="00DB40F8" w:rsidRDefault="00DB40F8" w:rsidP="00ED33D2">
      <w:pPr>
        <w:spacing w:line="360" w:lineRule="auto"/>
        <w:sectPr w:rsidR="00DB40F8">
          <w:footerReference w:type="default" r:id="rId9"/>
          <w:pgSz w:w="12240" w:h="15840"/>
          <w:pgMar w:top="1440" w:right="1440" w:bottom="1440" w:left="1440" w:header="720" w:footer="720" w:gutter="0"/>
          <w:cols w:space="720"/>
          <w:docGrid w:linePitch="360"/>
        </w:sectPr>
      </w:pPr>
      <w:fldSimple w:instr=" TOC \h \z \c &quot;Figure&quot; "/>
      <w:bookmarkStart w:id="0" w:name="_Toc236646089"/>
    </w:p>
    <w:p w14:paraId="666F9ECC" w14:textId="11DE94B9" w:rsidR="00A004CA" w:rsidRDefault="00523B4A" w:rsidP="00A6790C">
      <w:pPr>
        <w:pStyle w:val="Heading1"/>
      </w:pPr>
      <w:bookmarkStart w:id="1" w:name="_Toc236650635"/>
      <w:r>
        <w:lastRenderedPageBreak/>
        <w:t xml:space="preserve">1. </w:t>
      </w:r>
      <w:r w:rsidR="007652AB" w:rsidRPr="007652AB">
        <w:t>Element 1: Sustainable Brand Extension Poster Presentation</w:t>
      </w:r>
      <w:bookmarkEnd w:id="0"/>
      <w:bookmarkEnd w:id="1"/>
    </w:p>
    <w:p w14:paraId="5DA13103" w14:textId="7C2C0F94" w:rsidR="00722088" w:rsidRPr="00722088" w:rsidRDefault="00722088" w:rsidP="00722088">
      <w:r>
        <w:rPr>
          <w:noProof/>
        </w:rPr>
        <w:drawing>
          <wp:inline distT="0" distB="0" distL="0" distR="0" wp14:anchorId="415E956E" wp14:editId="27BC8E33">
            <wp:extent cx="5820286" cy="7315200"/>
            <wp:effectExtent l="0" t="0" r="9525" b="0"/>
            <wp:docPr id="93892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92223" name="Picture 9389222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27771" cy="7324607"/>
                    </a:xfrm>
                    <a:prstGeom prst="rect">
                      <a:avLst/>
                    </a:prstGeom>
                  </pic:spPr>
                </pic:pic>
              </a:graphicData>
            </a:graphic>
          </wp:inline>
        </w:drawing>
      </w:r>
    </w:p>
    <w:p w14:paraId="17B9F9AC" w14:textId="4BB162CF" w:rsidR="007652AB" w:rsidRDefault="007652AB" w:rsidP="00A6790C">
      <w:pPr>
        <w:spacing w:line="360" w:lineRule="auto"/>
        <w:rPr>
          <w:rFonts w:ascii="Arial" w:hAnsi="Arial" w:cs="Arial"/>
        </w:rPr>
      </w:pPr>
      <w:r>
        <w:rPr>
          <w:rFonts w:ascii="Arial" w:hAnsi="Arial" w:cs="Arial"/>
        </w:rPr>
        <w:br w:type="page"/>
      </w:r>
    </w:p>
    <w:p w14:paraId="2BE713DF" w14:textId="34DB17EB" w:rsidR="007652AB" w:rsidRPr="00646249" w:rsidRDefault="00646249" w:rsidP="00A6790C">
      <w:pPr>
        <w:pStyle w:val="Heading1"/>
        <w:spacing w:line="360" w:lineRule="auto"/>
      </w:pPr>
      <w:bookmarkStart w:id="2" w:name="_Toc236646090"/>
      <w:bookmarkStart w:id="3" w:name="_Toc236650636"/>
      <w:r>
        <w:lastRenderedPageBreak/>
        <w:t xml:space="preserve">2. </w:t>
      </w:r>
      <w:r w:rsidR="00E071B5" w:rsidRPr="00646249">
        <w:t>Element 2: Segmentation, Targeting, Differentiation and Positioning (STDP) Analysis</w:t>
      </w:r>
      <w:bookmarkEnd w:id="2"/>
      <w:bookmarkEnd w:id="3"/>
    </w:p>
    <w:p w14:paraId="5CDAE40B" w14:textId="76452834" w:rsidR="004A1C2F" w:rsidRPr="00523B4A" w:rsidRDefault="004A1C2F" w:rsidP="00A6790C">
      <w:pPr>
        <w:pStyle w:val="Heading2"/>
        <w:spacing w:line="360" w:lineRule="auto"/>
      </w:pPr>
      <w:bookmarkStart w:id="4" w:name="_Toc236646091"/>
      <w:bookmarkStart w:id="5" w:name="_Toc236650637"/>
      <w:r w:rsidRPr="00646249">
        <w:t>2.1 Segmentation</w:t>
      </w:r>
      <w:bookmarkEnd w:id="4"/>
      <w:bookmarkEnd w:id="5"/>
    </w:p>
    <w:p w14:paraId="24ADABAD" w14:textId="7B68B3B8" w:rsidR="00523B4A" w:rsidRPr="00A326CC" w:rsidRDefault="00523B4A" w:rsidP="00A6790C">
      <w:pPr>
        <w:spacing w:line="360" w:lineRule="auto"/>
        <w:jc w:val="both"/>
        <w:rPr>
          <w:rFonts w:ascii="Arial" w:hAnsi="Arial" w:cs="Arial"/>
          <w:b/>
          <w:bCs/>
        </w:rPr>
      </w:pPr>
      <w:r w:rsidRPr="00A326CC">
        <w:rPr>
          <w:rFonts w:ascii="Arial" w:hAnsi="Arial" w:cs="Arial"/>
          <w:b/>
          <w:bCs/>
        </w:rPr>
        <w:t>Geographically</w:t>
      </w:r>
    </w:p>
    <w:p w14:paraId="385CFFC4" w14:textId="097372D5" w:rsidR="004A1C2F" w:rsidRDefault="004A1C2F" w:rsidP="00A6790C">
      <w:pPr>
        <w:spacing w:line="360" w:lineRule="auto"/>
        <w:jc w:val="both"/>
        <w:rPr>
          <w:rFonts w:ascii="Arial" w:hAnsi="Arial" w:cs="Arial"/>
        </w:rPr>
      </w:pPr>
      <w:r w:rsidRPr="004A1C2F">
        <w:rPr>
          <w:rFonts w:ascii="Arial" w:hAnsi="Arial" w:cs="Arial"/>
        </w:rPr>
        <w:t xml:space="preserve">Sustainability-wise, the biggest potential markets for Nike </w:t>
      </w:r>
      <w:r w:rsidR="00641324" w:rsidRPr="004A1C2F">
        <w:rPr>
          <w:rFonts w:ascii="Arial" w:hAnsi="Arial" w:cs="Arial"/>
        </w:rPr>
        <w:t>RE: LOOP</w:t>
      </w:r>
      <w:r w:rsidRPr="004A1C2F">
        <w:rPr>
          <w:rFonts w:ascii="Arial" w:hAnsi="Arial" w:cs="Arial"/>
        </w:rPr>
        <w:t xml:space="preserve"> are urban markets in North America, Western Europe and East Asia where the circular-economy and resale segments are best established. </w:t>
      </w:r>
      <w:r w:rsidR="004371A5">
        <w:rPr>
          <w:rFonts w:ascii="Arial" w:hAnsi="Arial" w:cs="Arial"/>
        </w:rPr>
        <w:fldChar w:fldCharType="begin" w:fldLock="1"/>
      </w:r>
      <w:r w:rsidR="00A6790C">
        <w:rPr>
          <w:rFonts w:ascii="Arial" w:hAnsi="Arial" w:cs="Arial"/>
        </w:rPr>
        <w:instrText>ADDIN CSL_CITATION {"citationItems":[{"id":"ITEM-1","itemData":{"URL":"https://newsroom.thredup.com/news/thredup-14th-resale-report","author":[{"dropping-particle":"","family":"ThredUp","given":"","non-dropping-particle":"","parse-names":false,"suffix":""}],"id":"ITEM-1","issued":{"date-parts":[["2026"]]},"title":"ThredUp’s 14th Annual Resale Report Reveals New Era of Structural Competition and AI-Driven Discovery","type":"webpage"},"uris":["http://www.mendeley.com/documents/?uuid=22ec2c4e-c902-493d-887b-9acd7ac704f6"]}],"mendeley":{"formattedCitation":"(ThredUp, 2026)","manualFormatting":"ThredUp (2026)","plainTextFormattedCitation":"(ThredUp, 2026)","previouslyFormattedCitation":"(ThredUp, 2026)"},"properties":{"noteIndex":0},"schema":"https://github.com/citation-style-language/schema/raw/master/csl-citation.json"}</w:instrText>
      </w:r>
      <w:r w:rsidR="004371A5">
        <w:rPr>
          <w:rFonts w:ascii="Arial" w:hAnsi="Arial" w:cs="Arial"/>
        </w:rPr>
        <w:fldChar w:fldCharType="separate"/>
      </w:r>
      <w:r w:rsidR="004371A5" w:rsidRPr="004371A5">
        <w:rPr>
          <w:rFonts w:ascii="Arial" w:hAnsi="Arial" w:cs="Arial"/>
          <w:noProof/>
        </w:rPr>
        <w:t xml:space="preserve">ThredUp </w:t>
      </w:r>
      <w:r w:rsidR="004371A5">
        <w:rPr>
          <w:rFonts w:ascii="Arial" w:hAnsi="Arial" w:cs="Arial"/>
          <w:noProof/>
        </w:rPr>
        <w:t>(</w:t>
      </w:r>
      <w:r w:rsidR="004371A5" w:rsidRPr="004371A5">
        <w:rPr>
          <w:rFonts w:ascii="Arial" w:hAnsi="Arial" w:cs="Arial"/>
          <w:noProof/>
        </w:rPr>
        <w:t>2026)</w:t>
      </w:r>
      <w:r w:rsidR="004371A5">
        <w:rPr>
          <w:rFonts w:ascii="Arial" w:hAnsi="Arial" w:cs="Arial"/>
        </w:rPr>
        <w:fldChar w:fldCharType="end"/>
      </w:r>
      <w:r w:rsidRPr="004A1C2F">
        <w:rPr>
          <w:rFonts w:ascii="Arial" w:hAnsi="Arial" w:cs="Arial"/>
        </w:rPr>
        <w:t xml:space="preserve"> forecasts that </w:t>
      </w:r>
      <w:r w:rsidR="00A6790C">
        <w:rPr>
          <w:rFonts w:ascii="Arial" w:hAnsi="Arial" w:cs="Arial"/>
        </w:rPr>
        <w:t xml:space="preserve">the </w:t>
      </w:r>
      <w:r w:rsidRPr="004A1C2F">
        <w:rPr>
          <w:rFonts w:ascii="Arial" w:hAnsi="Arial" w:cs="Arial"/>
        </w:rPr>
        <w:t>global secondhand apparel market will grow at about 9% CAGR to reach $393 billion by 2030</w:t>
      </w:r>
      <w:r w:rsidR="00A6790C">
        <w:rPr>
          <w:rFonts w:ascii="Arial" w:hAnsi="Arial" w:cs="Arial"/>
        </w:rPr>
        <w:t>,</w:t>
      </w:r>
      <w:r w:rsidRPr="004A1C2F">
        <w:rPr>
          <w:rFonts w:ascii="Arial" w:hAnsi="Arial" w:cs="Arial"/>
        </w:rPr>
        <w:t xml:space="preserve"> and North America and Europe will witness the maximum growth in the secondhand apparel market.</w:t>
      </w:r>
    </w:p>
    <w:p w14:paraId="0089EA66" w14:textId="6F3FFEC4" w:rsidR="00523B4A" w:rsidRPr="00A326CC" w:rsidRDefault="00523B4A" w:rsidP="00A6790C">
      <w:pPr>
        <w:spacing w:line="360" w:lineRule="auto"/>
        <w:jc w:val="both"/>
        <w:rPr>
          <w:rFonts w:ascii="Arial" w:hAnsi="Arial" w:cs="Arial"/>
          <w:b/>
          <w:bCs/>
        </w:rPr>
      </w:pPr>
      <w:r w:rsidRPr="00A326CC">
        <w:rPr>
          <w:rFonts w:ascii="Arial" w:hAnsi="Arial" w:cs="Arial"/>
          <w:b/>
          <w:bCs/>
        </w:rPr>
        <w:t>Demographically</w:t>
      </w:r>
    </w:p>
    <w:p w14:paraId="64E688E9" w14:textId="6F726310" w:rsidR="004A1C2F" w:rsidRDefault="004A1C2F" w:rsidP="00A6790C">
      <w:pPr>
        <w:spacing w:line="360" w:lineRule="auto"/>
        <w:jc w:val="both"/>
        <w:rPr>
          <w:rFonts w:ascii="Arial" w:hAnsi="Arial" w:cs="Arial"/>
        </w:rPr>
      </w:pPr>
      <w:r w:rsidRPr="004A1C2F">
        <w:rPr>
          <w:rFonts w:ascii="Arial" w:hAnsi="Arial" w:cs="Arial"/>
        </w:rPr>
        <w:t xml:space="preserve">The segment is demographically defined as </w:t>
      </w:r>
      <w:r w:rsidR="00A6790C">
        <w:rPr>
          <w:rFonts w:ascii="Arial" w:hAnsi="Arial" w:cs="Arial"/>
        </w:rPr>
        <w:t xml:space="preserve">an </w:t>
      </w:r>
      <w:r w:rsidRPr="004A1C2F">
        <w:rPr>
          <w:rFonts w:ascii="Arial" w:hAnsi="Arial" w:cs="Arial"/>
        </w:rPr>
        <w:t>economically active age group (18–40) having enough money to afford top</w:t>
      </w:r>
      <w:r w:rsidR="00A6790C">
        <w:rPr>
          <w:rFonts w:ascii="Arial" w:hAnsi="Arial" w:cs="Arial"/>
        </w:rPr>
        <w:t>-</w:t>
      </w:r>
      <w:r w:rsidRPr="004A1C2F">
        <w:rPr>
          <w:rFonts w:ascii="Arial" w:hAnsi="Arial" w:cs="Arial"/>
        </w:rPr>
        <w:t>quality performance sportswear.</w:t>
      </w:r>
    </w:p>
    <w:p w14:paraId="5D7377B2" w14:textId="11282779" w:rsidR="00523B4A" w:rsidRPr="00523B4A" w:rsidRDefault="00523B4A" w:rsidP="00A6790C">
      <w:pPr>
        <w:spacing w:line="360" w:lineRule="auto"/>
        <w:jc w:val="both"/>
        <w:rPr>
          <w:rFonts w:ascii="Arial" w:hAnsi="Arial" w:cs="Arial"/>
          <w:b/>
          <w:bCs/>
        </w:rPr>
      </w:pPr>
      <w:proofErr w:type="spellStart"/>
      <w:r w:rsidRPr="00523B4A">
        <w:rPr>
          <w:rFonts w:ascii="Arial" w:hAnsi="Arial" w:cs="Arial"/>
          <w:b/>
          <w:bCs/>
        </w:rPr>
        <w:t>Psychographically</w:t>
      </w:r>
      <w:proofErr w:type="spellEnd"/>
    </w:p>
    <w:p w14:paraId="7B1F4FFF" w14:textId="74388D76" w:rsidR="004A1C2F" w:rsidRPr="004A1C2F" w:rsidRDefault="004A1C2F" w:rsidP="00A6790C">
      <w:pPr>
        <w:spacing w:line="360" w:lineRule="auto"/>
        <w:jc w:val="both"/>
        <w:rPr>
          <w:rFonts w:ascii="Arial" w:hAnsi="Arial" w:cs="Arial"/>
        </w:rPr>
      </w:pPr>
      <w:proofErr w:type="spellStart"/>
      <w:r w:rsidRPr="004A1C2F">
        <w:rPr>
          <w:rFonts w:ascii="Arial" w:hAnsi="Arial" w:cs="Arial"/>
        </w:rPr>
        <w:t>Psychographically</w:t>
      </w:r>
      <w:proofErr w:type="spellEnd"/>
      <w:r w:rsidRPr="004A1C2F">
        <w:rPr>
          <w:rFonts w:ascii="Arial" w:hAnsi="Arial" w:cs="Arial"/>
        </w:rPr>
        <w:t xml:space="preserve">, the variable distinguishing consumers is values-driven identity; consumers who believe sustainability is an integral part of their identity, vs. those for whom sustainable considerations are more an afterthought or are not a priority at all, in keeping with the framework outlined by Albrecht, Green and Hoffman </w:t>
      </w:r>
      <w:r w:rsidR="004371A5">
        <w:rPr>
          <w:rFonts w:ascii="Arial" w:hAnsi="Arial" w:cs="Arial"/>
        </w:rPr>
        <w:fldChar w:fldCharType="begin" w:fldLock="1"/>
      </w:r>
      <w:r w:rsidR="004371A5">
        <w:rPr>
          <w:rFonts w:ascii="Arial" w:hAnsi="Arial" w:cs="Arial"/>
        </w:rPr>
        <w:instrText>ADDIN CSL_CITATION {"citationItems":[{"id":"ITEM-1","itemData":{"author":[{"dropping-particle":"","family":"Albrecht","given":"Maria Gomez","non-dropping-particle":"","parse-names":false,"suffix":""},{"dropping-particle":"","family":"Green","given":"Mark","non-dropping-particle":"","parse-names":false,"suffix":""},{"dropping-particle":"","family":"Hoffman","given":"Linda","non-dropping-particle":"","parse-names":false,"suffix":""}],"id":"ITEM-1","issued":{"date-parts":[["2023"]]},"title":"Principles of Marketing","type":"chapter"},"uris":["http://www.mendeley.com/documents/?uuid=56fc94d3-1829-4d29-a989-d5173f14f595"]}],"mendeley":{"formattedCitation":"(Albrecht, Green and Hoffman, 2023)","plainTextFormattedCitation":"(Albrecht, Green and Hoffman, 2023)","previouslyFormattedCitation":"(Albrecht, Green and Hoffman, 2023)"},"properties":{"noteIndex":0},"schema":"https://github.com/citation-style-language/schema/raw/master/csl-citation.json"}</w:instrText>
      </w:r>
      <w:r w:rsidR="004371A5">
        <w:rPr>
          <w:rFonts w:ascii="Arial" w:hAnsi="Arial" w:cs="Arial"/>
        </w:rPr>
        <w:fldChar w:fldCharType="separate"/>
      </w:r>
      <w:r w:rsidR="004371A5" w:rsidRPr="004371A5">
        <w:rPr>
          <w:rFonts w:ascii="Arial" w:hAnsi="Arial" w:cs="Arial"/>
          <w:noProof/>
        </w:rPr>
        <w:t>(Albrecht, Green and Hoffman, 2023)</w:t>
      </w:r>
      <w:r w:rsidR="004371A5">
        <w:rPr>
          <w:rFonts w:ascii="Arial" w:hAnsi="Arial" w:cs="Arial"/>
        </w:rPr>
        <w:fldChar w:fldCharType="end"/>
      </w:r>
      <w:r w:rsidRPr="004A1C2F">
        <w:rPr>
          <w:rFonts w:ascii="Arial" w:hAnsi="Arial" w:cs="Arial"/>
        </w:rPr>
        <w:t>.</w:t>
      </w:r>
    </w:p>
    <w:p w14:paraId="7B4CE56A" w14:textId="3590C7C6" w:rsidR="004A1C2F" w:rsidRPr="00A326CC" w:rsidRDefault="00F27845" w:rsidP="00A6790C">
      <w:pPr>
        <w:spacing w:line="360" w:lineRule="auto"/>
        <w:jc w:val="both"/>
        <w:rPr>
          <w:rFonts w:ascii="Arial" w:hAnsi="Arial" w:cs="Arial"/>
          <w:b/>
          <w:bCs/>
        </w:rPr>
      </w:pPr>
      <w:proofErr w:type="spellStart"/>
      <w:r w:rsidRPr="00A326CC">
        <w:rPr>
          <w:rFonts w:ascii="Arial" w:hAnsi="Arial" w:cs="Arial"/>
          <w:b/>
          <w:bCs/>
        </w:rPr>
        <w:t>Behaviourally</w:t>
      </w:r>
      <w:proofErr w:type="spellEnd"/>
    </w:p>
    <w:p w14:paraId="2E0A7A36" w14:textId="2ED5C42A" w:rsidR="004A1C2F" w:rsidRPr="004A1C2F" w:rsidRDefault="004A1C2F" w:rsidP="00A6790C">
      <w:pPr>
        <w:spacing w:line="360" w:lineRule="auto"/>
        <w:jc w:val="both"/>
        <w:rPr>
          <w:rFonts w:ascii="Arial" w:hAnsi="Arial" w:cs="Arial"/>
        </w:rPr>
      </w:pPr>
      <w:r w:rsidRPr="004A1C2F">
        <w:rPr>
          <w:rFonts w:ascii="Arial" w:hAnsi="Arial" w:cs="Arial"/>
        </w:rPr>
        <w:t xml:space="preserve">The segment is defined </w:t>
      </w:r>
      <w:proofErr w:type="spellStart"/>
      <w:r w:rsidRPr="004A1C2F">
        <w:rPr>
          <w:rFonts w:ascii="Arial" w:hAnsi="Arial" w:cs="Arial"/>
        </w:rPr>
        <w:t>behaviourally</w:t>
      </w:r>
      <w:proofErr w:type="spellEnd"/>
      <w:r w:rsidRPr="004A1C2F">
        <w:rPr>
          <w:rFonts w:ascii="Arial" w:hAnsi="Arial" w:cs="Arial"/>
        </w:rPr>
        <w:t>: as existing Nike loyalists who are using Nike Refurbished and take-back schemes</w:t>
      </w:r>
      <w:r w:rsidR="00A6790C">
        <w:rPr>
          <w:rFonts w:ascii="Arial" w:hAnsi="Arial" w:cs="Arial"/>
        </w:rPr>
        <w:t>,</w:t>
      </w:r>
      <w:r w:rsidRPr="004A1C2F">
        <w:rPr>
          <w:rFonts w:ascii="Arial" w:hAnsi="Arial" w:cs="Arial"/>
        </w:rPr>
        <w:t xml:space="preserve"> as well as consumers who are frequent buyers of athletic</w:t>
      </w:r>
      <w:r w:rsidR="00A6790C">
        <w:rPr>
          <w:rFonts w:ascii="Arial" w:hAnsi="Arial" w:cs="Arial"/>
        </w:rPr>
        <w:t xml:space="preserve"> </w:t>
      </w:r>
      <w:r w:rsidRPr="004A1C2F">
        <w:rPr>
          <w:rFonts w:ascii="Arial" w:hAnsi="Arial" w:cs="Arial"/>
        </w:rPr>
        <w:t>gear.</w:t>
      </w:r>
    </w:p>
    <w:p w14:paraId="71C97F58" w14:textId="6934DDA5" w:rsidR="004A1C2F" w:rsidRPr="004A1C2F" w:rsidRDefault="004A1C2F" w:rsidP="00A6790C">
      <w:pPr>
        <w:spacing w:line="360" w:lineRule="auto"/>
        <w:jc w:val="both"/>
        <w:rPr>
          <w:rFonts w:ascii="Arial" w:hAnsi="Arial" w:cs="Arial"/>
        </w:rPr>
      </w:pPr>
      <w:r w:rsidRPr="004A1C2F">
        <w:rPr>
          <w:rFonts w:ascii="Arial" w:hAnsi="Arial" w:cs="Arial"/>
        </w:rPr>
        <w:t xml:space="preserve">But, dividing by values alone is not a good idea. </w:t>
      </w:r>
      <w:r w:rsidR="004371A5">
        <w:rPr>
          <w:rFonts w:ascii="Arial" w:hAnsi="Arial" w:cs="Arial"/>
        </w:rPr>
        <w:fldChar w:fldCharType="begin" w:fldLock="1"/>
      </w:r>
      <w:r w:rsidR="00A6790C">
        <w:rPr>
          <w:rFonts w:ascii="Arial" w:hAnsi="Arial" w:cs="Arial"/>
        </w:rPr>
        <w:instrText>ADDIN CSL_CITATION {"citationItems":[{"id":"ITEM-1","itemData":{"ISSN":"0959-0552","author":[{"dropping-particle":"","family":"Ronda","given":"Lorena","non-dropping-particle":"","parse-names":false,"suffix":""}],"container-title":"International Journal of Retail &amp; Distribution Management","id":"ITEM-1","issue":"1","issued":{"date-parts":[["2024","1","18"]]},"page":"44-61","title":"Overcoming barriers for sustainable fashion: bridging attitude-behaviour gap in retail","type":"article-journal","volume":"52"},"uris":["http://www.mendeley.com/documents/?uuid=1c29c854-18eb-4edb-aaf1-996dbbcc3087"]}],"mendeley":{"formattedCitation":"(Ronda, 2024)","manualFormatting":"Ronda (2024)","plainTextFormattedCitation":"(Ronda, 2024)","previouslyFormattedCitation":"(Ronda, 2024)"},"properties":{"noteIndex":0},"schema":"https://github.com/citation-style-language/schema/raw/master/csl-citation.json"}</w:instrText>
      </w:r>
      <w:r w:rsidR="004371A5">
        <w:rPr>
          <w:rFonts w:ascii="Arial" w:hAnsi="Arial" w:cs="Arial"/>
        </w:rPr>
        <w:fldChar w:fldCharType="separate"/>
      </w:r>
      <w:r w:rsidR="004371A5" w:rsidRPr="004371A5">
        <w:rPr>
          <w:rFonts w:ascii="Arial" w:hAnsi="Arial" w:cs="Arial"/>
          <w:noProof/>
        </w:rPr>
        <w:t xml:space="preserve">Ronda </w:t>
      </w:r>
      <w:r w:rsidR="004371A5">
        <w:rPr>
          <w:rFonts w:ascii="Arial" w:hAnsi="Arial" w:cs="Arial"/>
          <w:noProof/>
        </w:rPr>
        <w:t>(</w:t>
      </w:r>
      <w:r w:rsidR="004371A5" w:rsidRPr="004371A5">
        <w:rPr>
          <w:rFonts w:ascii="Arial" w:hAnsi="Arial" w:cs="Arial"/>
          <w:noProof/>
        </w:rPr>
        <w:t>2024)</w:t>
      </w:r>
      <w:r w:rsidR="004371A5">
        <w:rPr>
          <w:rFonts w:ascii="Arial" w:hAnsi="Arial" w:cs="Arial"/>
        </w:rPr>
        <w:fldChar w:fldCharType="end"/>
      </w:r>
      <w:r w:rsidRPr="004A1C2F">
        <w:rPr>
          <w:rFonts w:ascii="Arial" w:hAnsi="Arial" w:cs="Arial"/>
        </w:rPr>
        <w:t xml:space="preserve"> provides five barriers for the link between positive attitude and actual purchase </w:t>
      </w:r>
      <w:proofErr w:type="spellStart"/>
      <w:r w:rsidRPr="004A1C2F">
        <w:rPr>
          <w:rFonts w:ascii="Arial" w:hAnsi="Arial" w:cs="Arial"/>
        </w:rPr>
        <w:t>behaviour</w:t>
      </w:r>
      <w:proofErr w:type="spellEnd"/>
      <w:r w:rsidRPr="004A1C2F">
        <w:rPr>
          <w:rFonts w:ascii="Arial" w:hAnsi="Arial" w:cs="Arial"/>
        </w:rPr>
        <w:t xml:space="preserve">: high price, low visibility of the product, low availability, low awareness of the negative impacts of fast fashion and, crucially for </w:t>
      </w:r>
      <w:r w:rsidR="00F311CB" w:rsidRPr="004A1C2F">
        <w:rPr>
          <w:rFonts w:ascii="Arial" w:hAnsi="Arial" w:cs="Arial"/>
        </w:rPr>
        <w:t>RE: LOOP</w:t>
      </w:r>
      <w:r w:rsidRPr="004A1C2F">
        <w:rPr>
          <w:rFonts w:ascii="Arial" w:hAnsi="Arial" w:cs="Arial"/>
        </w:rPr>
        <w:t>, low trust in sustainability claims. In a large sample, Pires et al.</w:t>
      </w:r>
      <w:r w:rsidR="004371A5">
        <w:rPr>
          <w:rFonts w:ascii="Arial" w:hAnsi="Arial" w:cs="Arial"/>
        </w:rPr>
        <w:t xml:space="preserve"> </w:t>
      </w:r>
      <w:r w:rsidR="004371A5">
        <w:rPr>
          <w:rFonts w:ascii="Arial" w:hAnsi="Arial" w:cs="Arial"/>
        </w:rPr>
        <w:fldChar w:fldCharType="begin" w:fldLock="1"/>
      </w:r>
      <w:r w:rsidR="00A6790C">
        <w:rPr>
          <w:rFonts w:ascii="Arial" w:hAnsi="Arial" w:cs="Arial"/>
        </w:rPr>
        <w:instrText>ADDIN CSL_CITATION {"citationItems":[{"id":"ITEM-1","itemData":{"ISSN":"2076-3387","abstract":"The concept of sustainable fashion is becoming more relevant in today’s society. The purpose of this research is to identify the determinants of the purchase intention of sustainable fashion, and the relationship between price and the purchase of sustainable fashion. A questionnaire was administered, which made it possible to define the concept of sustainable fashion, to use PLS-SEM to identify the determinants, and to apply linear regression models and t-tests of two independent samples (two-tailed test). The concept of sustainable fashion comprises the dimensions of manufacturing with a reduced environmental impact, consuming second-hand fashion products, manufacturing in an environmentally friendly way, reusing fashion products, manufacturing to last longer, manufacturing according to fair trade principles, using recycled materials, and manufacturing from organic materials. The PLS-SEM results show that purchase intention is determined by consumer knowledge, environmental beliefs, and willingness to pay more. The research also revealed that there is a non-linear (quadratic or exponential) relationship between the price of the product and the price increase that consumers are willing to pay and that they value the dimensions of sustainable fashion differently. The purchase intention determinants of consumers and non-consumers of sustainable fashion are identical, yet the dimensions of sustainable fashion are valued differently by each group.","author":[{"dropping-particle":"","family":"Pires","given":"Paulo Botelho","non-dropping-particle":"","parse-names":false,"suffix":""},{"dropping-particle":"","family":"Morais","given":"Cláudia","non-dropping-particle":"","parse-names":false,"suffix":""},{"dropping-particle":"","family":"Delgado","given":"Catarina J. M.","non-dropping-particle":"","parse-names":false,"suffix":""},{"dropping-particle":"","family":"Santos","given":"José Duarte","non-dropping-particle":"","parse-names":false,"suffix":""}],"container-title":"Administrative Sciences","id":"ITEM-1","issue":"7","issued":{"date-parts":[["2024","7","5"]]},"page":"143","title":"Sustainable Fashion: Conceptualization, Purchase Determinants, and Willingness to Pay More","type":"article-journal","volume":"14"},"uris":["http://www.mendeley.com/documents/?uuid=dbef8806-24a7-4e24-9376-0321bc85cb6c"]}],"mendeley":{"formattedCitation":"(Pires &lt;i&gt;et al.&lt;/i&gt;, 2024)","manualFormatting":"Pires et al. (2024)","plainTextFormattedCitation":"(Pires et al., 2024)","previouslyFormattedCitation":"(Pires &lt;i&gt;et al.&lt;/i&gt;, 2024)"},"properties":{"noteIndex":0},"schema":"https://github.com/citation-style-language/schema/raw/master/csl-citation.json"}</w:instrText>
      </w:r>
      <w:r w:rsidR="004371A5">
        <w:rPr>
          <w:rFonts w:ascii="Arial" w:hAnsi="Arial" w:cs="Arial"/>
        </w:rPr>
        <w:fldChar w:fldCharType="separate"/>
      </w:r>
      <w:r w:rsidR="004371A5" w:rsidRPr="004371A5">
        <w:rPr>
          <w:rFonts w:ascii="Arial" w:hAnsi="Arial" w:cs="Arial"/>
          <w:noProof/>
        </w:rPr>
        <w:t xml:space="preserve">Pires </w:t>
      </w:r>
      <w:r w:rsidR="004371A5" w:rsidRPr="004371A5">
        <w:rPr>
          <w:rFonts w:ascii="Arial" w:hAnsi="Arial" w:cs="Arial"/>
          <w:i/>
          <w:noProof/>
        </w:rPr>
        <w:t>et al.</w:t>
      </w:r>
      <w:r w:rsidR="004371A5" w:rsidRPr="004371A5">
        <w:rPr>
          <w:rFonts w:ascii="Arial" w:hAnsi="Arial" w:cs="Arial"/>
          <w:noProof/>
        </w:rPr>
        <w:t xml:space="preserve"> </w:t>
      </w:r>
      <w:r w:rsidR="004371A5">
        <w:rPr>
          <w:rFonts w:ascii="Arial" w:hAnsi="Arial" w:cs="Arial"/>
          <w:noProof/>
        </w:rPr>
        <w:t>(</w:t>
      </w:r>
      <w:r w:rsidR="004371A5" w:rsidRPr="004371A5">
        <w:rPr>
          <w:rFonts w:ascii="Arial" w:hAnsi="Arial" w:cs="Arial"/>
          <w:noProof/>
        </w:rPr>
        <w:t>2024)</w:t>
      </w:r>
      <w:r w:rsidR="004371A5">
        <w:rPr>
          <w:rFonts w:ascii="Arial" w:hAnsi="Arial" w:cs="Arial"/>
        </w:rPr>
        <w:fldChar w:fldCharType="end"/>
      </w:r>
      <w:r w:rsidR="004371A5">
        <w:rPr>
          <w:rFonts w:ascii="Arial" w:hAnsi="Arial" w:cs="Arial"/>
        </w:rPr>
        <w:t xml:space="preserve"> </w:t>
      </w:r>
      <w:r w:rsidRPr="004A1C2F">
        <w:rPr>
          <w:rFonts w:ascii="Arial" w:hAnsi="Arial" w:cs="Arial"/>
        </w:rPr>
        <w:t xml:space="preserve"> also obtained a non-linear price–WTP relationship using the PLS-SEM </w:t>
      </w:r>
      <w:r w:rsidRPr="004A1C2F">
        <w:rPr>
          <w:rFonts w:ascii="Arial" w:hAnsi="Arial" w:cs="Arial"/>
        </w:rPr>
        <w:lastRenderedPageBreak/>
        <w:t xml:space="preserve">method, which indicates that price segmentation alone will not necessarily be a valid predictor of purchase </w:t>
      </w:r>
      <w:proofErr w:type="spellStart"/>
      <w:r w:rsidRPr="004A1C2F">
        <w:rPr>
          <w:rFonts w:ascii="Arial" w:hAnsi="Arial" w:cs="Arial"/>
        </w:rPr>
        <w:t>behaviour</w:t>
      </w:r>
      <w:proofErr w:type="spellEnd"/>
      <w:r w:rsidRPr="004A1C2F">
        <w:rPr>
          <w:rFonts w:ascii="Arial" w:hAnsi="Arial" w:cs="Arial"/>
        </w:rPr>
        <w:t>. The segmentation process has to be viewed as a supposition to be tested and validated against the evidence and not as a promise of conversion.</w:t>
      </w:r>
    </w:p>
    <w:p w14:paraId="2DE01C80" w14:textId="4C9B2FD0" w:rsidR="004A1C2F" w:rsidRPr="00F311CB" w:rsidRDefault="004A1C2F" w:rsidP="00A6790C">
      <w:pPr>
        <w:pStyle w:val="Heading2"/>
        <w:spacing w:line="360" w:lineRule="auto"/>
      </w:pPr>
      <w:bookmarkStart w:id="6" w:name="_Toc236646092"/>
      <w:bookmarkStart w:id="7" w:name="_Toc236650638"/>
      <w:r w:rsidRPr="00F311CB">
        <w:t>2.2 Targeting</w:t>
      </w:r>
      <w:bookmarkEnd w:id="6"/>
      <w:bookmarkEnd w:id="7"/>
    </w:p>
    <w:p w14:paraId="112206BA" w14:textId="159C219D" w:rsidR="004A1C2F" w:rsidRPr="004A1C2F" w:rsidRDefault="004A1C2F" w:rsidP="00A6790C">
      <w:pPr>
        <w:spacing w:line="360" w:lineRule="auto"/>
        <w:jc w:val="both"/>
        <w:rPr>
          <w:rFonts w:ascii="Arial" w:hAnsi="Arial" w:cs="Arial"/>
        </w:rPr>
      </w:pPr>
      <w:r w:rsidRPr="004A1C2F">
        <w:rPr>
          <w:rFonts w:ascii="Arial" w:hAnsi="Arial" w:cs="Arial"/>
        </w:rPr>
        <w:t>A differentiated (concentrated-lead) targeting strategy needs to be followed by RE:</w:t>
      </w:r>
      <w:r w:rsidR="00A6790C">
        <w:rPr>
          <w:rFonts w:ascii="Arial" w:hAnsi="Arial" w:cs="Arial"/>
        </w:rPr>
        <w:t xml:space="preserve"> </w:t>
      </w:r>
      <w:r w:rsidRPr="004A1C2F">
        <w:rPr>
          <w:rFonts w:ascii="Arial" w:hAnsi="Arial" w:cs="Arial"/>
        </w:rPr>
        <w:t xml:space="preserve">LOOP as it focuses on Gen Z and Millennial performance athletes who have a strong sustainability outlook. According to </w:t>
      </w:r>
      <w:r w:rsidR="004F4228">
        <w:rPr>
          <w:rFonts w:ascii="Arial" w:hAnsi="Arial" w:cs="Arial"/>
        </w:rPr>
        <w:fldChar w:fldCharType="begin" w:fldLock="1"/>
      </w:r>
      <w:r w:rsidR="00A6790C">
        <w:rPr>
          <w:rFonts w:ascii="Arial" w:hAnsi="Arial" w:cs="Arial"/>
        </w:rPr>
        <w:instrText>ADDIN CSL_CITATION {"citationItems":[{"id":"ITEM-1","itemData":{"ISSN":"1664-1078","author":[{"dropping-particle":"","family":"Liu","given":"Lixian","non-dropping-particle":"","parse-names":false,"suffix":""},{"dropping-particle":"","family":"Zhang","given":"Wenwen","non-dropping-particle":"","parse-names":false,"suffix":""},{"dropping-particle":"","family":"Li","given":"Hao","non-dropping-particle":"","parse-names":false,"suffix":""},{"dropping-particle":"","family":"Zheng","given":"Zeyu","non-dropping-particle":"","parse-names":false,"suffix":""}],"container-title":"Frontiers in Psychology","id":"ITEM-1","issued":{"date-parts":[["2024","4","10"]]},"title":"The impact of environmental accidents on the green apparel purchase behavior of Generation Z","type":"article-journal","volume":"15"},"uris":["http://www.mendeley.com/documents/?uuid=cd39b21b-6727-4f4f-8483-f89efd327dcc"]}],"mendeley":{"formattedCitation":"(Liu &lt;i&gt;et al.&lt;/i&gt;, 2024)","manualFormatting":"Liu et al. (2024)","plainTextFormattedCitation":"(Liu et al., 2024)","previouslyFormattedCitation":"(Liu &lt;i&gt;et al.&lt;/i&gt;, 2024)"},"properties":{"noteIndex":0},"schema":"https://github.com/citation-style-language/schema/raw/master/csl-citation.json"}</w:instrText>
      </w:r>
      <w:r w:rsidR="004F4228">
        <w:rPr>
          <w:rFonts w:ascii="Arial" w:hAnsi="Arial" w:cs="Arial"/>
        </w:rPr>
        <w:fldChar w:fldCharType="separate"/>
      </w:r>
      <w:r w:rsidR="004F4228" w:rsidRPr="004F4228">
        <w:rPr>
          <w:rFonts w:ascii="Arial" w:hAnsi="Arial" w:cs="Arial"/>
          <w:noProof/>
        </w:rPr>
        <w:t xml:space="preserve">Liu </w:t>
      </w:r>
      <w:r w:rsidR="004F4228" w:rsidRPr="004F4228">
        <w:rPr>
          <w:rFonts w:ascii="Arial" w:hAnsi="Arial" w:cs="Arial"/>
          <w:i/>
          <w:noProof/>
        </w:rPr>
        <w:t>et al.</w:t>
      </w:r>
      <w:r w:rsidR="004F4228" w:rsidRPr="004F4228">
        <w:rPr>
          <w:rFonts w:ascii="Arial" w:hAnsi="Arial" w:cs="Arial"/>
          <w:noProof/>
        </w:rPr>
        <w:t xml:space="preserve"> </w:t>
      </w:r>
      <w:r w:rsidR="004F4228">
        <w:rPr>
          <w:rFonts w:ascii="Arial" w:hAnsi="Arial" w:cs="Arial"/>
          <w:noProof/>
        </w:rPr>
        <w:t>(</w:t>
      </w:r>
      <w:r w:rsidR="004F4228" w:rsidRPr="004F4228">
        <w:rPr>
          <w:rFonts w:ascii="Arial" w:hAnsi="Arial" w:cs="Arial"/>
          <w:noProof/>
        </w:rPr>
        <w:t>2024)</w:t>
      </w:r>
      <w:r w:rsidR="004F4228">
        <w:rPr>
          <w:rFonts w:ascii="Arial" w:hAnsi="Arial" w:cs="Arial"/>
        </w:rPr>
        <w:fldChar w:fldCharType="end"/>
      </w:r>
      <w:r w:rsidRPr="004A1C2F">
        <w:rPr>
          <w:rFonts w:ascii="Arial" w:hAnsi="Arial" w:cs="Arial"/>
        </w:rPr>
        <w:t>, Gen Z and Millennials are responsible for 68% of the revenue in green apparel</w:t>
      </w:r>
      <w:r w:rsidR="00A6790C">
        <w:rPr>
          <w:rFonts w:ascii="Arial" w:hAnsi="Arial" w:cs="Arial"/>
        </w:rPr>
        <w:t>,</w:t>
      </w:r>
      <w:r w:rsidRPr="004A1C2F">
        <w:rPr>
          <w:rFonts w:ascii="Arial" w:hAnsi="Arial" w:cs="Arial"/>
        </w:rPr>
        <w:t xml:space="preserve"> and by 2027, they are expected to make up more than a third of the sustainable fashion market alone.</w:t>
      </w:r>
    </w:p>
    <w:p w14:paraId="6168B787" w14:textId="518BAAD9" w:rsidR="004A1C2F" w:rsidRPr="004A1C2F" w:rsidRDefault="004A1C2F" w:rsidP="00A6790C">
      <w:pPr>
        <w:spacing w:line="360" w:lineRule="auto"/>
        <w:jc w:val="both"/>
        <w:rPr>
          <w:rFonts w:ascii="Arial" w:hAnsi="Arial" w:cs="Arial"/>
        </w:rPr>
      </w:pPr>
      <w:r w:rsidRPr="004A1C2F">
        <w:rPr>
          <w:rFonts w:ascii="Arial" w:hAnsi="Arial" w:cs="Arial"/>
        </w:rPr>
        <w:t xml:space="preserve">In addition, this segment is the most competitive segment. In 2018, adidas' recycled-polyester share was 27%, compared to an average of 12-15% for </w:t>
      </w:r>
      <w:r w:rsidR="00A6790C">
        <w:rPr>
          <w:rFonts w:ascii="Arial" w:hAnsi="Arial" w:cs="Arial"/>
        </w:rPr>
        <w:t xml:space="preserve">the </w:t>
      </w:r>
      <w:r w:rsidRPr="004A1C2F">
        <w:rPr>
          <w:rFonts w:ascii="Arial" w:hAnsi="Arial" w:cs="Arial"/>
        </w:rPr>
        <w:t>apparel industry as a whole, which did not change significantly in the same timeframe</w:t>
      </w:r>
      <w:r w:rsidR="004F4228">
        <w:rPr>
          <w:rFonts w:ascii="Arial" w:hAnsi="Arial" w:cs="Arial"/>
        </w:rPr>
        <w:t xml:space="preserve"> </w:t>
      </w:r>
      <w:r w:rsidR="004F4228">
        <w:rPr>
          <w:rFonts w:ascii="Arial" w:hAnsi="Arial" w:cs="Arial"/>
        </w:rPr>
        <w:fldChar w:fldCharType="begin" w:fldLock="1"/>
      </w:r>
      <w:r w:rsidR="00A6790C">
        <w:rPr>
          <w:rFonts w:ascii="Arial" w:hAnsi="Arial" w:cs="Arial"/>
        </w:rPr>
        <w:instrText>ADDIN CSL_CITATION {"citationItems":[{"id":"ITEM-1","itemData":{"URL":"https://report.adidas-group.com/2024/en/group-management-report-sustainability-statement/esrs-e5-resource-use-and-circular-economy/overview.html","author":[{"dropping-particle":"","family":"Adidas Group","given":"","non-dropping-particle":"","parse-names":false,"suffix":""}],"id":"ITEM-1","issued":{"date-parts":[["2025"]]},"title":"Resource Use and Circular Economy","type":"webpage"},"uris":["http://www.mendeley.com/documents/?uuid=97ffc343-21cb-4c0b-a794-ed442d96f422"]}],"mendeley":{"formattedCitation":"(Adidas Group, 2025b)","manualFormatting":"Adidas Group, 2025)","plainTextFormattedCitation":"(Adidas Group, 2025b)","previouslyFormattedCitation":"(Adidas Group, 2025b)"},"properties":{"noteIndex":0},"schema":"https://github.com/citation-style-language/schema/raw/master/csl-citation.json"}</w:instrText>
      </w:r>
      <w:r w:rsidR="004F4228">
        <w:rPr>
          <w:rFonts w:ascii="Arial" w:hAnsi="Arial" w:cs="Arial"/>
        </w:rPr>
        <w:fldChar w:fldCharType="separate"/>
      </w:r>
      <w:r w:rsidR="004F4228" w:rsidRPr="004F4228">
        <w:rPr>
          <w:rFonts w:ascii="Arial" w:hAnsi="Arial" w:cs="Arial"/>
          <w:noProof/>
        </w:rPr>
        <w:t>Adidas Group, 2025)</w:t>
      </w:r>
      <w:r w:rsidR="004F4228">
        <w:rPr>
          <w:rFonts w:ascii="Arial" w:hAnsi="Arial" w:cs="Arial"/>
        </w:rPr>
        <w:fldChar w:fldCharType="end"/>
      </w:r>
      <w:r w:rsidRPr="004A1C2F">
        <w:rPr>
          <w:rFonts w:ascii="Arial" w:hAnsi="Arial" w:cs="Arial"/>
        </w:rPr>
        <w:t>. In 2023, Allbirds made a 22% reduction in per</w:t>
      </w:r>
      <w:r w:rsidR="00A6790C">
        <w:rPr>
          <w:rFonts w:ascii="Arial" w:hAnsi="Arial" w:cs="Arial"/>
        </w:rPr>
        <w:t>-</w:t>
      </w:r>
      <w:r w:rsidRPr="004A1C2F">
        <w:rPr>
          <w:rFonts w:ascii="Arial" w:hAnsi="Arial" w:cs="Arial"/>
        </w:rPr>
        <w:t>product carbon footprint and w</w:t>
      </w:r>
      <w:r w:rsidR="00A6790C">
        <w:rPr>
          <w:rFonts w:ascii="Arial" w:hAnsi="Arial" w:cs="Arial"/>
        </w:rPr>
        <w:t>as</w:t>
      </w:r>
      <w:r w:rsidRPr="004A1C2F">
        <w:rPr>
          <w:rFonts w:ascii="Arial" w:hAnsi="Arial" w:cs="Arial"/>
        </w:rPr>
        <w:t xml:space="preserve"> the first to develop carbon</w:t>
      </w:r>
      <w:r w:rsidR="00A6790C">
        <w:rPr>
          <w:rFonts w:ascii="Arial" w:hAnsi="Arial" w:cs="Arial"/>
        </w:rPr>
        <w:t>-</w:t>
      </w:r>
      <w:r w:rsidRPr="004A1C2F">
        <w:rPr>
          <w:rFonts w:ascii="Arial" w:hAnsi="Arial" w:cs="Arial"/>
        </w:rPr>
        <w:t>labelled products</w:t>
      </w:r>
      <w:r w:rsidR="00F276DB">
        <w:rPr>
          <w:rFonts w:ascii="Arial" w:hAnsi="Arial" w:cs="Arial"/>
        </w:rPr>
        <w:t xml:space="preserve"> </w:t>
      </w:r>
      <w:r w:rsidR="00F276DB">
        <w:rPr>
          <w:rFonts w:ascii="Arial" w:hAnsi="Arial" w:cs="Arial"/>
        </w:rPr>
        <w:fldChar w:fldCharType="begin" w:fldLock="1"/>
      </w:r>
      <w:r w:rsidR="00F276DB">
        <w:rPr>
          <w:rFonts w:ascii="Arial" w:hAnsi="Arial" w:cs="Arial"/>
        </w:rPr>
        <w:instrText>ADDIN CSL_CITATION {"citationItems":[{"id":"ITEM-1","itemData":{"URL":"https://report.adidas-group.com/2024/en/group-management-report-sustainability-statement/esrs-e5-resource-use-and-circular-economy/overview.html","author":[{"dropping-particle":"","family":"Allbirds","given":"","non-dropping-particle":"","parse-names":false,"suffix":""}],"id":"ITEM-1","issued":{"date-parts":[["2025"]]},"title":"Allbirds announces 22% reduction to per product carbon footprint in annual sustainability report","type":"webpage"},"uris":["http://www.mendeley.com/documents/?uuid=cd056668-99f2-4d22-a658-95f966e3ca1e"]}],"mendeley":{"formattedCitation":"(Allbirds, 2025)","plainTextFormattedCitation":"(Allbirds, 2025)","previouslyFormattedCitation":"(Allbirds, 2025)"},"properties":{"noteIndex":0},"schema":"https://github.com/citation-style-language/schema/raw/master/csl-citation.json"}</w:instrText>
      </w:r>
      <w:r w:rsidR="00F276DB">
        <w:rPr>
          <w:rFonts w:ascii="Arial" w:hAnsi="Arial" w:cs="Arial"/>
        </w:rPr>
        <w:fldChar w:fldCharType="separate"/>
      </w:r>
      <w:r w:rsidR="00F276DB" w:rsidRPr="00F276DB">
        <w:rPr>
          <w:rFonts w:ascii="Arial" w:hAnsi="Arial" w:cs="Arial"/>
          <w:noProof/>
        </w:rPr>
        <w:t>(Allbirds, 2025)</w:t>
      </w:r>
      <w:r w:rsidR="00F276DB">
        <w:rPr>
          <w:rFonts w:ascii="Arial" w:hAnsi="Arial" w:cs="Arial"/>
        </w:rPr>
        <w:fldChar w:fldCharType="end"/>
      </w:r>
      <w:r w:rsidRPr="004A1C2F">
        <w:rPr>
          <w:rFonts w:ascii="Arial" w:hAnsi="Arial" w:cs="Arial"/>
        </w:rPr>
        <w:t xml:space="preserve">. The key to targeting this segment is for </w:t>
      </w:r>
      <w:r w:rsidR="00F311CB" w:rsidRPr="004A1C2F">
        <w:rPr>
          <w:rFonts w:ascii="Arial" w:hAnsi="Arial" w:cs="Arial"/>
        </w:rPr>
        <w:t>RE: LOOP</w:t>
      </w:r>
      <w:r w:rsidRPr="004A1C2F">
        <w:rPr>
          <w:rFonts w:ascii="Arial" w:hAnsi="Arial" w:cs="Arial"/>
        </w:rPr>
        <w:t xml:space="preserve"> to not just compete on recycled-content percentage, but rather on true closed-loop circularity, which competitors in the recycled-content market are just starting to become a factor.</w:t>
      </w:r>
    </w:p>
    <w:p w14:paraId="44C47469" w14:textId="77777777" w:rsidR="00A6790C" w:rsidRDefault="00A7384D" w:rsidP="00ED33D2">
      <w:pPr>
        <w:keepNext/>
        <w:spacing w:line="360" w:lineRule="auto"/>
        <w:jc w:val="center"/>
      </w:pPr>
      <w:r>
        <w:rPr>
          <w:rFonts w:ascii="Arial" w:hAnsi="Arial" w:cs="Arial"/>
          <w:noProof/>
        </w:rPr>
        <w:lastRenderedPageBreak/>
        <w:drawing>
          <wp:inline distT="0" distB="0" distL="0" distR="0" wp14:anchorId="477A011B" wp14:editId="51F4527F">
            <wp:extent cx="5828030" cy="3218815"/>
            <wp:effectExtent l="0" t="0" r="1270" b="635"/>
            <wp:docPr id="1206367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8030" cy="3218815"/>
                    </a:xfrm>
                    <a:prstGeom prst="rect">
                      <a:avLst/>
                    </a:prstGeom>
                    <a:noFill/>
                  </pic:spPr>
                </pic:pic>
              </a:graphicData>
            </a:graphic>
          </wp:inline>
        </w:drawing>
      </w:r>
    </w:p>
    <w:p w14:paraId="0955AB76" w14:textId="6B152175" w:rsidR="004A1C2F" w:rsidRPr="00A6790C" w:rsidRDefault="00A6790C" w:rsidP="00ED33D2">
      <w:pPr>
        <w:pStyle w:val="Caption"/>
        <w:spacing w:line="360" w:lineRule="auto"/>
        <w:jc w:val="center"/>
        <w:rPr>
          <w:rFonts w:ascii="Arial" w:hAnsi="Arial" w:cs="Arial"/>
          <w:sz w:val="28"/>
          <w:szCs w:val="28"/>
        </w:rPr>
      </w:pPr>
      <w:bookmarkStart w:id="8" w:name="_Toc236646392"/>
      <w:bookmarkStart w:id="9" w:name="_Toc236650403"/>
      <w:r w:rsidRPr="00A6790C">
        <w:rPr>
          <w:sz w:val="28"/>
          <w:szCs w:val="28"/>
        </w:rPr>
        <w:t xml:space="preserve">Figure </w:t>
      </w:r>
      <w:r w:rsidRPr="00A6790C">
        <w:rPr>
          <w:sz w:val="28"/>
          <w:szCs w:val="28"/>
        </w:rPr>
        <w:fldChar w:fldCharType="begin"/>
      </w:r>
      <w:r w:rsidRPr="00A6790C">
        <w:rPr>
          <w:sz w:val="28"/>
          <w:szCs w:val="28"/>
        </w:rPr>
        <w:instrText xml:space="preserve"> SEQ Figure \* ARABIC </w:instrText>
      </w:r>
      <w:r w:rsidRPr="00A6790C">
        <w:rPr>
          <w:sz w:val="28"/>
          <w:szCs w:val="28"/>
        </w:rPr>
        <w:fldChar w:fldCharType="separate"/>
      </w:r>
      <w:r>
        <w:rPr>
          <w:noProof/>
          <w:sz w:val="28"/>
          <w:szCs w:val="28"/>
        </w:rPr>
        <w:t>1</w:t>
      </w:r>
      <w:r w:rsidRPr="00A6790C">
        <w:rPr>
          <w:sz w:val="28"/>
          <w:szCs w:val="28"/>
        </w:rPr>
        <w:fldChar w:fldCharType="end"/>
      </w:r>
      <w:r w:rsidRPr="00A6790C">
        <w:rPr>
          <w:sz w:val="28"/>
          <w:szCs w:val="28"/>
        </w:rPr>
        <w:t>: adidas recycled-polyester share vs. global apparel industry average, 2018–2024</w:t>
      </w:r>
      <w:bookmarkEnd w:id="8"/>
      <w:bookmarkEnd w:id="9"/>
    </w:p>
    <w:p w14:paraId="38A84C87" w14:textId="01C01F70" w:rsidR="00F311CB" w:rsidRDefault="00F276DB" w:rsidP="00ED33D2">
      <w:pPr>
        <w:spacing w:line="360" w:lineRule="auto"/>
        <w:jc w:val="center"/>
      </w:pPr>
      <w:r>
        <w:t xml:space="preserve">Source: </w:t>
      </w:r>
      <w:r>
        <w:fldChar w:fldCharType="begin" w:fldLock="1"/>
      </w:r>
      <w:r>
        <w:instrText>ADDIN CSL_CITATION {"citationItems":[{"id":"ITEM-1","itemData":{"URL":"https://report.adidas-group.com/2024/en/group-management-report-sustainability-statement/esrs-e5-resource-use-and-circular-economy/metrics-and-targets.html","author":[{"dropping-particle":"","family":"Adidas Group","given":"","non-dropping-particle":"","parse-names":false,"suffix":""}],"id":"ITEM-1","issued":{"date-parts":[["2025"]]},"title":"Metrics and Targets","type":"webpage"},"uris":["http://www.mendeley.com/documents/?uuid=631a2457-008b-4b59-ad0d-935617cb1372"]}],"mendeley":{"formattedCitation":"(Adidas Group, 2025a)","plainTextFormattedCitation":"(Adidas Group, 2025a)","previouslyFormattedCitation":"(Adidas Group, 2025a)"},"properties":{"noteIndex":0},"schema":"https://github.com/citation-style-language/schema/raw/master/csl-citation.json"}</w:instrText>
      </w:r>
      <w:r>
        <w:fldChar w:fldCharType="separate"/>
      </w:r>
      <w:r w:rsidRPr="00F276DB">
        <w:rPr>
          <w:noProof/>
        </w:rPr>
        <w:t>(Adidas Group, 2025a)</w:t>
      </w:r>
      <w:r>
        <w:fldChar w:fldCharType="end"/>
      </w:r>
    </w:p>
    <w:p w14:paraId="57484A50" w14:textId="77777777" w:rsidR="00ED33D2" w:rsidRPr="00F311CB" w:rsidRDefault="00ED33D2" w:rsidP="00ED33D2">
      <w:pPr>
        <w:spacing w:line="360" w:lineRule="auto"/>
        <w:jc w:val="center"/>
        <w:rPr>
          <w:rFonts w:ascii="Arial" w:hAnsi="Arial" w:cs="Arial"/>
          <w:b/>
          <w:bCs/>
        </w:rPr>
      </w:pPr>
    </w:p>
    <w:p w14:paraId="17D84ECE" w14:textId="2B8C9922" w:rsidR="004A1C2F" w:rsidRPr="00F311CB" w:rsidRDefault="004A1C2F" w:rsidP="00A6790C">
      <w:pPr>
        <w:pStyle w:val="Heading2"/>
        <w:spacing w:line="360" w:lineRule="auto"/>
      </w:pPr>
      <w:bookmarkStart w:id="10" w:name="_Toc236646093"/>
      <w:bookmarkStart w:id="11" w:name="_Toc236650639"/>
      <w:r w:rsidRPr="00F311CB">
        <w:t>2.3 Differentiation</w:t>
      </w:r>
      <w:bookmarkEnd w:id="10"/>
      <w:bookmarkEnd w:id="11"/>
    </w:p>
    <w:p w14:paraId="6053EE28" w14:textId="16A6D933" w:rsidR="004A1C2F" w:rsidRPr="004A1C2F" w:rsidRDefault="00A7384D" w:rsidP="00A6790C">
      <w:pPr>
        <w:spacing w:line="360" w:lineRule="auto"/>
        <w:jc w:val="both"/>
        <w:rPr>
          <w:rFonts w:ascii="Arial" w:hAnsi="Arial" w:cs="Arial"/>
        </w:rPr>
      </w:pPr>
      <w:r w:rsidRPr="004A1C2F">
        <w:rPr>
          <w:rFonts w:ascii="Arial" w:hAnsi="Arial" w:cs="Arial"/>
        </w:rPr>
        <w:t>RE: LOOP</w:t>
      </w:r>
      <w:r w:rsidR="004A1C2F" w:rsidRPr="004A1C2F">
        <w:rPr>
          <w:rFonts w:ascii="Arial" w:hAnsi="Arial" w:cs="Arial"/>
        </w:rPr>
        <w:t xml:space="preserve"> distinguishes itself from other circular streams mainly in product design and technology integration, based on the circular management themes that they developed as a result of interviews with industry decision-makers, which are presented in </w:t>
      </w:r>
      <w:r w:rsidR="00F276DB">
        <w:rPr>
          <w:rFonts w:ascii="Arial" w:hAnsi="Arial" w:cs="Arial"/>
        </w:rPr>
        <w:fldChar w:fldCharType="begin" w:fldLock="1"/>
      </w:r>
      <w:r w:rsidR="00A6790C">
        <w:rPr>
          <w:rFonts w:ascii="Arial" w:hAnsi="Arial" w:cs="Arial"/>
        </w:rPr>
        <w:instrText>ADDIN CSL_CITATION {"citationItems":[{"id":"ITEM-1","itemData":{"ISSN":"23525509","author":[{"dropping-particle":"","family":"Abdelmeguid","given":"Aya","non-dropping-particle":"","parse-names":false,"suffix":""},{"dropping-particle":"","family":"Afy-Shararah","given":"Mohamed","non-dropping-particle":"","parse-names":false,"suffix":""},{"dropping-particle":"","family":"Salonitis","given":"Konstantinos","non-dropping-particle":"","parse-names":false,"suffix":""}],"container-title":"Sustainable Production and Consumption","id":"ITEM-1","issued":{"date-parts":[["2024","7"]]},"page":"143-156","title":"Towards circular fashion: Management strategies promoting circular behaviour along the value chain","type":"article-journal","volume":"48"},"uris":["http://www.mendeley.com/documents/?uuid=7a7eec94-bdab-447d-acff-15d8759bd845"]}],"mendeley":{"formattedCitation":"(Abdelmeguid, Afy-Shararah and Salonitis, 2024a)","manualFormatting":"Abdelmeguid, Afy-Shararah and Salonitis (2024)","plainTextFormattedCitation":"(Abdelmeguid, Afy-Shararah and Salonitis, 2024a)","previouslyFormattedCitation":"(Abdelmeguid, Afy-Shararah and Salonitis, 2024a)"},"properties":{"noteIndex":0},"schema":"https://github.com/citation-style-language/schema/raw/master/csl-citation.json"}</w:instrText>
      </w:r>
      <w:r w:rsidR="00F276DB">
        <w:rPr>
          <w:rFonts w:ascii="Arial" w:hAnsi="Arial" w:cs="Arial"/>
        </w:rPr>
        <w:fldChar w:fldCharType="separate"/>
      </w:r>
      <w:r w:rsidR="00F276DB" w:rsidRPr="00F276DB">
        <w:rPr>
          <w:rFonts w:ascii="Arial" w:hAnsi="Arial" w:cs="Arial"/>
          <w:noProof/>
        </w:rPr>
        <w:t xml:space="preserve">Abdelmeguid, Afy-Shararah and Salonitis </w:t>
      </w:r>
      <w:r w:rsidR="00F276DB">
        <w:rPr>
          <w:rFonts w:ascii="Arial" w:hAnsi="Arial" w:cs="Arial"/>
          <w:noProof/>
        </w:rPr>
        <w:t>(</w:t>
      </w:r>
      <w:r w:rsidR="00F276DB" w:rsidRPr="00F276DB">
        <w:rPr>
          <w:rFonts w:ascii="Arial" w:hAnsi="Arial" w:cs="Arial"/>
          <w:noProof/>
        </w:rPr>
        <w:t>2024)</w:t>
      </w:r>
      <w:r w:rsidR="00F276DB">
        <w:rPr>
          <w:rFonts w:ascii="Arial" w:hAnsi="Arial" w:cs="Arial"/>
        </w:rPr>
        <w:fldChar w:fldCharType="end"/>
      </w:r>
      <w:r w:rsidR="004A1C2F" w:rsidRPr="004A1C2F">
        <w:rPr>
          <w:rFonts w:ascii="Arial" w:hAnsi="Arial" w:cs="Arial"/>
        </w:rPr>
        <w:t xml:space="preserve"> framework. There is a good amount of evidence for this. The overall amount of recycled </w:t>
      </w:r>
      <w:proofErr w:type="spellStart"/>
      <w:r w:rsidR="004A1C2F" w:rsidRPr="004A1C2F">
        <w:rPr>
          <w:rFonts w:ascii="Arial" w:hAnsi="Arial" w:cs="Arial"/>
        </w:rPr>
        <w:t>fibre</w:t>
      </w:r>
      <w:proofErr w:type="spellEnd"/>
      <w:r w:rsidR="004A1C2F" w:rsidRPr="004A1C2F">
        <w:rPr>
          <w:rFonts w:ascii="Arial" w:hAnsi="Arial" w:cs="Arial"/>
        </w:rPr>
        <w:t xml:space="preserve"> produced, as shown in Figure 3, actually decreased slightly from 2020 to 2024, from 109 million </w:t>
      </w:r>
      <w:proofErr w:type="spellStart"/>
      <w:r w:rsidR="004A1C2F" w:rsidRPr="004A1C2F">
        <w:rPr>
          <w:rFonts w:ascii="Arial" w:hAnsi="Arial" w:cs="Arial"/>
        </w:rPr>
        <w:t>tonnes</w:t>
      </w:r>
      <w:proofErr w:type="spellEnd"/>
      <w:r w:rsidR="004A1C2F" w:rsidRPr="004A1C2F">
        <w:rPr>
          <w:rFonts w:ascii="Arial" w:hAnsi="Arial" w:cs="Arial"/>
        </w:rPr>
        <w:t xml:space="preserve"> to 132 million </w:t>
      </w:r>
      <w:proofErr w:type="spellStart"/>
      <w:r w:rsidR="004A1C2F" w:rsidRPr="004A1C2F">
        <w:rPr>
          <w:rFonts w:ascii="Arial" w:hAnsi="Arial" w:cs="Arial"/>
        </w:rPr>
        <w:t>tonnes</w:t>
      </w:r>
      <w:proofErr w:type="spellEnd"/>
      <w:r w:rsidR="004A1C2F" w:rsidRPr="004A1C2F">
        <w:rPr>
          <w:rFonts w:ascii="Arial" w:hAnsi="Arial" w:cs="Arial"/>
        </w:rPr>
        <w:t xml:space="preserve">, even though these figures are still higher than in the past, with 8.1% of all </w:t>
      </w:r>
      <w:proofErr w:type="spellStart"/>
      <w:r w:rsidR="004A1C2F" w:rsidRPr="004A1C2F">
        <w:rPr>
          <w:rFonts w:ascii="Arial" w:hAnsi="Arial" w:cs="Arial"/>
        </w:rPr>
        <w:t>fibre</w:t>
      </w:r>
      <w:proofErr w:type="spellEnd"/>
      <w:r w:rsidR="004A1C2F" w:rsidRPr="004A1C2F">
        <w:rPr>
          <w:rFonts w:ascii="Arial" w:hAnsi="Arial" w:cs="Arial"/>
        </w:rPr>
        <w:t xml:space="preserve"> produced being recycled in 2020, and 7.6% in 2024</w:t>
      </w:r>
      <w:r w:rsidR="00F276DB">
        <w:rPr>
          <w:rFonts w:ascii="Arial" w:hAnsi="Arial" w:cs="Arial"/>
        </w:rPr>
        <w:t xml:space="preserve"> </w:t>
      </w:r>
      <w:r w:rsidR="00F276DB">
        <w:rPr>
          <w:rFonts w:ascii="Arial" w:hAnsi="Arial" w:cs="Arial"/>
        </w:rPr>
        <w:fldChar w:fldCharType="begin" w:fldLock="1"/>
      </w:r>
      <w:r w:rsidR="00C16C78">
        <w:rPr>
          <w:rFonts w:ascii="Arial" w:hAnsi="Arial" w:cs="Arial"/>
        </w:rPr>
        <w:instrText>ADDIN CSL_CITATION {"citationItems":[{"id":"ITEM-1","itemData":{"author":[{"dropping-particle":"","family":"Textileexchange","given":"","non-dropping-particle":"","parse-names":false,"suffix":""}],"id":"ITEM-1","issued":{"date-parts":[["2025"]]},"title":"Materials Market Report","type":"article-journal"},"uris":["http://www.mendeley.com/documents/?uuid=16020b7f-df22-47d5-8503-3d9fa2d9a193"]}],"mendeley":{"formattedCitation":"(Textileexchange, 2025)","plainTextFormattedCitation":"(Textileexchange, 2025)","previouslyFormattedCitation":"(Textileexchange, 2025)"},"properties":{"noteIndex":0},"schema":"https://github.com/citation-style-language/schema/raw/master/csl-citation.json"}</w:instrText>
      </w:r>
      <w:r w:rsidR="00F276DB">
        <w:rPr>
          <w:rFonts w:ascii="Arial" w:hAnsi="Arial" w:cs="Arial"/>
        </w:rPr>
        <w:fldChar w:fldCharType="separate"/>
      </w:r>
      <w:r w:rsidR="00F276DB" w:rsidRPr="00F276DB">
        <w:rPr>
          <w:rFonts w:ascii="Arial" w:hAnsi="Arial" w:cs="Arial"/>
          <w:noProof/>
        </w:rPr>
        <w:t>(Textileexchange, 2025)</w:t>
      </w:r>
      <w:r w:rsidR="00F276DB">
        <w:rPr>
          <w:rFonts w:ascii="Arial" w:hAnsi="Arial" w:cs="Arial"/>
        </w:rPr>
        <w:fldChar w:fldCharType="end"/>
      </w:r>
      <w:r w:rsidR="004A1C2F" w:rsidRPr="004A1C2F">
        <w:rPr>
          <w:rFonts w:ascii="Arial" w:hAnsi="Arial" w:cs="Arial"/>
        </w:rPr>
        <w:t>. This is a key takeaway: as the number of recycled content claims increases across the entire industry, the movement of recycled materials in and out of textiles is in fact not growing, but instead being overwhelmed by the growth in output.</w:t>
      </w:r>
    </w:p>
    <w:p w14:paraId="222FC329" w14:textId="77777777" w:rsidR="00A6790C" w:rsidRDefault="00A7384D" w:rsidP="00ED33D2">
      <w:pPr>
        <w:keepNext/>
        <w:spacing w:line="360" w:lineRule="auto"/>
        <w:jc w:val="center"/>
      </w:pPr>
      <w:r>
        <w:rPr>
          <w:rFonts w:ascii="Arial" w:hAnsi="Arial" w:cs="Arial"/>
          <w:noProof/>
        </w:rPr>
        <w:lastRenderedPageBreak/>
        <w:drawing>
          <wp:inline distT="0" distB="0" distL="0" distR="0" wp14:anchorId="3700DBE0" wp14:editId="3C9DCE87">
            <wp:extent cx="5944235" cy="2840990"/>
            <wp:effectExtent l="0" t="0" r="0" b="0"/>
            <wp:docPr id="10495812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4235" cy="2840990"/>
                    </a:xfrm>
                    <a:prstGeom prst="rect">
                      <a:avLst/>
                    </a:prstGeom>
                    <a:noFill/>
                  </pic:spPr>
                </pic:pic>
              </a:graphicData>
            </a:graphic>
          </wp:inline>
        </w:drawing>
      </w:r>
    </w:p>
    <w:p w14:paraId="3E4EC6CB" w14:textId="45000EA4" w:rsidR="004A1C2F" w:rsidRDefault="00A6790C" w:rsidP="00ED33D2">
      <w:pPr>
        <w:pStyle w:val="Caption"/>
        <w:spacing w:line="360" w:lineRule="auto"/>
        <w:jc w:val="center"/>
        <w:rPr>
          <w:rFonts w:ascii="Arial" w:hAnsi="Arial" w:cs="Arial"/>
        </w:rPr>
      </w:pPr>
      <w:bookmarkStart w:id="12" w:name="_Toc236646393"/>
      <w:bookmarkStart w:id="13" w:name="_Toc236650404"/>
      <w:r w:rsidRPr="00A6790C">
        <w:rPr>
          <w:sz w:val="24"/>
          <w:szCs w:val="24"/>
        </w:rPr>
        <w:t xml:space="preserve">Figure </w:t>
      </w:r>
      <w:r w:rsidRPr="00A6790C">
        <w:rPr>
          <w:sz w:val="24"/>
          <w:szCs w:val="24"/>
        </w:rPr>
        <w:fldChar w:fldCharType="begin"/>
      </w:r>
      <w:r w:rsidRPr="00A6790C">
        <w:rPr>
          <w:sz w:val="24"/>
          <w:szCs w:val="24"/>
        </w:rPr>
        <w:instrText xml:space="preserve"> SEQ Figure \* ARABIC </w:instrText>
      </w:r>
      <w:r w:rsidRPr="00A6790C">
        <w:rPr>
          <w:sz w:val="24"/>
          <w:szCs w:val="24"/>
        </w:rPr>
        <w:fldChar w:fldCharType="separate"/>
      </w:r>
      <w:r>
        <w:rPr>
          <w:noProof/>
          <w:sz w:val="24"/>
          <w:szCs w:val="24"/>
        </w:rPr>
        <w:t>2</w:t>
      </w:r>
      <w:r w:rsidRPr="00A6790C">
        <w:rPr>
          <w:sz w:val="24"/>
          <w:szCs w:val="24"/>
        </w:rPr>
        <w:fldChar w:fldCharType="end"/>
      </w:r>
      <w:r w:rsidRPr="00A6790C">
        <w:rPr>
          <w:sz w:val="24"/>
          <w:szCs w:val="24"/>
        </w:rPr>
        <w:t xml:space="preserve">: Global </w:t>
      </w:r>
      <w:proofErr w:type="spellStart"/>
      <w:r w:rsidRPr="00A6790C">
        <w:rPr>
          <w:sz w:val="24"/>
          <w:szCs w:val="24"/>
        </w:rPr>
        <w:t>fibre</w:t>
      </w:r>
      <w:proofErr w:type="spellEnd"/>
      <w:r w:rsidRPr="00A6790C">
        <w:rPr>
          <w:sz w:val="24"/>
          <w:szCs w:val="24"/>
        </w:rPr>
        <w:t xml:space="preserve"> production (million </w:t>
      </w:r>
      <w:proofErr w:type="spellStart"/>
      <w:r w:rsidRPr="00A6790C">
        <w:rPr>
          <w:sz w:val="24"/>
          <w:szCs w:val="24"/>
        </w:rPr>
        <w:t>tonnes</w:t>
      </w:r>
      <w:proofErr w:type="spellEnd"/>
      <w:r w:rsidRPr="00A6790C">
        <w:rPr>
          <w:sz w:val="24"/>
          <w:szCs w:val="24"/>
        </w:rPr>
        <w:t xml:space="preserve">) and recycled </w:t>
      </w:r>
      <w:proofErr w:type="spellStart"/>
      <w:r w:rsidRPr="00A6790C">
        <w:rPr>
          <w:sz w:val="24"/>
          <w:szCs w:val="24"/>
        </w:rPr>
        <w:t>fibre</w:t>
      </w:r>
      <w:proofErr w:type="spellEnd"/>
      <w:r w:rsidRPr="00A6790C">
        <w:rPr>
          <w:sz w:val="24"/>
          <w:szCs w:val="24"/>
        </w:rPr>
        <w:t xml:space="preserve"> share, 2020–2024</w:t>
      </w:r>
      <w:r w:rsidRPr="00607A2C">
        <w:t>.</w:t>
      </w:r>
      <w:bookmarkEnd w:id="12"/>
      <w:bookmarkEnd w:id="13"/>
    </w:p>
    <w:p w14:paraId="3C9D8BAA" w14:textId="41FDB919" w:rsidR="00A7384D" w:rsidRPr="00ED33D2" w:rsidRDefault="00C16C78" w:rsidP="00ED33D2">
      <w:pPr>
        <w:spacing w:line="360" w:lineRule="auto"/>
        <w:jc w:val="center"/>
        <w:rPr>
          <w:rFonts w:ascii="Arial" w:hAnsi="Arial" w:cs="Arial"/>
        </w:rPr>
      </w:pPr>
      <w:r w:rsidRPr="00ED33D2">
        <w:t>Source:</w:t>
      </w:r>
      <w:r w:rsidRPr="00ED33D2">
        <w:fldChar w:fldCharType="begin" w:fldLock="1"/>
      </w:r>
      <w:r w:rsidRPr="00ED33D2">
        <w:instrText>ADDIN CSL_CITATION {"citationItems":[{"id":"ITEM-1","itemData":{"author":[{"dropping-particle":"","family":"Textileexchange","given":"","non-dropping-particle":"","parse-names":false,"suffix":""}],"id":"ITEM-1","issued":{"date-parts":[["2025"]]},"title":"Materials Market Report","type":"article-journal"},"uris":["http://www.mendeley.com/documents/?uuid=16020b7f-df22-47d5-8503-3d9fa2d9a193"]}],"mendeley":{"formattedCitation":"(Textileexchange, 2025)","plainTextFormattedCitation":"(Textileexchange, 2025)","previouslyFormattedCitation":"(Textileexchange, 2025)"},"properties":{"noteIndex":0},"schema":"https://github.com/citation-style-language/schema/raw/master/csl-citation.json"}</w:instrText>
      </w:r>
      <w:r w:rsidRPr="00ED33D2">
        <w:fldChar w:fldCharType="separate"/>
      </w:r>
      <w:r w:rsidRPr="00ED33D2">
        <w:rPr>
          <w:noProof/>
        </w:rPr>
        <w:t>(Textileexchange, 2025)</w:t>
      </w:r>
      <w:r w:rsidRPr="00ED33D2">
        <w:fldChar w:fldCharType="end"/>
      </w:r>
    </w:p>
    <w:p w14:paraId="32A84F92" w14:textId="26657C02" w:rsidR="004A1C2F" w:rsidRPr="004A1C2F" w:rsidRDefault="004A1C2F" w:rsidP="00A6790C">
      <w:pPr>
        <w:spacing w:line="360" w:lineRule="auto"/>
        <w:jc w:val="both"/>
        <w:rPr>
          <w:rFonts w:ascii="Arial" w:hAnsi="Arial" w:cs="Arial"/>
        </w:rPr>
      </w:pPr>
      <w:r w:rsidRPr="004A1C2F">
        <w:rPr>
          <w:rFonts w:ascii="Arial" w:hAnsi="Arial" w:cs="Arial"/>
        </w:rPr>
        <w:t xml:space="preserve">So, a 99% recycled polyester figure, as </w:t>
      </w:r>
      <w:r w:rsidR="00A6790C">
        <w:rPr>
          <w:rFonts w:ascii="Arial" w:hAnsi="Arial" w:cs="Arial"/>
        </w:rPr>
        <w:t>A</w:t>
      </w:r>
      <w:r w:rsidRPr="004A1C2F">
        <w:rPr>
          <w:rFonts w:ascii="Arial" w:hAnsi="Arial" w:cs="Arial"/>
        </w:rPr>
        <w:t>didas claims, or a carbon</w:t>
      </w:r>
      <w:r w:rsidR="00A6790C">
        <w:rPr>
          <w:rFonts w:ascii="Arial" w:hAnsi="Arial" w:cs="Arial"/>
        </w:rPr>
        <w:t>-</w:t>
      </w:r>
      <w:r w:rsidRPr="004A1C2F">
        <w:rPr>
          <w:rFonts w:ascii="Arial" w:hAnsi="Arial" w:cs="Arial"/>
        </w:rPr>
        <w:t>labelled product, as Allbirds claims, does not count as a closed loop</w:t>
      </w:r>
      <w:r w:rsidR="00A6790C">
        <w:rPr>
          <w:rFonts w:ascii="Arial" w:hAnsi="Arial" w:cs="Arial"/>
        </w:rPr>
        <w:t>,</w:t>
      </w:r>
      <w:r w:rsidRPr="004A1C2F">
        <w:rPr>
          <w:rFonts w:ascii="Arial" w:hAnsi="Arial" w:cs="Arial"/>
        </w:rPr>
        <w:t xml:space="preserve"> as both still use a lot of recycled inputs from bottles but don't return and remake polyester. This industry-wide gap is directly tackled in </w:t>
      </w:r>
      <w:r w:rsidR="00A7384D" w:rsidRPr="004A1C2F">
        <w:rPr>
          <w:rFonts w:ascii="Arial" w:hAnsi="Arial" w:cs="Arial"/>
        </w:rPr>
        <w:t>RE: LOOP’s</w:t>
      </w:r>
      <w:r w:rsidRPr="004A1C2F">
        <w:rPr>
          <w:rFonts w:ascii="Arial" w:hAnsi="Arial" w:cs="Arial"/>
        </w:rPr>
        <w:t xml:space="preserve"> return-reprocess-remake model.</w:t>
      </w:r>
    </w:p>
    <w:p w14:paraId="7E01682E" w14:textId="5E0B8A17" w:rsidR="004A1C2F" w:rsidRPr="004A1C2F" w:rsidRDefault="004A1C2F" w:rsidP="00A6790C">
      <w:pPr>
        <w:spacing w:line="360" w:lineRule="auto"/>
        <w:jc w:val="both"/>
        <w:rPr>
          <w:rFonts w:ascii="Arial" w:hAnsi="Arial" w:cs="Arial"/>
        </w:rPr>
      </w:pPr>
      <w:r w:rsidRPr="004A1C2F">
        <w:rPr>
          <w:rFonts w:ascii="Arial" w:hAnsi="Arial" w:cs="Arial"/>
        </w:rPr>
        <w:t xml:space="preserve">The second one is traceability. According to the study by </w:t>
      </w:r>
      <w:proofErr w:type="spellStart"/>
      <w:r w:rsidRPr="004A1C2F">
        <w:rPr>
          <w:rFonts w:ascii="Arial" w:hAnsi="Arial" w:cs="Arial"/>
        </w:rPr>
        <w:t>Legardeur</w:t>
      </w:r>
      <w:proofErr w:type="spellEnd"/>
      <w:r w:rsidRPr="004A1C2F">
        <w:rPr>
          <w:rFonts w:ascii="Arial" w:hAnsi="Arial" w:cs="Arial"/>
        </w:rPr>
        <w:t xml:space="preserve"> &amp; Ospital</w:t>
      </w:r>
      <w:r w:rsidR="00C16C78">
        <w:rPr>
          <w:rFonts w:ascii="Arial" w:hAnsi="Arial" w:cs="Arial"/>
        </w:rPr>
        <w:t xml:space="preserve"> </w:t>
      </w:r>
      <w:r w:rsidR="00C16C78">
        <w:rPr>
          <w:rFonts w:ascii="Arial" w:hAnsi="Arial" w:cs="Arial"/>
        </w:rPr>
        <w:fldChar w:fldCharType="begin" w:fldLock="1"/>
      </w:r>
      <w:r w:rsidR="00A6790C">
        <w:rPr>
          <w:rFonts w:ascii="Arial" w:hAnsi="Arial" w:cs="Arial"/>
        </w:rPr>
        <w:instrText>ADDIN CSL_CITATION {"citationItems":[{"id":"ITEM-1","itemData":{"ISBN":"9789284818181","author":[{"dropping-particle":"","family":"EPRS","given":"","non-dropping-particle":"","parse-names":false,"suffix":""}],"id":"ITEM-1","issue":"June","issued":{"date-parts":[["2024"]]},"title":"Digital product passport for the textile sector | Think Tank | European Parliament","type":"book"},"uris":["http://www.mendeley.com/documents/?uuid=f255794d-4785-4e6a-81e4-dfbfa15398ad"]}],"mendeley":{"formattedCitation":"(EPRS, 2024)","manualFormatting":"EPRS, 2024)","plainTextFormattedCitation":"(EPRS, 2024)","previouslyFormattedCitation":"(EPRS, 2024)"},"properties":{"noteIndex":0},"schema":"https://github.com/citation-style-language/schema/raw/master/csl-citation.json"}</w:instrText>
      </w:r>
      <w:r w:rsidR="00C16C78">
        <w:rPr>
          <w:rFonts w:ascii="Arial" w:hAnsi="Arial" w:cs="Arial"/>
        </w:rPr>
        <w:fldChar w:fldCharType="separate"/>
      </w:r>
      <w:r w:rsidR="00C16C78" w:rsidRPr="00C16C78">
        <w:rPr>
          <w:rFonts w:ascii="Arial" w:hAnsi="Arial" w:cs="Arial"/>
          <w:noProof/>
        </w:rPr>
        <w:t>EPRS, 2024)</w:t>
      </w:r>
      <w:r w:rsidR="00C16C78">
        <w:rPr>
          <w:rFonts w:ascii="Arial" w:hAnsi="Arial" w:cs="Arial"/>
        </w:rPr>
        <w:fldChar w:fldCharType="end"/>
      </w:r>
      <w:r w:rsidRPr="004A1C2F">
        <w:rPr>
          <w:rFonts w:ascii="Arial" w:hAnsi="Arial" w:cs="Arial"/>
        </w:rPr>
        <w:t xml:space="preserve"> for the EU Parliamentary study, the details of the traceability information available in-store </w:t>
      </w:r>
      <w:r w:rsidR="00A6790C">
        <w:rPr>
          <w:rFonts w:ascii="Arial" w:hAnsi="Arial" w:cs="Arial"/>
        </w:rPr>
        <w:t>are</w:t>
      </w:r>
      <w:r w:rsidRPr="004A1C2F">
        <w:rPr>
          <w:rFonts w:ascii="Arial" w:hAnsi="Arial" w:cs="Arial"/>
        </w:rPr>
        <w:t xml:space="preserve"> very limited (only country of manufacture for 93% of brands, and very few linking supply chain information with individual products). </w:t>
      </w:r>
      <w:r w:rsidR="00641324" w:rsidRPr="004A1C2F">
        <w:rPr>
          <w:rFonts w:ascii="Arial" w:hAnsi="Arial" w:cs="Arial"/>
        </w:rPr>
        <w:t>RE: LOOP’s</w:t>
      </w:r>
      <w:r w:rsidRPr="004A1C2F">
        <w:rPr>
          <w:rFonts w:ascii="Arial" w:hAnsi="Arial" w:cs="Arial"/>
        </w:rPr>
        <w:t xml:space="preserve"> proposed take-back and traceability system is one of the unique selling points that has the potential to actually make a difference, and is ahead of the EU's upcoming Digital Product Passport guidelines.</w:t>
      </w:r>
    </w:p>
    <w:p w14:paraId="1706AC3E" w14:textId="77777777" w:rsidR="004A1C2F" w:rsidRPr="004A1C2F" w:rsidRDefault="004A1C2F" w:rsidP="00A6790C">
      <w:pPr>
        <w:spacing w:line="360" w:lineRule="auto"/>
        <w:jc w:val="both"/>
        <w:rPr>
          <w:rFonts w:ascii="Arial" w:hAnsi="Arial" w:cs="Arial"/>
        </w:rPr>
      </w:pPr>
    </w:p>
    <w:p w14:paraId="0BDD1954" w14:textId="785DC2C2" w:rsidR="004A1C2F" w:rsidRPr="00F65095" w:rsidRDefault="004A1C2F" w:rsidP="00A6790C">
      <w:pPr>
        <w:pStyle w:val="Heading2"/>
        <w:spacing w:line="360" w:lineRule="auto"/>
      </w:pPr>
      <w:bookmarkStart w:id="14" w:name="_Toc236646094"/>
      <w:bookmarkStart w:id="15" w:name="_Toc236650640"/>
      <w:r w:rsidRPr="00F65095">
        <w:lastRenderedPageBreak/>
        <w:t>2.4 Positioning</w:t>
      </w:r>
      <w:bookmarkEnd w:id="14"/>
      <w:bookmarkEnd w:id="15"/>
    </w:p>
    <w:p w14:paraId="69906D90" w14:textId="42592904" w:rsidR="004A1C2F" w:rsidRPr="004A1C2F" w:rsidRDefault="00F65095" w:rsidP="00A6790C">
      <w:pPr>
        <w:spacing w:line="360" w:lineRule="auto"/>
        <w:jc w:val="both"/>
        <w:rPr>
          <w:rFonts w:ascii="Arial" w:hAnsi="Arial" w:cs="Arial"/>
        </w:rPr>
      </w:pPr>
      <w:r w:rsidRPr="00F65095">
        <w:rPr>
          <w:rFonts w:ascii="Arial" w:hAnsi="Arial" w:cs="Arial"/>
          <w:b/>
          <w:bCs/>
        </w:rPr>
        <w:t>Positioning statement:</w:t>
      </w:r>
      <w:r w:rsidRPr="00F65095">
        <w:rPr>
          <w:rFonts w:ascii="Arial" w:hAnsi="Arial" w:cs="Arial"/>
        </w:rPr>
        <w:t xml:space="preserve"> To Nike-loyal performance athletes who want sustainable choice without compromise, RE: LOOP is the only Nike range built on true closed-loop circularity, delivering elite performance and full material accountability.</w:t>
      </w:r>
    </w:p>
    <w:p w14:paraId="64C809FF" w14:textId="7BBD6AE5" w:rsidR="004A1C2F" w:rsidRPr="004A1C2F" w:rsidRDefault="004A1C2F" w:rsidP="00A6790C">
      <w:pPr>
        <w:spacing w:line="360" w:lineRule="auto"/>
        <w:jc w:val="both"/>
        <w:rPr>
          <w:rFonts w:ascii="Arial" w:hAnsi="Arial" w:cs="Arial"/>
        </w:rPr>
      </w:pPr>
      <w:r w:rsidRPr="004A1C2F">
        <w:rPr>
          <w:rFonts w:ascii="Arial" w:hAnsi="Arial" w:cs="Arial"/>
        </w:rPr>
        <w:t>This positioning is plotted in Figure 4, on two dimensions: Performance Credibility and Sustainability Credibility. The Nike standard lines (in-between) perform at a high level and have medium sustainability. Allbirds has a relatively good score in both areas of sustainability communication and performance credibility</w:t>
      </w:r>
      <w:r w:rsidR="00A6790C">
        <w:rPr>
          <w:rFonts w:ascii="Arial" w:hAnsi="Arial" w:cs="Arial"/>
        </w:rPr>
        <w:t>,</w:t>
      </w:r>
      <w:r w:rsidRPr="004A1C2F">
        <w:rPr>
          <w:rFonts w:ascii="Arial" w:hAnsi="Arial" w:cs="Arial"/>
        </w:rPr>
        <w:t xml:space="preserve"> while adidas </w:t>
      </w:r>
      <w:proofErr w:type="spellStart"/>
      <w:r w:rsidRPr="004A1C2F">
        <w:rPr>
          <w:rFonts w:ascii="Arial" w:hAnsi="Arial" w:cs="Arial"/>
        </w:rPr>
        <w:t>Primeblue</w:t>
      </w:r>
      <w:proofErr w:type="spellEnd"/>
      <w:r w:rsidRPr="004A1C2F">
        <w:rPr>
          <w:rFonts w:ascii="Arial" w:hAnsi="Arial" w:cs="Arial"/>
        </w:rPr>
        <w:t>/</w:t>
      </w:r>
      <w:proofErr w:type="spellStart"/>
      <w:r w:rsidRPr="004A1C2F">
        <w:rPr>
          <w:rFonts w:ascii="Arial" w:hAnsi="Arial" w:cs="Arial"/>
        </w:rPr>
        <w:t>Primegreen</w:t>
      </w:r>
      <w:proofErr w:type="spellEnd"/>
      <w:r w:rsidRPr="004A1C2F">
        <w:rPr>
          <w:rFonts w:ascii="Arial" w:hAnsi="Arial" w:cs="Arial"/>
        </w:rPr>
        <w:t xml:space="preserve"> does not perform as well in those two areas. </w:t>
      </w:r>
      <w:r w:rsidR="00406D8E" w:rsidRPr="004A1C2F">
        <w:rPr>
          <w:rFonts w:ascii="Arial" w:hAnsi="Arial" w:cs="Arial"/>
        </w:rPr>
        <w:t>RE: LOOP</w:t>
      </w:r>
      <w:r w:rsidRPr="004A1C2F">
        <w:rPr>
          <w:rFonts w:ascii="Arial" w:hAnsi="Arial" w:cs="Arial"/>
        </w:rPr>
        <w:t xml:space="preserve"> is in the high performance, high genuine sustainability credibility quadrant in white space no direct competitor is in.</w:t>
      </w:r>
    </w:p>
    <w:p w14:paraId="77D8B635" w14:textId="77777777" w:rsidR="00A6790C" w:rsidRDefault="00406D8E" w:rsidP="00ED33D2">
      <w:pPr>
        <w:keepNext/>
        <w:spacing w:line="360" w:lineRule="auto"/>
        <w:jc w:val="center"/>
      </w:pPr>
      <w:r>
        <w:rPr>
          <w:rFonts w:ascii="Arial" w:hAnsi="Arial" w:cs="Arial"/>
          <w:noProof/>
        </w:rPr>
        <w:drawing>
          <wp:inline distT="0" distB="0" distL="0" distR="0" wp14:anchorId="17643686" wp14:editId="24516ADC">
            <wp:extent cx="5438140" cy="3724910"/>
            <wp:effectExtent l="0" t="0" r="0" b="8890"/>
            <wp:docPr id="11101386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8140" cy="3724910"/>
                    </a:xfrm>
                    <a:prstGeom prst="rect">
                      <a:avLst/>
                    </a:prstGeom>
                    <a:noFill/>
                  </pic:spPr>
                </pic:pic>
              </a:graphicData>
            </a:graphic>
          </wp:inline>
        </w:drawing>
      </w:r>
    </w:p>
    <w:p w14:paraId="69346FEC" w14:textId="477BD217" w:rsidR="004A1C2F" w:rsidRPr="00A6790C" w:rsidRDefault="00A6790C" w:rsidP="00ED33D2">
      <w:pPr>
        <w:pStyle w:val="Caption"/>
        <w:spacing w:line="360" w:lineRule="auto"/>
        <w:jc w:val="center"/>
        <w:rPr>
          <w:rFonts w:ascii="Arial" w:hAnsi="Arial" w:cs="Arial"/>
          <w:sz w:val="24"/>
          <w:szCs w:val="24"/>
        </w:rPr>
      </w:pPr>
      <w:bookmarkStart w:id="16" w:name="_Toc236646394"/>
      <w:bookmarkStart w:id="17" w:name="_Toc236650405"/>
      <w:r w:rsidRPr="00A6790C">
        <w:rPr>
          <w:sz w:val="24"/>
          <w:szCs w:val="24"/>
        </w:rPr>
        <w:t xml:space="preserve">Figure </w:t>
      </w:r>
      <w:r w:rsidRPr="00A6790C">
        <w:rPr>
          <w:sz w:val="24"/>
          <w:szCs w:val="24"/>
        </w:rPr>
        <w:fldChar w:fldCharType="begin"/>
      </w:r>
      <w:r w:rsidRPr="00A6790C">
        <w:rPr>
          <w:sz w:val="24"/>
          <w:szCs w:val="24"/>
        </w:rPr>
        <w:instrText xml:space="preserve"> SEQ Figure \* ARABIC </w:instrText>
      </w:r>
      <w:r w:rsidRPr="00A6790C">
        <w:rPr>
          <w:sz w:val="24"/>
          <w:szCs w:val="24"/>
        </w:rPr>
        <w:fldChar w:fldCharType="separate"/>
      </w:r>
      <w:r>
        <w:rPr>
          <w:noProof/>
          <w:sz w:val="24"/>
          <w:szCs w:val="24"/>
        </w:rPr>
        <w:t>3</w:t>
      </w:r>
      <w:r w:rsidRPr="00A6790C">
        <w:rPr>
          <w:sz w:val="24"/>
          <w:szCs w:val="24"/>
        </w:rPr>
        <w:fldChar w:fldCharType="end"/>
      </w:r>
      <w:r w:rsidRPr="00A6790C">
        <w:rPr>
          <w:sz w:val="24"/>
          <w:szCs w:val="24"/>
        </w:rPr>
        <w:t>: Perceptual positioning map: Performance credibility vs. Sustainability credibility.</w:t>
      </w:r>
      <w:bookmarkEnd w:id="16"/>
      <w:bookmarkEnd w:id="17"/>
    </w:p>
    <w:p w14:paraId="7EC2CE8E" w14:textId="36AD8831" w:rsidR="004A1C2F" w:rsidRPr="00ED33D2" w:rsidRDefault="00406D8E" w:rsidP="00ED33D2">
      <w:pPr>
        <w:spacing w:line="360" w:lineRule="auto"/>
        <w:jc w:val="center"/>
        <w:rPr>
          <w:rFonts w:ascii="Arial" w:hAnsi="Arial" w:cs="Arial"/>
        </w:rPr>
      </w:pPr>
      <w:r w:rsidRPr="00ED33D2">
        <w:rPr>
          <w:rFonts w:ascii="Arial" w:hAnsi="Arial" w:cs="Arial"/>
        </w:rPr>
        <w:t>Source: self-made</w:t>
      </w:r>
    </w:p>
    <w:p w14:paraId="7B064C25" w14:textId="28861312" w:rsidR="00E071B5" w:rsidRDefault="004A1C2F" w:rsidP="00A6790C">
      <w:pPr>
        <w:spacing w:line="360" w:lineRule="auto"/>
        <w:jc w:val="both"/>
        <w:rPr>
          <w:rFonts w:ascii="Arial" w:hAnsi="Arial" w:cs="Arial"/>
        </w:rPr>
      </w:pPr>
      <w:r w:rsidRPr="004A1C2F">
        <w:rPr>
          <w:rFonts w:ascii="Arial" w:hAnsi="Arial" w:cs="Arial"/>
        </w:rPr>
        <w:lastRenderedPageBreak/>
        <w:t>There is a risk of positioning this</w:t>
      </w:r>
      <w:r w:rsidR="001226C9">
        <w:rPr>
          <w:rFonts w:ascii="Arial" w:hAnsi="Arial" w:cs="Arial"/>
        </w:rPr>
        <w:t>.</w:t>
      </w:r>
      <w:r w:rsidRPr="004A1C2F">
        <w:rPr>
          <w:rFonts w:ascii="Arial" w:hAnsi="Arial" w:cs="Arial"/>
        </w:rPr>
        <w:t xml:space="preserve"> </w:t>
      </w:r>
      <w:r w:rsidR="001226C9">
        <w:rPr>
          <w:rFonts w:ascii="Arial" w:hAnsi="Arial" w:cs="Arial"/>
        </w:rPr>
        <w:fldChar w:fldCharType="begin" w:fldLock="1"/>
      </w:r>
      <w:r w:rsidR="00A6790C">
        <w:rPr>
          <w:rFonts w:ascii="Arial" w:hAnsi="Arial" w:cs="Arial"/>
        </w:rPr>
        <w:instrText>ADDIN CSL_CITATION {"citationItems":[{"id":"ITEM-1","itemData":{"URL":"https://www.unep.org/resources/publication/sustainability-and-circularity-textile-value-chain-global-roadmap","author":[{"dropping-particle":"","family":"UNEP","given":"","non-dropping-particle":"","parse-names":false,"suffix":""}],"id":"ITEM-1","issued":{"date-parts":[["2023"]]},"title":"Sustainability and Circularity in the Textile Value Chain - A Global Roadmap","type":"webpage"},"uris":["http://www.mendeley.com/documents/?uuid=9d94e308-d45c-4ded-8c61-87f09144efca"]}],"mendeley":{"formattedCitation":"(UNEP, 2023a)","manualFormatting":"UNEP (2023)","plainTextFormattedCitation":"(UNEP, 2023a)","previouslyFormattedCitation":"(UNEP, 2023a)"},"properties":{"noteIndex":0},"schema":"https://github.com/citation-style-language/schema/raw/master/csl-citation.json"}</w:instrText>
      </w:r>
      <w:r w:rsidR="001226C9">
        <w:rPr>
          <w:rFonts w:ascii="Arial" w:hAnsi="Arial" w:cs="Arial"/>
        </w:rPr>
        <w:fldChar w:fldCharType="separate"/>
      </w:r>
      <w:r w:rsidR="001226C9" w:rsidRPr="001226C9">
        <w:rPr>
          <w:rFonts w:ascii="Arial" w:hAnsi="Arial" w:cs="Arial"/>
          <w:noProof/>
        </w:rPr>
        <w:t xml:space="preserve">UNEP </w:t>
      </w:r>
      <w:r w:rsidR="001226C9">
        <w:rPr>
          <w:rFonts w:ascii="Arial" w:hAnsi="Arial" w:cs="Arial"/>
          <w:noProof/>
        </w:rPr>
        <w:t>(</w:t>
      </w:r>
      <w:r w:rsidR="001226C9" w:rsidRPr="001226C9">
        <w:rPr>
          <w:rFonts w:ascii="Arial" w:hAnsi="Arial" w:cs="Arial"/>
          <w:noProof/>
        </w:rPr>
        <w:t>2023)</w:t>
      </w:r>
      <w:r w:rsidR="001226C9">
        <w:rPr>
          <w:rFonts w:ascii="Arial" w:hAnsi="Arial" w:cs="Arial"/>
        </w:rPr>
        <w:fldChar w:fldCharType="end"/>
      </w:r>
      <w:r w:rsidRPr="004A1C2F">
        <w:rPr>
          <w:rFonts w:ascii="Arial" w:hAnsi="Arial" w:cs="Arial"/>
        </w:rPr>
        <w:t xml:space="preserve"> </w:t>
      </w:r>
      <w:r w:rsidR="00406D8E" w:rsidRPr="004A1C2F">
        <w:rPr>
          <w:rFonts w:ascii="Arial" w:hAnsi="Arial" w:cs="Arial"/>
        </w:rPr>
        <w:t>emphasizes</w:t>
      </w:r>
      <w:r w:rsidRPr="004A1C2F">
        <w:rPr>
          <w:rFonts w:ascii="Arial" w:hAnsi="Arial" w:cs="Arial"/>
        </w:rPr>
        <w:t xml:space="preserve"> that it is not only a matter of brand marketing, but also a matter of system collaboration throughout the value chain for credible claims to circularity; otherwise, </w:t>
      </w:r>
      <w:r w:rsidR="001332D8" w:rsidRPr="004A1C2F">
        <w:rPr>
          <w:rFonts w:ascii="Arial" w:hAnsi="Arial" w:cs="Arial"/>
        </w:rPr>
        <w:t>RE: LOOP’s</w:t>
      </w:r>
      <w:r w:rsidRPr="004A1C2F">
        <w:rPr>
          <w:rFonts w:ascii="Arial" w:hAnsi="Arial" w:cs="Arial"/>
        </w:rPr>
        <w:t xml:space="preserve"> positioning could be undermined by greenwashing </w:t>
      </w:r>
      <w:r w:rsidR="001332D8" w:rsidRPr="004A1C2F">
        <w:rPr>
          <w:rFonts w:ascii="Arial" w:hAnsi="Arial" w:cs="Arial"/>
        </w:rPr>
        <w:t>skepticism</w:t>
      </w:r>
      <w:r w:rsidRPr="004A1C2F">
        <w:rPr>
          <w:rFonts w:ascii="Arial" w:hAnsi="Arial" w:cs="Arial"/>
        </w:rPr>
        <w:t xml:space="preserve"> and authenticity perception, as both factors were found to significantly influence green purchase decisions by </w:t>
      </w:r>
      <w:r w:rsidR="001226C9">
        <w:rPr>
          <w:rFonts w:ascii="Arial" w:hAnsi="Arial" w:cs="Arial"/>
        </w:rPr>
        <w:fldChar w:fldCharType="begin" w:fldLock="1"/>
      </w:r>
      <w:r w:rsidR="001226C9">
        <w:rPr>
          <w:rFonts w:ascii="Arial" w:hAnsi="Arial" w:cs="Arial"/>
        </w:rPr>
        <w:instrText>ADDIN CSL_CITATION {"citationItems":[{"id":"ITEM-1","itemData":{"ISSN":"2071-1050","abstract":"Firms show their environmental efforts on social media in order to influence the green purchase decisions of environmentally conscious consumers. However, consumers remain suspicious of firms’ environmental claims. This study aims to assess the impact of green social media influence, greenwashing perception, and green authenticity perception on green purchase decisions. In addition, greenwashing perception and green authenticity perception mediate the relationship between green social media influence and green purchase decisions. Data on fashion clothing brands were collected from 413 respondents in Guangzhou, China. These data were analyzed through SPSS version 23 and Smartpls version 4.0.8 software. The findings of this study show that the relationship between green social media influence, greenwashing perception, and green authenticity perception remains significant. Similarly, the mediating relationship of green authenticity perception between green social media influence and green purchase decisions remains significant. However, the mediating relationship of greenwashing perception between green social media influence and green purchase decisions remains non-significant. The results of this study will be beneficial for fashion clothing brands, marketers, policymakers, and researchers. Moreover, this study provides practical guidance for stakeholders to gain maximum benefits from social media and avoid the harmful effects caused by greenwashing perception.","author":[{"dropping-particle":"","family":"Fang","given":"Ziyi","non-dropping-particle":"","parse-names":false,"suffix":""}],"container-title":"Sustainability","id":"ITEM-1","issue":"23","issued":{"date-parts":[["2024","12","6"]]},"page":"10723","title":"Greenwashing Versus Green Authenticity: How Green Social Media Influences Consumer Perceptions and Green Purchase Decisions","type":"article-journal","volume":"16"},"uris":["http://www.mendeley.com/documents/?uuid=72614db3-f0e7-4a24-a6dd-2f263185eccd"]}],"mendeley":{"formattedCitation":"(Fang, 2024)","plainTextFormattedCitation":"(Fang, 2024)","previouslyFormattedCitation":"(Fang, 2024)"},"properties":{"noteIndex":0},"schema":"https://github.com/citation-style-language/schema/raw/master/csl-citation.json"}</w:instrText>
      </w:r>
      <w:r w:rsidR="001226C9">
        <w:rPr>
          <w:rFonts w:ascii="Arial" w:hAnsi="Arial" w:cs="Arial"/>
        </w:rPr>
        <w:fldChar w:fldCharType="separate"/>
      </w:r>
      <w:r w:rsidR="001226C9" w:rsidRPr="001226C9">
        <w:rPr>
          <w:rFonts w:ascii="Arial" w:hAnsi="Arial" w:cs="Arial"/>
          <w:noProof/>
        </w:rPr>
        <w:t>(Fang, 2024)</w:t>
      </w:r>
      <w:r w:rsidR="001226C9">
        <w:rPr>
          <w:rFonts w:ascii="Arial" w:hAnsi="Arial" w:cs="Arial"/>
        </w:rPr>
        <w:fldChar w:fldCharType="end"/>
      </w:r>
      <w:r w:rsidRPr="004A1C2F">
        <w:rPr>
          <w:rFonts w:ascii="Arial" w:hAnsi="Arial" w:cs="Arial"/>
        </w:rPr>
        <w:t>.</w:t>
      </w:r>
    </w:p>
    <w:p w14:paraId="7DF787D6" w14:textId="77777777" w:rsidR="00E4169A" w:rsidRDefault="00E4169A" w:rsidP="00A6790C">
      <w:pPr>
        <w:spacing w:line="360" w:lineRule="auto"/>
        <w:rPr>
          <w:rFonts w:ascii="Arial" w:hAnsi="Arial" w:cs="Arial"/>
        </w:rPr>
      </w:pPr>
      <w:r>
        <w:rPr>
          <w:rFonts w:ascii="Arial" w:hAnsi="Arial" w:cs="Arial"/>
        </w:rPr>
        <w:br w:type="page"/>
      </w:r>
    </w:p>
    <w:p w14:paraId="51B46326" w14:textId="7FA1D1B8" w:rsidR="00E4169A" w:rsidRPr="00E4169A" w:rsidRDefault="00E4169A" w:rsidP="00A6790C">
      <w:pPr>
        <w:pStyle w:val="Heading1"/>
        <w:spacing w:line="360" w:lineRule="auto"/>
      </w:pPr>
      <w:bookmarkStart w:id="18" w:name="_Toc236646095"/>
      <w:bookmarkStart w:id="19" w:name="_Toc236650641"/>
      <w:r w:rsidRPr="00E4169A">
        <w:lastRenderedPageBreak/>
        <w:t>Element 3: Marketing Mix (7Ps)</w:t>
      </w:r>
      <w:bookmarkEnd w:id="18"/>
      <w:bookmarkEnd w:id="19"/>
    </w:p>
    <w:p w14:paraId="104C94EE" w14:textId="77777777" w:rsidR="00E4169A" w:rsidRPr="00E4169A" w:rsidRDefault="00E4169A" w:rsidP="00A6790C">
      <w:pPr>
        <w:spacing w:line="360" w:lineRule="auto"/>
        <w:jc w:val="both"/>
        <w:rPr>
          <w:rFonts w:ascii="Arial" w:hAnsi="Arial" w:cs="Arial"/>
        </w:rPr>
      </w:pPr>
      <w:r w:rsidRPr="00E4169A">
        <w:rPr>
          <w:rFonts w:ascii="Arial" w:hAnsi="Arial" w:cs="Arial"/>
        </w:rPr>
        <w:t>The 7Ps framework has been used throughout this section (Figure 5).</w:t>
      </w:r>
    </w:p>
    <w:p w14:paraId="761ACABC" w14:textId="77777777" w:rsidR="00A6790C" w:rsidRDefault="00E4169A" w:rsidP="00ED33D2">
      <w:pPr>
        <w:keepNext/>
        <w:spacing w:line="360" w:lineRule="auto"/>
        <w:jc w:val="center"/>
      </w:pPr>
      <w:r>
        <w:rPr>
          <w:noProof/>
        </w:rPr>
        <w:drawing>
          <wp:inline distT="0" distB="0" distL="0" distR="0" wp14:anchorId="52E1750F" wp14:editId="4FF59151">
            <wp:extent cx="5943600" cy="3343275"/>
            <wp:effectExtent l="0" t="0" r="0" b="9525"/>
            <wp:docPr id="3598757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4FA260E" w14:textId="4C02CBE7" w:rsidR="00E4169A" w:rsidRPr="00A6790C" w:rsidRDefault="00A6790C" w:rsidP="00ED33D2">
      <w:pPr>
        <w:pStyle w:val="Caption"/>
        <w:spacing w:line="360" w:lineRule="auto"/>
        <w:jc w:val="center"/>
        <w:rPr>
          <w:rFonts w:ascii="Arial" w:hAnsi="Arial" w:cs="Arial"/>
          <w:sz w:val="24"/>
          <w:szCs w:val="24"/>
        </w:rPr>
      </w:pPr>
      <w:bookmarkStart w:id="20" w:name="_Toc236646395"/>
      <w:bookmarkStart w:id="21" w:name="_Toc236650406"/>
      <w:r w:rsidRPr="00A6790C">
        <w:rPr>
          <w:sz w:val="24"/>
          <w:szCs w:val="24"/>
        </w:rPr>
        <w:t xml:space="preserve">Figure </w:t>
      </w:r>
      <w:r w:rsidRPr="00A6790C">
        <w:rPr>
          <w:sz w:val="24"/>
          <w:szCs w:val="24"/>
        </w:rPr>
        <w:fldChar w:fldCharType="begin"/>
      </w:r>
      <w:r w:rsidRPr="00A6790C">
        <w:rPr>
          <w:sz w:val="24"/>
          <w:szCs w:val="24"/>
        </w:rPr>
        <w:instrText xml:space="preserve"> SEQ Figure \* ARABIC </w:instrText>
      </w:r>
      <w:r w:rsidRPr="00A6790C">
        <w:rPr>
          <w:sz w:val="24"/>
          <w:szCs w:val="24"/>
        </w:rPr>
        <w:fldChar w:fldCharType="separate"/>
      </w:r>
      <w:r>
        <w:rPr>
          <w:noProof/>
          <w:sz w:val="24"/>
          <w:szCs w:val="24"/>
        </w:rPr>
        <w:t>4</w:t>
      </w:r>
      <w:r w:rsidRPr="00A6790C">
        <w:rPr>
          <w:sz w:val="24"/>
          <w:szCs w:val="24"/>
        </w:rPr>
        <w:fldChar w:fldCharType="end"/>
      </w:r>
      <w:r w:rsidRPr="00A6790C">
        <w:rPr>
          <w:sz w:val="24"/>
          <w:szCs w:val="24"/>
        </w:rPr>
        <w:t>: The 7Ps Marketing Mix framework</w:t>
      </w:r>
      <w:bookmarkEnd w:id="20"/>
      <w:bookmarkEnd w:id="21"/>
    </w:p>
    <w:p w14:paraId="27C8A071" w14:textId="1E8A7968" w:rsidR="00E4169A" w:rsidRPr="00ED33D2" w:rsidRDefault="006137B1" w:rsidP="00ED33D2">
      <w:pPr>
        <w:spacing w:line="360" w:lineRule="auto"/>
        <w:jc w:val="center"/>
        <w:rPr>
          <w:rFonts w:ascii="Arial" w:hAnsi="Arial" w:cs="Arial"/>
        </w:rPr>
      </w:pPr>
      <w:r w:rsidRPr="00ED33D2">
        <w:t xml:space="preserve">Source: </w:t>
      </w:r>
      <w:r w:rsidRPr="00ED33D2">
        <w:fldChar w:fldCharType="begin" w:fldLock="1"/>
      </w:r>
      <w:r w:rsidR="00AD6A5B" w:rsidRPr="00ED33D2">
        <w:instrText>ADDIN CSL_CITATION {"citationItems":[{"id":"ITEM-1","itemData":{"URL":"https://blog.oxfordcollegeofmarketing.com/2020/10/08/understanding-the-7ps-of-the-marketing-mix/","author":[{"dropping-particle":"","family":"Oxford College of Marketing","given":"","non-dropping-particle":"","parse-names":false,"suffix":""}],"id":"ITEM-1","issued":{"date-parts":[["2020"]]},"title":"Understanding The 7Ps of The Marketing Mix","type":"webpage"},"uris":["http://www.mendeley.com/documents/?uuid=656ee8a2-9c58-4b58-a3ee-a3f6210e300d"]}],"mendeley":{"formattedCitation":"(Oxford College of Marketing, 2020)","plainTextFormattedCitation":"(Oxford College of Marketing, 2020)","previouslyFormattedCitation":"(Oxford College of Marketing, 2020)"},"properties":{"noteIndex":0},"schema":"https://github.com/citation-style-language/schema/raw/master/csl-citation.json"}</w:instrText>
      </w:r>
      <w:r w:rsidRPr="00ED33D2">
        <w:fldChar w:fldCharType="separate"/>
      </w:r>
      <w:r w:rsidRPr="00ED33D2">
        <w:rPr>
          <w:noProof/>
        </w:rPr>
        <w:t>(Oxford College of Marketing, 2020)</w:t>
      </w:r>
      <w:r w:rsidRPr="00ED33D2">
        <w:fldChar w:fldCharType="end"/>
      </w:r>
    </w:p>
    <w:p w14:paraId="18F4DFEB" w14:textId="5AEB6349" w:rsidR="00E4169A" w:rsidRPr="00E4169A" w:rsidRDefault="00E4169A" w:rsidP="00A6790C">
      <w:pPr>
        <w:pStyle w:val="Heading2"/>
        <w:spacing w:line="360" w:lineRule="auto"/>
      </w:pPr>
      <w:bookmarkStart w:id="22" w:name="_Toc236646096"/>
      <w:bookmarkStart w:id="23" w:name="_Toc236650642"/>
      <w:r w:rsidRPr="00E4169A">
        <w:t>3.1 Product</w:t>
      </w:r>
      <w:bookmarkEnd w:id="22"/>
      <w:bookmarkEnd w:id="23"/>
    </w:p>
    <w:p w14:paraId="053F0B13" w14:textId="16C49485" w:rsidR="00E4169A" w:rsidRPr="00E4169A" w:rsidRDefault="00E4169A" w:rsidP="00A6790C">
      <w:pPr>
        <w:spacing w:line="360" w:lineRule="auto"/>
        <w:jc w:val="both"/>
        <w:rPr>
          <w:rFonts w:ascii="Arial" w:hAnsi="Arial" w:cs="Arial"/>
        </w:rPr>
      </w:pPr>
      <w:r w:rsidRPr="00E4169A">
        <w:rPr>
          <w:rFonts w:ascii="Arial" w:hAnsi="Arial" w:cs="Arial"/>
        </w:rPr>
        <w:t xml:space="preserve">The product range of RE: LOOP features footwear and clothing that are made from reclaimed and reprocessed materials, from the beginning made for the end-use. Each unit is fitted with a material-tracking identifier, which comes with the recognition of the lack of product-level traceability across the industry, as highlighted by </w:t>
      </w:r>
      <w:r w:rsidR="00AD6A5B">
        <w:rPr>
          <w:rFonts w:ascii="Arial" w:hAnsi="Arial" w:cs="Arial"/>
        </w:rPr>
        <w:fldChar w:fldCharType="begin" w:fldLock="1"/>
      </w:r>
      <w:r w:rsidR="00A6790C">
        <w:rPr>
          <w:rFonts w:ascii="Arial" w:hAnsi="Arial" w:cs="Arial"/>
        </w:rPr>
        <w:instrText>ADDIN CSL_CITATION {"citationItems":[{"id":"ITEM-1","itemData":{"author":[{"dropping-particle":"","family":"Legardeur","given":"Jérémy","non-dropping-particle":"","parse-names":false,"suffix":""},{"dropping-particle":"","family":"Ospital","given":"Pantxika","non-dropping-particle":"","parse-names":false,"suffix":""}],"id":"ITEM-1","issued":{"date-parts":[["2024"]]},"title":"Digital product passport for the textile sector, Study for European Parliamentary Research Service, Panel for the Future of Science and Technology, Scientific Foresight Unit (STOA)","type":"article-journal"},"uris":["http://www.mendeley.com/documents/?uuid=6c6d6ecc-9e6d-4a41-888b-079d08fb190a"]}],"mendeley":{"formattedCitation":"(Legardeur and Ospital, 2024)","manualFormatting":"Legardeur and Ospital (2024   )","plainTextFormattedCitation":"(Legardeur and Ospital, 2024)","previouslyFormattedCitation":"(Legardeur and Ospital, 2024)"},"properties":{"noteIndex":0},"schema":"https://github.com/citation-style-language/schema/raw/master/csl-citation.json"}</w:instrText>
      </w:r>
      <w:r w:rsidR="00AD6A5B">
        <w:rPr>
          <w:rFonts w:ascii="Arial" w:hAnsi="Arial" w:cs="Arial"/>
        </w:rPr>
        <w:fldChar w:fldCharType="separate"/>
      </w:r>
      <w:r w:rsidR="00AD6A5B" w:rsidRPr="00AD6A5B">
        <w:rPr>
          <w:rFonts w:ascii="Arial" w:hAnsi="Arial" w:cs="Arial"/>
          <w:noProof/>
        </w:rPr>
        <w:t xml:space="preserve">Legardeur and Ospital </w:t>
      </w:r>
      <w:r w:rsidR="00AD6A5B">
        <w:rPr>
          <w:rFonts w:ascii="Arial" w:hAnsi="Arial" w:cs="Arial"/>
          <w:noProof/>
        </w:rPr>
        <w:t>(</w:t>
      </w:r>
      <w:r w:rsidR="00AD6A5B" w:rsidRPr="00AD6A5B">
        <w:rPr>
          <w:rFonts w:ascii="Arial" w:hAnsi="Arial" w:cs="Arial"/>
          <w:noProof/>
        </w:rPr>
        <w:t>2024</w:t>
      </w:r>
      <w:r w:rsidR="00A6790C">
        <w:rPr>
          <w:rFonts w:ascii="Arial" w:hAnsi="Arial" w:cs="Arial"/>
          <w:noProof/>
        </w:rPr>
        <w:t xml:space="preserve">   </w:t>
      </w:r>
      <w:r w:rsidR="00AD6A5B" w:rsidRPr="00AD6A5B">
        <w:rPr>
          <w:rFonts w:ascii="Arial" w:hAnsi="Arial" w:cs="Arial"/>
          <w:noProof/>
        </w:rPr>
        <w:t>)</w:t>
      </w:r>
      <w:r w:rsidR="00AD6A5B">
        <w:rPr>
          <w:rFonts w:ascii="Arial" w:hAnsi="Arial" w:cs="Arial"/>
        </w:rPr>
        <w:fldChar w:fldCharType="end"/>
      </w:r>
      <w:r w:rsidR="00A6790C">
        <w:rPr>
          <w:rFonts w:ascii="Arial" w:hAnsi="Arial" w:cs="Arial"/>
        </w:rPr>
        <w:t>,</w:t>
      </w:r>
      <w:r w:rsidRPr="00E4169A">
        <w:rPr>
          <w:rFonts w:ascii="Arial" w:hAnsi="Arial" w:cs="Arial"/>
        </w:rPr>
        <w:t xml:space="preserve"> where 93% of brands are unable to provide any more detail than </w:t>
      </w:r>
      <w:r w:rsidR="00A6790C">
        <w:rPr>
          <w:rFonts w:ascii="Arial" w:hAnsi="Arial" w:cs="Arial"/>
        </w:rPr>
        <w:t xml:space="preserve">the </w:t>
      </w:r>
      <w:r w:rsidRPr="00E4169A">
        <w:rPr>
          <w:rFonts w:ascii="Arial" w:hAnsi="Arial" w:cs="Arial"/>
        </w:rPr>
        <w:t xml:space="preserve">country of manufacture in the store. A sustainable marketing mix is not just a design choice, but also a structural one, with a sustainable product choice being an integral component of a sustainable supply chain, as opined by </w:t>
      </w:r>
      <w:r w:rsidR="00AD6A5B">
        <w:rPr>
          <w:rFonts w:ascii="Arial" w:hAnsi="Arial" w:cs="Arial"/>
        </w:rPr>
        <w:fldChar w:fldCharType="begin" w:fldLock="1"/>
      </w:r>
      <w:r w:rsidR="00AD6A5B">
        <w:rPr>
          <w:rFonts w:ascii="Arial" w:hAnsi="Arial" w:cs="Arial"/>
        </w:rPr>
        <w:instrText>ADDIN CSL_CITATION {"citationItems":[{"id":"ITEM-1","itemData":{"ISSN":"26661888","author":[{"dropping-particle":"","family":"Garg","given":"Ruchi","non-dropping-particle":"","parse-names":false,"suffix":""},{"dropping-particle":"","family":"Chhikara","given":"Ritu","non-dropping-particle":"","parse-names":false,"suffix":""},{"dropping-particle":"","family":"Agrawal","given":"Gautam","non-dropping-particle":"","parse-names":false,"suffix":""},{"dropping-particle":"","family":"Rathi","given":"Rubal","non-dropping-particle":"","parse-names":false,"suffix":""},{"dropping-particle":"","family":"Arya","given":"Yashasvi","non-dropping-particle":"","parse-names":false,"suffix":""}],"container-title":"Sustainable Futures","id":"ITEM-1","issued":{"date-parts":[["2024","12"]]},"page":"100269","title":"Sustainable marketing mix and supply chain integration: A systematic review and research agenda","type":"article-journal","volume":"8"},"uris":["http://www.mendeley.com/documents/?uuid=1aa307b9-03a2-468a-8ad6-1643c727b7d7"]}],"mendeley":{"formattedCitation":"(Garg &lt;i&gt;et al.&lt;/i&gt;, 2024)","manualFormatting":"Garg et al., (2024)","plainTextFormattedCitation":"(Garg et al., 2024)","previouslyFormattedCitation":"(Garg &lt;i&gt;et al.&lt;/i&gt;, 2024)"},"properties":{"noteIndex":0},"schema":"https://github.com/citation-style-language/schema/raw/master/csl-citation.json"}</w:instrText>
      </w:r>
      <w:r w:rsidR="00AD6A5B">
        <w:rPr>
          <w:rFonts w:ascii="Arial" w:hAnsi="Arial" w:cs="Arial"/>
        </w:rPr>
        <w:fldChar w:fldCharType="separate"/>
      </w:r>
      <w:r w:rsidR="00AD6A5B" w:rsidRPr="00AD6A5B">
        <w:rPr>
          <w:rFonts w:ascii="Arial" w:hAnsi="Arial" w:cs="Arial"/>
          <w:noProof/>
        </w:rPr>
        <w:t xml:space="preserve">Garg </w:t>
      </w:r>
      <w:r w:rsidR="00AD6A5B" w:rsidRPr="00AD6A5B">
        <w:rPr>
          <w:rFonts w:ascii="Arial" w:hAnsi="Arial" w:cs="Arial"/>
          <w:i/>
          <w:noProof/>
        </w:rPr>
        <w:t>et al.</w:t>
      </w:r>
      <w:r w:rsidR="00AD6A5B" w:rsidRPr="00AD6A5B">
        <w:rPr>
          <w:rFonts w:ascii="Arial" w:hAnsi="Arial" w:cs="Arial"/>
          <w:noProof/>
        </w:rPr>
        <w:t xml:space="preserve"> </w:t>
      </w:r>
      <w:r w:rsidR="00AD6A5B">
        <w:rPr>
          <w:rFonts w:ascii="Arial" w:hAnsi="Arial" w:cs="Arial"/>
          <w:noProof/>
        </w:rPr>
        <w:t>(</w:t>
      </w:r>
      <w:r w:rsidR="00AD6A5B" w:rsidRPr="00AD6A5B">
        <w:rPr>
          <w:rFonts w:ascii="Arial" w:hAnsi="Arial" w:cs="Arial"/>
          <w:noProof/>
        </w:rPr>
        <w:t>2024)</w:t>
      </w:r>
      <w:r w:rsidR="00AD6A5B">
        <w:rPr>
          <w:rFonts w:ascii="Arial" w:hAnsi="Arial" w:cs="Arial"/>
        </w:rPr>
        <w:fldChar w:fldCharType="end"/>
      </w:r>
      <w:r w:rsidRPr="00E4169A">
        <w:rPr>
          <w:rFonts w:ascii="Arial" w:hAnsi="Arial" w:cs="Arial"/>
        </w:rPr>
        <w:t xml:space="preserve"> in their systematic review of 972 studies. No amount of promotional or pricing strategy can fit the circularity onto the </w:t>
      </w:r>
      <w:r w:rsidRPr="00E4169A">
        <w:rPr>
          <w:rFonts w:ascii="Arial" w:hAnsi="Arial" w:cs="Arial"/>
        </w:rPr>
        <w:lastRenderedPageBreak/>
        <w:t>product if it isn't really designed for it. This makes Product the core of RE: LOOP’s differentiation claims</w:t>
      </w:r>
      <w:r w:rsidR="00A6790C">
        <w:rPr>
          <w:rFonts w:ascii="Arial" w:hAnsi="Arial" w:cs="Arial"/>
        </w:rPr>
        <w:t>,</w:t>
      </w:r>
      <w:r w:rsidRPr="00E4169A">
        <w:rPr>
          <w:rFonts w:ascii="Arial" w:hAnsi="Arial" w:cs="Arial"/>
        </w:rPr>
        <w:t xml:space="preserve"> which was built in Element 2.</w:t>
      </w:r>
    </w:p>
    <w:p w14:paraId="5E987D11" w14:textId="77777777" w:rsidR="00E4169A" w:rsidRPr="00E4169A" w:rsidRDefault="00E4169A" w:rsidP="00A6790C">
      <w:pPr>
        <w:spacing w:line="360" w:lineRule="auto"/>
        <w:jc w:val="both"/>
        <w:rPr>
          <w:rFonts w:ascii="Arial" w:hAnsi="Arial" w:cs="Arial"/>
          <w:b/>
          <w:bCs/>
        </w:rPr>
      </w:pPr>
    </w:p>
    <w:p w14:paraId="565697EB" w14:textId="14705EBE" w:rsidR="00E4169A" w:rsidRPr="00E4169A" w:rsidRDefault="00E4169A" w:rsidP="00A6790C">
      <w:pPr>
        <w:pStyle w:val="Heading2"/>
        <w:spacing w:line="360" w:lineRule="auto"/>
      </w:pPr>
      <w:bookmarkStart w:id="24" w:name="_Toc236646097"/>
      <w:bookmarkStart w:id="25" w:name="_Toc236650643"/>
      <w:r w:rsidRPr="00E4169A">
        <w:t>3.2 Price</w:t>
      </w:r>
      <w:bookmarkEnd w:id="24"/>
      <w:bookmarkEnd w:id="25"/>
    </w:p>
    <w:p w14:paraId="530EE5C4" w14:textId="3CF4C01C" w:rsidR="00E4169A" w:rsidRPr="00E4169A" w:rsidRDefault="00E4169A" w:rsidP="00A6790C">
      <w:pPr>
        <w:spacing w:line="360" w:lineRule="auto"/>
        <w:jc w:val="both"/>
        <w:rPr>
          <w:rFonts w:ascii="Arial" w:hAnsi="Arial" w:cs="Arial"/>
        </w:rPr>
      </w:pPr>
      <w:r w:rsidRPr="00E4169A">
        <w:rPr>
          <w:rFonts w:ascii="Arial" w:hAnsi="Arial" w:cs="Arial"/>
        </w:rPr>
        <w:t xml:space="preserve">A </w:t>
      </w:r>
      <w:r w:rsidR="00AD6A5B">
        <w:rPr>
          <w:rFonts w:ascii="Arial" w:hAnsi="Arial" w:cs="Arial"/>
        </w:rPr>
        <w:fldChar w:fldCharType="begin" w:fldLock="1"/>
      </w:r>
      <w:r w:rsidR="00AD6A5B">
        <w:rPr>
          <w:rFonts w:ascii="Arial" w:hAnsi="Arial" w:cs="Arial"/>
        </w:rPr>
        <w:instrText>ADDIN CSL_CITATION {"citationItems":[{"id":"ITEM-1","itemData":{"author":[{"dropping-particle":"","family":"PWC","given":"","non-dropping-particle":"","parse-names":false,"suffix":""}],"id":"ITEM-1","issued":{"date-parts":[["2024"]]},"title":"Shrinking the consumer trust deficit","type":"article-journal"},"uris":["http://www.mendeley.com/documents/?uuid=51a98cfc-9f71-4f0c-91c8-a505f21dfa29"]}],"mendeley":{"formattedCitation":"(PWC, 2024)","plainTextFormattedCitation":"(PWC, 2024)","previouslyFormattedCitation":"(PWC, 2024)"},"properties":{"noteIndex":0},"schema":"https://github.com/citation-style-language/schema/raw/master/csl-citation.json"}</w:instrText>
      </w:r>
      <w:r w:rsidR="00AD6A5B">
        <w:rPr>
          <w:rFonts w:ascii="Arial" w:hAnsi="Arial" w:cs="Arial"/>
        </w:rPr>
        <w:fldChar w:fldCharType="separate"/>
      </w:r>
      <w:r w:rsidR="00AD6A5B" w:rsidRPr="00AD6A5B">
        <w:rPr>
          <w:rFonts w:ascii="Arial" w:hAnsi="Arial" w:cs="Arial"/>
          <w:noProof/>
        </w:rPr>
        <w:t>(PWC, 2024)</w:t>
      </w:r>
      <w:r w:rsidR="00AD6A5B">
        <w:rPr>
          <w:rFonts w:ascii="Arial" w:hAnsi="Arial" w:cs="Arial"/>
        </w:rPr>
        <w:fldChar w:fldCharType="end"/>
      </w:r>
      <w:r w:rsidRPr="00E4169A">
        <w:rPr>
          <w:rFonts w:ascii="Arial" w:hAnsi="Arial" w:cs="Arial"/>
        </w:rPr>
        <w:t xml:space="preserve"> global survey of 20,000+ consumers across 31 countries showed that</w:t>
      </w:r>
      <w:r w:rsidR="00A6790C">
        <w:rPr>
          <w:rFonts w:ascii="Arial" w:hAnsi="Arial" w:cs="Arial"/>
        </w:rPr>
        <w:t>,</w:t>
      </w:r>
      <w:r w:rsidRPr="00E4169A">
        <w:rPr>
          <w:rFonts w:ascii="Arial" w:hAnsi="Arial" w:cs="Arial"/>
        </w:rPr>
        <w:t xml:space="preserve"> on average</w:t>
      </w:r>
      <w:r w:rsidR="00A6790C">
        <w:rPr>
          <w:rFonts w:ascii="Arial" w:hAnsi="Arial" w:cs="Arial"/>
        </w:rPr>
        <w:t>,</w:t>
      </w:r>
      <w:r w:rsidRPr="00E4169A">
        <w:rPr>
          <w:rFonts w:ascii="Arial" w:hAnsi="Arial" w:cs="Arial"/>
        </w:rPr>
        <w:t xml:space="preserve"> consumers will pay a 9.7% premium for sustainably produced goods, with an average rating for production methods that focus on waste reduction and recycling given as the single most influential sustainability incentive at 40%. This lends a defensible basis to RE: LOOP’s prices, as opposed to an assumed one. </w:t>
      </w:r>
      <w:r w:rsidR="00AD6A5B">
        <w:rPr>
          <w:rFonts w:ascii="Arial" w:hAnsi="Arial" w:cs="Arial"/>
        </w:rPr>
        <w:fldChar w:fldCharType="begin" w:fldLock="1"/>
      </w:r>
      <w:r w:rsidR="00A6790C">
        <w:rPr>
          <w:rFonts w:ascii="Arial" w:hAnsi="Arial" w:cs="Arial"/>
        </w:rPr>
        <w:instrText>ADDIN CSL_CITATION {"citationItems":[{"id":"ITEM-1","itemData":{"ISSN":"2076-3387","abstract":"The concept of sustainable fashion is becoming more relevant in today’s society. The purpose of this research is to identify the determinants of the purchase intention of sustainable fashion, and the relationship between price and the purchase of sustainable fashion. A questionnaire was administered, which made it possible to define the concept of sustainable fashion, to use PLS-SEM to identify the determinants, and to apply linear regression models and t-tests of two independent samples (two-tailed test). The concept of sustainable fashion comprises the dimensions of manufacturing with a reduced environmental impact, consuming second-hand fashion products, manufacturing in an environmentally friendly way, reusing fashion products, manufacturing to last longer, manufacturing according to fair trade principles, using recycled materials, and manufacturing from organic materials. The PLS-SEM results show that purchase intention is determined by consumer knowledge, environmental beliefs, and willingness to pay more. The research also revealed that there is a non-linear (quadratic or exponential) relationship between the price of the product and the price increase that consumers are willing to pay and that they value the dimensions of sustainable fashion differently. The purchase intention determinants of consumers and non-consumers of sustainable fashion are identical, yet the dimensions of sustainable fashion are valued differently by each group.","author":[{"dropping-particle":"","family":"Pires","given":"Paulo Botelho","non-dropping-particle":"","parse-names":false,"suffix":""},{"dropping-particle":"","family":"Morais","given":"Cláudia","non-dropping-particle":"","parse-names":false,"suffix":""},{"dropping-particle":"","family":"Delgado","given":"Catarina J. M.","non-dropping-particle":"","parse-names":false,"suffix":""},{"dropping-particle":"","family":"Santos","given":"José Duarte","non-dropping-particle":"","parse-names":false,"suffix":""}],"container-title":"Administrative Sciences","id":"ITEM-1","issue":"7","issued":{"date-parts":[["2024","7","5"]]},"page":"143","title":"Sustainable Fashion: Conceptualization, Purchase Determinants, and Willingness to Pay More","type":"article-journal","volume":"14"},"uris":["http://www.mendeley.com/documents/?uuid=fee334c6-0b90-42a1-b7fc-fd6c233a3c24"]}],"mendeley":{"formattedCitation":"(Pires &lt;i&gt;et al.&lt;/i&gt;, 2024)","manualFormatting":"Pires et al. (2024)","plainTextFormattedCitation":"(Pires et al., 2024)","previouslyFormattedCitation":"(Pires &lt;i&gt;et al.&lt;/i&gt;, 2024)"},"properties":{"noteIndex":0},"schema":"https://github.com/citation-style-language/schema/raw/master/csl-citation.json"}</w:instrText>
      </w:r>
      <w:r w:rsidR="00AD6A5B">
        <w:rPr>
          <w:rFonts w:ascii="Arial" w:hAnsi="Arial" w:cs="Arial"/>
        </w:rPr>
        <w:fldChar w:fldCharType="separate"/>
      </w:r>
      <w:r w:rsidR="00AD6A5B" w:rsidRPr="00AD6A5B">
        <w:rPr>
          <w:rFonts w:ascii="Arial" w:hAnsi="Arial" w:cs="Arial"/>
          <w:noProof/>
        </w:rPr>
        <w:t xml:space="preserve">Pires </w:t>
      </w:r>
      <w:r w:rsidR="00AD6A5B" w:rsidRPr="00AD6A5B">
        <w:rPr>
          <w:rFonts w:ascii="Arial" w:hAnsi="Arial" w:cs="Arial"/>
          <w:i/>
          <w:noProof/>
        </w:rPr>
        <w:t>et al.</w:t>
      </w:r>
      <w:r w:rsidR="00AD6A5B" w:rsidRPr="00AD6A5B">
        <w:rPr>
          <w:rFonts w:ascii="Arial" w:hAnsi="Arial" w:cs="Arial"/>
          <w:noProof/>
        </w:rPr>
        <w:t xml:space="preserve"> </w:t>
      </w:r>
      <w:r w:rsidR="00AD6A5B">
        <w:rPr>
          <w:rFonts w:ascii="Arial" w:hAnsi="Arial" w:cs="Arial"/>
          <w:noProof/>
        </w:rPr>
        <w:t>(</w:t>
      </w:r>
      <w:r w:rsidR="00AD6A5B" w:rsidRPr="00AD6A5B">
        <w:rPr>
          <w:rFonts w:ascii="Arial" w:hAnsi="Arial" w:cs="Arial"/>
          <w:noProof/>
        </w:rPr>
        <w:t>2024)</w:t>
      </w:r>
      <w:r w:rsidR="00AD6A5B">
        <w:rPr>
          <w:rFonts w:ascii="Arial" w:hAnsi="Arial" w:cs="Arial"/>
        </w:rPr>
        <w:fldChar w:fldCharType="end"/>
      </w:r>
      <w:r w:rsidRPr="00E4169A">
        <w:rPr>
          <w:rFonts w:ascii="Arial" w:hAnsi="Arial" w:cs="Arial"/>
        </w:rPr>
        <w:t xml:space="preserve">, however, found the link between price and WTP to be non-linear, not linear, meaning that consumers do not always increase their WTP as the price increases, but instead thresholds and even decreases past. This is echoed by </w:t>
      </w:r>
      <w:r w:rsidR="00AD6A5B">
        <w:rPr>
          <w:rFonts w:ascii="Arial" w:hAnsi="Arial" w:cs="Arial"/>
        </w:rPr>
        <w:fldChar w:fldCharType="begin" w:fldLock="1"/>
      </w:r>
      <w:r w:rsidR="00A6790C">
        <w:rPr>
          <w:rFonts w:ascii="Arial" w:hAnsi="Arial" w:cs="Arial"/>
        </w:rPr>
        <w:instrText>ADDIN CSL_CITATION {"citationItems":[{"id":"ITEM-1","itemData":{"ISSN":"0959-0552","author":[{"dropping-particle":"","family":"Ronda","given":"Lorena","non-dropping-particle":"","parse-names":false,"suffix":""}],"container-title":"International Journal of Retail &amp; Distribution Management","id":"ITEM-1","issue":"1","issued":{"date-parts":[["2024","1","18"]]},"page":"44-61","title":"Overcoming barriers for sustainable fashion: bridging attitude-behaviour gap in retail","type":"article-journal","volume":"52"},"uris":["http://www.mendeley.com/documents/?uuid=0c4d23d9-b24d-462b-8e31-a210f845e30c"]}],"mendeley":{"formattedCitation":"(Ronda, 2024)","manualFormatting":"Ronda (2024)","plainTextFormattedCitation":"(Ronda, 2024)","previouslyFormattedCitation":"(Ronda, 2024)"},"properties":{"noteIndex":0},"schema":"https://github.com/citation-style-language/schema/raw/master/csl-citation.json"}</w:instrText>
      </w:r>
      <w:r w:rsidR="00AD6A5B">
        <w:rPr>
          <w:rFonts w:ascii="Arial" w:hAnsi="Arial" w:cs="Arial"/>
        </w:rPr>
        <w:fldChar w:fldCharType="separate"/>
      </w:r>
      <w:r w:rsidR="00AD6A5B" w:rsidRPr="00AD6A5B">
        <w:rPr>
          <w:rFonts w:ascii="Arial" w:hAnsi="Arial" w:cs="Arial"/>
          <w:noProof/>
        </w:rPr>
        <w:t xml:space="preserve">Ronda </w:t>
      </w:r>
      <w:r w:rsidR="00AD6A5B">
        <w:rPr>
          <w:rFonts w:ascii="Arial" w:hAnsi="Arial" w:cs="Arial"/>
          <w:noProof/>
        </w:rPr>
        <w:t>(</w:t>
      </w:r>
      <w:r w:rsidR="00AD6A5B" w:rsidRPr="00AD6A5B">
        <w:rPr>
          <w:rFonts w:ascii="Arial" w:hAnsi="Arial" w:cs="Arial"/>
          <w:noProof/>
        </w:rPr>
        <w:t>2024)</w:t>
      </w:r>
      <w:r w:rsidR="00AD6A5B">
        <w:rPr>
          <w:rFonts w:ascii="Arial" w:hAnsi="Arial" w:cs="Arial"/>
        </w:rPr>
        <w:fldChar w:fldCharType="end"/>
      </w:r>
      <w:r w:rsidRPr="00E4169A">
        <w:rPr>
          <w:rFonts w:ascii="Arial" w:hAnsi="Arial" w:cs="Arial"/>
        </w:rPr>
        <w:t xml:space="preserve">, who found that high price is one of the five main structural barriers for establishing a connection between positive sustainability attitudes and actual purchase </w:t>
      </w:r>
      <w:proofErr w:type="spellStart"/>
      <w:r w:rsidRPr="00E4169A">
        <w:rPr>
          <w:rFonts w:ascii="Arial" w:hAnsi="Arial" w:cs="Arial"/>
        </w:rPr>
        <w:t>behaviour</w:t>
      </w:r>
      <w:proofErr w:type="spellEnd"/>
      <w:r w:rsidRPr="00E4169A">
        <w:rPr>
          <w:rFonts w:ascii="Arial" w:hAnsi="Arial" w:cs="Arial"/>
        </w:rPr>
        <w:t>. Combined, this evidence implies that the pricing of RE: LOOP should be close to, but not above, the empirically determined premium ceiling and that it should be coupled with clear value justification (traceability, proven return rates) and not sustainability messaging, as price sensitivity is a significant constraint even within a values-driven target market.</w:t>
      </w:r>
    </w:p>
    <w:p w14:paraId="7D917068" w14:textId="77777777" w:rsidR="00E4169A" w:rsidRPr="00E4169A" w:rsidRDefault="00E4169A" w:rsidP="00A6790C">
      <w:pPr>
        <w:spacing w:line="360" w:lineRule="auto"/>
        <w:jc w:val="both"/>
        <w:rPr>
          <w:rFonts w:ascii="Arial" w:hAnsi="Arial" w:cs="Arial"/>
        </w:rPr>
      </w:pPr>
    </w:p>
    <w:p w14:paraId="3AE1174B" w14:textId="19E15035" w:rsidR="00E4169A" w:rsidRPr="00E4169A" w:rsidRDefault="00E4169A" w:rsidP="00A6790C">
      <w:pPr>
        <w:pStyle w:val="Heading2"/>
        <w:spacing w:line="360" w:lineRule="auto"/>
      </w:pPr>
      <w:bookmarkStart w:id="26" w:name="_Toc236646098"/>
      <w:bookmarkStart w:id="27" w:name="_Toc236650644"/>
      <w:r w:rsidRPr="00E4169A">
        <w:t>3.3 Place</w:t>
      </w:r>
      <w:bookmarkEnd w:id="26"/>
      <w:bookmarkEnd w:id="27"/>
    </w:p>
    <w:p w14:paraId="684766EB" w14:textId="147AB6F6" w:rsidR="00E4169A" w:rsidRPr="00E4169A" w:rsidRDefault="00E4169A" w:rsidP="00A6790C">
      <w:pPr>
        <w:spacing w:line="360" w:lineRule="auto"/>
        <w:jc w:val="both"/>
        <w:rPr>
          <w:rFonts w:ascii="Arial" w:hAnsi="Arial" w:cs="Arial"/>
        </w:rPr>
      </w:pPr>
      <w:r w:rsidRPr="00E4169A">
        <w:rPr>
          <w:rFonts w:ascii="Arial" w:hAnsi="Arial" w:cs="Arial"/>
        </w:rPr>
        <w:t>It is distributed via Nike.com, Nike stores, and the current Nike Refurbished program with dedicated take-back locations also in stores. These existing channel assets and their "known revenue stream" argument were identified on the poster, meaning that it's easier to go to market than to build a new channel from scratch, thereby maintaining low go-to-market costs. This channel decision is also strategic, in that the take-back points are located within existing retail and e-commerce channels, and therefore keeps the reverse-logistics loop within sight and easy for the consumer, so that it becomes a true closed loop, and not just a gesture. In this model, Distribution and Process are therefore interdependent</w:t>
      </w:r>
      <w:r w:rsidR="00A6790C">
        <w:rPr>
          <w:rFonts w:ascii="Arial" w:hAnsi="Arial" w:cs="Arial"/>
        </w:rPr>
        <w:t>,</w:t>
      </w:r>
      <w:r w:rsidRPr="00E4169A">
        <w:rPr>
          <w:rFonts w:ascii="Arial" w:hAnsi="Arial" w:cs="Arial"/>
        </w:rPr>
        <w:t xml:space="preserve"> and this is less the case in Nike's traditional linear product lines.</w:t>
      </w:r>
    </w:p>
    <w:p w14:paraId="16443AF0" w14:textId="77777777" w:rsidR="00E4169A" w:rsidRPr="00E4169A" w:rsidRDefault="00E4169A" w:rsidP="00A6790C">
      <w:pPr>
        <w:spacing w:line="360" w:lineRule="auto"/>
        <w:jc w:val="both"/>
        <w:rPr>
          <w:rFonts w:ascii="Arial" w:hAnsi="Arial" w:cs="Arial"/>
        </w:rPr>
      </w:pPr>
    </w:p>
    <w:p w14:paraId="556AF7D1" w14:textId="73CEB94C" w:rsidR="00E4169A" w:rsidRPr="00E4169A" w:rsidRDefault="00E4169A" w:rsidP="00A6790C">
      <w:pPr>
        <w:pStyle w:val="Heading2"/>
        <w:spacing w:line="360" w:lineRule="auto"/>
      </w:pPr>
      <w:bookmarkStart w:id="28" w:name="_Toc236646099"/>
      <w:bookmarkStart w:id="29" w:name="_Toc236650645"/>
      <w:r w:rsidRPr="00E4169A">
        <w:t>3.4 Promotion</w:t>
      </w:r>
      <w:bookmarkEnd w:id="28"/>
      <w:bookmarkEnd w:id="29"/>
    </w:p>
    <w:p w14:paraId="03B1F2AF" w14:textId="0282B682" w:rsidR="00E4169A" w:rsidRPr="00E4169A" w:rsidRDefault="00E4169A" w:rsidP="00A6790C">
      <w:pPr>
        <w:spacing w:line="360" w:lineRule="auto"/>
        <w:jc w:val="both"/>
        <w:rPr>
          <w:rFonts w:ascii="Arial" w:hAnsi="Arial" w:cs="Arial"/>
        </w:rPr>
      </w:pPr>
      <w:r w:rsidRPr="00E4169A">
        <w:rPr>
          <w:rFonts w:ascii="Arial" w:hAnsi="Arial" w:cs="Arial"/>
        </w:rPr>
        <w:t>Promotion should be digital-first, based upon athlete partnerships and content that is transparent instead of generic sustainability messaging. In two related studies (n=441 and n=448 respectively)</w:t>
      </w:r>
      <w:r w:rsidR="00A6790C">
        <w:rPr>
          <w:rFonts w:ascii="Arial" w:hAnsi="Arial" w:cs="Arial"/>
        </w:rPr>
        <w:t>,</w:t>
      </w:r>
      <w:r w:rsidRPr="00E4169A">
        <w:rPr>
          <w:rFonts w:ascii="Arial" w:hAnsi="Arial" w:cs="Arial"/>
        </w:rPr>
        <w:t xml:space="preserve"> </w:t>
      </w:r>
      <w:r w:rsidR="00AD6A5B">
        <w:rPr>
          <w:rFonts w:ascii="Arial" w:hAnsi="Arial" w:cs="Arial"/>
        </w:rPr>
        <w:fldChar w:fldCharType="begin" w:fldLock="1"/>
      </w:r>
      <w:r w:rsidR="00A6790C">
        <w:rPr>
          <w:rFonts w:ascii="Arial" w:hAnsi="Arial" w:cs="Arial"/>
        </w:rPr>
        <w:instrText>ADDIN CSL_CITATION {"citationItems":[{"id":"ITEM-1","itemData":{"ISSN":"26667843","author":[{"dropping-particle":"","family":"Ries","given":"Teresa","non-dropping-particle":"","parse-names":false,"suffix":""},{"dropping-particle":"","family":"Rese","given":"Alexandra","non-dropping-particle":"","parse-names":false,"suffix":""}],"container-title":"Cleaner and Responsible Consumption","id":"ITEM-1","issued":{"date-parts":[["2025","6"]]},"page":"100278","title":"Can information help bridge the attitude–behavior gap in sustainable clothing consumption?","type":"article-journal","volume":"17"},"uris":["http://www.mendeley.com/documents/?uuid=70a86296-8c04-4899-a01c-f65e6eb59893"]}],"mendeley":{"formattedCitation":"(Ries and Rese, 2025)","manualFormatting":"Ries and Rese (2025)","plainTextFormattedCitation":"(Ries and Rese, 2025)","previouslyFormattedCitation":"(Ries and Rese, 2025)"},"properties":{"noteIndex":0},"schema":"https://github.com/citation-style-language/schema/raw/master/csl-citation.json"}</w:instrText>
      </w:r>
      <w:r w:rsidR="00AD6A5B">
        <w:rPr>
          <w:rFonts w:ascii="Arial" w:hAnsi="Arial" w:cs="Arial"/>
        </w:rPr>
        <w:fldChar w:fldCharType="separate"/>
      </w:r>
      <w:r w:rsidR="00AD6A5B" w:rsidRPr="00AD6A5B">
        <w:rPr>
          <w:rFonts w:ascii="Arial" w:hAnsi="Arial" w:cs="Arial"/>
          <w:noProof/>
        </w:rPr>
        <w:t xml:space="preserve">Ries and Rese </w:t>
      </w:r>
      <w:r w:rsidR="00AD6A5B">
        <w:rPr>
          <w:rFonts w:ascii="Arial" w:hAnsi="Arial" w:cs="Arial"/>
          <w:noProof/>
        </w:rPr>
        <w:t>(</w:t>
      </w:r>
      <w:r w:rsidR="00AD6A5B" w:rsidRPr="00AD6A5B">
        <w:rPr>
          <w:rFonts w:ascii="Arial" w:hAnsi="Arial" w:cs="Arial"/>
          <w:noProof/>
        </w:rPr>
        <w:t>2025)</w:t>
      </w:r>
      <w:r w:rsidR="00AD6A5B">
        <w:rPr>
          <w:rFonts w:ascii="Arial" w:hAnsi="Arial" w:cs="Arial"/>
        </w:rPr>
        <w:fldChar w:fldCharType="end"/>
      </w:r>
      <w:r w:rsidRPr="00E4169A">
        <w:rPr>
          <w:rFonts w:ascii="Arial" w:hAnsi="Arial" w:cs="Arial"/>
        </w:rPr>
        <w:t xml:space="preserve"> determined that attitude-</w:t>
      </w:r>
      <w:proofErr w:type="spellStart"/>
      <w:r w:rsidRPr="00E4169A">
        <w:rPr>
          <w:rFonts w:ascii="Arial" w:hAnsi="Arial" w:cs="Arial"/>
        </w:rPr>
        <w:t>behaviour</w:t>
      </w:r>
      <w:proofErr w:type="spellEnd"/>
      <w:r w:rsidRPr="00E4169A">
        <w:rPr>
          <w:rFonts w:ascii="Arial" w:hAnsi="Arial" w:cs="Arial"/>
        </w:rPr>
        <w:t xml:space="preserve"> gaps can only be closed if content is adapted to specific age group preferences, as younger consumers react differently to older ones, depending on the specific channel and type of information. </w:t>
      </w:r>
      <w:r w:rsidR="00E65B52">
        <w:rPr>
          <w:rFonts w:ascii="Arial" w:hAnsi="Arial" w:cs="Arial"/>
        </w:rPr>
        <w:fldChar w:fldCharType="begin" w:fldLock="1"/>
      </w:r>
      <w:r w:rsidR="00E65B52">
        <w:rPr>
          <w:rFonts w:ascii="Arial" w:hAnsi="Arial" w:cs="Arial"/>
        </w:rPr>
        <w:instrText>ADDIN CSL_CITATION {"citationItems":[{"id":"ITEM-1","itemData":{"ISSN":"2071-1050","abstract":"Firms show their environmental efforts on social media in order to influence the green purchase decisions of environmentally conscious consumers. However, consumers remain suspicious of firms’ environmental claims. This study aims to assess the impact of green social media influence, greenwashing perception, and green authenticity perception on green purchase decisions. In addition, greenwashing perception and green authenticity perception mediate the relationship between green social media influence and green purchase decisions. Data on fashion clothing brands were collected from 413 respondents in Guangzhou, China. These data were analyzed through SPSS version 23 and Smartpls version 4.0.8 software. The findings of this study show that the relationship between green social media influence, greenwashing perception, and green authenticity perception remains significant. Similarly, the mediating relationship of green authenticity perception between green social media influence and green purchase decisions remains significant. However, the mediating relationship of greenwashing perception between green social media influence and green purchase decisions remains non-significant. The results of this study will be beneficial for fashion clothing brands, marketers, policymakers, and researchers. Moreover, this study provides practical guidance for stakeholders to gain maximum benefits from social media and avoid the harmful effects caused by greenwashing perception.","author":[{"dropping-particle":"","family":"Fang","given":"Ziyi","non-dropping-particle":"","parse-names":false,"suffix":""}],"container-title":"Sustainability","id":"ITEM-1","issue":"23","issued":{"date-parts":[["2024","12","6"]]},"page":"10723","title":"Greenwashing Versus Green Authenticity: How Green Social Media Influences Consumer Perceptions and Green Purchase Decisions","type":"article-journal","volume":"16"},"uris":["http://www.mendeley.com/documents/?uuid=e48b0752-f6e9-4363-800b-f204ee89b840"]}],"mendeley":{"formattedCitation":"(Fang, 2024)","manualFormatting":"Fang, (2024)","plainTextFormattedCitation":"(Fang, 2024)","previouslyFormattedCitation":"(Fang, 2024)"},"properties":{"noteIndex":0},"schema":"https://github.com/citation-style-language/schema/raw/master/csl-citation.json"}</w:instrText>
      </w:r>
      <w:r w:rsidR="00E65B52">
        <w:rPr>
          <w:rFonts w:ascii="Arial" w:hAnsi="Arial" w:cs="Arial"/>
        </w:rPr>
        <w:fldChar w:fldCharType="separate"/>
      </w:r>
      <w:r w:rsidR="00E65B52" w:rsidRPr="00E65B52">
        <w:rPr>
          <w:rFonts w:ascii="Arial" w:hAnsi="Arial" w:cs="Arial"/>
          <w:noProof/>
        </w:rPr>
        <w:t xml:space="preserve">Fang, </w:t>
      </w:r>
      <w:r w:rsidR="00E65B52">
        <w:rPr>
          <w:rFonts w:ascii="Arial" w:hAnsi="Arial" w:cs="Arial"/>
          <w:noProof/>
        </w:rPr>
        <w:t>(</w:t>
      </w:r>
      <w:r w:rsidR="00E65B52" w:rsidRPr="00E65B52">
        <w:rPr>
          <w:rFonts w:ascii="Arial" w:hAnsi="Arial" w:cs="Arial"/>
          <w:noProof/>
        </w:rPr>
        <w:t>2024)</w:t>
      </w:r>
      <w:r w:rsidR="00E65B52">
        <w:rPr>
          <w:rFonts w:ascii="Arial" w:hAnsi="Arial" w:cs="Arial"/>
        </w:rPr>
        <w:fldChar w:fldCharType="end"/>
      </w:r>
      <w:r w:rsidRPr="00E4169A">
        <w:rPr>
          <w:rFonts w:ascii="Arial" w:hAnsi="Arial" w:cs="Arial"/>
        </w:rPr>
        <w:t xml:space="preserve"> investigated green social media influence and the perception of green authenticity on green purchase intentions for 413 fashion consumers in Guangzhou, China, and found that both measures had a significant impact on green purchase intentions, and the greenwashing perception did not significantly mediate between the two; this finding indicates that perceived green authenticity, not the absence of greenwashing accusations, is the driver of green purchase conversion. In practice, this translates to the promotion of RE:</w:t>
      </w:r>
      <w:r w:rsidR="00A6790C">
        <w:rPr>
          <w:rFonts w:ascii="Arial" w:hAnsi="Arial" w:cs="Arial"/>
        </w:rPr>
        <w:t xml:space="preserve"> </w:t>
      </w:r>
      <w:r w:rsidRPr="00E4169A">
        <w:rPr>
          <w:rFonts w:ascii="Arial" w:hAnsi="Arial" w:cs="Arial"/>
        </w:rPr>
        <w:t xml:space="preserve">LOOP's content on concrete proof points (supply chain footage, real return rate data, third-party audit results) rather than sweeping statements of sustainability, as these might be interpreted as aspirational </w:t>
      </w:r>
      <w:r w:rsidR="00A6790C">
        <w:rPr>
          <w:rFonts w:ascii="Arial" w:hAnsi="Arial" w:cs="Arial"/>
        </w:rPr>
        <w:t>rather than</w:t>
      </w:r>
      <w:r w:rsidRPr="00E4169A">
        <w:rPr>
          <w:rFonts w:ascii="Arial" w:hAnsi="Arial" w:cs="Arial"/>
        </w:rPr>
        <w:t xml:space="preserve"> convincing, and thus defeat the positioning developed in Element 2.</w:t>
      </w:r>
    </w:p>
    <w:p w14:paraId="5CB7CA50" w14:textId="77777777" w:rsidR="00E4169A" w:rsidRPr="00E4169A" w:rsidRDefault="00E4169A" w:rsidP="00A6790C">
      <w:pPr>
        <w:spacing w:line="360" w:lineRule="auto"/>
        <w:jc w:val="both"/>
        <w:rPr>
          <w:rFonts w:ascii="Arial" w:hAnsi="Arial" w:cs="Arial"/>
        </w:rPr>
      </w:pPr>
    </w:p>
    <w:p w14:paraId="54E1ADAB" w14:textId="5CA793B7" w:rsidR="00E4169A" w:rsidRPr="00E4169A" w:rsidRDefault="00E4169A" w:rsidP="00A6790C">
      <w:pPr>
        <w:pStyle w:val="Heading2"/>
        <w:spacing w:line="360" w:lineRule="auto"/>
      </w:pPr>
      <w:bookmarkStart w:id="30" w:name="_Toc236646100"/>
      <w:bookmarkStart w:id="31" w:name="_Toc236650646"/>
      <w:r w:rsidRPr="00E4169A">
        <w:t>3.5 People</w:t>
      </w:r>
      <w:bookmarkEnd w:id="30"/>
      <w:bookmarkEnd w:id="31"/>
    </w:p>
    <w:p w14:paraId="70D05462" w14:textId="7DA5FE57" w:rsidR="00E4169A" w:rsidRPr="00E4169A" w:rsidRDefault="00E4169A" w:rsidP="00A6790C">
      <w:pPr>
        <w:spacing w:line="360" w:lineRule="auto"/>
        <w:jc w:val="both"/>
        <w:rPr>
          <w:rFonts w:ascii="Arial" w:hAnsi="Arial" w:cs="Arial"/>
        </w:rPr>
      </w:pPr>
      <w:r w:rsidRPr="00E4169A">
        <w:rPr>
          <w:rFonts w:ascii="Arial" w:hAnsi="Arial" w:cs="Arial"/>
        </w:rPr>
        <w:t>All staff members, both in retail and take-back logistics, need specific training for the circularity messaging as well as on how to actually handle the returned product, both in the customer-facing element of the take-back process and in the back</w:t>
      </w:r>
      <w:r w:rsidR="00A6790C">
        <w:rPr>
          <w:rFonts w:ascii="Arial" w:hAnsi="Arial" w:cs="Arial"/>
        </w:rPr>
        <w:t>-</w:t>
      </w:r>
      <w:r w:rsidRPr="00E4169A">
        <w:rPr>
          <w:rFonts w:ascii="Arial" w:hAnsi="Arial" w:cs="Arial"/>
        </w:rPr>
        <w:t xml:space="preserve">of-house sorting and condition-grading process. If the People element doesn't reinforce, but instead is inconsistent or poorly informed about how the take-back scheme works, then the customer is directly challenged between </w:t>
      </w:r>
      <w:r w:rsidR="00C92321" w:rsidRPr="00E4169A">
        <w:rPr>
          <w:rFonts w:ascii="Arial" w:hAnsi="Arial" w:cs="Arial"/>
        </w:rPr>
        <w:t>RE: LOOP’s</w:t>
      </w:r>
      <w:r w:rsidRPr="00E4169A">
        <w:rPr>
          <w:rFonts w:ascii="Arial" w:hAnsi="Arial" w:cs="Arial"/>
        </w:rPr>
        <w:t xml:space="preserve"> promotional positioning and its day-to-day reality — a contradiction that can be both disastrous and a significant deviation from the perception of authenticity that can be hard to overcome in a purchase.</w:t>
      </w:r>
    </w:p>
    <w:p w14:paraId="03421696" w14:textId="77777777" w:rsidR="00E4169A" w:rsidRPr="00E4169A" w:rsidRDefault="00E4169A" w:rsidP="00A6790C">
      <w:pPr>
        <w:spacing w:line="360" w:lineRule="auto"/>
        <w:jc w:val="both"/>
        <w:rPr>
          <w:rFonts w:ascii="Arial" w:hAnsi="Arial" w:cs="Arial"/>
        </w:rPr>
      </w:pPr>
    </w:p>
    <w:p w14:paraId="727DDE21" w14:textId="23DABE1B" w:rsidR="00E4169A" w:rsidRPr="00E4169A" w:rsidRDefault="00E4169A" w:rsidP="00A6790C">
      <w:pPr>
        <w:pStyle w:val="Heading2"/>
        <w:spacing w:line="360" w:lineRule="auto"/>
      </w:pPr>
      <w:bookmarkStart w:id="32" w:name="_Toc236646101"/>
      <w:bookmarkStart w:id="33" w:name="_Toc236650647"/>
      <w:r w:rsidRPr="00E4169A">
        <w:lastRenderedPageBreak/>
        <w:t>3.6 Process</w:t>
      </w:r>
      <w:bookmarkEnd w:id="32"/>
      <w:bookmarkEnd w:id="33"/>
    </w:p>
    <w:p w14:paraId="61BF8070" w14:textId="1132C080" w:rsidR="00E4169A" w:rsidRPr="00E4169A" w:rsidRDefault="00E4169A" w:rsidP="00A6790C">
      <w:pPr>
        <w:spacing w:line="360" w:lineRule="auto"/>
        <w:jc w:val="both"/>
        <w:rPr>
          <w:rFonts w:ascii="Arial" w:hAnsi="Arial" w:cs="Arial"/>
        </w:rPr>
      </w:pPr>
      <w:r w:rsidRPr="00E4169A">
        <w:rPr>
          <w:rFonts w:ascii="Arial" w:hAnsi="Arial" w:cs="Arial"/>
        </w:rPr>
        <w:t xml:space="preserve">The reverse-logistics process (collection, sorting, reprocessing and remanufacture) is the differentiator of RE: LOOP’s operations and needs to be audited independently, not only brand communicated. </w:t>
      </w:r>
      <w:r w:rsidR="00E65B52">
        <w:rPr>
          <w:rFonts w:ascii="Arial" w:hAnsi="Arial" w:cs="Arial"/>
        </w:rPr>
        <w:fldChar w:fldCharType="begin" w:fldLock="1"/>
      </w:r>
      <w:r w:rsidR="00A6790C">
        <w:rPr>
          <w:rFonts w:ascii="Arial" w:hAnsi="Arial" w:cs="Arial"/>
        </w:rPr>
        <w:instrText>ADDIN CSL_CITATION {"citationItems":[{"id":"ITEM-1","itemData":{"ISSN":"23525509","author":[{"dropping-particle":"","family":"Abdelmeguid","given":"Aya","non-dropping-particle":"","parse-names":false,"suffix":""},{"dropping-particle":"","family":"Afy-Shararah","given":"Mohamed","non-dropping-particle":"","parse-names":false,"suffix":""},{"dropping-particle":"","family":"Salonitis","given":"Konstantinos","non-dropping-particle":"","parse-names":false,"suffix":""}],"container-title":"Sustainable Production and Consumption","id":"ITEM-1","issued":{"date-parts":[["2024","7"]]},"page":"143-156","title":"Towards circular fashion: Management strategies promoting circular behaviour along the value chain","type":"article-journal","volume":"48"},"uris":["http://www.mendeley.com/documents/?uuid=8e24285b-db70-4913-88ab-30e3b5098531"]}],"mendeley":{"formattedCitation":"(Abdelmeguid, Afy-Shararah and Salonitis, 2024b)","manualFormatting":"Abdelmeguid, Afy-Shararah and Salonitis (2024b)","plainTextFormattedCitation":"(Abdelmeguid, Afy-Shararah and Salonitis, 2024b)","previouslyFormattedCitation":"(Abdelmeguid, Afy-Shararah and Salonitis, 2024b)"},"properties":{"noteIndex":0},"schema":"https://github.com/citation-style-language/schema/raw/master/csl-citation.json"}</w:instrText>
      </w:r>
      <w:r w:rsidR="00E65B52">
        <w:rPr>
          <w:rFonts w:ascii="Arial" w:hAnsi="Arial" w:cs="Arial"/>
        </w:rPr>
        <w:fldChar w:fldCharType="separate"/>
      </w:r>
      <w:r w:rsidR="00E65B52" w:rsidRPr="00E65B52">
        <w:rPr>
          <w:rFonts w:ascii="Arial" w:hAnsi="Arial" w:cs="Arial"/>
          <w:noProof/>
        </w:rPr>
        <w:t xml:space="preserve">Abdelmeguid, Afy-Shararah and Salonitis </w:t>
      </w:r>
      <w:r w:rsidR="00E65B52">
        <w:rPr>
          <w:rFonts w:ascii="Arial" w:hAnsi="Arial" w:cs="Arial"/>
          <w:noProof/>
        </w:rPr>
        <w:t>(</w:t>
      </w:r>
      <w:r w:rsidR="00E65B52" w:rsidRPr="00E65B52">
        <w:rPr>
          <w:rFonts w:ascii="Arial" w:hAnsi="Arial" w:cs="Arial"/>
          <w:noProof/>
        </w:rPr>
        <w:t>2024b)</w:t>
      </w:r>
      <w:r w:rsidR="00E65B52">
        <w:rPr>
          <w:rFonts w:ascii="Arial" w:hAnsi="Arial" w:cs="Arial"/>
        </w:rPr>
        <w:fldChar w:fldCharType="end"/>
      </w:r>
      <w:r w:rsidRPr="00E4169A">
        <w:rPr>
          <w:rFonts w:ascii="Arial" w:hAnsi="Arial" w:cs="Arial"/>
        </w:rPr>
        <w:t xml:space="preserve">, based on 10 semi-structured interviews conducted with senior industry decision makers, highlight “integration of technology” and “collaborations” as two of eight key themes that distinguish true circular practice from just putting it on the agenda. This is a relevant difference when considering </w:t>
      </w:r>
      <w:r w:rsidR="00C92321" w:rsidRPr="00E4169A">
        <w:rPr>
          <w:rFonts w:ascii="Arial" w:hAnsi="Arial" w:cs="Arial"/>
        </w:rPr>
        <w:t>RE: LOOP</w:t>
      </w:r>
      <w:r w:rsidRPr="00E4169A">
        <w:rPr>
          <w:rFonts w:ascii="Arial" w:hAnsi="Arial" w:cs="Arial"/>
        </w:rPr>
        <w:t xml:space="preserve"> as a take-back system – one that lacks third-party evidence of actual return and remanufacture rates – because it could easily be deemed to be the type of unsubstantiated claim that </w:t>
      </w:r>
      <w:r w:rsidR="00C92321" w:rsidRPr="00E4169A">
        <w:rPr>
          <w:rFonts w:ascii="Arial" w:hAnsi="Arial" w:cs="Arial"/>
        </w:rPr>
        <w:t>RE: LOOP</w:t>
      </w:r>
      <w:r w:rsidRPr="00E4169A">
        <w:rPr>
          <w:rFonts w:ascii="Arial" w:hAnsi="Arial" w:cs="Arial"/>
        </w:rPr>
        <w:t xml:space="preserve"> recommends avoiding altogether as a way to build consumer trust in propositions for the circular economy industry.</w:t>
      </w:r>
    </w:p>
    <w:p w14:paraId="0AAF2A9F" w14:textId="77777777" w:rsidR="00E4169A" w:rsidRPr="00E4169A" w:rsidRDefault="00E4169A" w:rsidP="00A6790C">
      <w:pPr>
        <w:spacing w:line="360" w:lineRule="auto"/>
        <w:jc w:val="both"/>
        <w:rPr>
          <w:rFonts w:ascii="Arial" w:hAnsi="Arial" w:cs="Arial"/>
        </w:rPr>
      </w:pPr>
    </w:p>
    <w:p w14:paraId="7142000F" w14:textId="31943F4D" w:rsidR="00E4169A" w:rsidRPr="00E4169A" w:rsidRDefault="00E4169A" w:rsidP="00A6790C">
      <w:pPr>
        <w:pStyle w:val="Heading2"/>
        <w:spacing w:line="360" w:lineRule="auto"/>
      </w:pPr>
      <w:bookmarkStart w:id="34" w:name="_Toc236646102"/>
      <w:bookmarkStart w:id="35" w:name="_Toc236650648"/>
      <w:r w:rsidRPr="00E4169A">
        <w:t>3.7 Physical Evidence</w:t>
      </w:r>
      <w:bookmarkEnd w:id="34"/>
      <w:bookmarkEnd w:id="35"/>
    </w:p>
    <w:p w14:paraId="054A57B7" w14:textId="25275AB9" w:rsidR="007652AB" w:rsidRDefault="00E4169A" w:rsidP="00A6790C">
      <w:pPr>
        <w:spacing w:line="360" w:lineRule="auto"/>
        <w:jc w:val="both"/>
        <w:rPr>
          <w:rFonts w:ascii="Arial" w:hAnsi="Arial" w:cs="Arial"/>
        </w:rPr>
      </w:pPr>
      <w:r w:rsidRPr="00E4169A">
        <w:rPr>
          <w:rFonts w:ascii="Arial" w:hAnsi="Arial" w:cs="Arial"/>
        </w:rPr>
        <w:t xml:space="preserve">Physical evidence consists of minimal, fully recycled packaging, in-store circularity signage with information on the take-back process, and a digital "impact tracker" on each product, displaying the individual material journey that the product takes from being returned to being remanufactured. This directly responds to the near-universal lack of traceability identified by </w:t>
      </w:r>
      <w:r w:rsidR="00E65B52">
        <w:rPr>
          <w:rFonts w:ascii="Arial" w:hAnsi="Arial" w:cs="Arial"/>
        </w:rPr>
        <w:fldChar w:fldCharType="begin" w:fldLock="1"/>
      </w:r>
      <w:r w:rsidR="00A6790C">
        <w:rPr>
          <w:rFonts w:ascii="Arial" w:hAnsi="Arial" w:cs="Arial"/>
        </w:rPr>
        <w:instrText>ADDIN CSL_CITATION {"citationItems":[{"id":"ITEM-1","itemData":{"author":[{"dropping-particle":"","family":"Legardeur","given":"Jérémy","non-dropping-particle":"","parse-names":false,"suffix":""},{"dropping-particle":"","family":"Ospital","given":"Pantxika","non-dropping-particle":"","parse-names":false,"suffix":""}],"id":"ITEM-1","issued":{"date-parts":[["2024"]]},"title":"Digital product passport for the textile sector, Study for European Parliamentary Research Service, Panel for the Future of Science and Technology, Scientific Foresight Unit (STOA)","type":"article-journal"},"uris":["http://www.mendeley.com/documents/?uuid=407a193b-a088-4382-af7e-9b77348fcdec"]}],"mendeley":{"formattedCitation":"(Legardeur and Ospital, 2024)","manualFormatting":"Legardeur and Ospital (2024)","plainTextFormattedCitation":"(Legardeur and Ospital, 2024)","previouslyFormattedCitation":"(Legardeur and Ospital, 2024)"},"properties":{"noteIndex":0},"schema":"https://github.com/citation-style-language/schema/raw/master/csl-citation.json"}</w:instrText>
      </w:r>
      <w:r w:rsidR="00E65B52">
        <w:rPr>
          <w:rFonts w:ascii="Arial" w:hAnsi="Arial" w:cs="Arial"/>
        </w:rPr>
        <w:fldChar w:fldCharType="separate"/>
      </w:r>
      <w:r w:rsidR="00E65B52" w:rsidRPr="00E65B52">
        <w:rPr>
          <w:rFonts w:ascii="Arial" w:hAnsi="Arial" w:cs="Arial"/>
          <w:noProof/>
        </w:rPr>
        <w:t xml:space="preserve">Legardeur and Ospital </w:t>
      </w:r>
      <w:r w:rsidR="00E65B52">
        <w:rPr>
          <w:rFonts w:ascii="Arial" w:hAnsi="Arial" w:cs="Arial"/>
          <w:noProof/>
        </w:rPr>
        <w:t>(</w:t>
      </w:r>
      <w:r w:rsidR="00E65B52" w:rsidRPr="00E65B52">
        <w:rPr>
          <w:rFonts w:ascii="Arial" w:hAnsi="Arial" w:cs="Arial"/>
          <w:noProof/>
        </w:rPr>
        <w:t>2024)</w:t>
      </w:r>
      <w:r w:rsidR="00E65B52">
        <w:rPr>
          <w:rFonts w:ascii="Arial" w:hAnsi="Arial" w:cs="Arial"/>
        </w:rPr>
        <w:fldChar w:fldCharType="end"/>
      </w:r>
      <w:r w:rsidRPr="00E4169A">
        <w:rPr>
          <w:rFonts w:ascii="Arial" w:hAnsi="Arial" w:cs="Arial"/>
        </w:rPr>
        <w:t xml:space="preserve"> at the product level, and RE:</w:t>
      </w:r>
      <w:r w:rsidR="00A6790C">
        <w:rPr>
          <w:rFonts w:ascii="Arial" w:hAnsi="Arial" w:cs="Arial"/>
        </w:rPr>
        <w:t xml:space="preserve"> </w:t>
      </w:r>
      <w:r w:rsidRPr="00E4169A">
        <w:rPr>
          <w:rFonts w:ascii="Arial" w:hAnsi="Arial" w:cs="Arial"/>
        </w:rPr>
        <w:t>LOOP has a product-level proof point that facilitates the Promotion strategy, which focuses on verifiable evidence rather than aspirational claims.</w:t>
      </w:r>
    </w:p>
    <w:p w14:paraId="351A9C45" w14:textId="77777777" w:rsidR="00E4169A" w:rsidRDefault="00E4169A" w:rsidP="00A6790C">
      <w:pPr>
        <w:spacing w:line="360" w:lineRule="auto"/>
        <w:rPr>
          <w:rFonts w:ascii="Arial" w:hAnsi="Arial" w:cs="Arial"/>
        </w:rPr>
      </w:pPr>
      <w:r>
        <w:rPr>
          <w:rFonts w:ascii="Arial" w:hAnsi="Arial" w:cs="Arial"/>
        </w:rPr>
        <w:br w:type="page"/>
      </w:r>
    </w:p>
    <w:p w14:paraId="59E317D6" w14:textId="14E8BDEB" w:rsidR="00E4169A" w:rsidRPr="00005D05" w:rsidRDefault="00E4169A" w:rsidP="00A6790C">
      <w:pPr>
        <w:pStyle w:val="Heading1"/>
        <w:spacing w:line="360" w:lineRule="auto"/>
      </w:pPr>
      <w:bookmarkStart w:id="36" w:name="_Toc236646103"/>
      <w:bookmarkStart w:id="37" w:name="_Toc236650649"/>
      <w:r w:rsidRPr="00005D05">
        <w:lastRenderedPageBreak/>
        <w:t>Element 4: Reflection</w:t>
      </w:r>
      <w:bookmarkEnd w:id="36"/>
      <w:bookmarkEnd w:id="37"/>
    </w:p>
    <w:p w14:paraId="78164ED2" w14:textId="5A62D452" w:rsidR="00E4169A" w:rsidRPr="00E4169A" w:rsidRDefault="00E4169A" w:rsidP="00A6790C">
      <w:pPr>
        <w:spacing w:line="360" w:lineRule="auto"/>
        <w:jc w:val="both"/>
        <w:rPr>
          <w:rFonts w:ascii="Arial" w:hAnsi="Arial" w:cs="Arial"/>
        </w:rPr>
      </w:pPr>
      <w:r w:rsidRPr="00E4169A">
        <w:rPr>
          <w:rFonts w:ascii="Arial" w:hAnsi="Arial" w:cs="Arial"/>
        </w:rPr>
        <w:t>This reflection is organized using Gibbs' (1988) Reflective Cycle as illustrated in Figure 6.</w:t>
      </w:r>
    </w:p>
    <w:p w14:paraId="2ECCE357" w14:textId="77777777" w:rsidR="00A6790C" w:rsidRPr="00A6790C" w:rsidRDefault="00E4169A" w:rsidP="00ED33D2">
      <w:pPr>
        <w:keepNext/>
        <w:spacing w:line="360" w:lineRule="auto"/>
        <w:jc w:val="center"/>
        <w:rPr>
          <w:sz w:val="36"/>
          <w:szCs w:val="36"/>
        </w:rPr>
      </w:pPr>
      <w:r w:rsidRPr="00A6790C">
        <w:rPr>
          <w:rFonts w:ascii="Arial" w:hAnsi="Arial" w:cs="Arial"/>
          <w:b/>
          <w:bCs/>
          <w:noProof/>
          <w:sz w:val="36"/>
          <w:szCs w:val="36"/>
        </w:rPr>
        <w:drawing>
          <wp:inline distT="0" distB="0" distL="0" distR="0" wp14:anchorId="53557E51" wp14:editId="1F1107DA">
            <wp:extent cx="3737113" cy="3737113"/>
            <wp:effectExtent l="0" t="0" r="0" b="0"/>
            <wp:docPr id="14335591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41208" cy="3741208"/>
                    </a:xfrm>
                    <a:prstGeom prst="rect">
                      <a:avLst/>
                    </a:prstGeom>
                    <a:noFill/>
                  </pic:spPr>
                </pic:pic>
              </a:graphicData>
            </a:graphic>
          </wp:inline>
        </w:drawing>
      </w:r>
    </w:p>
    <w:p w14:paraId="0ADAC594" w14:textId="4E59A4BA" w:rsidR="00E4169A" w:rsidRPr="00A6790C" w:rsidRDefault="00A6790C" w:rsidP="00ED33D2">
      <w:pPr>
        <w:pStyle w:val="Caption"/>
        <w:spacing w:line="360" w:lineRule="auto"/>
        <w:jc w:val="center"/>
        <w:rPr>
          <w:rFonts w:ascii="Arial" w:hAnsi="Arial" w:cs="Arial"/>
          <w:b/>
          <w:bCs/>
          <w:sz w:val="24"/>
          <w:szCs w:val="24"/>
        </w:rPr>
      </w:pPr>
      <w:bookmarkStart w:id="38" w:name="_Toc236646396"/>
      <w:bookmarkStart w:id="39" w:name="_Toc236650407"/>
      <w:r w:rsidRPr="00A6790C">
        <w:rPr>
          <w:sz w:val="24"/>
          <w:szCs w:val="24"/>
        </w:rPr>
        <w:t xml:space="preserve">Figure </w:t>
      </w:r>
      <w:r w:rsidRPr="00A6790C">
        <w:rPr>
          <w:sz w:val="24"/>
          <w:szCs w:val="24"/>
        </w:rPr>
        <w:fldChar w:fldCharType="begin"/>
      </w:r>
      <w:r w:rsidRPr="00A6790C">
        <w:rPr>
          <w:sz w:val="24"/>
          <w:szCs w:val="24"/>
        </w:rPr>
        <w:instrText xml:space="preserve"> SEQ Figure \* ARABIC </w:instrText>
      </w:r>
      <w:r w:rsidRPr="00A6790C">
        <w:rPr>
          <w:sz w:val="24"/>
          <w:szCs w:val="24"/>
        </w:rPr>
        <w:fldChar w:fldCharType="separate"/>
      </w:r>
      <w:r w:rsidRPr="00A6790C">
        <w:rPr>
          <w:noProof/>
          <w:sz w:val="24"/>
          <w:szCs w:val="24"/>
        </w:rPr>
        <w:t>5</w:t>
      </w:r>
      <w:r w:rsidRPr="00A6790C">
        <w:rPr>
          <w:sz w:val="24"/>
          <w:szCs w:val="24"/>
        </w:rPr>
        <w:fldChar w:fldCharType="end"/>
      </w:r>
      <w:r w:rsidRPr="00A6790C">
        <w:rPr>
          <w:sz w:val="24"/>
          <w:szCs w:val="24"/>
        </w:rPr>
        <w:t>: Gibbs' Reflective Cycle.</w:t>
      </w:r>
      <w:bookmarkEnd w:id="38"/>
      <w:bookmarkEnd w:id="39"/>
    </w:p>
    <w:p w14:paraId="0F266BEF" w14:textId="396D513F" w:rsidR="00E4169A" w:rsidRPr="00E4169A" w:rsidRDefault="00E65B52" w:rsidP="00ED33D2">
      <w:pPr>
        <w:spacing w:line="360" w:lineRule="auto"/>
        <w:jc w:val="center"/>
        <w:rPr>
          <w:rFonts w:ascii="Arial" w:hAnsi="Arial" w:cs="Arial"/>
        </w:rPr>
      </w:pPr>
      <w:r>
        <w:t>Source:</w:t>
      </w:r>
      <w:r>
        <w:fldChar w:fldCharType="begin" w:fldLock="1"/>
      </w:r>
      <w:r>
        <w:instrText>ADDIN CSL_CITATION {"citationItems":[{"id":"ITEM-1","itemData":{"author":[{"dropping-particle":"","family":"TSW","given":"","non-dropping-particle":"","parse-names":false,"suffix":""}],"id":"ITEM-1","issued":{"date-parts":[["2025"]]},"title":"Gibbs Reflective Cycle – A Practical Guide","type":"article-journal"},"uris":["http://www.mendeley.com/documents/?uuid=571dc31f-04c6-49bf-95d5-d8b49ccdd15d"]}],"mendeley":{"formattedCitation":"(TSW, 2025)","plainTextFormattedCitation":"(TSW, 2025)","previouslyFormattedCitation":"(TSW, 2025)"},"properties":{"noteIndex":0},"schema":"https://github.com/citation-style-language/schema/raw/master/csl-citation.json"}</w:instrText>
      </w:r>
      <w:r>
        <w:fldChar w:fldCharType="separate"/>
      </w:r>
      <w:r w:rsidRPr="00E65B52">
        <w:rPr>
          <w:noProof/>
        </w:rPr>
        <w:t>(TSW, 2025)</w:t>
      </w:r>
      <w:r>
        <w:fldChar w:fldCharType="end"/>
      </w:r>
    </w:p>
    <w:p w14:paraId="49AC8DC9" w14:textId="5392C06F" w:rsidR="00E4169A" w:rsidRPr="00005D05" w:rsidRDefault="00E4169A" w:rsidP="00A6790C">
      <w:pPr>
        <w:pStyle w:val="Heading2"/>
        <w:spacing w:line="360" w:lineRule="auto"/>
      </w:pPr>
      <w:bookmarkStart w:id="40" w:name="_Toc236646104"/>
      <w:bookmarkStart w:id="41" w:name="_Toc236650650"/>
      <w:r w:rsidRPr="00005D05">
        <w:t>4.1 Description</w:t>
      </w:r>
      <w:bookmarkEnd w:id="40"/>
      <w:bookmarkEnd w:id="41"/>
    </w:p>
    <w:p w14:paraId="7BC8402B" w14:textId="58780E45" w:rsidR="00E4169A" w:rsidRPr="00E4169A" w:rsidRDefault="00E4169A" w:rsidP="00A6790C">
      <w:pPr>
        <w:spacing w:line="360" w:lineRule="auto"/>
        <w:jc w:val="both"/>
        <w:rPr>
          <w:rFonts w:ascii="Arial" w:hAnsi="Arial" w:cs="Arial"/>
        </w:rPr>
      </w:pPr>
      <w:r w:rsidRPr="00E4169A">
        <w:rPr>
          <w:rFonts w:ascii="Arial" w:hAnsi="Arial" w:cs="Arial"/>
        </w:rPr>
        <w:t xml:space="preserve">I went through four phases to create the Nike </w:t>
      </w:r>
      <w:r w:rsidR="00005D05" w:rsidRPr="00E4169A">
        <w:rPr>
          <w:rFonts w:ascii="Arial" w:hAnsi="Arial" w:cs="Arial"/>
        </w:rPr>
        <w:t>RE: LOOP</w:t>
      </w:r>
      <w:r w:rsidRPr="00E4169A">
        <w:rPr>
          <w:rFonts w:ascii="Arial" w:hAnsi="Arial" w:cs="Arial"/>
        </w:rPr>
        <w:t xml:space="preserve"> sustainable brand extension: concept development, STDP analysis, marketing mix design, and</w:t>
      </w:r>
      <w:r w:rsidR="00A6790C">
        <w:rPr>
          <w:rFonts w:ascii="Arial" w:hAnsi="Arial" w:cs="Arial"/>
        </w:rPr>
        <w:t>,</w:t>
      </w:r>
      <w:r w:rsidRPr="00E4169A">
        <w:rPr>
          <w:rFonts w:ascii="Arial" w:hAnsi="Arial" w:cs="Arial"/>
        </w:rPr>
        <w:t xml:space="preserve"> in the last phase</w:t>
      </w:r>
      <w:r w:rsidR="00A6790C">
        <w:rPr>
          <w:rFonts w:ascii="Arial" w:hAnsi="Arial" w:cs="Arial"/>
        </w:rPr>
        <w:t>,</w:t>
      </w:r>
      <w:r w:rsidRPr="00E4169A">
        <w:rPr>
          <w:rFonts w:ascii="Arial" w:hAnsi="Arial" w:cs="Arial"/>
        </w:rPr>
        <w:t xml:space="preserve"> I presented the poster to both "investors" and "consumers" in a format of 3–5 minutes.</w:t>
      </w:r>
    </w:p>
    <w:p w14:paraId="4C529DE4" w14:textId="77777777" w:rsidR="00E4169A" w:rsidRPr="00E4169A" w:rsidRDefault="00E4169A" w:rsidP="00A6790C">
      <w:pPr>
        <w:spacing w:line="360" w:lineRule="auto"/>
        <w:jc w:val="both"/>
        <w:rPr>
          <w:rFonts w:ascii="Arial" w:hAnsi="Arial" w:cs="Arial"/>
        </w:rPr>
      </w:pPr>
    </w:p>
    <w:p w14:paraId="0650CB80" w14:textId="69F9FE2B" w:rsidR="00E4169A" w:rsidRPr="00005D05" w:rsidRDefault="00E4169A" w:rsidP="00A6790C">
      <w:pPr>
        <w:pStyle w:val="Heading2"/>
        <w:spacing w:line="360" w:lineRule="auto"/>
      </w:pPr>
      <w:bookmarkStart w:id="42" w:name="_Toc236646105"/>
      <w:bookmarkStart w:id="43" w:name="_Toc236650651"/>
      <w:r w:rsidRPr="00005D05">
        <w:t>4.2 Feelings</w:t>
      </w:r>
      <w:bookmarkEnd w:id="42"/>
      <w:bookmarkEnd w:id="43"/>
    </w:p>
    <w:p w14:paraId="649BA0AD" w14:textId="10C85AD7" w:rsidR="00E4169A" w:rsidRPr="00E4169A" w:rsidRDefault="00E4169A" w:rsidP="00A6790C">
      <w:pPr>
        <w:spacing w:line="360" w:lineRule="auto"/>
        <w:jc w:val="both"/>
        <w:rPr>
          <w:rFonts w:ascii="Arial" w:hAnsi="Arial" w:cs="Arial"/>
        </w:rPr>
      </w:pPr>
      <w:r w:rsidRPr="00E4169A">
        <w:rPr>
          <w:rFonts w:ascii="Arial" w:hAnsi="Arial" w:cs="Arial"/>
        </w:rPr>
        <w:t xml:space="preserve">I was confident with the creative concept but not so sure about making the sustainability claims credible through the process rather than aspirational. The uncertainty was even </w:t>
      </w:r>
      <w:r w:rsidRPr="00E4169A">
        <w:rPr>
          <w:rFonts w:ascii="Arial" w:hAnsi="Arial" w:cs="Arial"/>
        </w:rPr>
        <w:lastRenderedPageBreak/>
        <w:t>greater when conducting competitor research</w:t>
      </w:r>
      <w:r w:rsidR="00A6790C">
        <w:rPr>
          <w:rFonts w:ascii="Arial" w:hAnsi="Arial" w:cs="Arial"/>
        </w:rPr>
        <w:t>,</w:t>
      </w:r>
      <w:r w:rsidRPr="00E4169A">
        <w:rPr>
          <w:rFonts w:ascii="Arial" w:hAnsi="Arial" w:cs="Arial"/>
        </w:rPr>
        <w:t xml:space="preserve"> and I thought that the problem of circularity had already been "solved" by both adidas and Allbirds.</w:t>
      </w:r>
    </w:p>
    <w:p w14:paraId="416FE902" w14:textId="77777777" w:rsidR="00E4169A" w:rsidRPr="00005D05" w:rsidRDefault="00E4169A" w:rsidP="00A6790C">
      <w:pPr>
        <w:spacing w:line="360" w:lineRule="auto"/>
        <w:jc w:val="both"/>
        <w:rPr>
          <w:rFonts w:ascii="Arial" w:hAnsi="Arial" w:cs="Arial"/>
          <w:b/>
          <w:bCs/>
        </w:rPr>
      </w:pPr>
    </w:p>
    <w:p w14:paraId="3BD76FAC" w14:textId="3698B9EC" w:rsidR="00E4169A" w:rsidRPr="00005D05" w:rsidRDefault="00E4169A" w:rsidP="00A6790C">
      <w:pPr>
        <w:pStyle w:val="Heading2"/>
        <w:spacing w:line="360" w:lineRule="auto"/>
      </w:pPr>
      <w:bookmarkStart w:id="44" w:name="_Toc236646106"/>
      <w:bookmarkStart w:id="45" w:name="_Toc236650652"/>
      <w:r w:rsidRPr="00005D05">
        <w:t>4.3 Evaluation</w:t>
      </w:r>
      <w:bookmarkEnd w:id="44"/>
      <w:bookmarkEnd w:id="45"/>
    </w:p>
    <w:p w14:paraId="0DFA88D4" w14:textId="26626E31" w:rsidR="00E4169A" w:rsidRPr="00E4169A" w:rsidRDefault="00E4169A" w:rsidP="00A6790C">
      <w:pPr>
        <w:spacing w:line="360" w:lineRule="auto"/>
        <w:jc w:val="both"/>
        <w:rPr>
          <w:rFonts w:ascii="Arial" w:hAnsi="Arial" w:cs="Arial"/>
        </w:rPr>
      </w:pPr>
      <w:r w:rsidRPr="00E4169A">
        <w:rPr>
          <w:rFonts w:ascii="Arial" w:hAnsi="Arial" w:cs="Arial"/>
        </w:rPr>
        <w:t xml:space="preserve">What was successful was basing decisions on primary industry information as opposed to assumptions — for instance, finding out from </w:t>
      </w:r>
      <w:r w:rsidR="00E65B52">
        <w:rPr>
          <w:rFonts w:ascii="Arial" w:hAnsi="Arial" w:cs="Arial"/>
        </w:rPr>
        <w:fldChar w:fldCharType="begin" w:fldLock="1"/>
      </w:r>
      <w:r w:rsidR="00A6790C">
        <w:rPr>
          <w:rFonts w:ascii="Arial" w:hAnsi="Arial" w:cs="Arial"/>
        </w:rPr>
        <w:instrText>ADDIN CSL_CITATION {"citationItems":[{"id":"ITEM-1","itemData":{"author":[{"dropping-particle":"","family":"Textile Exchange","given":"","non-dropping-particle":"","parse-names":false,"suffix":""}],"id":"ITEM-1","issued":{"date-parts":[["2025"]]},"title":"Materials Market Report 2025","type":"article-journal"},"uris":["http://www.mendeley.com/documents/?uuid=0a53c863-4903-4b74-a58a-7d9c2928a9af"]}],"mendeley":{"formattedCitation":"(Textile Exchange, 2025)","manualFormatting":"Textile Exchange (2025)","plainTextFormattedCitation":"(Textile Exchange, 2025)","previouslyFormattedCitation":"(Textile Exchange, 2025)"},"properties":{"noteIndex":0},"schema":"https://github.com/citation-style-language/schema/raw/master/csl-citation.json"}</w:instrText>
      </w:r>
      <w:r w:rsidR="00E65B52">
        <w:rPr>
          <w:rFonts w:ascii="Arial" w:hAnsi="Arial" w:cs="Arial"/>
        </w:rPr>
        <w:fldChar w:fldCharType="separate"/>
      </w:r>
      <w:r w:rsidR="00E65B52" w:rsidRPr="00E65B52">
        <w:rPr>
          <w:rFonts w:ascii="Arial" w:hAnsi="Arial" w:cs="Arial"/>
          <w:noProof/>
        </w:rPr>
        <w:t xml:space="preserve">Textile Exchange </w:t>
      </w:r>
      <w:r w:rsidR="00E65B52">
        <w:rPr>
          <w:rFonts w:ascii="Arial" w:hAnsi="Arial" w:cs="Arial"/>
          <w:noProof/>
        </w:rPr>
        <w:t>(</w:t>
      </w:r>
      <w:r w:rsidR="00E65B52" w:rsidRPr="00E65B52">
        <w:rPr>
          <w:rFonts w:ascii="Arial" w:hAnsi="Arial" w:cs="Arial"/>
          <w:noProof/>
        </w:rPr>
        <w:t>2025)</w:t>
      </w:r>
      <w:r w:rsidR="00E65B52">
        <w:rPr>
          <w:rFonts w:ascii="Arial" w:hAnsi="Arial" w:cs="Arial"/>
        </w:rPr>
        <w:fldChar w:fldCharType="end"/>
      </w:r>
      <w:r w:rsidRPr="00E4169A">
        <w:rPr>
          <w:rFonts w:ascii="Arial" w:hAnsi="Arial" w:cs="Arial"/>
        </w:rPr>
        <w:t xml:space="preserve"> that the world's share of recycled </w:t>
      </w:r>
      <w:proofErr w:type="spellStart"/>
      <w:r w:rsidRPr="00E4169A">
        <w:rPr>
          <w:rFonts w:ascii="Arial" w:hAnsi="Arial" w:cs="Arial"/>
        </w:rPr>
        <w:t>fibre</w:t>
      </w:r>
      <w:proofErr w:type="spellEnd"/>
      <w:r w:rsidRPr="00E4169A">
        <w:rPr>
          <w:rFonts w:ascii="Arial" w:hAnsi="Arial" w:cs="Arial"/>
        </w:rPr>
        <w:t xml:space="preserve"> is in fact down a little since 2020 despite the increased output. This made a Sustainable development pitch into a differentiation argument based on evidence. It was less successful with my initial segmentation, which based on income level would predict likelihood of purchase, which </w:t>
      </w:r>
      <w:r w:rsidR="00EF5D34">
        <w:rPr>
          <w:rFonts w:ascii="Arial" w:hAnsi="Arial" w:cs="Arial"/>
        </w:rPr>
        <w:fldChar w:fldCharType="begin" w:fldLock="1"/>
      </w:r>
      <w:r w:rsidR="00EF5D34">
        <w:rPr>
          <w:rFonts w:ascii="Arial" w:hAnsi="Arial" w:cs="Arial"/>
        </w:rPr>
        <w:instrText>ADDIN CSL_CITATION {"citationItems":[{"id":"ITEM-1","itemData":{"ISSN":"2076-3387","abstract":"The concept of sustainable fashion is becoming more relevant in today’s society. The purpose of this research is to identify the determinants of the purchase intention of sustainable fashion, and the relationship between price and the purchase of sustainable fashion. A questionnaire was administered, which made it possible to define the concept of sustainable fashion, to use PLS-SEM to identify the determinants, and to apply linear regression models and t-tests of two independent samples (two-tailed test). The concept of sustainable fashion comprises the dimensions of manufacturing with a reduced environmental impact, consuming second-hand fashion products, manufacturing in an environmentally friendly way, reusing fashion products, manufacturing to last longer, manufacturing according to fair trade principles, using recycled materials, and manufacturing from organic materials. The PLS-SEM results show that purchase intention is determined by consumer knowledge, environmental beliefs, and willingness to pay more. The research also revealed that there is a non-linear (quadratic or exponential) relationship between the price of the product and the price increase that consumers are willing to pay and that they value the dimensions of sustainable fashion differently. The purchase intention determinants of consumers and non-consumers of sustainable fashion are identical, yet the dimensions of sustainable fashion are valued differently by each group.","author":[{"dropping-particle":"","family":"Pires","given":"Paulo Botelho","non-dropping-particle":"","parse-names":false,"suffix":""},{"dropping-particle":"","family":"Morais","given":"Cláudia","non-dropping-particle":"","parse-names":false,"suffix":""},{"dropping-particle":"","family":"Delgado","given":"Catarina J. M.","non-dropping-particle":"","parse-names":false,"suffix":""},{"dropping-particle":"","family":"Santos","given":"José Duarte","non-dropping-particle":"","parse-names":false,"suffix":""}],"container-title":"Administrative Sciences","id":"ITEM-1","issue":"7","issued":{"date-parts":[["2024","7","5"]]},"page":"143","title":"Sustainable Fashion: Conceptualization, Purchase Determinants, and Willingness to Pay More","type":"article-journal","volume":"14"},"uris":["http://www.mendeley.com/documents/?uuid=72926974-4aea-470f-86fa-4a690ca828df"]}],"mendeley":{"formattedCitation":"(Pires &lt;i&gt;et al.&lt;/i&gt;, 2024)","manualFormatting":"Pires et al., (2024)","plainTextFormattedCitation":"(Pires et al., 2024)","previouslyFormattedCitation":"(Pires &lt;i&gt;et al.&lt;/i&gt;, 2024)"},"properties":{"noteIndex":0},"schema":"https://github.com/citation-style-language/schema/raw/master/csl-citation.json"}</w:instrText>
      </w:r>
      <w:r w:rsidR="00EF5D34">
        <w:rPr>
          <w:rFonts w:ascii="Arial" w:hAnsi="Arial" w:cs="Arial"/>
        </w:rPr>
        <w:fldChar w:fldCharType="separate"/>
      </w:r>
      <w:r w:rsidR="00EF5D34" w:rsidRPr="00EF5D34">
        <w:rPr>
          <w:rFonts w:ascii="Arial" w:hAnsi="Arial" w:cs="Arial"/>
          <w:noProof/>
        </w:rPr>
        <w:t xml:space="preserve">Pires </w:t>
      </w:r>
      <w:r w:rsidR="00EF5D34" w:rsidRPr="00EF5D34">
        <w:rPr>
          <w:rFonts w:ascii="Arial" w:hAnsi="Arial" w:cs="Arial"/>
          <w:i/>
          <w:noProof/>
        </w:rPr>
        <w:t>et al.</w:t>
      </w:r>
      <w:r w:rsidR="00EF5D34" w:rsidRPr="00EF5D34">
        <w:rPr>
          <w:rFonts w:ascii="Arial" w:hAnsi="Arial" w:cs="Arial"/>
          <w:noProof/>
        </w:rPr>
        <w:t xml:space="preserve"> </w:t>
      </w:r>
      <w:r w:rsidR="00EF5D34">
        <w:rPr>
          <w:rFonts w:ascii="Arial" w:hAnsi="Arial" w:cs="Arial"/>
          <w:noProof/>
        </w:rPr>
        <w:t>(</w:t>
      </w:r>
      <w:r w:rsidR="00EF5D34" w:rsidRPr="00EF5D34">
        <w:rPr>
          <w:rFonts w:ascii="Arial" w:hAnsi="Arial" w:cs="Arial"/>
          <w:noProof/>
        </w:rPr>
        <w:t>2024)</w:t>
      </w:r>
      <w:r w:rsidR="00EF5D34">
        <w:rPr>
          <w:rFonts w:ascii="Arial" w:hAnsi="Arial" w:cs="Arial"/>
        </w:rPr>
        <w:fldChar w:fldCharType="end"/>
      </w:r>
      <w:r w:rsidRPr="00E4169A">
        <w:rPr>
          <w:rFonts w:ascii="Arial" w:hAnsi="Arial" w:cs="Arial"/>
        </w:rPr>
        <w:t xml:space="preserve"> later showed to be non-linear, forcing me to change my rationale for targeting.</w:t>
      </w:r>
    </w:p>
    <w:p w14:paraId="7C22D438" w14:textId="48943D7B" w:rsidR="00E4169A" w:rsidRPr="00005D05" w:rsidRDefault="00E4169A" w:rsidP="00A6790C">
      <w:pPr>
        <w:pStyle w:val="Heading2"/>
        <w:spacing w:line="360" w:lineRule="auto"/>
      </w:pPr>
      <w:bookmarkStart w:id="46" w:name="_Toc236646107"/>
      <w:bookmarkStart w:id="47" w:name="_Toc236650653"/>
      <w:r w:rsidRPr="00005D05">
        <w:t>4.4 Analysis</w:t>
      </w:r>
      <w:bookmarkEnd w:id="46"/>
      <w:bookmarkEnd w:id="47"/>
    </w:p>
    <w:p w14:paraId="767F2CEB" w14:textId="6698471F" w:rsidR="00E4169A" w:rsidRPr="00E4169A" w:rsidRDefault="00E4169A" w:rsidP="00A6790C">
      <w:pPr>
        <w:spacing w:line="360" w:lineRule="auto"/>
        <w:jc w:val="both"/>
        <w:rPr>
          <w:rFonts w:ascii="Arial" w:hAnsi="Arial" w:cs="Arial"/>
        </w:rPr>
      </w:pPr>
      <w:r w:rsidRPr="00E4169A">
        <w:rPr>
          <w:rFonts w:ascii="Arial" w:hAnsi="Arial" w:cs="Arial"/>
        </w:rPr>
        <w:t>The biggest takeaway was the understanding that the 'recycled' claims from the leading competitors are almost exclusively bottle-to-bottle recycling, and not textile-to-textile recycling</w:t>
      </w:r>
      <w:r w:rsidR="00EF5D34">
        <w:rPr>
          <w:rFonts w:ascii="Arial" w:hAnsi="Arial" w:cs="Arial"/>
        </w:rPr>
        <w:t xml:space="preserve"> </w:t>
      </w:r>
      <w:r w:rsidR="00EF5D34">
        <w:rPr>
          <w:rFonts w:ascii="Arial" w:hAnsi="Arial" w:cs="Arial"/>
        </w:rPr>
        <w:fldChar w:fldCharType="begin" w:fldLock="1"/>
      </w:r>
      <w:r w:rsidR="00EF5D34">
        <w:rPr>
          <w:rFonts w:ascii="Arial" w:hAnsi="Arial" w:cs="Arial"/>
        </w:rPr>
        <w:instrText>ADDIN CSL_CITATION {"citationItems":[{"id":"ITEM-1","itemData":{"author":[{"dropping-particle":"","family":"Textile Exchange","given":"","non-dropping-particle":"","parse-names":false,"suffix":""}],"id":"ITEM-1","issued":{"date-parts":[["2025"]]},"title":"Materials Market Report 2025","type":"article-journal"},"uris":["http://www.mendeley.com/documents/?uuid=0a53c863-4903-4b74-a58a-7d9c2928a9af"]}],"mendeley":{"formattedCitation":"(Textile Exchange, 2025)","plainTextFormattedCitation":"(Textile Exchange, 2025)","previouslyFormattedCitation":"(Textile Exchange, 2025)"},"properties":{"noteIndex":0},"schema":"https://github.com/citation-style-language/schema/raw/master/csl-citation.json"}</w:instrText>
      </w:r>
      <w:r w:rsidR="00EF5D34">
        <w:rPr>
          <w:rFonts w:ascii="Arial" w:hAnsi="Arial" w:cs="Arial"/>
        </w:rPr>
        <w:fldChar w:fldCharType="separate"/>
      </w:r>
      <w:r w:rsidR="00EF5D34" w:rsidRPr="00EF5D34">
        <w:rPr>
          <w:rFonts w:ascii="Arial" w:hAnsi="Arial" w:cs="Arial"/>
          <w:noProof/>
        </w:rPr>
        <w:t>(Textile Exchange, 2025)</w:t>
      </w:r>
      <w:r w:rsidR="00EF5D34">
        <w:rPr>
          <w:rFonts w:ascii="Arial" w:hAnsi="Arial" w:cs="Arial"/>
        </w:rPr>
        <w:fldChar w:fldCharType="end"/>
      </w:r>
      <w:r w:rsidRPr="00E4169A">
        <w:rPr>
          <w:rFonts w:ascii="Arial" w:hAnsi="Arial" w:cs="Arial"/>
        </w:rPr>
        <w:t>. Reframing my understanding of differentiation, as I saw it in previous posts, which has been a viable sustainability claim</w:t>
      </w:r>
      <w:r w:rsidR="00A6790C">
        <w:rPr>
          <w:rFonts w:ascii="Arial" w:hAnsi="Arial" w:cs="Arial"/>
        </w:rPr>
        <w:t>,</w:t>
      </w:r>
      <w:r w:rsidRPr="00E4169A">
        <w:rPr>
          <w:rFonts w:ascii="Arial" w:hAnsi="Arial" w:cs="Arial"/>
        </w:rPr>
        <w:t xml:space="preserve"> must have specific, falsifiable evidence and not be aspirational language, as </w:t>
      </w:r>
      <w:r w:rsidR="00EF5D34">
        <w:rPr>
          <w:rFonts w:ascii="Arial" w:hAnsi="Arial" w:cs="Arial"/>
        </w:rPr>
        <w:fldChar w:fldCharType="begin" w:fldLock="1"/>
      </w:r>
      <w:r w:rsidR="00A6790C">
        <w:rPr>
          <w:rFonts w:ascii="Arial" w:hAnsi="Arial" w:cs="Arial"/>
        </w:rPr>
        <w:instrText>ADDIN CSL_CITATION {"citationItems":[{"id":"ITEM-1","itemData":{"ISSN":"2071-1050","abstract":"Firms show their environmental efforts on social media in order to influence the green purchase decisions of environmentally conscious consumers. However, consumers remain suspicious of firms’ environmental claims. This study aims to assess the impact of green social media influence, greenwashing perception, and green authenticity perception on green purchase decisions. In addition, greenwashing perception and green authenticity perception mediate the relationship between green social media influence and green purchase decisions. Data on fashion clothing brands were collected from 413 respondents in Guangzhou, China. These data were analyzed through SPSS version 23 and Smartpls version 4.0.8 software. The findings of this study show that the relationship between green social media influence, greenwashing perception, and green authenticity perception remains significant. Similarly, the mediating relationship of green authenticity perception between green social media influence and green purchase decisions remains significant. However, the mediating relationship of greenwashing perception between green social media influence and green purchase decisions remains non-significant. The results of this study will be beneficial for fashion clothing brands, marketers, policymakers, and researchers. Moreover, this study provides practical guidance for stakeholders to gain maximum benefits from social media and avoid the harmful effects caused by greenwashing perception.","author":[{"dropping-particle":"","family":"Fang","given":"Ziyi","non-dropping-particle":"","parse-names":false,"suffix":""}],"container-title":"Sustainability","id":"ITEM-1","issue":"23","issued":{"date-parts":[["2024","12","6"]]},"page":"10723","title":"Greenwashing Versus Green Authenticity: How Green Social Media Influences Consumer Perceptions and Green Purchase Decisions","type":"article-journal","volume":"16"},"uris":["http://www.mendeley.com/documents/?uuid=b8b67ca1-26ee-48da-9331-beabe9ac6a00"]}],"mendeley":{"formattedCitation":"(Fang, 2024)","manualFormatting":"Fang (2024)","plainTextFormattedCitation":"(Fang, 2024)","previouslyFormattedCitation":"(Fang, 2024)"},"properties":{"noteIndex":0},"schema":"https://github.com/citation-style-language/schema/raw/master/csl-citation.json"}</w:instrText>
      </w:r>
      <w:r w:rsidR="00EF5D34">
        <w:rPr>
          <w:rFonts w:ascii="Arial" w:hAnsi="Arial" w:cs="Arial"/>
        </w:rPr>
        <w:fldChar w:fldCharType="separate"/>
      </w:r>
      <w:r w:rsidR="00EF5D34" w:rsidRPr="00EF5D34">
        <w:rPr>
          <w:rFonts w:ascii="Arial" w:hAnsi="Arial" w:cs="Arial"/>
          <w:noProof/>
        </w:rPr>
        <w:t xml:space="preserve">Fang </w:t>
      </w:r>
      <w:r w:rsidR="00EF5D34">
        <w:rPr>
          <w:rFonts w:ascii="Arial" w:hAnsi="Arial" w:cs="Arial"/>
          <w:noProof/>
        </w:rPr>
        <w:t>(</w:t>
      </w:r>
      <w:r w:rsidR="00EF5D34" w:rsidRPr="00EF5D34">
        <w:rPr>
          <w:rFonts w:ascii="Arial" w:hAnsi="Arial" w:cs="Arial"/>
          <w:noProof/>
        </w:rPr>
        <w:t>2024)</w:t>
      </w:r>
      <w:r w:rsidR="00EF5D34">
        <w:rPr>
          <w:rFonts w:ascii="Arial" w:hAnsi="Arial" w:cs="Arial"/>
        </w:rPr>
        <w:fldChar w:fldCharType="end"/>
      </w:r>
      <w:r w:rsidRPr="00E4169A">
        <w:rPr>
          <w:rFonts w:ascii="Arial" w:hAnsi="Arial" w:cs="Arial"/>
        </w:rPr>
        <w:t xml:space="preserve"> determined, that direct reduction in consumer trust occurs by perceived greenwashing. Presenting the poster also revealed a disconnect between my written analytical skills and my spoken, audience-oriented communication — that a skill</w:t>
      </w:r>
      <w:r w:rsidR="00A6790C">
        <w:rPr>
          <w:rFonts w:ascii="Arial" w:hAnsi="Arial" w:cs="Arial"/>
        </w:rPr>
        <w:t xml:space="preserve"> </w:t>
      </w:r>
      <w:r w:rsidRPr="00E4169A">
        <w:rPr>
          <w:rFonts w:ascii="Arial" w:hAnsi="Arial" w:cs="Arial"/>
        </w:rPr>
        <w:t>set for writing an evidence</w:t>
      </w:r>
      <w:r w:rsidR="00A6790C">
        <w:rPr>
          <w:rFonts w:ascii="Arial" w:hAnsi="Arial" w:cs="Arial"/>
        </w:rPr>
        <w:t>-</w:t>
      </w:r>
      <w:r w:rsidRPr="00E4169A">
        <w:rPr>
          <w:rFonts w:ascii="Arial" w:hAnsi="Arial" w:cs="Arial"/>
        </w:rPr>
        <w:t>rich argument was required for talking through a presentation that lasts 3-5 minutes in which I needed to present a persuasive argument.</w:t>
      </w:r>
    </w:p>
    <w:p w14:paraId="61802A41" w14:textId="6E44402A" w:rsidR="00E4169A" w:rsidRPr="000B754F" w:rsidRDefault="00E4169A" w:rsidP="00A6790C">
      <w:pPr>
        <w:pStyle w:val="Heading2"/>
        <w:spacing w:line="360" w:lineRule="auto"/>
      </w:pPr>
      <w:bookmarkStart w:id="48" w:name="_Toc236646108"/>
      <w:bookmarkStart w:id="49" w:name="_Toc236650654"/>
      <w:r w:rsidRPr="00005D05">
        <w:t>4.5 Conclusion</w:t>
      </w:r>
      <w:bookmarkEnd w:id="48"/>
      <w:bookmarkEnd w:id="49"/>
    </w:p>
    <w:p w14:paraId="0CE1E392" w14:textId="68210224" w:rsidR="00E4169A" w:rsidRPr="00E4169A" w:rsidRDefault="00E4169A" w:rsidP="00A6790C">
      <w:pPr>
        <w:spacing w:line="360" w:lineRule="auto"/>
        <w:jc w:val="both"/>
        <w:rPr>
          <w:rFonts w:ascii="Arial" w:hAnsi="Arial" w:cs="Arial"/>
        </w:rPr>
      </w:pPr>
      <w:r w:rsidRPr="00E4169A">
        <w:rPr>
          <w:rFonts w:ascii="Arial" w:hAnsi="Arial" w:cs="Arial"/>
        </w:rPr>
        <w:t xml:space="preserve">Overall, I was able to support this project with primary consumer research of the target group instead of secondary research like </w:t>
      </w:r>
      <w:r w:rsidR="00EF5D34">
        <w:rPr>
          <w:rFonts w:ascii="Arial" w:hAnsi="Arial" w:cs="Arial"/>
        </w:rPr>
        <w:fldChar w:fldCharType="begin" w:fldLock="1"/>
      </w:r>
      <w:r w:rsidR="00A6790C">
        <w:rPr>
          <w:rFonts w:ascii="Arial" w:hAnsi="Arial" w:cs="Arial"/>
        </w:rPr>
        <w:instrText>ADDIN CSL_CITATION {"citationItems":[{"id":"ITEM-1","itemData":{"ISSN":"1664-1078","author":[{"dropping-particle":"","family":"Liu","given":"Lixian","non-dropping-particle":"","parse-names":false,"suffix":""},{"dropping-particle":"","family":"Zhang","given":"Wenwen","non-dropping-particle":"","parse-names":false,"suffix":""},{"dropping-particle":"","family":"Li","given":"Hao","non-dropping-particle":"","parse-names":false,"suffix":""},{"dropping-particle":"","family":"Zheng","given":"Zeyu","non-dropping-particle":"","parse-names":false,"suffix":""}],"container-title":"Frontiers in Psychology","id":"ITEM-1","issued":{"date-parts":[["2024","4","10"]]},"title":"The impact of environmental accidents on the green apparel purchase behavior of Generation Z","type":"article-journal","volume":"15"},"uris":["http://www.mendeley.com/documents/?uuid=7861f558-2129-445e-99d6-8d941326ab2c"]}],"mendeley":{"formattedCitation":"(Liu &lt;i&gt;et al.&lt;/i&gt;, 2024)","manualFormatting":"Liu et al. (2024)","plainTextFormattedCitation":"(Liu et al., 2024)","previouslyFormattedCitation":"(Liu &lt;i&gt;et al.&lt;/i&gt;, 2024)"},"properties":{"noteIndex":0},"schema":"https://github.com/citation-style-language/schema/raw/master/csl-citation.json"}</w:instrText>
      </w:r>
      <w:r w:rsidR="00EF5D34">
        <w:rPr>
          <w:rFonts w:ascii="Arial" w:hAnsi="Arial" w:cs="Arial"/>
        </w:rPr>
        <w:fldChar w:fldCharType="separate"/>
      </w:r>
      <w:r w:rsidR="00EF5D34" w:rsidRPr="00EF5D34">
        <w:rPr>
          <w:rFonts w:ascii="Arial" w:hAnsi="Arial" w:cs="Arial"/>
          <w:noProof/>
        </w:rPr>
        <w:t xml:space="preserve">Liu </w:t>
      </w:r>
      <w:r w:rsidR="00EF5D34" w:rsidRPr="00EF5D34">
        <w:rPr>
          <w:rFonts w:ascii="Arial" w:hAnsi="Arial" w:cs="Arial"/>
          <w:i/>
          <w:noProof/>
        </w:rPr>
        <w:t>et al.</w:t>
      </w:r>
      <w:r w:rsidR="00EF5D34" w:rsidRPr="00EF5D34">
        <w:rPr>
          <w:rFonts w:ascii="Arial" w:hAnsi="Arial" w:cs="Arial"/>
          <w:noProof/>
        </w:rPr>
        <w:t xml:space="preserve"> </w:t>
      </w:r>
      <w:r w:rsidR="00EF5D34">
        <w:rPr>
          <w:rFonts w:ascii="Arial" w:hAnsi="Arial" w:cs="Arial"/>
          <w:noProof/>
        </w:rPr>
        <w:t>(</w:t>
      </w:r>
      <w:r w:rsidR="00EF5D34" w:rsidRPr="00EF5D34">
        <w:rPr>
          <w:rFonts w:ascii="Arial" w:hAnsi="Arial" w:cs="Arial"/>
          <w:noProof/>
        </w:rPr>
        <w:t>2024)</w:t>
      </w:r>
      <w:r w:rsidR="00EF5D34">
        <w:rPr>
          <w:rFonts w:ascii="Arial" w:hAnsi="Arial" w:cs="Arial"/>
        </w:rPr>
        <w:fldChar w:fldCharType="end"/>
      </w:r>
      <w:r w:rsidRPr="00E4169A">
        <w:rPr>
          <w:rFonts w:ascii="Arial" w:hAnsi="Arial" w:cs="Arial"/>
        </w:rPr>
        <w:t xml:space="preserve">, which describes the broader Gen Z/ Millennial market and not the target market of Nike. </w:t>
      </w:r>
      <w:r w:rsidR="00EF5D34">
        <w:rPr>
          <w:rFonts w:ascii="Arial" w:hAnsi="Arial" w:cs="Arial"/>
        </w:rPr>
        <w:fldChar w:fldCharType="begin" w:fldLock="1"/>
      </w:r>
      <w:r w:rsidR="00A6790C">
        <w:rPr>
          <w:rFonts w:ascii="Arial" w:hAnsi="Arial" w:cs="Arial"/>
        </w:rPr>
        <w:instrText>ADDIN CSL_CITATION {"citationItems":[{"id":"ITEM-1","itemData":{"author":[{"dropping-particle":"","family":"UNEP","given":"","non-dropping-particle":"","parse-names":false,"suffix":""}],"id":"ITEM-1","issued":{"date-parts":[["2023"]]},"title":"Sustainability and Circularity in the Textile Value Chain - A Global Roadmap","type":"article-journal"},"uris":["http://www.mendeley.com/documents/?uuid=9ab6d254-927c-4714-884a-edc053dcdc46"]}],"mendeley":{"formattedCitation":"(UNEP, 2023b)","manualFormatting":"UNEP (2023b)","plainTextFormattedCitation":"(UNEP, 2023b)","previouslyFormattedCitation":"(UNEP, 2023b)"},"properties":{"noteIndex":0},"schema":"https://github.com/citation-style-language/schema/raw/master/csl-citation.json"}</w:instrText>
      </w:r>
      <w:r w:rsidR="00EF5D34">
        <w:rPr>
          <w:rFonts w:ascii="Arial" w:hAnsi="Arial" w:cs="Arial"/>
        </w:rPr>
        <w:fldChar w:fldCharType="separate"/>
      </w:r>
      <w:r w:rsidR="00EF5D34" w:rsidRPr="00EF5D34">
        <w:rPr>
          <w:rFonts w:ascii="Arial" w:hAnsi="Arial" w:cs="Arial"/>
          <w:noProof/>
        </w:rPr>
        <w:t xml:space="preserve">UNEP </w:t>
      </w:r>
      <w:r w:rsidR="00EF5D34">
        <w:rPr>
          <w:rFonts w:ascii="Arial" w:hAnsi="Arial" w:cs="Arial"/>
          <w:noProof/>
        </w:rPr>
        <w:t>(</w:t>
      </w:r>
      <w:r w:rsidR="00EF5D34" w:rsidRPr="00EF5D34">
        <w:rPr>
          <w:rFonts w:ascii="Arial" w:hAnsi="Arial" w:cs="Arial"/>
          <w:noProof/>
        </w:rPr>
        <w:t>2023b)</w:t>
      </w:r>
      <w:r w:rsidR="00EF5D34">
        <w:rPr>
          <w:rFonts w:ascii="Arial" w:hAnsi="Arial" w:cs="Arial"/>
        </w:rPr>
        <w:fldChar w:fldCharType="end"/>
      </w:r>
      <w:r w:rsidRPr="00E4169A">
        <w:rPr>
          <w:rFonts w:ascii="Arial" w:hAnsi="Arial" w:cs="Arial"/>
        </w:rPr>
        <w:t xml:space="preserve"> rightly points out that a collaborative effort across the value chain is essential to credible circularity; and this is something that no single brand extension proposal can fully demonstrate, </w:t>
      </w:r>
      <w:r w:rsidRPr="00E4169A">
        <w:rPr>
          <w:rFonts w:ascii="Arial" w:hAnsi="Arial" w:cs="Arial"/>
        </w:rPr>
        <w:lastRenderedPageBreak/>
        <w:t>something I now see more clearly than I did when I began the project and something I would, in a real-world consultancy version, explicitly make clear.</w:t>
      </w:r>
    </w:p>
    <w:p w14:paraId="50E4175A" w14:textId="77777777" w:rsidR="00E4169A" w:rsidRPr="00E4169A" w:rsidRDefault="00E4169A" w:rsidP="00A6790C">
      <w:pPr>
        <w:spacing w:line="360" w:lineRule="auto"/>
        <w:jc w:val="both"/>
        <w:rPr>
          <w:rFonts w:ascii="Arial" w:hAnsi="Arial" w:cs="Arial"/>
        </w:rPr>
      </w:pPr>
    </w:p>
    <w:p w14:paraId="7053663D" w14:textId="0A6FD54C" w:rsidR="00E4169A" w:rsidRPr="00005D05" w:rsidRDefault="00E4169A" w:rsidP="00A6790C">
      <w:pPr>
        <w:pStyle w:val="Heading2"/>
        <w:spacing w:line="360" w:lineRule="auto"/>
      </w:pPr>
      <w:bookmarkStart w:id="50" w:name="_Toc236646109"/>
      <w:bookmarkStart w:id="51" w:name="_Toc236650655"/>
      <w:r w:rsidRPr="00005D05">
        <w:t>4.6 Action Plan</w:t>
      </w:r>
      <w:bookmarkEnd w:id="50"/>
      <w:bookmarkEnd w:id="51"/>
    </w:p>
    <w:p w14:paraId="23759AB7" w14:textId="648CC24B" w:rsidR="00005D05" w:rsidRDefault="00E4169A" w:rsidP="00A6790C">
      <w:pPr>
        <w:spacing w:line="360" w:lineRule="auto"/>
        <w:jc w:val="both"/>
        <w:rPr>
          <w:rFonts w:ascii="Arial" w:hAnsi="Arial" w:cs="Arial"/>
        </w:rPr>
      </w:pPr>
      <w:r w:rsidRPr="00E4169A">
        <w:rPr>
          <w:rFonts w:ascii="Arial" w:hAnsi="Arial" w:cs="Arial"/>
        </w:rPr>
        <w:t xml:space="preserve">For the future, I will </w:t>
      </w:r>
      <w:r w:rsidR="000B754F" w:rsidRPr="00E4169A">
        <w:rPr>
          <w:rFonts w:ascii="Arial" w:hAnsi="Arial" w:cs="Arial"/>
        </w:rPr>
        <w:t>practice</w:t>
      </w:r>
      <w:r w:rsidRPr="00E4169A">
        <w:rPr>
          <w:rFonts w:ascii="Arial" w:hAnsi="Arial" w:cs="Arial"/>
        </w:rPr>
        <w:t xml:space="preserve"> and develop: (1) skills in condensing complex arguments with evidence into shorter, more persuasive forms for presentation situations, which I still have not mastered, particularly because I have not yet developed this skill through this module; (2) taking marketing assumptions and testing them with primary data, rather than only secondary data, before determining a strategic direction, which I have not done in depth yet, as the Process element of the marketing mix identified a need for further study beyond that covered in this module; (3) developing my technical understanding of the processes of circular supply chains, which I found is an area that still needs further development beyond what has been covered in this module.</w:t>
      </w:r>
    </w:p>
    <w:p w14:paraId="42069A68" w14:textId="77777777" w:rsidR="00005D05" w:rsidRDefault="00005D05" w:rsidP="00A6790C">
      <w:pPr>
        <w:spacing w:line="360" w:lineRule="auto"/>
        <w:rPr>
          <w:rFonts w:ascii="Arial" w:hAnsi="Arial" w:cs="Arial"/>
        </w:rPr>
      </w:pPr>
      <w:r>
        <w:rPr>
          <w:rFonts w:ascii="Arial" w:hAnsi="Arial" w:cs="Arial"/>
        </w:rPr>
        <w:br w:type="page"/>
      </w:r>
    </w:p>
    <w:p w14:paraId="6A99E577" w14:textId="2D04E9D0" w:rsidR="00EF5D34" w:rsidRDefault="00005D05" w:rsidP="00A6790C">
      <w:pPr>
        <w:pStyle w:val="Heading1"/>
        <w:spacing w:line="360" w:lineRule="auto"/>
        <w:jc w:val="both"/>
      </w:pPr>
      <w:bookmarkStart w:id="52" w:name="_Toc236646110"/>
      <w:bookmarkStart w:id="53" w:name="_Toc236650656"/>
      <w:r>
        <w:lastRenderedPageBreak/>
        <w:t>References</w:t>
      </w:r>
      <w:r w:rsidR="00EF5D34">
        <w:t>:</w:t>
      </w:r>
      <w:bookmarkEnd w:id="52"/>
      <w:bookmarkEnd w:id="53"/>
    </w:p>
    <w:p w14:paraId="5BCE2645" w14:textId="5FE74709"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Pr="00EF5D34">
        <w:rPr>
          <w:rFonts w:ascii="Arial" w:hAnsi="Arial" w:cs="Arial"/>
          <w:noProof/>
          <w:kern w:val="0"/>
        </w:rPr>
        <w:t xml:space="preserve">Abdelmeguid, A., Afy-Shararah, M. and Salonitis, K. (2024a) “Towards circular fashion: Management strategies promoting circular behaviour along the value chain,” </w:t>
      </w:r>
      <w:r w:rsidRPr="00EF5D34">
        <w:rPr>
          <w:rFonts w:ascii="Arial" w:hAnsi="Arial" w:cs="Arial"/>
          <w:i/>
          <w:iCs/>
          <w:noProof/>
          <w:kern w:val="0"/>
        </w:rPr>
        <w:t>Sustainable Production and Consumption</w:t>
      </w:r>
      <w:r w:rsidRPr="00EF5D34">
        <w:rPr>
          <w:rFonts w:ascii="Arial" w:hAnsi="Arial" w:cs="Arial"/>
          <w:noProof/>
          <w:kern w:val="0"/>
        </w:rPr>
        <w:t xml:space="preserve">, 48, pp. 143–156. Available at: </w:t>
      </w:r>
      <w:hyperlink r:id="rId16" w:history="1">
        <w:r w:rsidRPr="00EF5D34">
          <w:rPr>
            <w:rStyle w:val="Hyperlink"/>
            <w:rFonts w:ascii="Arial" w:hAnsi="Arial" w:cs="Arial"/>
            <w:noProof/>
            <w:kern w:val="0"/>
          </w:rPr>
          <w:t>https://www.researchgate.net/publication/380880811_Towards_circular_fashion_Management_strategies_promoting_circular_behaviour_along_the_value_chain</w:t>
        </w:r>
      </w:hyperlink>
      <w:r w:rsidRPr="00EF5D34">
        <w:rPr>
          <w:rFonts w:ascii="Arial" w:hAnsi="Arial" w:cs="Arial"/>
          <w:noProof/>
          <w:kern w:val="0"/>
        </w:rPr>
        <w:t>.</w:t>
      </w:r>
    </w:p>
    <w:p w14:paraId="0E9F19F5" w14:textId="67DC0484"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Abdelmeguid, A., Afy-Shararah, M. and Salonitis, K. (2024b) “Towards circular fashion: Management strategies promoting circular behaviour along the value chain,” </w:t>
      </w:r>
      <w:r w:rsidRPr="00EF5D34">
        <w:rPr>
          <w:rFonts w:ascii="Arial" w:hAnsi="Arial" w:cs="Arial"/>
          <w:i/>
          <w:iCs/>
          <w:noProof/>
          <w:kern w:val="0"/>
        </w:rPr>
        <w:t>Sustainable Production and Consumption</w:t>
      </w:r>
      <w:r w:rsidRPr="00EF5D34">
        <w:rPr>
          <w:rFonts w:ascii="Arial" w:hAnsi="Arial" w:cs="Arial"/>
          <w:noProof/>
          <w:kern w:val="0"/>
        </w:rPr>
        <w:t xml:space="preserve">, 48, pp. 143–156. Available at: </w:t>
      </w:r>
      <w:hyperlink r:id="rId17" w:history="1">
        <w:r w:rsidRPr="00EF5D34">
          <w:rPr>
            <w:rStyle w:val="Hyperlink"/>
            <w:rFonts w:ascii="Arial" w:hAnsi="Arial" w:cs="Arial"/>
            <w:noProof/>
            <w:kern w:val="0"/>
          </w:rPr>
          <w:t>https://www.sciencedirect.com/science/article/pii/S2352550924001398</w:t>
        </w:r>
      </w:hyperlink>
      <w:r w:rsidRPr="00EF5D34">
        <w:rPr>
          <w:rFonts w:ascii="Arial" w:hAnsi="Arial" w:cs="Arial"/>
          <w:noProof/>
          <w:kern w:val="0"/>
        </w:rPr>
        <w:t>.</w:t>
      </w:r>
    </w:p>
    <w:p w14:paraId="08B38D45" w14:textId="467FECAA"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Adidas Group (2025a) </w:t>
      </w:r>
      <w:r w:rsidRPr="00EF5D34">
        <w:rPr>
          <w:rFonts w:ascii="Arial" w:hAnsi="Arial" w:cs="Arial"/>
          <w:i/>
          <w:iCs/>
          <w:noProof/>
          <w:kern w:val="0"/>
        </w:rPr>
        <w:t>Metrics and Targets</w:t>
      </w:r>
      <w:r w:rsidRPr="00EF5D34">
        <w:rPr>
          <w:rFonts w:ascii="Arial" w:hAnsi="Arial" w:cs="Arial"/>
          <w:noProof/>
          <w:kern w:val="0"/>
        </w:rPr>
        <w:t>. Available at:</w:t>
      </w:r>
      <w:hyperlink r:id="rId18" w:history="1">
        <w:r w:rsidRPr="00EF5D34">
          <w:rPr>
            <w:rStyle w:val="Hyperlink"/>
            <w:rFonts w:ascii="Arial" w:hAnsi="Arial" w:cs="Arial"/>
            <w:noProof/>
            <w:kern w:val="0"/>
          </w:rPr>
          <w:t xml:space="preserve"> https://report.adidas-group.com/2024/en/group-management-report-sustainability-statement/esrs-e5-resource-use-and-circular-economy/metrics-and-targets.html</w:t>
        </w:r>
      </w:hyperlink>
      <w:r w:rsidRPr="00EF5D34">
        <w:rPr>
          <w:rFonts w:ascii="Arial" w:hAnsi="Arial" w:cs="Arial"/>
          <w:noProof/>
          <w:kern w:val="0"/>
        </w:rPr>
        <w:t>.</w:t>
      </w:r>
    </w:p>
    <w:p w14:paraId="6B3F4B8F" w14:textId="282F4DDC"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Adidas Group (2025b) </w:t>
      </w:r>
      <w:r w:rsidRPr="00EF5D34">
        <w:rPr>
          <w:rFonts w:ascii="Arial" w:hAnsi="Arial" w:cs="Arial"/>
          <w:i/>
          <w:iCs/>
          <w:noProof/>
          <w:kern w:val="0"/>
        </w:rPr>
        <w:t>Resource Use and Circular Economy</w:t>
      </w:r>
      <w:r w:rsidRPr="00EF5D34">
        <w:rPr>
          <w:rFonts w:ascii="Arial" w:hAnsi="Arial" w:cs="Arial"/>
          <w:noProof/>
          <w:kern w:val="0"/>
        </w:rPr>
        <w:t xml:space="preserve">. Available at: </w:t>
      </w:r>
      <w:hyperlink r:id="rId19" w:history="1">
        <w:r w:rsidRPr="00EF5D34">
          <w:rPr>
            <w:rStyle w:val="Hyperlink"/>
            <w:rFonts w:ascii="Arial" w:hAnsi="Arial" w:cs="Arial"/>
            <w:noProof/>
            <w:kern w:val="0"/>
          </w:rPr>
          <w:t>https://report.adidas-group.com/2024/en/group-management-report-sustainability-statement/esrs-e5-resource-use-and-circular-economy/overview.html</w:t>
        </w:r>
      </w:hyperlink>
      <w:r w:rsidRPr="00EF5D34">
        <w:rPr>
          <w:rFonts w:ascii="Arial" w:hAnsi="Arial" w:cs="Arial"/>
          <w:noProof/>
          <w:kern w:val="0"/>
        </w:rPr>
        <w:t>.</w:t>
      </w:r>
    </w:p>
    <w:p w14:paraId="76428F54" w14:textId="043E42F0"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Albrecht, M.G., Green, M. and Hoffman, L. (2023) “Principles of Marketing,” in. Available at: </w:t>
      </w:r>
      <w:hyperlink r:id="rId20" w:history="1">
        <w:r w:rsidRPr="00EF5D34">
          <w:rPr>
            <w:rStyle w:val="Hyperlink"/>
            <w:rFonts w:ascii="Arial" w:hAnsi="Arial" w:cs="Arial"/>
            <w:noProof/>
            <w:kern w:val="0"/>
          </w:rPr>
          <w:t>https://books.google.com.np/books/about/Principles_of_Marketing.html?id=ZwjMzwEACAAJ&amp;redir_esc=y</w:t>
        </w:r>
      </w:hyperlink>
      <w:r w:rsidRPr="00EF5D34">
        <w:rPr>
          <w:rFonts w:ascii="Arial" w:hAnsi="Arial" w:cs="Arial"/>
          <w:noProof/>
          <w:kern w:val="0"/>
        </w:rPr>
        <w:t>.</w:t>
      </w:r>
    </w:p>
    <w:p w14:paraId="72817662" w14:textId="6EC4D598"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Allbirds (2025) </w:t>
      </w:r>
      <w:r w:rsidRPr="00EF5D34">
        <w:rPr>
          <w:rFonts w:ascii="Arial" w:hAnsi="Arial" w:cs="Arial"/>
          <w:i/>
          <w:iCs/>
          <w:noProof/>
          <w:kern w:val="0"/>
        </w:rPr>
        <w:t>Allbirds announces 22% reduction to per product carbon footprint in annual sustainability report</w:t>
      </w:r>
      <w:r w:rsidRPr="00EF5D34">
        <w:rPr>
          <w:rFonts w:ascii="Arial" w:hAnsi="Arial" w:cs="Arial"/>
          <w:noProof/>
          <w:kern w:val="0"/>
        </w:rPr>
        <w:t>. Available at:</w:t>
      </w:r>
      <w:hyperlink r:id="rId21" w:history="1">
        <w:r w:rsidRPr="00EF5D34">
          <w:rPr>
            <w:rStyle w:val="Hyperlink"/>
            <w:rFonts w:ascii="Arial" w:hAnsi="Arial" w:cs="Arial"/>
            <w:noProof/>
            <w:kern w:val="0"/>
          </w:rPr>
          <w:t xml:space="preserve"> https://report.adidas-group.com/2024/en/group-management-report-sustainability-statement/esrs-e5-resource-use-and-circular-economy/overview.html</w:t>
        </w:r>
      </w:hyperlink>
      <w:r w:rsidRPr="00EF5D34">
        <w:rPr>
          <w:rFonts w:ascii="Arial" w:hAnsi="Arial" w:cs="Arial"/>
          <w:noProof/>
          <w:kern w:val="0"/>
        </w:rPr>
        <w:t>.</w:t>
      </w:r>
    </w:p>
    <w:p w14:paraId="6BA78AF4" w14:textId="30DB6518"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EPRS (2024) </w:t>
      </w:r>
      <w:r w:rsidRPr="00EF5D34">
        <w:rPr>
          <w:rFonts w:ascii="Arial" w:hAnsi="Arial" w:cs="Arial"/>
          <w:i/>
          <w:iCs/>
          <w:noProof/>
          <w:kern w:val="0"/>
        </w:rPr>
        <w:t>Digital product passport for the textile sector | Think Tank | European Parliament</w:t>
      </w:r>
      <w:r w:rsidRPr="00EF5D34">
        <w:rPr>
          <w:rFonts w:ascii="Arial" w:hAnsi="Arial" w:cs="Arial"/>
          <w:noProof/>
          <w:kern w:val="0"/>
        </w:rPr>
        <w:t xml:space="preserve">. Available at: </w:t>
      </w:r>
      <w:hyperlink r:id="rId22" w:history="1">
        <w:r w:rsidRPr="00EF5D34">
          <w:rPr>
            <w:rStyle w:val="Hyperlink"/>
            <w:rFonts w:ascii="Arial" w:hAnsi="Arial" w:cs="Arial"/>
            <w:noProof/>
            <w:kern w:val="0"/>
          </w:rPr>
          <w:t>https://www.europarl.europa.eu/RegData/etudes/STUD/2024/757808/EPRS_STU(2024)757808_EN.pdf</w:t>
        </w:r>
      </w:hyperlink>
      <w:r w:rsidRPr="00EF5D34">
        <w:rPr>
          <w:rFonts w:ascii="Arial" w:hAnsi="Arial" w:cs="Arial"/>
          <w:noProof/>
          <w:kern w:val="0"/>
        </w:rPr>
        <w:t>.</w:t>
      </w:r>
    </w:p>
    <w:p w14:paraId="158AAE80" w14:textId="01CAABF8"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lastRenderedPageBreak/>
        <w:t xml:space="preserve">Fang, Z. (2024) “Greenwashing Versus Green Authenticity: How Green Social Media Influences Consumer Perceptions and Green Purchase Decisions,” </w:t>
      </w:r>
      <w:r w:rsidRPr="00EF5D34">
        <w:rPr>
          <w:rFonts w:ascii="Arial" w:hAnsi="Arial" w:cs="Arial"/>
          <w:i/>
          <w:iCs/>
          <w:noProof/>
          <w:kern w:val="0"/>
        </w:rPr>
        <w:t>Sustainability</w:t>
      </w:r>
      <w:r w:rsidRPr="00EF5D34">
        <w:rPr>
          <w:rFonts w:ascii="Arial" w:hAnsi="Arial" w:cs="Arial"/>
          <w:noProof/>
          <w:kern w:val="0"/>
        </w:rPr>
        <w:t xml:space="preserve">, 16(23), p. 10723. Available at: </w:t>
      </w:r>
      <w:hyperlink r:id="rId23" w:history="1">
        <w:r w:rsidRPr="00EF5D34">
          <w:rPr>
            <w:rStyle w:val="Hyperlink"/>
            <w:rFonts w:ascii="Arial" w:hAnsi="Arial" w:cs="Arial"/>
            <w:noProof/>
            <w:kern w:val="0"/>
          </w:rPr>
          <w:t>https://www.mdpi.com/2071-1050/16/23/10723</w:t>
        </w:r>
      </w:hyperlink>
      <w:r w:rsidRPr="00EF5D34">
        <w:rPr>
          <w:rFonts w:ascii="Arial" w:hAnsi="Arial" w:cs="Arial"/>
          <w:noProof/>
          <w:kern w:val="0"/>
        </w:rPr>
        <w:t>.</w:t>
      </w:r>
    </w:p>
    <w:p w14:paraId="045521B8" w14:textId="457CCF0E"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Garg, R. </w:t>
      </w:r>
      <w:r w:rsidRPr="00EF5D34">
        <w:rPr>
          <w:rFonts w:ascii="Arial" w:hAnsi="Arial" w:cs="Arial"/>
          <w:i/>
          <w:iCs/>
          <w:noProof/>
          <w:kern w:val="0"/>
        </w:rPr>
        <w:t>et al.</w:t>
      </w:r>
      <w:r w:rsidRPr="00EF5D34">
        <w:rPr>
          <w:rFonts w:ascii="Arial" w:hAnsi="Arial" w:cs="Arial"/>
          <w:noProof/>
          <w:kern w:val="0"/>
        </w:rPr>
        <w:t xml:space="preserve"> (2024) “Sustainable marketing mix and supply chain integration: A systematic review and research agenda,” </w:t>
      </w:r>
      <w:r w:rsidRPr="00EF5D34">
        <w:rPr>
          <w:rFonts w:ascii="Arial" w:hAnsi="Arial" w:cs="Arial"/>
          <w:i/>
          <w:iCs/>
          <w:noProof/>
          <w:kern w:val="0"/>
        </w:rPr>
        <w:t>Sustainable Futures</w:t>
      </w:r>
      <w:r w:rsidRPr="00EF5D34">
        <w:rPr>
          <w:rFonts w:ascii="Arial" w:hAnsi="Arial" w:cs="Arial"/>
          <w:noProof/>
          <w:kern w:val="0"/>
        </w:rPr>
        <w:t xml:space="preserve">, 8, p. 100269. Available at: </w:t>
      </w:r>
      <w:hyperlink r:id="rId24" w:history="1">
        <w:r w:rsidRPr="00EF5D34">
          <w:rPr>
            <w:rStyle w:val="Hyperlink"/>
            <w:rFonts w:ascii="Arial" w:hAnsi="Arial" w:cs="Arial"/>
            <w:noProof/>
            <w:kern w:val="0"/>
          </w:rPr>
          <w:t>https://www.sciencedirect.com/science/article/pii/S2666188824001187</w:t>
        </w:r>
      </w:hyperlink>
      <w:r w:rsidRPr="00EF5D34">
        <w:rPr>
          <w:rFonts w:ascii="Arial" w:hAnsi="Arial" w:cs="Arial"/>
          <w:noProof/>
          <w:kern w:val="0"/>
        </w:rPr>
        <w:t>.</w:t>
      </w:r>
    </w:p>
    <w:p w14:paraId="50FB52AE" w14:textId="7A37801D"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Legardeur, J. and Ospital, P. (2024) “Digital product passport for the textile sector, Study for European Parliamentary Research Service, Panel for the Future of Science and Technology, Scientific Foresight Unit (STOA).” Available at: </w:t>
      </w:r>
      <w:hyperlink r:id="rId25" w:history="1">
        <w:r w:rsidRPr="00EF5D34">
          <w:rPr>
            <w:rStyle w:val="Hyperlink"/>
            <w:rFonts w:ascii="Arial" w:hAnsi="Arial" w:cs="Arial"/>
            <w:noProof/>
            <w:kern w:val="0"/>
          </w:rPr>
          <w:t>https://www.researchgate.net/publication/382463943_Digital_product_passport_for_the_textile_sector_Study_for_European_Parliamentary_Research_Service_Panel_for_the_Future_of_Science_and_Technology_Scientific_Foresight_Unit_STOA</w:t>
        </w:r>
      </w:hyperlink>
      <w:r w:rsidRPr="00EF5D34">
        <w:rPr>
          <w:rFonts w:ascii="Arial" w:hAnsi="Arial" w:cs="Arial"/>
          <w:noProof/>
          <w:kern w:val="0"/>
        </w:rPr>
        <w:t>.</w:t>
      </w:r>
    </w:p>
    <w:p w14:paraId="549FB7F3" w14:textId="7287FA50"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Liu, L. </w:t>
      </w:r>
      <w:r w:rsidRPr="00EF5D34">
        <w:rPr>
          <w:rFonts w:ascii="Arial" w:hAnsi="Arial" w:cs="Arial"/>
          <w:i/>
          <w:iCs/>
          <w:noProof/>
          <w:kern w:val="0"/>
        </w:rPr>
        <w:t>et al.</w:t>
      </w:r>
      <w:r w:rsidRPr="00EF5D34">
        <w:rPr>
          <w:rFonts w:ascii="Arial" w:hAnsi="Arial" w:cs="Arial"/>
          <w:noProof/>
          <w:kern w:val="0"/>
        </w:rPr>
        <w:t xml:space="preserve"> (2024) “The impact of environmental accidents on the green apparel purchase behavior of Generation Z,” </w:t>
      </w:r>
      <w:r w:rsidRPr="00EF5D34">
        <w:rPr>
          <w:rFonts w:ascii="Arial" w:hAnsi="Arial" w:cs="Arial"/>
          <w:i/>
          <w:iCs/>
          <w:noProof/>
          <w:kern w:val="0"/>
        </w:rPr>
        <w:t>Frontiers in Psychology</w:t>
      </w:r>
      <w:r w:rsidRPr="00EF5D34">
        <w:rPr>
          <w:rFonts w:ascii="Arial" w:hAnsi="Arial" w:cs="Arial"/>
          <w:noProof/>
          <w:kern w:val="0"/>
        </w:rPr>
        <w:t xml:space="preserve">, 15. Available at: </w:t>
      </w:r>
      <w:hyperlink r:id="rId26" w:history="1">
        <w:r w:rsidRPr="00EF5D34">
          <w:rPr>
            <w:rStyle w:val="Hyperlink"/>
            <w:rFonts w:ascii="Arial" w:hAnsi="Arial" w:cs="Arial"/>
            <w:noProof/>
            <w:kern w:val="0"/>
          </w:rPr>
          <w:t>https://www.frontiersin.org/journals/psychology/articles/10.3389/fpsyg.2024.1338702/full</w:t>
        </w:r>
      </w:hyperlink>
      <w:r w:rsidRPr="00EF5D34">
        <w:rPr>
          <w:rFonts w:ascii="Arial" w:hAnsi="Arial" w:cs="Arial"/>
          <w:noProof/>
          <w:kern w:val="0"/>
        </w:rPr>
        <w:t>.</w:t>
      </w:r>
    </w:p>
    <w:p w14:paraId="0E60BDD9" w14:textId="3A1A20BA"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Oxford College of Marketing (2020) </w:t>
      </w:r>
      <w:r w:rsidRPr="00EF5D34">
        <w:rPr>
          <w:rFonts w:ascii="Arial" w:hAnsi="Arial" w:cs="Arial"/>
          <w:i/>
          <w:iCs/>
          <w:noProof/>
          <w:kern w:val="0"/>
        </w:rPr>
        <w:t>Understanding The 7Ps of The Marketing Mix</w:t>
      </w:r>
      <w:r w:rsidRPr="00EF5D34">
        <w:rPr>
          <w:rFonts w:ascii="Arial" w:hAnsi="Arial" w:cs="Arial"/>
          <w:noProof/>
          <w:kern w:val="0"/>
        </w:rPr>
        <w:t>. Available at:</w:t>
      </w:r>
      <w:hyperlink r:id="rId27" w:history="1">
        <w:r w:rsidRPr="00EF5D34">
          <w:rPr>
            <w:rStyle w:val="Hyperlink"/>
            <w:rFonts w:ascii="Arial" w:hAnsi="Arial" w:cs="Arial"/>
            <w:noProof/>
            <w:kern w:val="0"/>
          </w:rPr>
          <w:t xml:space="preserve"> https://blog.oxfordcollegeofmarketing.com/2020/10/08/understanding-the-7ps-of-the-marketing-mix/</w:t>
        </w:r>
      </w:hyperlink>
      <w:r w:rsidRPr="00EF5D34">
        <w:rPr>
          <w:rFonts w:ascii="Arial" w:hAnsi="Arial" w:cs="Arial"/>
          <w:noProof/>
          <w:kern w:val="0"/>
        </w:rPr>
        <w:t>.</w:t>
      </w:r>
    </w:p>
    <w:p w14:paraId="305FD5C5" w14:textId="6444B3C4"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Pires, P.B. </w:t>
      </w:r>
      <w:r w:rsidRPr="00EF5D34">
        <w:rPr>
          <w:rFonts w:ascii="Arial" w:hAnsi="Arial" w:cs="Arial"/>
          <w:i/>
          <w:iCs/>
          <w:noProof/>
          <w:kern w:val="0"/>
        </w:rPr>
        <w:t>et al.</w:t>
      </w:r>
      <w:r w:rsidRPr="00EF5D34">
        <w:rPr>
          <w:rFonts w:ascii="Arial" w:hAnsi="Arial" w:cs="Arial"/>
          <w:noProof/>
          <w:kern w:val="0"/>
        </w:rPr>
        <w:t xml:space="preserve"> (2024) “Sustainable Fashion: Conceptualization, Purchase Determinants, and Willingness to Pay More,” </w:t>
      </w:r>
      <w:r w:rsidRPr="00EF5D34">
        <w:rPr>
          <w:rFonts w:ascii="Arial" w:hAnsi="Arial" w:cs="Arial"/>
          <w:i/>
          <w:iCs/>
          <w:noProof/>
          <w:kern w:val="0"/>
        </w:rPr>
        <w:t>Administrative Sciences</w:t>
      </w:r>
      <w:r w:rsidRPr="00EF5D34">
        <w:rPr>
          <w:rFonts w:ascii="Arial" w:hAnsi="Arial" w:cs="Arial"/>
          <w:noProof/>
          <w:kern w:val="0"/>
        </w:rPr>
        <w:t xml:space="preserve">, 14(7), p. 143. Available at: </w:t>
      </w:r>
      <w:hyperlink r:id="rId28" w:history="1">
        <w:r w:rsidRPr="00EF5D34">
          <w:rPr>
            <w:rStyle w:val="Hyperlink"/>
            <w:rFonts w:ascii="Arial" w:hAnsi="Arial" w:cs="Arial"/>
            <w:noProof/>
            <w:kern w:val="0"/>
          </w:rPr>
          <w:t>https://www.mdpi.com/2076-3387/14/7/143</w:t>
        </w:r>
      </w:hyperlink>
      <w:r w:rsidRPr="00EF5D34">
        <w:rPr>
          <w:rFonts w:ascii="Arial" w:hAnsi="Arial" w:cs="Arial"/>
          <w:noProof/>
          <w:kern w:val="0"/>
        </w:rPr>
        <w:t>.</w:t>
      </w:r>
    </w:p>
    <w:p w14:paraId="6798B949" w14:textId="60CF80FD"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PWC (2024) “Shrinking the consumer trust deficit.” Available at: </w:t>
      </w:r>
      <w:hyperlink r:id="rId29" w:history="1">
        <w:r w:rsidRPr="00EF5D34">
          <w:rPr>
            <w:rStyle w:val="Hyperlink"/>
            <w:rFonts w:ascii="Arial" w:hAnsi="Arial" w:cs="Arial"/>
            <w:noProof/>
            <w:kern w:val="0"/>
          </w:rPr>
          <w:t>https://www.pwc.com/gx/en/issues/c-suite-insights/voice-of-the-consumer-survey/2024.html</w:t>
        </w:r>
      </w:hyperlink>
      <w:r w:rsidRPr="00EF5D34">
        <w:rPr>
          <w:rFonts w:ascii="Arial" w:hAnsi="Arial" w:cs="Arial"/>
          <w:noProof/>
          <w:kern w:val="0"/>
        </w:rPr>
        <w:t>.</w:t>
      </w:r>
    </w:p>
    <w:p w14:paraId="690913BD" w14:textId="0AD626C7"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Ries, T. and Rese, A. (2025) “Can information help bridge the attitude–behavior gap in sustainable clothing consumption?,” </w:t>
      </w:r>
      <w:r w:rsidRPr="00EF5D34">
        <w:rPr>
          <w:rFonts w:ascii="Arial" w:hAnsi="Arial" w:cs="Arial"/>
          <w:i/>
          <w:iCs/>
          <w:noProof/>
          <w:kern w:val="0"/>
        </w:rPr>
        <w:t>Cleaner and Responsible Consumption</w:t>
      </w:r>
      <w:r w:rsidRPr="00EF5D34">
        <w:rPr>
          <w:rFonts w:ascii="Arial" w:hAnsi="Arial" w:cs="Arial"/>
          <w:noProof/>
          <w:kern w:val="0"/>
        </w:rPr>
        <w:t xml:space="preserve">, 17, p. 100278. Available at: </w:t>
      </w:r>
      <w:hyperlink r:id="rId30" w:history="1">
        <w:r w:rsidRPr="00EF5D34">
          <w:rPr>
            <w:rStyle w:val="Hyperlink"/>
            <w:rFonts w:ascii="Arial" w:hAnsi="Arial" w:cs="Arial"/>
            <w:noProof/>
            <w:kern w:val="0"/>
          </w:rPr>
          <w:t>https://www.sciencedirect.com/science/article/pii/S2666784325000294</w:t>
        </w:r>
      </w:hyperlink>
      <w:r w:rsidRPr="00EF5D34">
        <w:rPr>
          <w:rFonts w:ascii="Arial" w:hAnsi="Arial" w:cs="Arial"/>
          <w:noProof/>
          <w:kern w:val="0"/>
        </w:rPr>
        <w:t>.</w:t>
      </w:r>
    </w:p>
    <w:p w14:paraId="1C471AEB" w14:textId="0F4A7F11"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Ronda, L. (2024) “Overcoming barriers for sustainable fashion: bridging attitude-behaviour gap in retail,” </w:t>
      </w:r>
      <w:r w:rsidRPr="00EF5D34">
        <w:rPr>
          <w:rFonts w:ascii="Arial" w:hAnsi="Arial" w:cs="Arial"/>
          <w:i/>
          <w:iCs/>
          <w:noProof/>
          <w:kern w:val="0"/>
        </w:rPr>
        <w:t>International Journal of Retail &amp; Distribution Management</w:t>
      </w:r>
      <w:r w:rsidRPr="00EF5D34">
        <w:rPr>
          <w:rFonts w:ascii="Arial" w:hAnsi="Arial" w:cs="Arial"/>
          <w:noProof/>
          <w:kern w:val="0"/>
        </w:rPr>
        <w:t xml:space="preserve">, 52(1), pp. 44–61. Available at: </w:t>
      </w:r>
      <w:hyperlink r:id="rId31" w:history="1">
        <w:r w:rsidRPr="00EF5D34">
          <w:rPr>
            <w:rStyle w:val="Hyperlink"/>
            <w:rFonts w:ascii="Arial" w:hAnsi="Arial" w:cs="Arial"/>
            <w:noProof/>
            <w:kern w:val="0"/>
          </w:rPr>
          <w:t>https://www.emerald.com/ijrdm/article-abstract/52/1/44/1232569/Overcoming-barriers-for-sustainable-fashion?redirectedFrom=fulltext</w:t>
        </w:r>
      </w:hyperlink>
      <w:r w:rsidRPr="00EF5D34">
        <w:rPr>
          <w:rFonts w:ascii="Arial" w:hAnsi="Arial" w:cs="Arial"/>
          <w:noProof/>
          <w:kern w:val="0"/>
        </w:rPr>
        <w:t>.</w:t>
      </w:r>
    </w:p>
    <w:p w14:paraId="6EE07A5E" w14:textId="20BE685C"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Textile Exchange (2025) “Materials Market Report 2025.” Available at: </w:t>
      </w:r>
      <w:hyperlink r:id="rId32" w:history="1">
        <w:r w:rsidRPr="00EF5D34">
          <w:rPr>
            <w:rStyle w:val="Hyperlink"/>
            <w:rFonts w:ascii="Arial" w:hAnsi="Arial" w:cs="Arial"/>
            <w:noProof/>
            <w:kern w:val="0"/>
          </w:rPr>
          <w:t>https://textileexchange.org/knowledge-center/reports/materials-market-report-2025/</w:t>
        </w:r>
      </w:hyperlink>
      <w:r w:rsidRPr="00EF5D34">
        <w:rPr>
          <w:rFonts w:ascii="Arial" w:hAnsi="Arial" w:cs="Arial"/>
          <w:noProof/>
          <w:kern w:val="0"/>
        </w:rPr>
        <w:t>.</w:t>
      </w:r>
    </w:p>
    <w:p w14:paraId="34C34F8D" w14:textId="38C339FD"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Textileexchange (2025) “Materials Market Report.” Available at: </w:t>
      </w:r>
      <w:hyperlink r:id="rId33" w:history="1">
        <w:r w:rsidRPr="00EF5D34">
          <w:rPr>
            <w:rStyle w:val="Hyperlink"/>
            <w:rFonts w:ascii="Arial" w:hAnsi="Arial" w:cs="Arial"/>
            <w:noProof/>
            <w:kern w:val="0"/>
          </w:rPr>
          <w:t>https://textileexchange.org/app/uploads/2025/09/Materials-Market-Report-2025.pdf</w:t>
        </w:r>
      </w:hyperlink>
      <w:r w:rsidRPr="00EF5D34">
        <w:rPr>
          <w:rFonts w:ascii="Arial" w:hAnsi="Arial" w:cs="Arial"/>
          <w:noProof/>
          <w:kern w:val="0"/>
        </w:rPr>
        <w:t>.</w:t>
      </w:r>
    </w:p>
    <w:p w14:paraId="43CFA12D" w14:textId="68D0E4B6"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ThredUp (2026) </w:t>
      </w:r>
      <w:r w:rsidRPr="00EF5D34">
        <w:rPr>
          <w:rFonts w:ascii="Arial" w:hAnsi="Arial" w:cs="Arial"/>
          <w:i/>
          <w:iCs/>
          <w:noProof/>
          <w:kern w:val="0"/>
        </w:rPr>
        <w:t>ThredUp’s 14th Annual Resale Report Reveals New Era of Structural Competition and AI-Driven Discovery</w:t>
      </w:r>
      <w:r w:rsidRPr="00EF5D34">
        <w:rPr>
          <w:rFonts w:ascii="Arial" w:hAnsi="Arial" w:cs="Arial"/>
          <w:noProof/>
          <w:kern w:val="0"/>
        </w:rPr>
        <w:t xml:space="preserve">. Available at: </w:t>
      </w:r>
      <w:hyperlink r:id="rId34" w:history="1">
        <w:r w:rsidRPr="00EF5D34">
          <w:rPr>
            <w:rStyle w:val="Hyperlink"/>
            <w:rFonts w:ascii="Arial" w:hAnsi="Arial" w:cs="Arial"/>
            <w:noProof/>
            <w:kern w:val="0"/>
          </w:rPr>
          <w:t>https://newsroom.thredup.com/news/thredup-14th-resale-report</w:t>
        </w:r>
      </w:hyperlink>
      <w:r w:rsidRPr="00EF5D34">
        <w:rPr>
          <w:rFonts w:ascii="Arial" w:hAnsi="Arial" w:cs="Arial"/>
          <w:noProof/>
          <w:kern w:val="0"/>
        </w:rPr>
        <w:t>.</w:t>
      </w:r>
    </w:p>
    <w:p w14:paraId="0F6703BB" w14:textId="11FE5129"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TSW (2025) “Gibbs Reflective Cycle – A Practical Guide.” Available at: </w:t>
      </w:r>
      <w:hyperlink r:id="rId35" w:history="1">
        <w:r w:rsidRPr="00EF5D34">
          <w:rPr>
            <w:rStyle w:val="Hyperlink"/>
            <w:rFonts w:ascii="Arial" w:hAnsi="Arial" w:cs="Arial"/>
            <w:noProof/>
            <w:kern w:val="0"/>
          </w:rPr>
          <w:t>https://www.tsw.co.uk/insights/gibbs-reflective-cycle/</w:t>
        </w:r>
      </w:hyperlink>
      <w:r w:rsidRPr="00EF5D34">
        <w:rPr>
          <w:rFonts w:ascii="Arial" w:hAnsi="Arial" w:cs="Arial"/>
          <w:noProof/>
          <w:kern w:val="0"/>
        </w:rPr>
        <w:t>.</w:t>
      </w:r>
    </w:p>
    <w:p w14:paraId="7E06E23D" w14:textId="6687C373" w:rsidR="00EF5D34" w:rsidRPr="00EF5D34" w:rsidRDefault="00EF5D34" w:rsidP="00A6790C">
      <w:pPr>
        <w:widowControl w:val="0"/>
        <w:autoSpaceDE w:val="0"/>
        <w:autoSpaceDN w:val="0"/>
        <w:adjustRightInd w:val="0"/>
        <w:spacing w:line="360" w:lineRule="auto"/>
        <w:jc w:val="both"/>
        <w:rPr>
          <w:rFonts w:ascii="Arial" w:hAnsi="Arial" w:cs="Arial"/>
          <w:noProof/>
          <w:kern w:val="0"/>
        </w:rPr>
      </w:pPr>
      <w:r w:rsidRPr="00EF5D34">
        <w:rPr>
          <w:rFonts w:ascii="Arial" w:hAnsi="Arial" w:cs="Arial"/>
          <w:noProof/>
          <w:kern w:val="0"/>
        </w:rPr>
        <w:t xml:space="preserve">UNEP (2023a) </w:t>
      </w:r>
      <w:r w:rsidRPr="00EF5D34">
        <w:rPr>
          <w:rFonts w:ascii="Arial" w:hAnsi="Arial" w:cs="Arial"/>
          <w:i/>
          <w:iCs/>
          <w:noProof/>
          <w:kern w:val="0"/>
        </w:rPr>
        <w:t>Sustainability and Circularity in the Textile Value Chain - A Global Roadmap</w:t>
      </w:r>
      <w:r w:rsidRPr="00EF5D34">
        <w:rPr>
          <w:rFonts w:ascii="Arial" w:hAnsi="Arial" w:cs="Arial"/>
          <w:noProof/>
          <w:kern w:val="0"/>
        </w:rPr>
        <w:t xml:space="preserve">. Available at: </w:t>
      </w:r>
      <w:hyperlink r:id="rId36" w:history="1">
        <w:r w:rsidRPr="00EF5D34">
          <w:rPr>
            <w:rStyle w:val="Hyperlink"/>
            <w:rFonts w:ascii="Arial" w:hAnsi="Arial" w:cs="Arial"/>
            <w:noProof/>
            <w:kern w:val="0"/>
          </w:rPr>
          <w:t>https://www.unep.org/resources/publication/sustainability-and-circularity-textile-value-chain-global-roadmap</w:t>
        </w:r>
      </w:hyperlink>
      <w:r w:rsidRPr="00EF5D34">
        <w:rPr>
          <w:rFonts w:ascii="Arial" w:hAnsi="Arial" w:cs="Arial"/>
          <w:noProof/>
          <w:kern w:val="0"/>
        </w:rPr>
        <w:t>.</w:t>
      </w:r>
    </w:p>
    <w:p w14:paraId="69223F09" w14:textId="5490A681" w:rsidR="00EF5D34" w:rsidRPr="00EF5D34" w:rsidRDefault="00EF5D34" w:rsidP="00A6790C">
      <w:pPr>
        <w:widowControl w:val="0"/>
        <w:autoSpaceDE w:val="0"/>
        <w:autoSpaceDN w:val="0"/>
        <w:adjustRightInd w:val="0"/>
        <w:spacing w:line="360" w:lineRule="auto"/>
        <w:jc w:val="both"/>
        <w:rPr>
          <w:rFonts w:ascii="Arial" w:hAnsi="Arial" w:cs="Arial"/>
          <w:noProof/>
        </w:rPr>
      </w:pPr>
      <w:r w:rsidRPr="00EF5D34">
        <w:rPr>
          <w:rFonts w:ascii="Arial" w:hAnsi="Arial" w:cs="Arial"/>
          <w:noProof/>
          <w:kern w:val="0"/>
        </w:rPr>
        <w:t xml:space="preserve">UNEP (2023b) “Sustainability and Circularity in the Textile Value Chain - A Global Roadmap.” Available at: </w:t>
      </w:r>
      <w:hyperlink r:id="rId37" w:history="1">
        <w:r w:rsidRPr="00EF5D34">
          <w:rPr>
            <w:rStyle w:val="Hyperlink"/>
            <w:rFonts w:ascii="Arial" w:hAnsi="Arial" w:cs="Arial"/>
            <w:noProof/>
            <w:kern w:val="0"/>
          </w:rPr>
          <w:t>https://www.unep.org/resources/publication/sustainability-and-circularity-textile-value-chain-global-roadmap</w:t>
        </w:r>
      </w:hyperlink>
      <w:r w:rsidRPr="00EF5D34">
        <w:rPr>
          <w:rFonts w:ascii="Arial" w:hAnsi="Arial" w:cs="Arial"/>
          <w:noProof/>
          <w:kern w:val="0"/>
        </w:rPr>
        <w:t>.</w:t>
      </w:r>
    </w:p>
    <w:p w14:paraId="4F458ACB" w14:textId="04E6ED3F" w:rsidR="00EF5D34" w:rsidRPr="00F5561F" w:rsidRDefault="00EF5D34" w:rsidP="00A6790C">
      <w:pPr>
        <w:spacing w:line="360" w:lineRule="auto"/>
        <w:jc w:val="both"/>
        <w:rPr>
          <w:rFonts w:ascii="Arial" w:hAnsi="Arial" w:cs="Arial"/>
        </w:rPr>
      </w:pPr>
      <w:r>
        <w:rPr>
          <w:rFonts w:ascii="Arial" w:hAnsi="Arial" w:cs="Arial"/>
        </w:rPr>
        <w:fldChar w:fldCharType="end"/>
      </w:r>
    </w:p>
    <w:sectPr w:rsidR="00EF5D34" w:rsidRPr="00F5561F" w:rsidSect="00DB40F8">
      <w:footerReference w:type="default" r:id="rId3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C00E7" w14:textId="77777777" w:rsidR="00BE7A96" w:rsidRDefault="00BE7A96" w:rsidP="00641324">
      <w:pPr>
        <w:spacing w:after="0" w:line="240" w:lineRule="auto"/>
      </w:pPr>
      <w:r>
        <w:separator/>
      </w:r>
    </w:p>
  </w:endnote>
  <w:endnote w:type="continuationSeparator" w:id="0">
    <w:p w14:paraId="77032C98" w14:textId="77777777" w:rsidR="00BE7A96" w:rsidRDefault="00BE7A96" w:rsidP="00641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EA5CE" w14:textId="7696F658" w:rsidR="00DB40F8" w:rsidRDefault="00DB40F8">
    <w:pPr>
      <w:pStyle w:val="Footer"/>
      <w:pBdr>
        <w:top w:val="single" w:sz="4" w:space="1" w:color="D9D9D9" w:themeColor="background1" w:themeShade="D9"/>
      </w:pBdr>
      <w:jc w:val="right"/>
    </w:pPr>
  </w:p>
  <w:p w14:paraId="6AB539A9" w14:textId="77777777" w:rsidR="00A6790C" w:rsidRDefault="00A679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405929"/>
      <w:docPartObj>
        <w:docPartGallery w:val="Page Numbers (Bottom of Page)"/>
        <w:docPartUnique/>
      </w:docPartObj>
    </w:sdtPr>
    <w:sdtEndPr>
      <w:rPr>
        <w:color w:val="7F7F7F" w:themeColor="background1" w:themeShade="7F"/>
        <w:spacing w:val="60"/>
      </w:rPr>
    </w:sdtEndPr>
    <w:sdtContent>
      <w:p w14:paraId="093141F5" w14:textId="77777777" w:rsidR="00DB40F8" w:rsidRDefault="00DB40F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BBFF3D" w14:textId="77777777" w:rsidR="00DB40F8" w:rsidRDefault="00DB40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0964C" w14:textId="77777777" w:rsidR="00BE7A96" w:rsidRDefault="00BE7A96" w:rsidP="00641324">
      <w:pPr>
        <w:spacing w:after="0" w:line="240" w:lineRule="auto"/>
      </w:pPr>
      <w:r>
        <w:separator/>
      </w:r>
    </w:p>
  </w:footnote>
  <w:footnote w:type="continuationSeparator" w:id="0">
    <w:p w14:paraId="156779DE" w14:textId="77777777" w:rsidR="00BE7A96" w:rsidRDefault="00BE7A96" w:rsidP="00641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E18F2"/>
    <w:multiLevelType w:val="hybridMultilevel"/>
    <w:tmpl w:val="5EFA1F1C"/>
    <w:lvl w:ilvl="0" w:tplc="BC8E41F4">
      <w:start w:val="1"/>
      <w:numFmt w:val="bullet"/>
      <w:lvlText w:val="•"/>
      <w:lvlJc w:val="left"/>
      <w:pPr>
        <w:tabs>
          <w:tab w:val="num" w:pos="720"/>
        </w:tabs>
        <w:ind w:left="720" w:hanging="360"/>
      </w:pPr>
      <w:rPr>
        <w:rFonts w:ascii="Arial" w:hAnsi="Arial" w:hint="default"/>
      </w:rPr>
    </w:lvl>
    <w:lvl w:ilvl="1" w:tplc="A74EE76E">
      <w:start w:val="1"/>
      <w:numFmt w:val="bullet"/>
      <w:lvlText w:val="•"/>
      <w:lvlJc w:val="left"/>
      <w:pPr>
        <w:tabs>
          <w:tab w:val="num" w:pos="1440"/>
        </w:tabs>
        <w:ind w:left="1440" w:hanging="360"/>
      </w:pPr>
      <w:rPr>
        <w:rFonts w:ascii="Arial" w:hAnsi="Arial" w:hint="default"/>
      </w:rPr>
    </w:lvl>
    <w:lvl w:ilvl="2" w:tplc="2E806BF8" w:tentative="1">
      <w:start w:val="1"/>
      <w:numFmt w:val="bullet"/>
      <w:lvlText w:val="•"/>
      <w:lvlJc w:val="left"/>
      <w:pPr>
        <w:tabs>
          <w:tab w:val="num" w:pos="2160"/>
        </w:tabs>
        <w:ind w:left="2160" w:hanging="360"/>
      </w:pPr>
      <w:rPr>
        <w:rFonts w:ascii="Arial" w:hAnsi="Arial" w:hint="default"/>
      </w:rPr>
    </w:lvl>
    <w:lvl w:ilvl="3" w:tplc="8E1A05AC" w:tentative="1">
      <w:start w:val="1"/>
      <w:numFmt w:val="bullet"/>
      <w:lvlText w:val="•"/>
      <w:lvlJc w:val="left"/>
      <w:pPr>
        <w:tabs>
          <w:tab w:val="num" w:pos="2880"/>
        </w:tabs>
        <w:ind w:left="2880" w:hanging="360"/>
      </w:pPr>
      <w:rPr>
        <w:rFonts w:ascii="Arial" w:hAnsi="Arial" w:hint="default"/>
      </w:rPr>
    </w:lvl>
    <w:lvl w:ilvl="4" w:tplc="E408CA2E" w:tentative="1">
      <w:start w:val="1"/>
      <w:numFmt w:val="bullet"/>
      <w:lvlText w:val="•"/>
      <w:lvlJc w:val="left"/>
      <w:pPr>
        <w:tabs>
          <w:tab w:val="num" w:pos="3600"/>
        </w:tabs>
        <w:ind w:left="3600" w:hanging="360"/>
      </w:pPr>
      <w:rPr>
        <w:rFonts w:ascii="Arial" w:hAnsi="Arial" w:hint="default"/>
      </w:rPr>
    </w:lvl>
    <w:lvl w:ilvl="5" w:tplc="F1FE3982" w:tentative="1">
      <w:start w:val="1"/>
      <w:numFmt w:val="bullet"/>
      <w:lvlText w:val="•"/>
      <w:lvlJc w:val="left"/>
      <w:pPr>
        <w:tabs>
          <w:tab w:val="num" w:pos="4320"/>
        </w:tabs>
        <w:ind w:left="4320" w:hanging="360"/>
      </w:pPr>
      <w:rPr>
        <w:rFonts w:ascii="Arial" w:hAnsi="Arial" w:hint="default"/>
      </w:rPr>
    </w:lvl>
    <w:lvl w:ilvl="6" w:tplc="82101D0A" w:tentative="1">
      <w:start w:val="1"/>
      <w:numFmt w:val="bullet"/>
      <w:lvlText w:val="•"/>
      <w:lvlJc w:val="left"/>
      <w:pPr>
        <w:tabs>
          <w:tab w:val="num" w:pos="5040"/>
        </w:tabs>
        <w:ind w:left="5040" w:hanging="360"/>
      </w:pPr>
      <w:rPr>
        <w:rFonts w:ascii="Arial" w:hAnsi="Arial" w:hint="default"/>
      </w:rPr>
    </w:lvl>
    <w:lvl w:ilvl="7" w:tplc="76B2E878" w:tentative="1">
      <w:start w:val="1"/>
      <w:numFmt w:val="bullet"/>
      <w:lvlText w:val="•"/>
      <w:lvlJc w:val="left"/>
      <w:pPr>
        <w:tabs>
          <w:tab w:val="num" w:pos="5760"/>
        </w:tabs>
        <w:ind w:left="5760" w:hanging="360"/>
      </w:pPr>
      <w:rPr>
        <w:rFonts w:ascii="Arial" w:hAnsi="Arial" w:hint="default"/>
      </w:rPr>
    </w:lvl>
    <w:lvl w:ilvl="8" w:tplc="D3144D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8166A6"/>
    <w:multiLevelType w:val="hybridMultilevel"/>
    <w:tmpl w:val="F86879BE"/>
    <w:lvl w:ilvl="0" w:tplc="F5ECF342">
      <w:start w:val="1"/>
      <w:numFmt w:val="bullet"/>
      <w:lvlText w:val="•"/>
      <w:lvlJc w:val="left"/>
      <w:pPr>
        <w:tabs>
          <w:tab w:val="num" w:pos="720"/>
        </w:tabs>
        <w:ind w:left="720" w:hanging="360"/>
      </w:pPr>
      <w:rPr>
        <w:rFonts w:ascii="Arial" w:hAnsi="Arial" w:hint="default"/>
      </w:rPr>
    </w:lvl>
    <w:lvl w:ilvl="1" w:tplc="C62AE8F2">
      <w:start w:val="1"/>
      <w:numFmt w:val="bullet"/>
      <w:lvlText w:val="•"/>
      <w:lvlJc w:val="left"/>
      <w:pPr>
        <w:tabs>
          <w:tab w:val="num" w:pos="1440"/>
        </w:tabs>
        <w:ind w:left="1440" w:hanging="360"/>
      </w:pPr>
      <w:rPr>
        <w:rFonts w:ascii="Arial" w:hAnsi="Arial" w:hint="default"/>
      </w:rPr>
    </w:lvl>
    <w:lvl w:ilvl="2" w:tplc="4650EBB2" w:tentative="1">
      <w:start w:val="1"/>
      <w:numFmt w:val="bullet"/>
      <w:lvlText w:val="•"/>
      <w:lvlJc w:val="left"/>
      <w:pPr>
        <w:tabs>
          <w:tab w:val="num" w:pos="2160"/>
        </w:tabs>
        <w:ind w:left="2160" w:hanging="360"/>
      </w:pPr>
      <w:rPr>
        <w:rFonts w:ascii="Arial" w:hAnsi="Arial" w:hint="default"/>
      </w:rPr>
    </w:lvl>
    <w:lvl w:ilvl="3" w:tplc="B936F074" w:tentative="1">
      <w:start w:val="1"/>
      <w:numFmt w:val="bullet"/>
      <w:lvlText w:val="•"/>
      <w:lvlJc w:val="left"/>
      <w:pPr>
        <w:tabs>
          <w:tab w:val="num" w:pos="2880"/>
        </w:tabs>
        <w:ind w:left="2880" w:hanging="360"/>
      </w:pPr>
      <w:rPr>
        <w:rFonts w:ascii="Arial" w:hAnsi="Arial" w:hint="default"/>
      </w:rPr>
    </w:lvl>
    <w:lvl w:ilvl="4" w:tplc="3D6CBFF0" w:tentative="1">
      <w:start w:val="1"/>
      <w:numFmt w:val="bullet"/>
      <w:lvlText w:val="•"/>
      <w:lvlJc w:val="left"/>
      <w:pPr>
        <w:tabs>
          <w:tab w:val="num" w:pos="3600"/>
        </w:tabs>
        <w:ind w:left="3600" w:hanging="360"/>
      </w:pPr>
      <w:rPr>
        <w:rFonts w:ascii="Arial" w:hAnsi="Arial" w:hint="default"/>
      </w:rPr>
    </w:lvl>
    <w:lvl w:ilvl="5" w:tplc="D6C6FAC6" w:tentative="1">
      <w:start w:val="1"/>
      <w:numFmt w:val="bullet"/>
      <w:lvlText w:val="•"/>
      <w:lvlJc w:val="left"/>
      <w:pPr>
        <w:tabs>
          <w:tab w:val="num" w:pos="4320"/>
        </w:tabs>
        <w:ind w:left="4320" w:hanging="360"/>
      </w:pPr>
      <w:rPr>
        <w:rFonts w:ascii="Arial" w:hAnsi="Arial" w:hint="default"/>
      </w:rPr>
    </w:lvl>
    <w:lvl w:ilvl="6" w:tplc="3B92A32C" w:tentative="1">
      <w:start w:val="1"/>
      <w:numFmt w:val="bullet"/>
      <w:lvlText w:val="•"/>
      <w:lvlJc w:val="left"/>
      <w:pPr>
        <w:tabs>
          <w:tab w:val="num" w:pos="5040"/>
        </w:tabs>
        <w:ind w:left="5040" w:hanging="360"/>
      </w:pPr>
      <w:rPr>
        <w:rFonts w:ascii="Arial" w:hAnsi="Arial" w:hint="default"/>
      </w:rPr>
    </w:lvl>
    <w:lvl w:ilvl="7" w:tplc="71D09E1A" w:tentative="1">
      <w:start w:val="1"/>
      <w:numFmt w:val="bullet"/>
      <w:lvlText w:val="•"/>
      <w:lvlJc w:val="left"/>
      <w:pPr>
        <w:tabs>
          <w:tab w:val="num" w:pos="5760"/>
        </w:tabs>
        <w:ind w:left="5760" w:hanging="360"/>
      </w:pPr>
      <w:rPr>
        <w:rFonts w:ascii="Arial" w:hAnsi="Arial" w:hint="default"/>
      </w:rPr>
    </w:lvl>
    <w:lvl w:ilvl="8" w:tplc="BA9C7C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4F73528"/>
    <w:multiLevelType w:val="hybridMultilevel"/>
    <w:tmpl w:val="DF962E2E"/>
    <w:lvl w:ilvl="0" w:tplc="E0329E56">
      <w:start w:val="1"/>
      <w:numFmt w:val="bullet"/>
      <w:lvlText w:val="•"/>
      <w:lvlJc w:val="left"/>
      <w:pPr>
        <w:tabs>
          <w:tab w:val="num" w:pos="720"/>
        </w:tabs>
        <w:ind w:left="720" w:hanging="360"/>
      </w:pPr>
      <w:rPr>
        <w:rFonts w:ascii="Arial" w:hAnsi="Arial" w:hint="default"/>
      </w:rPr>
    </w:lvl>
    <w:lvl w:ilvl="1" w:tplc="CDC0BE72">
      <w:start w:val="1"/>
      <w:numFmt w:val="bullet"/>
      <w:lvlText w:val="•"/>
      <w:lvlJc w:val="left"/>
      <w:pPr>
        <w:tabs>
          <w:tab w:val="num" w:pos="1440"/>
        </w:tabs>
        <w:ind w:left="1440" w:hanging="360"/>
      </w:pPr>
      <w:rPr>
        <w:rFonts w:ascii="Arial" w:hAnsi="Arial" w:hint="default"/>
      </w:rPr>
    </w:lvl>
    <w:lvl w:ilvl="2" w:tplc="BA7A838E" w:tentative="1">
      <w:start w:val="1"/>
      <w:numFmt w:val="bullet"/>
      <w:lvlText w:val="•"/>
      <w:lvlJc w:val="left"/>
      <w:pPr>
        <w:tabs>
          <w:tab w:val="num" w:pos="2160"/>
        </w:tabs>
        <w:ind w:left="2160" w:hanging="360"/>
      </w:pPr>
      <w:rPr>
        <w:rFonts w:ascii="Arial" w:hAnsi="Arial" w:hint="default"/>
      </w:rPr>
    </w:lvl>
    <w:lvl w:ilvl="3" w:tplc="3D067258" w:tentative="1">
      <w:start w:val="1"/>
      <w:numFmt w:val="bullet"/>
      <w:lvlText w:val="•"/>
      <w:lvlJc w:val="left"/>
      <w:pPr>
        <w:tabs>
          <w:tab w:val="num" w:pos="2880"/>
        </w:tabs>
        <w:ind w:left="2880" w:hanging="360"/>
      </w:pPr>
      <w:rPr>
        <w:rFonts w:ascii="Arial" w:hAnsi="Arial" w:hint="default"/>
      </w:rPr>
    </w:lvl>
    <w:lvl w:ilvl="4" w:tplc="32AC4B50" w:tentative="1">
      <w:start w:val="1"/>
      <w:numFmt w:val="bullet"/>
      <w:lvlText w:val="•"/>
      <w:lvlJc w:val="left"/>
      <w:pPr>
        <w:tabs>
          <w:tab w:val="num" w:pos="3600"/>
        </w:tabs>
        <w:ind w:left="3600" w:hanging="360"/>
      </w:pPr>
      <w:rPr>
        <w:rFonts w:ascii="Arial" w:hAnsi="Arial" w:hint="default"/>
      </w:rPr>
    </w:lvl>
    <w:lvl w:ilvl="5" w:tplc="ABAEA4EA" w:tentative="1">
      <w:start w:val="1"/>
      <w:numFmt w:val="bullet"/>
      <w:lvlText w:val="•"/>
      <w:lvlJc w:val="left"/>
      <w:pPr>
        <w:tabs>
          <w:tab w:val="num" w:pos="4320"/>
        </w:tabs>
        <w:ind w:left="4320" w:hanging="360"/>
      </w:pPr>
      <w:rPr>
        <w:rFonts w:ascii="Arial" w:hAnsi="Arial" w:hint="default"/>
      </w:rPr>
    </w:lvl>
    <w:lvl w:ilvl="6" w:tplc="25AEE1CA" w:tentative="1">
      <w:start w:val="1"/>
      <w:numFmt w:val="bullet"/>
      <w:lvlText w:val="•"/>
      <w:lvlJc w:val="left"/>
      <w:pPr>
        <w:tabs>
          <w:tab w:val="num" w:pos="5040"/>
        </w:tabs>
        <w:ind w:left="5040" w:hanging="360"/>
      </w:pPr>
      <w:rPr>
        <w:rFonts w:ascii="Arial" w:hAnsi="Arial" w:hint="default"/>
      </w:rPr>
    </w:lvl>
    <w:lvl w:ilvl="7" w:tplc="A002D8E2" w:tentative="1">
      <w:start w:val="1"/>
      <w:numFmt w:val="bullet"/>
      <w:lvlText w:val="•"/>
      <w:lvlJc w:val="left"/>
      <w:pPr>
        <w:tabs>
          <w:tab w:val="num" w:pos="5760"/>
        </w:tabs>
        <w:ind w:left="5760" w:hanging="360"/>
      </w:pPr>
      <w:rPr>
        <w:rFonts w:ascii="Arial" w:hAnsi="Arial" w:hint="default"/>
      </w:rPr>
    </w:lvl>
    <w:lvl w:ilvl="8" w:tplc="EACC56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CEE1548"/>
    <w:multiLevelType w:val="hybridMultilevel"/>
    <w:tmpl w:val="1A906C8A"/>
    <w:lvl w:ilvl="0" w:tplc="8054BB76">
      <w:start w:val="1"/>
      <w:numFmt w:val="bullet"/>
      <w:lvlText w:val="•"/>
      <w:lvlJc w:val="left"/>
      <w:pPr>
        <w:tabs>
          <w:tab w:val="num" w:pos="720"/>
        </w:tabs>
        <w:ind w:left="720" w:hanging="360"/>
      </w:pPr>
      <w:rPr>
        <w:rFonts w:ascii="Arial" w:hAnsi="Arial" w:hint="default"/>
      </w:rPr>
    </w:lvl>
    <w:lvl w:ilvl="1" w:tplc="50C65298" w:tentative="1">
      <w:start w:val="1"/>
      <w:numFmt w:val="bullet"/>
      <w:lvlText w:val="•"/>
      <w:lvlJc w:val="left"/>
      <w:pPr>
        <w:tabs>
          <w:tab w:val="num" w:pos="1440"/>
        </w:tabs>
        <w:ind w:left="1440" w:hanging="360"/>
      </w:pPr>
      <w:rPr>
        <w:rFonts w:ascii="Arial" w:hAnsi="Arial" w:hint="default"/>
      </w:rPr>
    </w:lvl>
    <w:lvl w:ilvl="2" w:tplc="FA5C5AA6" w:tentative="1">
      <w:start w:val="1"/>
      <w:numFmt w:val="bullet"/>
      <w:lvlText w:val="•"/>
      <w:lvlJc w:val="left"/>
      <w:pPr>
        <w:tabs>
          <w:tab w:val="num" w:pos="2160"/>
        </w:tabs>
        <w:ind w:left="2160" w:hanging="360"/>
      </w:pPr>
      <w:rPr>
        <w:rFonts w:ascii="Arial" w:hAnsi="Arial" w:hint="default"/>
      </w:rPr>
    </w:lvl>
    <w:lvl w:ilvl="3" w:tplc="3006D800" w:tentative="1">
      <w:start w:val="1"/>
      <w:numFmt w:val="bullet"/>
      <w:lvlText w:val="•"/>
      <w:lvlJc w:val="left"/>
      <w:pPr>
        <w:tabs>
          <w:tab w:val="num" w:pos="2880"/>
        </w:tabs>
        <w:ind w:left="2880" w:hanging="360"/>
      </w:pPr>
      <w:rPr>
        <w:rFonts w:ascii="Arial" w:hAnsi="Arial" w:hint="default"/>
      </w:rPr>
    </w:lvl>
    <w:lvl w:ilvl="4" w:tplc="23C0EBF8" w:tentative="1">
      <w:start w:val="1"/>
      <w:numFmt w:val="bullet"/>
      <w:lvlText w:val="•"/>
      <w:lvlJc w:val="left"/>
      <w:pPr>
        <w:tabs>
          <w:tab w:val="num" w:pos="3600"/>
        </w:tabs>
        <w:ind w:left="3600" w:hanging="360"/>
      </w:pPr>
      <w:rPr>
        <w:rFonts w:ascii="Arial" w:hAnsi="Arial" w:hint="default"/>
      </w:rPr>
    </w:lvl>
    <w:lvl w:ilvl="5" w:tplc="4A6A1F60" w:tentative="1">
      <w:start w:val="1"/>
      <w:numFmt w:val="bullet"/>
      <w:lvlText w:val="•"/>
      <w:lvlJc w:val="left"/>
      <w:pPr>
        <w:tabs>
          <w:tab w:val="num" w:pos="4320"/>
        </w:tabs>
        <w:ind w:left="4320" w:hanging="360"/>
      </w:pPr>
      <w:rPr>
        <w:rFonts w:ascii="Arial" w:hAnsi="Arial" w:hint="default"/>
      </w:rPr>
    </w:lvl>
    <w:lvl w:ilvl="6" w:tplc="22E06CF6" w:tentative="1">
      <w:start w:val="1"/>
      <w:numFmt w:val="bullet"/>
      <w:lvlText w:val="•"/>
      <w:lvlJc w:val="left"/>
      <w:pPr>
        <w:tabs>
          <w:tab w:val="num" w:pos="5040"/>
        </w:tabs>
        <w:ind w:left="5040" w:hanging="360"/>
      </w:pPr>
      <w:rPr>
        <w:rFonts w:ascii="Arial" w:hAnsi="Arial" w:hint="default"/>
      </w:rPr>
    </w:lvl>
    <w:lvl w:ilvl="7" w:tplc="7FF8DFA2" w:tentative="1">
      <w:start w:val="1"/>
      <w:numFmt w:val="bullet"/>
      <w:lvlText w:val="•"/>
      <w:lvlJc w:val="left"/>
      <w:pPr>
        <w:tabs>
          <w:tab w:val="num" w:pos="5760"/>
        </w:tabs>
        <w:ind w:left="5760" w:hanging="360"/>
      </w:pPr>
      <w:rPr>
        <w:rFonts w:ascii="Arial" w:hAnsi="Arial" w:hint="default"/>
      </w:rPr>
    </w:lvl>
    <w:lvl w:ilvl="8" w:tplc="ED9C097E" w:tentative="1">
      <w:start w:val="1"/>
      <w:numFmt w:val="bullet"/>
      <w:lvlText w:val="•"/>
      <w:lvlJc w:val="left"/>
      <w:pPr>
        <w:tabs>
          <w:tab w:val="num" w:pos="6480"/>
        </w:tabs>
        <w:ind w:left="6480" w:hanging="360"/>
      </w:pPr>
      <w:rPr>
        <w:rFonts w:ascii="Arial" w:hAnsi="Arial" w:hint="default"/>
      </w:rPr>
    </w:lvl>
  </w:abstractNum>
  <w:num w:numId="1" w16cid:durableId="1211918664">
    <w:abstractNumId w:val="1"/>
  </w:num>
  <w:num w:numId="2" w16cid:durableId="905263982">
    <w:abstractNumId w:val="0"/>
  </w:num>
  <w:num w:numId="3" w16cid:durableId="1766220540">
    <w:abstractNumId w:val="2"/>
  </w:num>
  <w:num w:numId="4" w16cid:durableId="8755785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A0NjMyNzQ0NwZCcyUdpeDU4uLM/DyQApNaADGy9m0sAAAA"/>
  </w:docVars>
  <w:rsids>
    <w:rsidRoot w:val="00F5561F"/>
    <w:rsid w:val="00005D05"/>
    <w:rsid w:val="000B754F"/>
    <w:rsid w:val="001226C9"/>
    <w:rsid w:val="001332D8"/>
    <w:rsid w:val="0021791D"/>
    <w:rsid w:val="00247EC9"/>
    <w:rsid w:val="00291EA2"/>
    <w:rsid w:val="00311F66"/>
    <w:rsid w:val="00316FF3"/>
    <w:rsid w:val="00383FC4"/>
    <w:rsid w:val="00406D8E"/>
    <w:rsid w:val="004371A5"/>
    <w:rsid w:val="004775B1"/>
    <w:rsid w:val="004A1C2F"/>
    <w:rsid w:val="004F4228"/>
    <w:rsid w:val="00523B4A"/>
    <w:rsid w:val="006137B1"/>
    <w:rsid w:val="00641324"/>
    <w:rsid w:val="00646249"/>
    <w:rsid w:val="0067691C"/>
    <w:rsid w:val="00716749"/>
    <w:rsid w:val="00722088"/>
    <w:rsid w:val="007652AB"/>
    <w:rsid w:val="007766B6"/>
    <w:rsid w:val="008575AE"/>
    <w:rsid w:val="008D5CF6"/>
    <w:rsid w:val="00956D85"/>
    <w:rsid w:val="00A004CA"/>
    <w:rsid w:val="00A326CC"/>
    <w:rsid w:val="00A6790C"/>
    <w:rsid w:val="00A7384D"/>
    <w:rsid w:val="00A87320"/>
    <w:rsid w:val="00AA7CCA"/>
    <w:rsid w:val="00AD6A5B"/>
    <w:rsid w:val="00BB38AF"/>
    <w:rsid w:val="00BE7A96"/>
    <w:rsid w:val="00C16C78"/>
    <w:rsid w:val="00C32180"/>
    <w:rsid w:val="00C92321"/>
    <w:rsid w:val="00D751EB"/>
    <w:rsid w:val="00DB40F8"/>
    <w:rsid w:val="00E071B5"/>
    <w:rsid w:val="00E4169A"/>
    <w:rsid w:val="00E51DF7"/>
    <w:rsid w:val="00E65B52"/>
    <w:rsid w:val="00E921B8"/>
    <w:rsid w:val="00ED33D2"/>
    <w:rsid w:val="00EF5D34"/>
    <w:rsid w:val="00F1066A"/>
    <w:rsid w:val="00F267D9"/>
    <w:rsid w:val="00F276DB"/>
    <w:rsid w:val="00F27845"/>
    <w:rsid w:val="00F311CB"/>
    <w:rsid w:val="00F5561F"/>
    <w:rsid w:val="00F65095"/>
    <w:rsid w:val="00FF601E"/>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8C490"/>
  <w15:chartTrackingRefBased/>
  <w15:docId w15:val="{D59BFD69-41E9-48ED-9E14-3FE39E70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790C"/>
    <w:pPr>
      <w:keepNext/>
      <w:keepLines/>
      <w:spacing w:before="360" w:after="80"/>
      <w:outlineLvl w:val="0"/>
    </w:pPr>
    <w:rPr>
      <w:rFonts w:ascii="Arial" w:eastAsiaTheme="majorEastAsia" w:hAnsi="Arial" w:cstheme="majorBidi"/>
      <w:color w:val="000000" w:themeColor="text1"/>
      <w:sz w:val="32"/>
      <w:szCs w:val="40"/>
    </w:rPr>
  </w:style>
  <w:style w:type="paragraph" w:styleId="Heading2">
    <w:name w:val="heading 2"/>
    <w:basedOn w:val="Normal"/>
    <w:next w:val="Normal"/>
    <w:link w:val="Heading2Char"/>
    <w:uiPriority w:val="9"/>
    <w:unhideWhenUsed/>
    <w:qFormat/>
    <w:rsid w:val="00A6790C"/>
    <w:pPr>
      <w:keepNext/>
      <w:keepLines/>
      <w:spacing w:before="160" w:after="80"/>
      <w:outlineLvl w:val="1"/>
    </w:pPr>
    <w:rPr>
      <w:rFonts w:ascii="Arial" w:eastAsiaTheme="majorEastAsia" w:hAnsi="Arial" w:cstheme="majorBidi"/>
      <w:color w:val="000000" w:themeColor="text1"/>
      <w:sz w:val="28"/>
      <w:szCs w:val="32"/>
    </w:rPr>
  </w:style>
  <w:style w:type="paragraph" w:styleId="Heading3">
    <w:name w:val="heading 3"/>
    <w:basedOn w:val="Normal"/>
    <w:next w:val="Normal"/>
    <w:link w:val="Heading3Char"/>
    <w:uiPriority w:val="9"/>
    <w:semiHidden/>
    <w:unhideWhenUsed/>
    <w:qFormat/>
    <w:rsid w:val="00F556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556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556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556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6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6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6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90C"/>
    <w:rPr>
      <w:rFonts w:ascii="Arial" w:eastAsiaTheme="majorEastAsia" w:hAnsi="Arial" w:cstheme="majorBidi"/>
      <w:color w:val="000000" w:themeColor="text1"/>
      <w:sz w:val="32"/>
      <w:szCs w:val="40"/>
    </w:rPr>
  </w:style>
  <w:style w:type="character" w:customStyle="1" w:styleId="Heading2Char">
    <w:name w:val="Heading 2 Char"/>
    <w:basedOn w:val="DefaultParagraphFont"/>
    <w:link w:val="Heading2"/>
    <w:uiPriority w:val="9"/>
    <w:rsid w:val="00A6790C"/>
    <w:rPr>
      <w:rFonts w:ascii="Arial" w:eastAsiaTheme="majorEastAsia" w:hAnsi="Arial" w:cstheme="majorBidi"/>
      <w:color w:val="000000" w:themeColor="text1"/>
      <w:sz w:val="28"/>
      <w:szCs w:val="32"/>
    </w:rPr>
  </w:style>
  <w:style w:type="character" w:customStyle="1" w:styleId="Heading3Char">
    <w:name w:val="Heading 3 Char"/>
    <w:basedOn w:val="DefaultParagraphFont"/>
    <w:link w:val="Heading3"/>
    <w:uiPriority w:val="9"/>
    <w:semiHidden/>
    <w:rsid w:val="00F556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556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556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556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6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6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61F"/>
    <w:rPr>
      <w:rFonts w:eastAsiaTheme="majorEastAsia" w:cstheme="majorBidi"/>
      <w:color w:val="272727" w:themeColor="text1" w:themeTint="D8"/>
    </w:rPr>
  </w:style>
  <w:style w:type="paragraph" w:styleId="Title">
    <w:name w:val="Title"/>
    <w:basedOn w:val="Normal"/>
    <w:next w:val="Normal"/>
    <w:link w:val="TitleChar"/>
    <w:uiPriority w:val="10"/>
    <w:qFormat/>
    <w:rsid w:val="00722088"/>
    <w:pPr>
      <w:spacing w:after="80" w:line="240" w:lineRule="auto"/>
      <w:contextualSpacing/>
      <w:jc w:val="center"/>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722088"/>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F556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6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61F"/>
    <w:pPr>
      <w:spacing w:before="160"/>
      <w:jc w:val="center"/>
    </w:pPr>
    <w:rPr>
      <w:i/>
      <w:iCs/>
      <w:color w:val="404040" w:themeColor="text1" w:themeTint="BF"/>
    </w:rPr>
  </w:style>
  <w:style w:type="character" w:customStyle="1" w:styleId="QuoteChar">
    <w:name w:val="Quote Char"/>
    <w:basedOn w:val="DefaultParagraphFont"/>
    <w:link w:val="Quote"/>
    <w:uiPriority w:val="29"/>
    <w:rsid w:val="00F5561F"/>
    <w:rPr>
      <w:i/>
      <w:iCs/>
      <w:color w:val="404040" w:themeColor="text1" w:themeTint="BF"/>
    </w:rPr>
  </w:style>
  <w:style w:type="paragraph" w:styleId="ListParagraph">
    <w:name w:val="List Paragraph"/>
    <w:basedOn w:val="Normal"/>
    <w:uiPriority w:val="34"/>
    <w:qFormat/>
    <w:rsid w:val="00F5561F"/>
    <w:pPr>
      <w:ind w:left="720"/>
      <w:contextualSpacing/>
    </w:pPr>
  </w:style>
  <w:style w:type="character" w:styleId="IntenseEmphasis">
    <w:name w:val="Intense Emphasis"/>
    <w:basedOn w:val="DefaultParagraphFont"/>
    <w:uiPriority w:val="21"/>
    <w:qFormat/>
    <w:rsid w:val="00F5561F"/>
    <w:rPr>
      <w:i/>
      <w:iCs/>
      <w:color w:val="2F5496" w:themeColor="accent1" w:themeShade="BF"/>
    </w:rPr>
  </w:style>
  <w:style w:type="paragraph" w:styleId="IntenseQuote">
    <w:name w:val="Intense Quote"/>
    <w:basedOn w:val="Normal"/>
    <w:next w:val="Normal"/>
    <w:link w:val="IntenseQuoteChar"/>
    <w:uiPriority w:val="30"/>
    <w:qFormat/>
    <w:rsid w:val="00F556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5561F"/>
    <w:rPr>
      <w:i/>
      <w:iCs/>
      <w:color w:val="2F5496" w:themeColor="accent1" w:themeShade="BF"/>
    </w:rPr>
  </w:style>
  <w:style w:type="character" w:styleId="IntenseReference">
    <w:name w:val="Intense Reference"/>
    <w:basedOn w:val="DefaultParagraphFont"/>
    <w:uiPriority w:val="32"/>
    <w:qFormat/>
    <w:rsid w:val="00F5561F"/>
    <w:rPr>
      <w:b/>
      <w:bCs/>
      <w:smallCaps/>
      <w:color w:val="2F5496" w:themeColor="accent1" w:themeShade="BF"/>
      <w:spacing w:val="5"/>
    </w:rPr>
  </w:style>
  <w:style w:type="character" w:styleId="Hyperlink">
    <w:name w:val="Hyperlink"/>
    <w:basedOn w:val="DefaultParagraphFont"/>
    <w:uiPriority w:val="99"/>
    <w:unhideWhenUsed/>
    <w:rsid w:val="007652AB"/>
    <w:rPr>
      <w:color w:val="0563C1" w:themeColor="hyperlink"/>
      <w:u w:val="single"/>
    </w:rPr>
  </w:style>
  <w:style w:type="character" w:styleId="UnresolvedMention">
    <w:name w:val="Unresolved Mention"/>
    <w:basedOn w:val="DefaultParagraphFont"/>
    <w:uiPriority w:val="99"/>
    <w:semiHidden/>
    <w:unhideWhenUsed/>
    <w:rsid w:val="007652AB"/>
    <w:rPr>
      <w:color w:val="605E5C"/>
      <w:shd w:val="clear" w:color="auto" w:fill="E1DFDD"/>
    </w:rPr>
  </w:style>
  <w:style w:type="paragraph" w:styleId="FootnoteText">
    <w:name w:val="footnote text"/>
    <w:basedOn w:val="Normal"/>
    <w:link w:val="FootnoteTextChar"/>
    <w:uiPriority w:val="99"/>
    <w:semiHidden/>
    <w:unhideWhenUsed/>
    <w:rsid w:val="006413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1324"/>
    <w:rPr>
      <w:sz w:val="20"/>
      <w:szCs w:val="20"/>
    </w:rPr>
  </w:style>
  <w:style w:type="character" w:styleId="FootnoteReference">
    <w:name w:val="footnote reference"/>
    <w:basedOn w:val="DefaultParagraphFont"/>
    <w:uiPriority w:val="99"/>
    <w:semiHidden/>
    <w:unhideWhenUsed/>
    <w:rsid w:val="00641324"/>
    <w:rPr>
      <w:vertAlign w:val="superscript"/>
    </w:rPr>
  </w:style>
  <w:style w:type="character" w:styleId="FollowedHyperlink">
    <w:name w:val="FollowedHyperlink"/>
    <w:basedOn w:val="DefaultParagraphFont"/>
    <w:uiPriority w:val="99"/>
    <w:semiHidden/>
    <w:unhideWhenUsed/>
    <w:rsid w:val="004371A5"/>
    <w:rPr>
      <w:color w:val="954F72" w:themeColor="followedHyperlink"/>
      <w:u w:val="single"/>
    </w:rPr>
  </w:style>
  <w:style w:type="paragraph" w:styleId="TOCHeading">
    <w:name w:val="TOC Heading"/>
    <w:basedOn w:val="Heading1"/>
    <w:next w:val="Normal"/>
    <w:uiPriority w:val="39"/>
    <w:unhideWhenUsed/>
    <w:qFormat/>
    <w:rsid w:val="00A6790C"/>
    <w:pPr>
      <w:spacing w:before="240" w:after="0" w:line="259" w:lineRule="auto"/>
      <w:outlineLvl w:val="9"/>
    </w:pPr>
    <w:rPr>
      <w:rFonts w:asciiTheme="majorHAnsi" w:hAnsiTheme="majorHAnsi"/>
      <w:color w:val="2F5496" w:themeColor="accent1" w:themeShade="BF"/>
      <w:kern w:val="0"/>
      <w:szCs w:val="32"/>
      <w14:ligatures w14:val="none"/>
    </w:rPr>
  </w:style>
  <w:style w:type="paragraph" w:styleId="TOC1">
    <w:name w:val="toc 1"/>
    <w:basedOn w:val="Normal"/>
    <w:next w:val="Normal"/>
    <w:autoRedefine/>
    <w:uiPriority w:val="39"/>
    <w:unhideWhenUsed/>
    <w:rsid w:val="00A6790C"/>
    <w:pPr>
      <w:spacing w:after="100"/>
    </w:pPr>
  </w:style>
  <w:style w:type="paragraph" w:styleId="TOC2">
    <w:name w:val="toc 2"/>
    <w:basedOn w:val="Normal"/>
    <w:next w:val="Normal"/>
    <w:autoRedefine/>
    <w:uiPriority w:val="39"/>
    <w:unhideWhenUsed/>
    <w:rsid w:val="00A6790C"/>
    <w:pPr>
      <w:spacing w:after="100"/>
      <w:ind w:left="240"/>
    </w:pPr>
  </w:style>
  <w:style w:type="paragraph" w:styleId="Caption">
    <w:name w:val="caption"/>
    <w:basedOn w:val="Normal"/>
    <w:next w:val="Normal"/>
    <w:uiPriority w:val="35"/>
    <w:unhideWhenUsed/>
    <w:qFormat/>
    <w:rsid w:val="00A6790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679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790C"/>
  </w:style>
  <w:style w:type="paragraph" w:styleId="Footer">
    <w:name w:val="footer"/>
    <w:basedOn w:val="Normal"/>
    <w:link w:val="FooterChar"/>
    <w:uiPriority w:val="99"/>
    <w:unhideWhenUsed/>
    <w:rsid w:val="00A679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790C"/>
  </w:style>
  <w:style w:type="paragraph" w:styleId="TableofFigures">
    <w:name w:val="table of figures"/>
    <w:basedOn w:val="Normal"/>
    <w:next w:val="Normal"/>
    <w:uiPriority w:val="99"/>
    <w:unhideWhenUsed/>
    <w:rsid w:val="00A6790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20https:/report.adidas-group.com/2024/en/group-management-report-sustainability-statement/esrs-e5-resource-use-and-circular-economy/metrics-and-targets.html" TargetMode="External"/><Relationship Id="rId26" Type="http://schemas.openxmlformats.org/officeDocument/2006/relationships/hyperlink" Target="https://www.frontiersin.org/journals/psychology/articles/10.3389/fpsyg.2024.1338702/full"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20https:/report.adidas-group.com/2024/en/group-management-report-sustainability-statement/esrs-e5-resource-use-and-circular-economy/overview.html" TargetMode="External"/><Relationship Id="rId34" Type="http://schemas.openxmlformats.org/officeDocument/2006/relationships/hyperlink" Target="https://newsroom.thredup.com/news/thredup-14th-resale-report"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sciencedirect.com/science/article/pii/S2352550924001398" TargetMode="External"/><Relationship Id="rId25" Type="http://schemas.openxmlformats.org/officeDocument/2006/relationships/hyperlink" Target="https://www.researchgate.net/publication/382463943_Digital_product_passport_for_the_textile_sector_Study_for_European_Parliamentary_Research_Service_Panel_for_the_Future_of_Science_and_Technology_Scientific_Foresight_Unit_STOA" TargetMode="External"/><Relationship Id="rId33" Type="http://schemas.openxmlformats.org/officeDocument/2006/relationships/hyperlink" Target="https://textileexchange.org/app/uploads/2025/09/Materials-Market-Report-2025.pdf"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researchgate.net/publication/380880811_Towards_circular_fashion_Management_strategies_promoting_circular_behaviour_along_the_value_chain" TargetMode="External"/><Relationship Id="rId20" Type="http://schemas.openxmlformats.org/officeDocument/2006/relationships/hyperlink" Target="https://books.google.com.np/books/about/Principles_of_Marketing.html?id=ZwjMzwEACAAJ&amp;redir_esc=y" TargetMode="External"/><Relationship Id="rId29" Type="http://schemas.openxmlformats.org/officeDocument/2006/relationships/hyperlink" Target="https://www.pwc.com/gx/en/issues/c-suite-insights/voice-of-the-consumer-survey/2024.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sciencedirect.com/science/article/pii/S2666188824001187" TargetMode="External"/><Relationship Id="rId32" Type="http://schemas.openxmlformats.org/officeDocument/2006/relationships/hyperlink" Target="https://textileexchange.org/knowledge-center/reports/materials-market-report-2025/" TargetMode="External"/><Relationship Id="rId37" Type="http://schemas.openxmlformats.org/officeDocument/2006/relationships/hyperlink" Target="https://www.unep.org/resources/publication/sustainability-and-circularity-textile-value-chain-global-roadmap"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mdpi.com/2071-1050/16/23/10723" TargetMode="External"/><Relationship Id="rId28" Type="http://schemas.openxmlformats.org/officeDocument/2006/relationships/hyperlink" Target="https://www.mdpi.com/2076-3387/14/7/143" TargetMode="External"/><Relationship Id="rId36" Type="http://schemas.openxmlformats.org/officeDocument/2006/relationships/hyperlink" Target="https://www.unep.org/resources/publication/sustainability-and-circularity-textile-value-chain-global-roadmap" TargetMode="External"/><Relationship Id="rId10" Type="http://schemas.openxmlformats.org/officeDocument/2006/relationships/image" Target="media/image2.png"/><Relationship Id="rId19" Type="http://schemas.openxmlformats.org/officeDocument/2006/relationships/hyperlink" Target="https://report.adidas-group.com/2024/en/group-management-report-sustainability-statement/esrs-e5-resource-use-and-circular-economy/overview.html" TargetMode="External"/><Relationship Id="rId31" Type="http://schemas.openxmlformats.org/officeDocument/2006/relationships/hyperlink" Target="https://www.emerald.com/ijrdm/article-abstract/52/1/44/1232569/Overcoming-barriers-for-sustainable-fashion?redirectedFrom=fulltex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hyperlink" Target="https://www.europarl.europa.eu/RegData/etudes/STUD/2024/757808/EPRS_STU(2024)757808_EN.pdf" TargetMode="External"/><Relationship Id="rId27" Type="http://schemas.openxmlformats.org/officeDocument/2006/relationships/hyperlink" Target="%20https:/blog.oxfordcollegeofmarketing.com/2020/10/08/understanding-the-7ps-of-the-marketing-mix/" TargetMode="External"/><Relationship Id="rId30" Type="http://schemas.openxmlformats.org/officeDocument/2006/relationships/hyperlink" Target="https://www.sciencedirect.com/science/article/pii/S2666784325000294" TargetMode="External"/><Relationship Id="rId35" Type="http://schemas.openxmlformats.org/officeDocument/2006/relationships/hyperlink" Target="https://www.tsw.co.uk/insights/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43420-1634-47AF-B844-B4A8B26C3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20</Pages>
  <Words>9851</Words>
  <Characters>56157</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prasanna panthee</cp:lastModifiedBy>
  <cp:revision>2</cp:revision>
  <dcterms:created xsi:type="dcterms:W3CDTF">2026-08-01T16:26:00Z</dcterms:created>
  <dcterms:modified xsi:type="dcterms:W3CDTF">2026-08-14T06:36:00Z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b05ccb81-8359-4bf8-b643-c82a6f2545b6</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6th/7th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18th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12th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9th edition (in-text citations)</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b4b1ef0a-370d-3f94-891b-42a85d8fe91d</vt:lpwstr>
  </property>
  <property fmtid="{D5CDD505-2E9C-101B-9397-08002B2CF9AE}" pid="25" name="Mendeley Citation Style_1">
    <vt:lpwstr>http://www.zotero.org/styles/harvard-cite-them-right</vt:lpwstr>
  </property>
</Properties>
</file>