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CFD433" w14:textId="77777777" w:rsidR="00063DF6" w:rsidRDefault="00D97A37">
      <w:pPr>
        <w:rPr>
          <w:rFonts w:ascii="Times New Roman" w:hAnsi="Times New Roman" w:cs="Times New Roman"/>
          <w:sz w:val="28"/>
          <w:szCs w:val="28"/>
        </w:rPr>
      </w:pPr>
      <w:r>
        <w:rPr>
          <w:rFonts w:ascii="Times New Roman" w:hAnsi="Times New Roman" w:cs="Times New Roman"/>
          <w:sz w:val="28"/>
          <w:szCs w:val="28"/>
        </w:rPr>
        <w:t>Exercise 4</w:t>
      </w:r>
    </w:p>
    <w:p w14:paraId="600C5F60" w14:textId="77777777" w:rsidR="00D97A37" w:rsidRDefault="00D97A37">
      <w:pPr>
        <w:rPr>
          <w:rFonts w:ascii="Times New Roman" w:hAnsi="Times New Roman" w:cs="Times New Roman"/>
          <w:sz w:val="28"/>
          <w:szCs w:val="28"/>
        </w:rPr>
      </w:pPr>
      <w:r>
        <w:rPr>
          <w:rFonts w:ascii="Times New Roman" w:hAnsi="Times New Roman" w:cs="Times New Roman"/>
          <w:sz w:val="28"/>
          <w:szCs w:val="28"/>
        </w:rPr>
        <w:t>An argument to the Introduction of</w:t>
      </w:r>
    </w:p>
    <w:p w14:paraId="55B3BE37" w14:textId="77777777" w:rsidR="00D97A37" w:rsidRDefault="00D97A37">
      <w:pPr>
        <w:rPr>
          <w:rFonts w:ascii="Times New Roman" w:hAnsi="Times New Roman" w:cs="Times New Roman"/>
          <w:sz w:val="28"/>
          <w:szCs w:val="28"/>
        </w:rPr>
      </w:pPr>
      <w:r>
        <w:rPr>
          <w:rFonts w:ascii="Times New Roman" w:hAnsi="Times New Roman" w:cs="Times New Roman"/>
          <w:sz w:val="28"/>
          <w:szCs w:val="28"/>
        </w:rPr>
        <w:t>Tyndale</w:t>
      </w:r>
      <w:r w:rsidR="0027752C">
        <w:rPr>
          <w:rFonts w:ascii="Times New Roman" w:hAnsi="Times New Roman" w:cs="Times New Roman"/>
          <w:sz w:val="28"/>
          <w:szCs w:val="28"/>
        </w:rPr>
        <w:t xml:space="preserve"> </w:t>
      </w:r>
      <w:r>
        <w:rPr>
          <w:rFonts w:ascii="Times New Roman" w:hAnsi="Times New Roman" w:cs="Times New Roman"/>
          <w:sz w:val="28"/>
          <w:szCs w:val="28"/>
        </w:rPr>
        <w:t>New Testament Commentary – Luke</w:t>
      </w:r>
    </w:p>
    <w:p w14:paraId="6B9523BD" w14:textId="77777777" w:rsidR="00D97A37" w:rsidRDefault="00D97A37">
      <w:pPr>
        <w:rPr>
          <w:rFonts w:ascii="Times New Roman" w:hAnsi="Times New Roman" w:cs="Times New Roman"/>
          <w:sz w:val="28"/>
          <w:szCs w:val="28"/>
        </w:rPr>
      </w:pPr>
      <w:r>
        <w:rPr>
          <w:rFonts w:ascii="Times New Roman" w:hAnsi="Times New Roman" w:cs="Times New Roman"/>
          <w:sz w:val="28"/>
          <w:szCs w:val="28"/>
        </w:rPr>
        <w:t>By Leon Morris</w:t>
      </w:r>
    </w:p>
    <w:p w14:paraId="5388E8BE" w14:textId="77777777" w:rsidR="00D97A37" w:rsidRDefault="00D97A37">
      <w:pPr>
        <w:rPr>
          <w:rFonts w:ascii="Times New Roman" w:hAnsi="Times New Roman" w:cs="Times New Roman"/>
          <w:sz w:val="28"/>
          <w:szCs w:val="28"/>
        </w:rPr>
      </w:pPr>
    </w:p>
    <w:p w14:paraId="4655AE32" w14:textId="77777777" w:rsidR="00D97A37" w:rsidRDefault="00D97A37">
      <w:pPr>
        <w:rPr>
          <w:rFonts w:ascii="Times New Roman" w:hAnsi="Times New Roman" w:cs="Times New Roman"/>
          <w:sz w:val="24"/>
          <w:szCs w:val="24"/>
        </w:rPr>
      </w:pPr>
      <w:r>
        <w:rPr>
          <w:rFonts w:ascii="Times New Roman" w:hAnsi="Times New Roman" w:cs="Times New Roman"/>
          <w:sz w:val="24"/>
          <w:szCs w:val="24"/>
        </w:rPr>
        <w:t>In section V (5) of his introduction, Morris addresses the relationship of Luke’s gospel to those of Matthew and Mark and looks at the similarities and differences therein. In item 7 of this section he suggests that no satisfactory explanation has been made as to why there are differences between the content of the gospels. He then addresses the reasoning of earlier scholars to this issue and highlights the contention that this may be due in part to the tradition of oral transmission</w:t>
      </w:r>
      <w:r w:rsidR="00D30ED1">
        <w:rPr>
          <w:rFonts w:ascii="Times New Roman" w:hAnsi="Times New Roman" w:cs="Times New Roman"/>
          <w:sz w:val="24"/>
          <w:szCs w:val="24"/>
        </w:rPr>
        <w:t xml:space="preserve"> </w:t>
      </w:r>
      <w:r>
        <w:rPr>
          <w:rFonts w:ascii="Times New Roman" w:hAnsi="Times New Roman" w:cs="Times New Roman"/>
          <w:sz w:val="24"/>
          <w:szCs w:val="24"/>
        </w:rPr>
        <w:t>still prevalent</w:t>
      </w:r>
      <w:r w:rsidR="00D30ED1">
        <w:rPr>
          <w:rFonts w:ascii="Times New Roman" w:hAnsi="Times New Roman" w:cs="Times New Roman"/>
          <w:sz w:val="24"/>
          <w:szCs w:val="24"/>
        </w:rPr>
        <w:t xml:space="preserve"> at the time.</w:t>
      </w:r>
    </w:p>
    <w:p w14:paraId="60088097" w14:textId="77777777" w:rsidR="00D30ED1" w:rsidRDefault="00D30ED1">
      <w:pPr>
        <w:rPr>
          <w:rFonts w:ascii="Times New Roman" w:hAnsi="Times New Roman" w:cs="Times New Roman"/>
          <w:sz w:val="24"/>
          <w:szCs w:val="24"/>
        </w:rPr>
      </w:pPr>
      <w:r>
        <w:rPr>
          <w:rFonts w:ascii="Times New Roman" w:hAnsi="Times New Roman" w:cs="Times New Roman"/>
          <w:sz w:val="24"/>
          <w:szCs w:val="24"/>
        </w:rPr>
        <w:t xml:space="preserve">“Introduction to the study of the Gospels” (B.F. </w:t>
      </w:r>
      <w:proofErr w:type="spellStart"/>
      <w:r>
        <w:rPr>
          <w:rFonts w:ascii="Times New Roman" w:hAnsi="Times New Roman" w:cs="Times New Roman"/>
          <w:sz w:val="24"/>
          <w:szCs w:val="24"/>
        </w:rPr>
        <w:t>Wescott</w:t>
      </w:r>
      <w:proofErr w:type="spellEnd"/>
      <w:r>
        <w:rPr>
          <w:rFonts w:ascii="Times New Roman" w:hAnsi="Times New Roman" w:cs="Times New Roman"/>
          <w:sz w:val="24"/>
          <w:szCs w:val="24"/>
        </w:rPr>
        <w:t>, London, 1875) suggests ‘an original oral Gospel, definite in general outline and even in language, which was committed to writing in the lapse of time…’ (</w:t>
      </w:r>
      <w:proofErr w:type="spellStart"/>
      <w:r>
        <w:rPr>
          <w:rFonts w:ascii="Times New Roman" w:hAnsi="Times New Roman" w:cs="Times New Roman"/>
          <w:sz w:val="24"/>
          <w:szCs w:val="24"/>
        </w:rPr>
        <w:t>Wescott</w:t>
      </w:r>
      <w:proofErr w:type="spellEnd"/>
      <w:r>
        <w:rPr>
          <w:rFonts w:ascii="Times New Roman" w:hAnsi="Times New Roman" w:cs="Times New Roman"/>
          <w:sz w:val="24"/>
          <w:szCs w:val="24"/>
        </w:rPr>
        <w:t>, 1875, p.188). Morris asserts that ‘nowadays this is felt to be inadequate’ (Morris,</w:t>
      </w:r>
      <w:r w:rsidR="0027752C">
        <w:rPr>
          <w:rFonts w:ascii="Times New Roman" w:hAnsi="Times New Roman" w:cs="Times New Roman"/>
          <w:sz w:val="24"/>
          <w:szCs w:val="24"/>
        </w:rPr>
        <w:t xml:space="preserve"> </w:t>
      </w:r>
      <w:r>
        <w:rPr>
          <w:rFonts w:ascii="Times New Roman" w:hAnsi="Times New Roman" w:cs="Times New Roman"/>
          <w:sz w:val="24"/>
          <w:szCs w:val="24"/>
        </w:rPr>
        <w:t>1974, p.48). He follows this with ‘</w:t>
      </w:r>
      <w:r w:rsidR="0027752C">
        <w:rPr>
          <w:rFonts w:ascii="Times New Roman" w:hAnsi="Times New Roman" w:cs="Times New Roman"/>
          <w:sz w:val="24"/>
          <w:szCs w:val="24"/>
        </w:rPr>
        <w:t xml:space="preserve">…it must be remembered that on any showing the gospel material was handed down orally for quite some years.’ (Morris, 1974, p.48). Amongst others, he </w:t>
      </w:r>
      <w:r w:rsidR="000326F8">
        <w:rPr>
          <w:rFonts w:ascii="Times New Roman" w:hAnsi="Times New Roman" w:cs="Times New Roman"/>
          <w:sz w:val="24"/>
          <w:szCs w:val="24"/>
        </w:rPr>
        <w:t xml:space="preserve">also </w:t>
      </w:r>
      <w:r w:rsidR="0027752C">
        <w:rPr>
          <w:rFonts w:ascii="Times New Roman" w:hAnsi="Times New Roman" w:cs="Times New Roman"/>
          <w:sz w:val="24"/>
          <w:szCs w:val="24"/>
        </w:rPr>
        <w:t>quotes Lund in “Tradition and Transmission in Early Christianity” (Lund, 1964)</w:t>
      </w:r>
      <w:r w:rsidR="007307F0">
        <w:rPr>
          <w:rFonts w:ascii="Times New Roman" w:hAnsi="Times New Roman" w:cs="Times New Roman"/>
          <w:sz w:val="24"/>
          <w:szCs w:val="24"/>
        </w:rPr>
        <w:t xml:space="preserve"> </w:t>
      </w:r>
      <w:proofErr w:type="gramStart"/>
      <w:r w:rsidR="007307F0">
        <w:rPr>
          <w:rFonts w:ascii="Times New Roman" w:hAnsi="Times New Roman" w:cs="Times New Roman"/>
          <w:sz w:val="24"/>
          <w:szCs w:val="24"/>
        </w:rPr>
        <w:t xml:space="preserve">and </w:t>
      </w:r>
      <w:r w:rsidR="0027752C">
        <w:rPr>
          <w:rFonts w:ascii="Times New Roman" w:hAnsi="Times New Roman" w:cs="Times New Roman"/>
          <w:sz w:val="24"/>
          <w:szCs w:val="24"/>
        </w:rPr>
        <w:t>.</w:t>
      </w:r>
      <w:proofErr w:type="gramEnd"/>
    </w:p>
    <w:p w14:paraId="413A052F" w14:textId="77777777" w:rsidR="0027752C" w:rsidRDefault="0027752C">
      <w:pPr>
        <w:rPr>
          <w:rFonts w:ascii="Times New Roman" w:hAnsi="Times New Roman" w:cs="Times New Roman"/>
          <w:sz w:val="24"/>
          <w:szCs w:val="24"/>
        </w:rPr>
      </w:pPr>
      <w:r>
        <w:rPr>
          <w:rFonts w:ascii="Times New Roman" w:hAnsi="Times New Roman" w:cs="Times New Roman"/>
          <w:sz w:val="24"/>
          <w:szCs w:val="24"/>
        </w:rPr>
        <w:t>However when we read the actual commentary</w:t>
      </w:r>
      <w:r w:rsidR="000326F8">
        <w:rPr>
          <w:rFonts w:ascii="Times New Roman" w:hAnsi="Times New Roman" w:cs="Times New Roman"/>
          <w:sz w:val="24"/>
          <w:szCs w:val="24"/>
        </w:rPr>
        <w:t xml:space="preserve"> pertinent to Luke’s own introduction of what might be termed, in modern parlance, his open letter to </w:t>
      </w:r>
      <w:proofErr w:type="spellStart"/>
      <w:r w:rsidR="000326F8">
        <w:rPr>
          <w:rFonts w:ascii="Times New Roman" w:hAnsi="Times New Roman" w:cs="Times New Roman"/>
          <w:sz w:val="24"/>
          <w:szCs w:val="24"/>
        </w:rPr>
        <w:t>Theophilus</w:t>
      </w:r>
      <w:proofErr w:type="spellEnd"/>
      <w:r>
        <w:rPr>
          <w:rFonts w:ascii="Times New Roman" w:hAnsi="Times New Roman" w:cs="Times New Roman"/>
          <w:sz w:val="24"/>
          <w:szCs w:val="24"/>
        </w:rPr>
        <w:t>, Morri</w:t>
      </w:r>
      <w:r w:rsidR="000326F8">
        <w:rPr>
          <w:rFonts w:ascii="Times New Roman" w:hAnsi="Times New Roman" w:cs="Times New Roman"/>
          <w:sz w:val="24"/>
          <w:szCs w:val="24"/>
        </w:rPr>
        <w:t>s states “Luke has good authority for what he writes. He was not himself an eyewitness, but had consulted others who were.” (Morris, 1974, p.65).</w:t>
      </w:r>
    </w:p>
    <w:p w14:paraId="69E5BE3A" w14:textId="77777777" w:rsidR="000326F8" w:rsidRDefault="000326F8">
      <w:pPr>
        <w:rPr>
          <w:rFonts w:ascii="Times New Roman" w:hAnsi="Times New Roman" w:cs="Times New Roman"/>
          <w:sz w:val="24"/>
          <w:szCs w:val="24"/>
        </w:rPr>
      </w:pPr>
      <w:r>
        <w:rPr>
          <w:rFonts w:ascii="Times New Roman" w:hAnsi="Times New Roman" w:cs="Times New Roman"/>
          <w:sz w:val="24"/>
          <w:szCs w:val="24"/>
        </w:rPr>
        <w:t xml:space="preserve">Previously in his introduction, Morris has already upheld “the earlier date” </w:t>
      </w:r>
      <w:r w:rsidR="00E424F8">
        <w:rPr>
          <w:rFonts w:ascii="Times New Roman" w:hAnsi="Times New Roman" w:cs="Times New Roman"/>
          <w:sz w:val="24"/>
          <w:szCs w:val="24"/>
        </w:rPr>
        <w:t>of writing as “the early 60’s” (Morris, 1974, p.26) which is around thirty years after the death and resurrection</w:t>
      </w:r>
      <w:r w:rsidR="007307F0">
        <w:rPr>
          <w:rFonts w:ascii="Times New Roman" w:hAnsi="Times New Roman" w:cs="Times New Roman"/>
          <w:sz w:val="24"/>
          <w:szCs w:val="24"/>
        </w:rPr>
        <w:t xml:space="preserve"> of Christ. If, today a biographer</w:t>
      </w:r>
      <w:r w:rsidR="00E424F8">
        <w:rPr>
          <w:rFonts w:ascii="Times New Roman" w:hAnsi="Times New Roman" w:cs="Times New Roman"/>
          <w:sz w:val="24"/>
          <w:szCs w:val="24"/>
        </w:rPr>
        <w:t xml:space="preserve"> consulted a source verbally on the happenings of thirty years ago and wrote them down, this would be considered as a quite valid, if secondary, source.</w:t>
      </w:r>
    </w:p>
    <w:p w14:paraId="2DBFB553" w14:textId="77777777" w:rsidR="007307F0" w:rsidRDefault="007307F0">
      <w:pPr>
        <w:rPr>
          <w:rFonts w:ascii="Times New Roman" w:hAnsi="Times New Roman" w:cs="Times New Roman"/>
          <w:sz w:val="24"/>
          <w:szCs w:val="24"/>
        </w:rPr>
      </w:pPr>
      <w:r>
        <w:rPr>
          <w:rFonts w:ascii="Times New Roman" w:hAnsi="Times New Roman" w:cs="Times New Roman"/>
          <w:sz w:val="24"/>
          <w:szCs w:val="24"/>
        </w:rPr>
        <w:t>At the end of this section, Morris concludes that “The facts are extraordinarily complex and nothing more than a tentative hypothesis is justified” (Morris, 1974, p.59).</w:t>
      </w:r>
    </w:p>
    <w:p w14:paraId="2E9C0D77" w14:textId="77777777" w:rsidR="007307F0" w:rsidRDefault="007307F0">
      <w:pPr>
        <w:rPr>
          <w:rFonts w:ascii="Times New Roman" w:hAnsi="Times New Roman" w:cs="Times New Roman"/>
          <w:sz w:val="24"/>
          <w:szCs w:val="24"/>
        </w:rPr>
      </w:pPr>
    </w:p>
    <w:p w14:paraId="33BD5FAE" w14:textId="77777777" w:rsidR="007307F0" w:rsidRPr="00D97A37" w:rsidRDefault="007307F0">
      <w:pPr>
        <w:rPr>
          <w:rFonts w:ascii="Times New Roman" w:hAnsi="Times New Roman" w:cs="Times New Roman"/>
          <w:sz w:val="24"/>
          <w:szCs w:val="24"/>
        </w:rPr>
      </w:pPr>
      <w:r>
        <w:rPr>
          <w:rFonts w:ascii="Times New Roman" w:hAnsi="Times New Roman" w:cs="Times New Roman"/>
          <w:sz w:val="24"/>
          <w:szCs w:val="24"/>
        </w:rPr>
        <w:t xml:space="preserve">Word Count: </w:t>
      </w:r>
      <w:bookmarkStart w:id="0" w:name="_GoBack"/>
      <w:bookmarkEnd w:id="0"/>
      <w:r>
        <w:rPr>
          <w:rFonts w:ascii="Times New Roman" w:hAnsi="Times New Roman" w:cs="Times New Roman"/>
          <w:sz w:val="24"/>
          <w:szCs w:val="24"/>
        </w:rPr>
        <w:t>317</w:t>
      </w:r>
    </w:p>
    <w:sectPr w:rsidR="007307F0" w:rsidRPr="00D97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7A37"/>
    <w:rsid w:val="000326F8"/>
    <w:rsid w:val="00063DF6"/>
    <w:rsid w:val="0027752C"/>
    <w:rsid w:val="007307F0"/>
    <w:rsid w:val="00D30ED1"/>
    <w:rsid w:val="00D97A37"/>
    <w:rsid w:val="00E42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5FB5D"/>
  <w15:chartTrackingRefBased/>
  <w15:docId w15:val="{2385725D-DF17-4F6B-9B43-0E14F8249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309</Words>
  <Characters>1762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 (1710839)</dc:creator>
  <cp:keywords/>
  <dc:description/>
  <cp:lastModifiedBy>Timothy Kirk (1710839)</cp:lastModifiedBy>
  <cp:revision>2</cp:revision>
  <dcterms:created xsi:type="dcterms:W3CDTF">2018-03-07T12:58:00Z</dcterms:created>
  <dcterms:modified xsi:type="dcterms:W3CDTF">2018-03-07T12:58:00Z</dcterms:modified>
</cp:coreProperties>
</file>