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84FFE" w14:textId="77777777" w:rsidR="0012280B" w:rsidRDefault="002710FA">
      <w:pPr>
        <w:spacing w:line="360" w:lineRule="auto"/>
        <w:jc w:val="center"/>
        <w:rPr>
          <w:rFonts w:ascii="Arial" w:hAnsi="Arial" w:cs="Arial"/>
          <w:b/>
          <w:bCs/>
          <w:sz w:val="22"/>
          <w:szCs w:val="22"/>
          <w:lang w:val="en-IN"/>
        </w:rPr>
      </w:pPr>
      <w:r>
        <w:rPr>
          <w:noProof/>
        </w:rPr>
        <w:drawing>
          <wp:inline distT="0" distB="0" distL="0" distR="0" wp14:anchorId="34B8509C" wp14:editId="34B8509D">
            <wp:extent cx="2828925" cy="1133475"/>
            <wp:effectExtent l="0" t="0" r="9525" b="9525"/>
            <wp:docPr id="161821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17933" name="Picture 1"/>
                    <pic:cNvPicPr>
                      <a:picLocks noChangeAspect="1"/>
                    </pic:cNvPicPr>
                  </pic:nvPicPr>
                  <pic:blipFill>
                    <a:blip r:embed="rId8"/>
                    <a:stretch>
                      <a:fillRect/>
                    </a:stretch>
                  </pic:blipFill>
                  <pic:spPr>
                    <a:xfrm>
                      <a:off x="0" y="0"/>
                      <a:ext cx="2828925" cy="1133475"/>
                    </a:xfrm>
                    <a:prstGeom prst="rect">
                      <a:avLst/>
                    </a:prstGeom>
                  </pic:spPr>
                </pic:pic>
              </a:graphicData>
            </a:graphic>
          </wp:inline>
        </w:drawing>
      </w:r>
    </w:p>
    <w:p w14:paraId="34B84FFF" w14:textId="77777777" w:rsidR="0012280B" w:rsidRDefault="0012280B">
      <w:pPr>
        <w:jc w:val="center"/>
        <w:rPr>
          <w:rFonts w:ascii="Arial" w:hAnsi="Arial" w:cs="Arial"/>
          <w:b/>
          <w:bCs/>
          <w:sz w:val="22"/>
          <w:szCs w:val="22"/>
          <w:lang w:val="en-IN"/>
        </w:rPr>
      </w:pPr>
    </w:p>
    <w:p w14:paraId="34B85000" w14:textId="77777777" w:rsidR="0012280B" w:rsidRDefault="0012280B">
      <w:pPr>
        <w:jc w:val="center"/>
        <w:rPr>
          <w:rFonts w:ascii="Arial" w:hAnsi="Arial" w:cs="Arial"/>
          <w:b/>
          <w:bCs/>
          <w:sz w:val="22"/>
          <w:szCs w:val="22"/>
          <w:lang w:val="en-IN"/>
        </w:rPr>
      </w:pPr>
    </w:p>
    <w:p w14:paraId="34B85002" w14:textId="7D3511FA" w:rsidR="0012280B" w:rsidRPr="00D32D92" w:rsidRDefault="00D32D92" w:rsidP="00D32D92">
      <w:pPr>
        <w:rPr>
          <w:rFonts w:ascii="Arial" w:hAnsi="Arial" w:cs="Arial"/>
          <w:b/>
          <w:bCs/>
          <w:sz w:val="36"/>
          <w:szCs w:val="36"/>
          <w:lang w:val="en-IN"/>
        </w:rPr>
      </w:pPr>
      <w:r>
        <w:rPr>
          <w:rFonts w:ascii="Arial" w:hAnsi="Arial" w:cs="Arial"/>
          <w:b/>
          <w:bCs/>
          <w:sz w:val="22"/>
          <w:szCs w:val="22"/>
          <w:lang w:val="en-IN"/>
        </w:rPr>
        <w:t xml:space="preserve">                                                        </w:t>
      </w:r>
      <w:r w:rsidR="002710FA" w:rsidRPr="00D32D92">
        <w:rPr>
          <w:rFonts w:ascii="Arial" w:hAnsi="Arial" w:cs="Arial"/>
          <w:b/>
          <w:bCs/>
          <w:sz w:val="36"/>
          <w:szCs w:val="36"/>
          <w:lang w:val="en-IN"/>
        </w:rPr>
        <w:t>Programme:</w:t>
      </w:r>
    </w:p>
    <w:p w14:paraId="34B85003"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Module: MSc Public Health and Social Care in Practice</w:t>
      </w:r>
    </w:p>
    <w:p w14:paraId="34B85004" w14:textId="77777777" w:rsidR="0012280B" w:rsidRPr="00D32D92" w:rsidRDefault="0012280B">
      <w:pPr>
        <w:spacing w:line="360" w:lineRule="auto"/>
        <w:jc w:val="center"/>
        <w:rPr>
          <w:rFonts w:ascii="Arial" w:hAnsi="Arial" w:cs="Arial"/>
          <w:b/>
          <w:bCs/>
          <w:sz w:val="36"/>
          <w:szCs w:val="36"/>
          <w:lang w:val="en-IN"/>
        </w:rPr>
      </w:pPr>
    </w:p>
    <w:p w14:paraId="34B85005"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Module code: LCHS7008</w:t>
      </w:r>
    </w:p>
    <w:p w14:paraId="34B85006" w14:textId="77777777" w:rsidR="0012280B" w:rsidRPr="00D32D92" w:rsidRDefault="0012280B">
      <w:pPr>
        <w:spacing w:line="360" w:lineRule="auto"/>
        <w:jc w:val="center"/>
        <w:rPr>
          <w:rFonts w:ascii="Arial" w:hAnsi="Arial" w:cs="Arial"/>
          <w:b/>
          <w:bCs/>
          <w:sz w:val="36"/>
          <w:szCs w:val="36"/>
          <w:lang w:val="en-IN"/>
        </w:rPr>
      </w:pPr>
    </w:p>
    <w:p w14:paraId="34B85007"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Assignment Title:</w:t>
      </w:r>
    </w:p>
    <w:p w14:paraId="34B85008"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Menopause Care in General Practice: Are GPs Delivering on the Women's Health Strategy?</w:t>
      </w:r>
    </w:p>
    <w:p w14:paraId="34B85009"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(Component 2</w:t>
      </w:r>
    </w:p>
    <w:p w14:paraId="34B8500A"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Written Research Proposal )</w:t>
      </w:r>
    </w:p>
    <w:p w14:paraId="34B8500C" w14:textId="77777777" w:rsidR="0012280B" w:rsidRPr="00D32D92" w:rsidRDefault="0012280B">
      <w:pPr>
        <w:spacing w:line="360" w:lineRule="auto"/>
        <w:jc w:val="center"/>
        <w:rPr>
          <w:rFonts w:ascii="Arial" w:hAnsi="Arial" w:cs="Arial"/>
          <w:b/>
          <w:bCs/>
          <w:sz w:val="36"/>
          <w:szCs w:val="36"/>
          <w:lang w:val="en-IN"/>
        </w:rPr>
      </w:pPr>
    </w:p>
    <w:p w14:paraId="34B8500D"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Student Name: Melvita Da Silva</w:t>
      </w:r>
    </w:p>
    <w:p w14:paraId="34B8500E"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Student Id: 2436452</w:t>
      </w:r>
    </w:p>
    <w:p w14:paraId="34B85011" w14:textId="45C6911A" w:rsidR="0012280B" w:rsidRPr="00D32D92" w:rsidRDefault="002710FA" w:rsidP="00D32D92">
      <w:pPr>
        <w:spacing w:line="360" w:lineRule="auto"/>
        <w:jc w:val="center"/>
        <w:rPr>
          <w:rFonts w:ascii="Arial" w:hAnsi="Arial" w:cs="Arial"/>
          <w:b/>
          <w:bCs/>
          <w:sz w:val="36"/>
          <w:szCs w:val="36"/>
          <w:lang w:val="en-IN"/>
        </w:rPr>
      </w:pPr>
      <w:r w:rsidRPr="00D32D92">
        <w:rPr>
          <w:rFonts w:ascii="Arial" w:hAnsi="Arial" w:cs="Arial"/>
          <w:b/>
          <w:bCs/>
          <w:sz w:val="36"/>
          <w:szCs w:val="36"/>
          <w:lang w:val="en-IN"/>
        </w:rPr>
        <w:t>Lecturer Name: Dr Zeno Leung</w:t>
      </w:r>
    </w:p>
    <w:sdt>
      <w:sdtPr>
        <w:rPr>
          <w:rFonts w:asciiTheme="minorHAnsi" w:eastAsiaTheme="minorHAnsi" w:hAnsiTheme="minorHAnsi" w:cstheme="minorBidi"/>
          <w:color w:val="auto"/>
          <w:kern w:val="2"/>
          <w:sz w:val="24"/>
          <w:szCs w:val="24"/>
          <w:lang w:val="en-GB" w:eastAsia="en-GB"/>
          <w14:ligatures w14:val="standardContextual"/>
        </w:rPr>
        <w:id w:val="328803126"/>
        <w:docPartObj>
          <w:docPartGallery w:val="Table of Contents"/>
          <w:docPartUnique/>
        </w:docPartObj>
      </w:sdtPr>
      <w:sdtEndPr>
        <w:rPr>
          <w:rFonts w:ascii="Arial" w:hAnsi="Arial" w:cs="Arial"/>
          <w:b/>
          <w:bCs/>
        </w:rPr>
      </w:sdtEndPr>
      <w:sdtContent>
        <w:p w14:paraId="528D66D0" w14:textId="77777777" w:rsidR="00791BEE" w:rsidRDefault="00791BEE">
          <w:pPr>
            <w:pStyle w:val="TOCHeading1"/>
            <w:rPr>
              <w:rFonts w:asciiTheme="minorHAnsi" w:eastAsiaTheme="minorHAnsi" w:hAnsiTheme="minorHAnsi" w:cstheme="minorBidi"/>
              <w:color w:val="auto"/>
              <w:kern w:val="2"/>
              <w:sz w:val="24"/>
              <w:szCs w:val="24"/>
              <w:lang w:val="en-GB" w:eastAsia="en-GB"/>
              <w14:ligatures w14:val="standardContextual"/>
            </w:rPr>
          </w:pPr>
        </w:p>
        <w:p w14:paraId="34B85012" w14:textId="397B8440" w:rsidR="0012280B" w:rsidRPr="007A4E0C" w:rsidRDefault="002710FA">
          <w:pPr>
            <w:pStyle w:val="TOCHeading1"/>
            <w:rPr>
              <w:rFonts w:ascii="Arial" w:hAnsi="Arial" w:cs="Arial"/>
              <w:sz w:val="36"/>
              <w:szCs w:val="36"/>
            </w:rPr>
          </w:pPr>
          <w:r w:rsidRPr="007A4E0C">
            <w:rPr>
              <w:rFonts w:ascii="Arial" w:hAnsi="Arial" w:cs="Arial"/>
              <w:sz w:val="36"/>
              <w:szCs w:val="36"/>
            </w:rPr>
            <w:t>Contents</w:t>
          </w:r>
        </w:p>
        <w:p w14:paraId="51F76A6B" w14:textId="77777777" w:rsidR="00791BEE" w:rsidRPr="007A4E0C" w:rsidRDefault="00791BEE" w:rsidP="00791BEE">
          <w:pPr>
            <w:rPr>
              <w:rFonts w:ascii="Arial" w:hAnsi="Arial" w:cs="Arial"/>
              <w:sz w:val="36"/>
              <w:szCs w:val="36"/>
              <w:lang w:val="en-US" w:eastAsia="en-US"/>
            </w:rPr>
          </w:pPr>
        </w:p>
        <w:p w14:paraId="34B85013" w14:textId="77777777" w:rsidR="0012280B" w:rsidRDefault="0012280B">
          <w:pPr>
            <w:rPr>
              <w:lang w:val="en-US" w:eastAsia="en-US"/>
            </w:rPr>
          </w:pPr>
        </w:p>
        <w:p w14:paraId="61DE7896" w14:textId="2110496E" w:rsidR="00A11F61" w:rsidRDefault="002710FA">
          <w:pPr>
            <w:pStyle w:val="TOC1"/>
            <w:tabs>
              <w:tab w:val="right" w:leader="dot" w:pos="9016"/>
            </w:tabs>
            <w:rPr>
              <w:rFonts w:eastAsiaTheme="minorEastAsia"/>
              <w:noProof/>
              <w:lang w:val="en-IN" w:eastAsia="en-IN"/>
            </w:rPr>
          </w:pPr>
          <w:r w:rsidRPr="003E7031">
            <w:rPr>
              <w:rFonts w:ascii="Arial" w:hAnsi="Arial" w:cs="Arial"/>
            </w:rPr>
            <w:fldChar w:fldCharType="begin"/>
          </w:r>
          <w:r w:rsidRPr="003E7031">
            <w:rPr>
              <w:rFonts w:ascii="Arial" w:hAnsi="Arial" w:cs="Arial"/>
            </w:rPr>
            <w:instrText xml:space="preserve"> TOC \o "1-3" \h \z \u </w:instrText>
          </w:r>
          <w:r w:rsidRPr="003E7031">
            <w:rPr>
              <w:rFonts w:ascii="Arial" w:hAnsi="Arial" w:cs="Arial"/>
            </w:rPr>
            <w:fldChar w:fldCharType="separate"/>
          </w:r>
          <w:hyperlink w:anchor="_Toc236397885" w:history="1">
            <w:r w:rsidR="00A11F61" w:rsidRPr="003A1F7B">
              <w:rPr>
                <w:rStyle w:val="Hyperlink"/>
                <w:rFonts w:ascii="Arial" w:hAnsi="Arial" w:cs="Arial"/>
                <w:noProof/>
                <w:lang w:val="en-IN"/>
              </w:rPr>
              <w:t>The prevalence of the problem identified in health and social care</w:t>
            </w:r>
            <w:r w:rsidR="00A11F61">
              <w:rPr>
                <w:noProof/>
                <w:webHidden/>
              </w:rPr>
              <w:tab/>
            </w:r>
            <w:r w:rsidR="00A11F61">
              <w:rPr>
                <w:noProof/>
                <w:webHidden/>
              </w:rPr>
              <w:fldChar w:fldCharType="begin"/>
            </w:r>
            <w:r w:rsidR="00A11F61">
              <w:rPr>
                <w:noProof/>
                <w:webHidden/>
              </w:rPr>
              <w:instrText xml:space="preserve"> PAGEREF _Toc236397885 \h </w:instrText>
            </w:r>
            <w:r w:rsidR="00A11F61">
              <w:rPr>
                <w:noProof/>
                <w:webHidden/>
              </w:rPr>
            </w:r>
            <w:r w:rsidR="00A11F61">
              <w:rPr>
                <w:noProof/>
                <w:webHidden/>
              </w:rPr>
              <w:fldChar w:fldCharType="separate"/>
            </w:r>
            <w:r w:rsidR="00A11F61">
              <w:rPr>
                <w:noProof/>
                <w:webHidden/>
              </w:rPr>
              <w:t>3</w:t>
            </w:r>
            <w:r w:rsidR="00A11F61">
              <w:rPr>
                <w:noProof/>
                <w:webHidden/>
              </w:rPr>
              <w:fldChar w:fldCharType="end"/>
            </w:r>
          </w:hyperlink>
        </w:p>
        <w:p w14:paraId="2EC4F6AC" w14:textId="40DAEAC2" w:rsidR="00A11F61" w:rsidRDefault="00A11F61">
          <w:pPr>
            <w:pStyle w:val="TOC1"/>
            <w:tabs>
              <w:tab w:val="right" w:leader="dot" w:pos="9016"/>
            </w:tabs>
            <w:rPr>
              <w:rFonts w:eastAsiaTheme="minorEastAsia"/>
              <w:noProof/>
              <w:lang w:val="en-IN" w:eastAsia="en-IN"/>
            </w:rPr>
          </w:pPr>
          <w:hyperlink w:anchor="_Toc236397886" w:history="1">
            <w:r w:rsidRPr="003A1F7B">
              <w:rPr>
                <w:rStyle w:val="Hyperlink"/>
                <w:rFonts w:ascii="Arial" w:hAnsi="Arial" w:cs="Arial"/>
                <w:noProof/>
                <w:lang w:val="en-IN"/>
              </w:rPr>
              <w:t>Literature Review</w:t>
            </w:r>
            <w:r>
              <w:rPr>
                <w:noProof/>
                <w:webHidden/>
              </w:rPr>
              <w:tab/>
            </w:r>
            <w:r>
              <w:rPr>
                <w:noProof/>
                <w:webHidden/>
              </w:rPr>
              <w:fldChar w:fldCharType="begin"/>
            </w:r>
            <w:r>
              <w:rPr>
                <w:noProof/>
                <w:webHidden/>
              </w:rPr>
              <w:instrText xml:space="preserve"> PAGEREF _Toc236397886 \h </w:instrText>
            </w:r>
            <w:r>
              <w:rPr>
                <w:noProof/>
                <w:webHidden/>
              </w:rPr>
            </w:r>
            <w:r>
              <w:rPr>
                <w:noProof/>
                <w:webHidden/>
              </w:rPr>
              <w:fldChar w:fldCharType="separate"/>
            </w:r>
            <w:r>
              <w:rPr>
                <w:noProof/>
                <w:webHidden/>
              </w:rPr>
              <w:t>3</w:t>
            </w:r>
            <w:r>
              <w:rPr>
                <w:noProof/>
                <w:webHidden/>
              </w:rPr>
              <w:fldChar w:fldCharType="end"/>
            </w:r>
          </w:hyperlink>
        </w:p>
        <w:p w14:paraId="5537F8B4" w14:textId="53BA42B1" w:rsidR="00A11F61" w:rsidRDefault="00A11F61">
          <w:pPr>
            <w:pStyle w:val="TOC1"/>
            <w:tabs>
              <w:tab w:val="right" w:leader="dot" w:pos="9016"/>
            </w:tabs>
            <w:rPr>
              <w:rFonts w:eastAsiaTheme="minorEastAsia"/>
              <w:noProof/>
              <w:lang w:val="en-IN" w:eastAsia="en-IN"/>
            </w:rPr>
          </w:pPr>
          <w:hyperlink w:anchor="_Toc236397887" w:history="1">
            <w:r w:rsidRPr="003A1F7B">
              <w:rPr>
                <w:rStyle w:val="Hyperlink"/>
                <w:rFonts w:ascii="Arial" w:hAnsi="Arial" w:cs="Arial"/>
                <w:noProof/>
                <w:lang w:val="en-IN"/>
              </w:rPr>
              <w:t>Rationale of Research</w:t>
            </w:r>
            <w:r>
              <w:rPr>
                <w:noProof/>
                <w:webHidden/>
              </w:rPr>
              <w:tab/>
            </w:r>
            <w:r>
              <w:rPr>
                <w:noProof/>
                <w:webHidden/>
              </w:rPr>
              <w:fldChar w:fldCharType="begin"/>
            </w:r>
            <w:r>
              <w:rPr>
                <w:noProof/>
                <w:webHidden/>
              </w:rPr>
              <w:instrText xml:space="preserve"> PAGEREF _Toc236397887 \h </w:instrText>
            </w:r>
            <w:r>
              <w:rPr>
                <w:noProof/>
                <w:webHidden/>
              </w:rPr>
            </w:r>
            <w:r>
              <w:rPr>
                <w:noProof/>
                <w:webHidden/>
              </w:rPr>
              <w:fldChar w:fldCharType="separate"/>
            </w:r>
            <w:r>
              <w:rPr>
                <w:noProof/>
                <w:webHidden/>
              </w:rPr>
              <w:t>5</w:t>
            </w:r>
            <w:r>
              <w:rPr>
                <w:noProof/>
                <w:webHidden/>
              </w:rPr>
              <w:fldChar w:fldCharType="end"/>
            </w:r>
          </w:hyperlink>
        </w:p>
        <w:p w14:paraId="5F4CF186" w14:textId="4EA0885D" w:rsidR="00A11F61" w:rsidRDefault="00A11F61">
          <w:pPr>
            <w:pStyle w:val="TOC1"/>
            <w:tabs>
              <w:tab w:val="right" w:leader="dot" w:pos="9016"/>
            </w:tabs>
            <w:rPr>
              <w:rFonts w:eastAsiaTheme="minorEastAsia"/>
              <w:noProof/>
              <w:lang w:val="en-IN" w:eastAsia="en-IN"/>
            </w:rPr>
          </w:pPr>
          <w:hyperlink w:anchor="_Toc236397888" w:history="1">
            <w:r w:rsidRPr="003A1F7B">
              <w:rPr>
                <w:rStyle w:val="Hyperlink"/>
                <w:rFonts w:ascii="Arial" w:hAnsi="Arial" w:cs="Arial"/>
                <w:noProof/>
                <w:lang w:val="en-IN"/>
              </w:rPr>
              <w:t>Research Questions</w:t>
            </w:r>
            <w:r>
              <w:rPr>
                <w:noProof/>
                <w:webHidden/>
              </w:rPr>
              <w:tab/>
            </w:r>
            <w:r>
              <w:rPr>
                <w:noProof/>
                <w:webHidden/>
              </w:rPr>
              <w:fldChar w:fldCharType="begin"/>
            </w:r>
            <w:r>
              <w:rPr>
                <w:noProof/>
                <w:webHidden/>
              </w:rPr>
              <w:instrText xml:space="preserve"> PAGEREF _Toc236397888 \h </w:instrText>
            </w:r>
            <w:r>
              <w:rPr>
                <w:noProof/>
                <w:webHidden/>
              </w:rPr>
            </w:r>
            <w:r>
              <w:rPr>
                <w:noProof/>
                <w:webHidden/>
              </w:rPr>
              <w:fldChar w:fldCharType="separate"/>
            </w:r>
            <w:r>
              <w:rPr>
                <w:noProof/>
                <w:webHidden/>
              </w:rPr>
              <w:t>6</w:t>
            </w:r>
            <w:r>
              <w:rPr>
                <w:noProof/>
                <w:webHidden/>
              </w:rPr>
              <w:fldChar w:fldCharType="end"/>
            </w:r>
          </w:hyperlink>
        </w:p>
        <w:p w14:paraId="25DA7D3E" w14:textId="243D0EEA" w:rsidR="00A11F61" w:rsidRDefault="00A11F61">
          <w:pPr>
            <w:pStyle w:val="TOC1"/>
            <w:tabs>
              <w:tab w:val="right" w:leader="dot" w:pos="9016"/>
            </w:tabs>
            <w:rPr>
              <w:rFonts w:eastAsiaTheme="minorEastAsia"/>
              <w:noProof/>
              <w:lang w:val="en-IN" w:eastAsia="en-IN"/>
            </w:rPr>
          </w:pPr>
          <w:hyperlink w:anchor="_Toc236397889" w:history="1">
            <w:r w:rsidRPr="003A1F7B">
              <w:rPr>
                <w:rStyle w:val="Hyperlink"/>
                <w:rFonts w:ascii="Arial" w:hAnsi="Arial" w:cs="Arial"/>
                <w:noProof/>
                <w:lang w:val="en-IN"/>
              </w:rPr>
              <w:t>Research Aim</w:t>
            </w:r>
            <w:r>
              <w:rPr>
                <w:noProof/>
                <w:webHidden/>
              </w:rPr>
              <w:tab/>
            </w:r>
            <w:r>
              <w:rPr>
                <w:noProof/>
                <w:webHidden/>
              </w:rPr>
              <w:fldChar w:fldCharType="begin"/>
            </w:r>
            <w:r>
              <w:rPr>
                <w:noProof/>
                <w:webHidden/>
              </w:rPr>
              <w:instrText xml:space="preserve"> PAGEREF _Toc236397889 \h </w:instrText>
            </w:r>
            <w:r>
              <w:rPr>
                <w:noProof/>
                <w:webHidden/>
              </w:rPr>
            </w:r>
            <w:r>
              <w:rPr>
                <w:noProof/>
                <w:webHidden/>
              </w:rPr>
              <w:fldChar w:fldCharType="separate"/>
            </w:r>
            <w:r>
              <w:rPr>
                <w:noProof/>
                <w:webHidden/>
              </w:rPr>
              <w:t>6</w:t>
            </w:r>
            <w:r>
              <w:rPr>
                <w:noProof/>
                <w:webHidden/>
              </w:rPr>
              <w:fldChar w:fldCharType="end"/>
            </w:r>
          </w:hyperlink>
        </w:p>
        <w:p w14:paraId="4A038C03" w14:textId="0DE880ED" w:rsidR="00A11F61" w:rsidRDefault="00A11F61">
          <w:pPr>
            <w:pStyle w:val="TOC1"/>
            <w:tabs>
              <w:tab w:val="right" w:leader="dot" w:pos="9016"/>
            </w:tabs>
            <w:rPr>
              <w:rFonts w:eastAsiaTheme="minorEastAsia"/>
              <w:noProof/>
              <w:lang w:val="en-IN" w:eastAsia="en-IN"/>
            </w:rPr>
          </w:pPr>
          <w:hyperlink w:anchor="_Toc236397890" w:history="1">
            <w:r w:rsidRPr="003A1F7B">
              <w:rPr>
                <w:rStyle w:val="Hyperlink"/>
                <w:rFonts w:ascii="Arial" w:hAnsi="Arial" w:cs="Arial"/>
                <w:noProof/>
                <w:lang w:val="en-IN"/>
              </w:rPr>
              <w:t>Research Objectives</w:t>
            </w:r>
            <w:r>
              <w:rPr>
                <w:noProof/>
                <w:webHidden/>
              </w:rPr>
              <w:tab/>
            </w:r>
            <w:r>
              <w:rPr>
                <w:noProof/>
                <w:webHidden/>
              </w:rPr>
              <w:fldChar w:fldCharType="begin"/>
            </w:r>
            <w:r>
              <w:rPr>
                <w:noProof/>
                <w:webHidden/>
              </w:rPr>
              <w:instrText xml:space="preserve"> PAGEREF _Toc236397890 \h </w:instrText>
            </w:r>
            <w:r>
              <w:rPr>
                <w:noProof/>
                <w:webHidden/>
              </w:rPr>
            </w:r>
            <w:r>
              <w:rPr>
                <w:noProof/>
                <w:webHidden/>
              </w:rPr>
              <w:fldChar w:fldCharType="separate"/>
            </w:r>
            <w:r>
              <w:rPr>
                <w:noProof/>
                <w:webHidden/>
              </w:rPr>
              <w:t>6</w:t>
            </w:r>
            <w:r>
              <w:rPr>
                <w:noProof/>
                <w:webHidden/>
              </w:rPr>
              <w:fldChar w:fldCharType="end"/>
            </w:r>
          </w:hyperlink>
        </w:p>
        <w:p w14:paraId="051F3CCA" w14:textId="37250555" w:rsidR="00A11F61" w:rsidRDefault="00A11F61">
          <w:pPr>
            <w:pStyle w:val="TOC1"/>
            <w:tabs>
              <w:tab w:val="right" w:leader="dot" w:pos="9016"/>
            </w:tabs>
            <w:rPr>
              <w:rFonts w:eastAsiaTheme="minorEastAsia"/>
              <w:noProof/>
              <w:lang w:val="en-IN" w:eastAsia="en-IN"/>
            </w:rPr>
          </w:pPr>
          <w:hyperlink w:anchor="_Toc236397891" w:history="1">
            <w:r w:rsidRPr="003A1F7B">
              <w:rPr>
                <w:rStyle w:val="Hyperlink"/>
                <w:rFonts w:ascii="Arial" w:hAnsi="Arial" w:cs="Arial"/>
                <w:noProof/>
                <w:lang w:val="en-IN"/>
              </w:rPr>
              <w:t>Research Methodology</w:t>
            </w:r>
            <w:r>
              <w:rPr>
                <w:noProof/>
                <w:webHidden/>
              </w:rPr>
              <w:tab/>
            </w:r>
            <w:r>
              <w:rPr>
                <w:noProof/>
                <w:webHidden/>
              </w:rPr>
              <w:fldChar w:fldCharType="begin"/>
            </w:r>
            <w:r>
              <w:rPr>
                <w:noProof/>
                <w:webHidden/>
              </w:rPr>
              <w:instrText xml:space="preserve"> PAGEREF _Toc236397891 \h </w:instrText>
            </w:r>
            <w:r>
              <w:rPr>
                <w:noProof/>
                <w:webHidden/>
              </w:rPr>
            </w:r>
            <w:r>
              <w:rPr>
                <w:noProof/>
                <w:webHidden/>
              </w:rPr>
              <w:fldChar w:fldCharType="separate"/>
            </w:r>
            <w:r>
              <w:rPr>
                <w:noProof/>
                <w:webHidden/>
              </w:rPr>
              <w:t>6</w:t>
            </w:r>
            <w:r>
              <w:rPr>
                <w:noProof/>
                <w:webHidden/>
              </w:rPr>
              <w:fldChar w:fldCharType="end"/>
            </w:r>
          </w:hyperlink>
        </w:p>
        <w:p w14:paraId="1A6BC1DD" w14:textId="19FE6097" w:rsidR="00A11F61" w:rsidRDefault="00A11F61">
          <w:pPr>
            <w:pStyle w:val="TOC1"/>
            <w:tabs>
              <w:tab w:val="right" w:leader="dot" w:pos="9016"/>
            </w:tabs>
            <w:rPr>
              <w:rFonts w:eastAsiaTheme="minorEastAsia"/>
              <w:noProof/>
              <w:lang w:val="en-IN" w:eastAsia="en-IN"/>
            </w:rPr>
          </w:pPr>
          <w:hyperlink w:anchor="_Toc236397892" w:history="1">
            <w:r w:rsidRPr="003A1F7B">
              <w:rPr>
                <w:rStyle w:val="Hyperlink"/>
                <w:rFonts w:ascii="Arial" w:hAnsi="Arial" w:cs="Arial"/>
                <w:noProof/>
                <w:lang w:val="en-IN"/>
              </w:rPr>
              <w:t>Recruitment, Sampling and Study Participants</w:t>
            </w:r>
            <w:r>
              <w:rPr>
                <w:noProof/>
                <w:webHidden/>
              </w:rPr>
              <w:tab/>
            </w:r>
            <w:r>
              <w:rPr>
                <w:noProof/>
                <w:webHidden/>
              </w:rPr>
              <w:fldChar w:fldCharType="begin"/>
            </w:r>
            <w:r>
              <w:rPr>
                <w:noProof/>
                <w:webHidden/>
              </w:rPr>
              <w:instrText xml:space="preserve"> PAGEREF _Toc236397892 \h </w:instrText>
            </w:r>
            <w:r>
              <w:rPr>
                <w:noProof/>
                <w:webHidden/>
              </w:rPr>
            </w:r>
            <w:r>
              <w:rPr>
                <w:noProof/>
                <w:webHidden/>
              </w:rPr>
              <w:fldChar w:fldCharType="separate"/>
            </w:r>
            <w:r>
              <w:rPr>
                <w:noProof/>
                <w:webHidden/>
              </w:rPr>
              <w:t>8</w:t>
            </w:r>
            <w:r>
              <w:rPr>
                <w:noProof/>
                <w:webHidden/>
              </w:rPr>
              <w:fldChar w:fldCharType="end"/>
            </w:r>
          </w:hyperlink>
        </w:p>
        <w:p w14:paraId="32F902C5" w14:textId="0BF7A76F" w:rsidR="00A11F61" w:rsidRDefault="00A11F61">
          <w:pPr>
            <w:pStyle w:val="TOC1"/>
            <w:tabs>
              <w:tab w:val="right" w:leader="dot" w:pos="9016"/>
            </w:tabs>
            <w:rPr>
              <w:rFonts w:eastAsiaTheme="minorEastAsia"/>
              <w:noProof/>
              <w:lang w:val="en-IN" w:eastAsia="en-IN"/>
            </w:rPr>
          </w:pPr>
          <w:hyperlink w:anchor="_Toc236397893" w:history="1">
            <w:r w:rsidRPr="003A1F7B">
              <w:rPr>
                <w:rStyle w:val="Hyperlink"/>
                <w:rFonts w:ascii="Arial" w:hAnsi="Arial" w:cs="Arial"/>
                <w:noProof/>
                <w:lang w:val="en-IN"/>
              </w:rPr>
              <w:t>Materials and Data Collection  Procedure</w:t>
            </w:r>
            <w:r>
              <w:rPr>
                <w:noProof/>
                <w:webHidden/>
              </w:rPr>
              <w:tab/>
            </w:r>
            <w:r>
              <w:rPr>
                <w:noProof/>
                <w:webHidden/>
              </w:rPr>
              <w:fldChar w:fldCharType="begin"/>
            </w:r>
            <w:r>
              <w:rPr>
                <w:noProof/>
                <w:webHidden/>
              </w:rPr>
              <w:instrText xml:space="preserve"> PAGEREF _Toc236397893 \h </w:instrText>
            </w:r>
            <w:r>
              <w:rPr>
                <w:noProof/>
                <w:webHidden/>
              </w:rPr>
            </w:r>
            <w:r>
              <w:rPr>
                <w:noProof/>
                <w:webHidden/>
              </w:rPr>
              <w:fldChar w:fldCharType="separate"/>
            </w:r>
            <w:r>
              <w:rPr>
                <w:noProof/>
                <w:webHidden/>
              </w:rPr>
              <w:t>8</w:t>
            </w:r>
            <w:r>
              <w:rPr>
                <w:noProof/>
                <w:webHidden/>
              </w:rPr>
              <w:fldChar w:fldCharType="end"/>
            </w:r>
          </w:hyperlink>
        </w:p>
        <w:p w14:paraId="15EBFDFC" w14:textId="22BE9AB3" w:rsidR="00A11F61" w:rsidRDefault="00A11F61">
          <w:pPr>
            <w:pStyle w:val="TOC1"/>
            <w:tabs>
              <w:tab w:val="right" w:leader="dot" w:pos="9016"/>
            </w:tabs>
            <w:rPr>
              <w:rFonts w:eastAsiaTheme="minorEastAsia"/>
              <w:noProof/>
              <w:lang w:val="en-IN" w:eastAsia="en-IN"/>
            </w:rPr>
          </w:pPr>
          <w:hyperlink w:anchor="_Toc236397894" w:history="1">
            <w:r w:rsidRPr="003A1F7B">
              <w:rPr>
                <w:rStyle w:val="Hyperlink"/>
                <w:rFonts w:ascii="Arial" w:hAnsi="Arial" w:cs="Arial"/>
                <w:noProof/>
                <w:lang w:val="en-IN"/>
              </w:rPr>
              <w:t>Who will be included?</w:t>
            </w:r>
            <w:r>
              <w:rPr>
                <w:noProof/>
                <w:webHidden/>
              </w:rPr>
              <w:tab/>
            </w:r>
            <w:r>
              <w:rPr>
                <w:noProof/>
                <w:webHidden/>
              </w:rPr>
              <w:fldChar w:fldCharType="begin"/>
            </w:r>
            <w:r>
              <w:rPr>
                <w:noProof/>
                <w:webHidden/>
              </w:rPr>
              <w:instrText xml:space="preserve"> PAGEREF _Toc236397894 \h </w:instrText>
            </w:r>
            <w:r>
              <w:rPr>
                <w:noProof/>
                <w:webHidden/>
              </w:rPr>
            </w:r>
            <w:r>
              <w:rPr>
                <w:noProof/>
                <w:webHidden/>
              </w:rPr>
              <w:fldChar w:fldCharType="separate"/>
            </w:r>
            <w:r>
              <w:rPr>
                <w:noProof/>
                <w:webHidden/>
              </w:rPr>
              <w:t>8</w:t>
            </w:r>
            <w:r>
              <w:rPr>
                <w:noProof/>
                <w:webHidden/>
              </w:rPr>
              <w:fldChar w:fldCharType="end"/>
            </w:r>
          </w:hyperlink>
        </w:p>
        <w:p w14:paraId="197B6BCA" w14:textId="3FF74DA6" w:rsidR="00A11F61" w:rsidRDefault="00A11F61">
          <w:pPr>
            <w:pStyle w:val="TOC1"/>
            <w:tabs>
              <w:tab w:val="right" w:leader="dot" w:pos="9016"/>
            </w:tabs>
            <w:rPr>
              <w:rFonts w:eastAsiaTheme="minorEastAsia"/>
              <w:noProof/>
              <w:lang w:val="en-IN" w:eastAsia="en-IN"/>
            </w:rPr>
          </w:pPr>
          <w:hyperlink w:anchor="_Toc236397895" w:history="1">
            <w:r w:rsidRPr="003A1F7B">
              <w:rPr>
                <w:rStyle w:val="Hyperlink"/>
                <w:rFonts w:ascii="Arial" w:hAnsi="Arial" w:cs="Arial"/>
                <w:noProof/>
                <w:lang w:val="en-IN"/>
              </w:rPr>
              <w:t>How will the data be collected?</w:t>
            </w:r>
            <w:r>
              <w:rPr>
                <w:noProof/>
                <w:webHidden/>
              </w:rPr>
              <w:tab/>
            </w:r>
            <w:r>
              <w:rPr>
                <w:noProof/>
                <w:webHidden/>
              </w:rPr>
              <w:fldChar w:fldCharType="begin"/>
            </w:r>
            <w:r>
              <w:rPr>
                <w:noProof/>
                <w:webHidden/>
              </w:rPr>
              <w:instrText xml:space="preserve"> PAGEREF _Toc236397895 \h </w:instrText>
            </w:r>
            <w:r>
              <w:rPr>
                <w:noProof/>
                <w:webHidden/>
              </w:rPr>
            </w:r>
            <w:r>
              <w:rPr>
                <w:noProof/>
                <w:webHidden/>
              </w:rPr>
              <w:fldChar w:fldCharType="separate"/>
            </w:r>
            <w:r>
              <w:rPr>
                <w:noProof/>
                <w:webHidden/>
              </w:rPr>
              <w:t>9</w:t>
            </w:r>
            <w:r>
              <w:rPr>
                <w:noProof/>
                <w:webHidden/>
              </w:rPr>
              <w:fldChar w:fldCharType="end"/>
            </w:r>
          </w:hyperlink>
        </w:p>
        <w:p w14:paraId="2EE2E38C" w14:textId="539ACAC4" w:rsidR="00A11F61" w:rsidRDefault="00A11F61">
          <w:pPr>
            <w:pStyle w:val="TOC1"/>
            <w:tabs>
              <w:tab w:val="right" w:leader="dot" w:pos="9016"/>
            </w:tabs>
            <w:rPr>
              <w:rFonts w:eastAsiaTheme="minorEastAsia"/>
              <w:noProof/>
              <w:lang w:val="en-IN" w:eastAsia="en-IN"/>
            </w:rPr>
          </w:pPr>
          <w:hyperlink w:anchor="_Toc236397896" w:history="1">
            <w:r w:rsidRPr="003A1F7B">
              <w:rPr>
                <w:rStyle w:val="Hyperlink"/>
                <w:rFonts w:ascii="Arial" w:hAnsi="Arial" w:cs="Arial"/>
                <w:noProof/>
                <w:lang w:val="en-IN"/>
              </w:rPr>
              <w:t>Key review questions</w:t>
            </w:r>
            <w:r>
              <w:rPr>
                <w:noProof/>
                <w:webHidden/>
              </w:rPr>
              <w:tab/>
            </w:r>
            <w:r>
              <w:rPr>
                <w:noProof/>
                <w:webHidden/>
              </w:rPr>
              <w:fldChar w:fldCharType="begin"/>
            </w:r>
            <w:r>
              <w:rPr>
                <w:noProof/>
                <w:webHidden/>
              </w:rPr>
              <w:instrText xml:space="preserve"> PAGEREF _Toc236397896 \h </w:instrText>
            </w:r>
            <w:r>
              <w:rPr>
                <w:noProof/>
                <w:webHidden/>
              </w:rPr>
            </w:r>
            <w:r>
              <w:rPr>
                <w:noProof/>
                <w:webHidden/>
              </w:rPr>
              <w:fldChar w:fldCharType="separate"/>
            </w:r>
            <w:r>
              <w:rPr>
                <w:noProof/>
                <w:webHidden/>
              </w:rPr>
              <w:t>9</w:t>
            </w:r>
            <w:r>
              <w:rPr>
                <w:noProof/>
                <w:webHidden/>
              </w:rPr>
              <w:fldChar w:fldCharType="end"/>
            </w:r>
          </w:hyperlink>
        </w:p>
        <w:p w14:paraId="5140506B" w14:textId="5F240B10" w:rsidR="00A11F61" w:rsidRDefault="00A11F61">
          <w:pPr>
            <w:pStyle w:val="TOC1"/>
            <w:tabs>
              <w:tab w:val="right" w:leader="dot" w:pos="9016"/>
            </w:tabs>
            <w:rPr>
              <w:rFonts w:eastAsiaTheme="minorEastAsia"/>
              <w:noProof/>
              <w:lang w:val="en-IN" w:eastAsia="en-IN"/>
            </w:rPr>
          </w:pPr>
          <w:hyperlink w:anchor="_Toc236397897" w:history="1">
            <w:r w:rsidRPr="003A1F7B">
              <w:rPr>
                <w:rStyle w:val="Hyperlink"/>
                <w:rFonts w:ascii="Arial" w:hAnsi="Arial" w:cs="Arial"/>
                <w:noProof/>
                <w:lang w:val="en-IN"/>
              </w:rPr>
              <w:t>Proposed Data Analysis Technique</w:t>
            </w:r>
            <w:r>
              <w:rPr>
                <w:noProof/>
                <w:webHidden/>
              </w:rPr>
              <w:tab/>
            </w:r>
            <w:r>
              <w:rPr>
                <w:noProof/>
                <w:webHidden/>
              </w:rPr>
              <w:fldChar w:fldCharType="begin"/>
            </w:r>
            <w:r>
              <w:rPr>
                <w:noProof/>
                <w:webHidden/>
              </w:rPr>
              <w:instrText xml:space="preserve"> PAGEREF _Toc236397897 \h </w:instrText>
            </w:r>
            <w:r>
              <w:rPr>
                <w:noProof/>
                <w:webHidden/>
              </w:rPr>
            </w:r>
            <w:r>
              <w:rPr>
                <w:noProof/>
                <w:webHidden/>
              </w:rPr>
              <w:fldChar w:fldCharType="separate"/>
            </w:r>
            <w:r>
              <w:rPr>
                <w:noProof/>
                <w:webHidden/>
              </w:rPr>
              <w:t>9</w:t>
            </w:r>
            <w:r>
              <w:rPr>
                <w:noProof/>
                <w:webHidden/>
              </w:rPr>
              <w:fldChar w:fldCharType="end"/>
            </w:r>
          </w:hyperlink>
        </w:p>
        <w:p w14:paraId="2B59FB8E" w14:textId="3B2433EC" w:rsidR="00A11F61" w:rsidRDefault="00A11F61">
          <w:pPr>
            <w:pStyle w:val="TOC1"/>
            <w:tabs>
              <w:tab w:val="right" w:leader="dot" w:pos="9016"/>
            </w:tabs>
            <w:rPr>
              <w:rFonts w:eastAsiaTheme="minorEastAsia"/>
              <w:noProof/>
              <w:lang w:val="en-IN" w:eastAsia="en-IN"/>
            </w:rPr>
          </w:pPr>
          <w:hyperlink w:anchor="_Toc236397898" w:history="1">
            <w:r w:rsidRPr="003A1F7B">
              <w:rPr>
                <w:rStyle w:val="Hyperlink"/>
                <w:rFonts w:ascii="Arial" w:hAnsi="Arial" w:cs="Arial"/>
                <w:noProof/>
                <w:lang w:val="en-IN"/>
              </w:rPr>
              <w:t>Ethical Considerations</w:t>
            </w:r>
            <w:r>
              <w:rPr>
                <w:noProof/>
                <w:webHidden/>
              </w:rPr>
              <w:tab/>
            </w:r>
            <w:r>
              <w:rPr>
                <w:noProof/>
                <w:webHidden/>
              </w:rPr>
              <w:fldChar w:fldCharType="begin"/>
            </w:r>
            <w:r>
              <w:rPr>
                <w:noProof/>
                <w:webHidden/>
              </w:rPr>
              <w:instrText xml:space="preserve"> PAGEREF _Toc236397898 \h </w:instrText>
            </w:r>
            <w:r>
              <w:rPr>
                <w:noProof/>
                <w:webHidden/>
              </w:rPr>
            </w:r>
            <w:r>
              <w:rPr>
                <w:noProof/>
                <w:webHidden/>
              </w:rPr>
              <w:fldChar w:fldCharType="separate"/>
            </w:r>
            <w:r>
              <w:rPr>
                <w:noProof/>
                <w:webHidden/>
              </w:rPr>
              <w:t>10</w:t>
            </w:r>
            <w:r>
              <w:rPr>
                <w:noProof/>
                <w:webHidden/>
              </w:rPr>
              <w:fldChar w:fldCharType="end"/>
            </w:r>
          </w:hyperlink>
        </w:p>
        <w:p w14:paraId="36143288" w14:textId="5879AF5E" w:rsidR="00A11F61" w:rsidRDefault="00A11F61">
          <w:pPr>
            <w:pStyle w:val="TOC1"/>
            <w:tabs>
              <w:tab w:val="right" w:leader="dot" w:pos="9016"/>
            </w:tabs>
            <w:rPr>
              <w:rFonts w:eastAsiaTheme="minorEastAsia"/>
              <w:noProof/>
              <w:lang w:val="en-IN" w:eastAsia="en-IN"/>
            </w:rPr>
          </w:pPr>
          <w:hyperlink w:anchor="_Toc236397899" w:history="1">
            <w:r w:rsidRPr="003A1F7B">
              <w:rPr>
                <w:rStyle w:val="Hyperlink"/>
                <w:rFonts w:ascii="Arial" w:hAnsi="Arial" w:cs="Arial"/>
                <w:noProof/>
                <w:lang w:val="en-IN"/>
              </w:rPr>
              <w:t>Implications of the Research</w:t>
            </w:r>
            <w:r>
              <w:rPr>
                <w:noProof/>
                <w:webHidden/>
              </w:rPr>
              <w:tab/>
            </w:r>
            <w:r>
              <w:rPr>
                <w:noProof/>
                <w:webHidden/>
              </w:rPr>
              <w:fldChar w:fldCharType="begin"/>
            </w:r>
            <w:r>
              <w:rPr>
                <w:noProof/>
                <w:webHidden/>
              </w:rPr>
              <w:instrText xml:space="preserve"> PAGEREF _Toc236397899 \h </w:instrText>
            </w:r>
            <w:r>
              <w:rPr>
                <w:noProof/>
                <w:webHidden/>
              </w:rPr>
            </w:r>
            <w:r>
              <w:rPr>
                <w:noProof/>
                <w:webHidden/>
              </w:rPr>
              <w:fldChar w:fldCharType="separate"/>
            </w:r>
            <w:r>
              <w:rPr>
                <w:noProof/>
                <w:webHidden/>
              </w:rPr>
              <w:t>10</w:t>
            </w:r>
            <w:r>
              <w:rPr>
                <w:noProof/>
                <w:webHidden/>
              </w:rPr>
              <w:fldChar w:fldCharType="end"/>
            </w:r>
          </w:hyperlink>
        </w:p>
        <w:p w14:paraId="3FE34ADF" w14:textId="553552EC" w:rsidR="00A11F61" w:rsidRDefault="00A11F61">
          <w:pPr>
            <w:pStyle w:val="TOC1"/>
            <w:tabs>
              <w:tab w:val="right" w:leader="dot" w:pos="9016"/>
            </w:tabs>
            <w:rPr>
              <w:rFonts w:eastAsiaTheme="minorEastAsia"/>
              <w:noProof/>
              <w:lang w:val="en-IN" w:eastAsia="en-IN"/>
            </w:rPr>
          </w:pPr>
          <w:hyperlink w:anchor="_Toc236397900" w:history="1">
            <w:r w:rsidRPr="003A1F7B">
              <w:rPr>
                <w:rStyle w:val="Hyperlink"/>
                <w:rFonts w:ascii="Arial" w:hAnsi="Arial" w:cs="Arial"/>
                <w:noProof/>
                <w:lang w:val="en-IN"/>
              </w:rPr>
              <w:t>Plan of Work and Time Schedule (Gantt Chart)</w:t>
            </w:r>
            <w:r>
              <w:rPr>
                <w:noProof/>
                <w:webHidden/>
              </w:rPr>
              <w:tab/>
            </w:r>
            <w:r>
              <w:rPr>
                <w:noProof/>
                <w:webHidden/>
              </w:rPr>
              <w:fldChar w:fldCharType="begin"/>
            </w:r>
            <w:r>
              <w:rPr>
                <w:noProof/>
                <w:webHidden/>
              </w:rPr>
              <w:instrText xml:space="preserve"> PAGEREF _Toc236397900 \h </w:instrText>
            </w:r>
            <w:r>
              <w:rPr>
                <w:noProof/>
                <w:webHidden/>
              </w:rPr>
            </w:r>
            <w:r>
              <w:rPr>
                <w:noProof/>
                <w:webHidden/>
              </w:rPr>
              <w:fldChar w:fldCharType="separate"/>
            </w:r>
            <w:r>
              <w:rPr>
                <w:noProof/>
                <w:webHidden/>
              </w:rPr>
              <w:t>11</w:t>
            </w:r>
            <w:r>
              <w:rPr>
                <w:noProof/>
                <w:webHidden/>
              </w:rPr>
              <w:fldChar w:fldCharType="end"/>
            </w:r>
          </w:hyperlink>
        </w:p>
        <w:p w14:paraId="0DBC2116" w14:textId="175D68E3" w:rsidR="00A11F61" w:rsidRDefault="00A11F61">
          <w:pPr>
            <w:pStyle w:val="TOC1"/>
            <w:tabs>
              <w:tab w:val="right" w:leader="dot" w:pos="9016"/>
            </w:tabs>
            <w:rPr>
              <w:rFonts w:eastAsiaTheme="minorEastAsia"/>
              <w:noProof/>
              <w:lang w:val="en-IN" w:eastAsia="en-IN"/>
            </w:rPr>
          </w:pPr>
          <w:hyperlink w:anchor="_Toc236397901" w:history="1">
            <w:r w:rsidRPr="003A1F7B">
              <w:rPr>
                <w:rStyle w:val="Hyperlink"/>
                <w:rFonts w:ascii="Arial" w:hAnsi="Arial" w:cs="Arial"/>
                <w:noProof/>
                <w:lang w:val="en-IN"/>
              </w:rPr>
              <w:t>References</w:t>
            </w:r>
            <w:r>
              <w:rPr>
                <w:noProof/>
                <w:webHidden/>
              </w:rPr>
              <w:tab/>
            </w:r>
            <w:r>
              <w:rPr>
                <w:noProof/>
                <w:webHidden/>
              </w:rPr>
              <w:fldChar w:fldCharType="begin"/>
            </w:r>
            <w:r>
              <w:rPr>
                <w:noProof/>
                <w:webHidden/>
              </w:rPr>
              <w:instrText xml:space="preserve"> PAGEREF _Toc236397901 \h </w:instrText>
            </w:r>
            <w:r>
              <w:rPr>
                <w:noProof/>
                <w:webHidden/>
              </w:rPr>
            </w:r>
            <w:r>
              <w:rPr>
                <w:noProof/>
                <w:webHidden/>
              </w:rPr>
              <w:fldChar w:fldCharType="separate"/>
            </w:r>
            <w:r>
              <w:rPr>
                <w:noProof/>
                <w:webHidden/>
              </w:rPr>
              <w:t>12</w:t>
            </w:r>
            <w:r>
              <w:rPr>
                <w:noProof/>
                <w:webHidden/>
              </w:rPr>
              <w:fldChar w:fldCharType="end"/>
            </w:r>
          </w:hyperlink>
        </w:p>
        <w:p w14:paraId="34B85023" w14:textId="054DF4D4" w:rsidR="0012280B" w:rsidRPr="003E7031" w:rsidRDefault="002710FA" w:rsidP="007A4E0C">
          <w:pPr>
            <w:spacing w:line="360" w:lineRule="auto"/>
            <w:rPr>
              <w:rFonts w:ascii="Arial" w:hAnsi="Arial" w:cs="Arial"/>
            </w:rPr>
          </w:pPr>
          <w:r w:rsidRPr="003E7031">
            <w:rPr>
              <w:rFonts w:ascii="Arial" w:hAnsi="Arial" w:cs="Arial"/>
              <w:b/>
              <w:bCs/>
            </w:rPr>
            <w:fldChar w:fldCharType="end"/>
          </w:r>
        </w:p>
      </w:sdtContent>
    </w:sdt>
    <w:p w14:paraId="34B85024" w14:textId="77777777" w:rsidR="0012280B" w:rsidRPr="003E7031" w:rsidRDefault="0012280B" w:rsidP="007A4E0C">
      <w:pPr>
        <w:spacing w:line="360" w:lineRule="auto"/>
        <w:rPr>
          <w:rFonts w:ascii="Arial" w:hAnsi="Arial" w:cs="Arial"/>
          <w:b/>
          <w:bCs/>
          <w:sz w:val="22"/>
          <w:szCs w:val="22"/>
          <w:lang w:val="en-IN"/>
        </w:rPr>
      </w:pPr>
    </w:p>
    <w:p w14:paraId="34B85025" w14:textId="77777777" w:rsidR="0012280B" w:rsidRPr="003E7031" w:rsidRDefault="002710FA">
      <w:pPr>
        <w:rPr>
          <w:rFonts w:ascii="Arial" w:hAnsi="Arial" w:cs="Arial"/>
          <w:b/>
          <w:bCs/>
          <w:sz w:val="22"/>
          <w:szCs w:val="22"/>
          <w:lang w:val="en-IN"/>
        </w:rPr>
      </w:pPr>
      <w:r w:rsidRPr="003E7031">
        <w:rPr>
          <w:rFonts w:ascii="Arial" w:hAnsi="Arial" w:cs="Arial"/>
          <w:b/>
          <w:bCs/>
          <w:sz w:val="22"/>
          <w:szCs w:val="22"/>
          <w:lang w:val="en-IN"/>
        </w:rPr>
        <w:br w:type="page"/>
      </w:r>
    </w:p>
    <w:p w14:paraId="31FB90F8" w14:textId="26BBF829" w:rsidR="003B3BB7" w:rsidRPr="00A94365" w:rsidRDefault="002710FA" w:rsidP="00A94365">
      <w:pPr>
        <w:pStyle w:val="Heading1"/>
        <w:rPr>
          <w:rFonts w:ascii="Arial" w:hAnsi="Arial" w:cs="Arial"/>
          <w:sz w:val="36"/>
          <w:szCs w:val="36"/>
          <w:lang w:val="en-IN"/>
        </w:rPr>
      </w:pPr>
      <w:bookmarkStart w:id="0" w:name="_Toc236397885"/>
      <w:r w:rsidRPr="00D32D92">
        <w:rPr>
          <w:rFonts w:ascii="Arial" w:hAnsi="Arial" w:cs="Arial"/>
          <w:sz w:val="36"/>
          <w:szCs w:val="36"/>
          <w:lang w:val="en-IN"/>
        </w:rPr>
        <w:lastRenderedPageBreak/>
        <w:t>The prevalence of the problem identified in health and social care</w:t>
      </w:r>
      <w:bookmarkEnd w:id="0"/>
    </w:p>
    <w:p w14:paraId="46250BEC" w14:textId="77777777" w:rsidR="00A94365" w:rsidRPr="00A94365" w:rsidRDefault="00A94365" w:rsidP="00A94365">
      <w:pPr>
        <w:spacing w:line="360" w:lineRule="auto"/>
        <w:rPr>
          <w:rFonts w:ascii="Arial" w:hAnsi="Arial" w:cs="Arial"/>
          <w:sz w:val="22"/>
          <w:szCs w:val="22"/>
          <w:lang w:val="en-IN"/>
        </w:rPr>
      </w:pPr>
      <w:r w:rsidRPr="00A94365">
        <w:rPr>
          <w:rFonts w:ascii="Arial" w:hAnsi="Arial" w:cs="Arial"/>
          <w:sz w:val="22"/>
          <w:szCs w:val="22"/>
          <w:lang w:val="en-IN"/>
        </w:rPr>
        <w:t>Menopause is a major and growing public health concern in England, affecting primary care delivery, women's wellbeing, and health disparities. Around 13 million UK women are perimenopausal or postmenopausal, with roughly 400,000 nearing menopause each year, typically around age 51, though symptoms often appear earlier (DHSC, 2022; NICE, 2024). Vasomotor, psychiatric, musculoskeletal, and urogenital symptoms can persist for years and are frequently overlooked in practice (Avis et al., 2015).</w:t>
      </w:r>
    </w:p>
    <w:p w14:paraId="11D1B2FC" w14:textId="16473EAB" w:rsidR="00130F77" w:rsidRPr="003E7031" w:rsidRDefault="00A94365" w:rsidP="00A94365">
      <w:pPr>
        <w:spacing w:line="360" w:lineRule="auto"/>
        <w:rPr>
          <w:rFonts w:ascii="Arial" w:hAnsi="Arial" w:cs="Arial"/>
          <w:sz w:val="22"/>
          <w:szCs w:val="22"/>
          <w:lang w:val="en-IN"/>
        </w:rPr>
      </w:pPr>
      <w:r w:rsidRPr="00A94365">
        <w:rPr>
          <w:rFonts w:ascii="Arial" w:hAnsi="Arial" w:cs="Arial"/>
          <w:sz w:val="22"/>
          <w:szCs w:val="22"/>
          <w:lang w:val="en-IN"/>
        </w:rPr>
        <w:t>Unmet need in general practice remains a key concern: many women report feeling ignored or unsupported, and GP confidence, prescribing patterns, and access to specialist services vary widely across England (DHSC, 2022; Hickey et al., 2017). The Women's Health Strategy (2022) and its 2026 renewal reaffirm menopause as a policy priority, but ongoing commitments suggest implementation gaps persist and warrant further examination.</w:t>
      </w:r>
    </w:p>
    <w:p w14:paraId="34B8502B" w14:textId="77777777" w:rsidR="0012280B" w:rsidRPr="00D32D92" w:rsidRDefault="002710FA">
      <w:pPr>
        <w:pStyle w:val="Heading1"/>
        <w:rPr>
          <w:rFonts w:ascii="Arial" w:hAnsi="Arial" w:cs="Arial"/>
          <w:sz w:val="36"/>
          <w:szCs w:val="36"/>
          <w:lang w:val="en-IN"/>
        </w:rPr>
      </w:pPr>
      <w:bookmarkStart w:id="1" w:name="_Toc236397886"/>
      <w:r w:rsidRPr="00D32D92">
        <w:rPr>
          <w:rFonts w:ascii="Arial" w:hAnsi="Arial" w:cs="Arial"/>
          <w:sz w:val="36"/>
          <w:szCs w:val="36"/>
          <w:lang w:val="en-IN"/>
        </w:rPr>
        <w:t>Literature Review</w:t>
      </w:r>
      <w:bookmarkEnd w:id="1"/>
    </w:p>
    <w:p w14:paraId="34B8502C"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Introduction</w:t>
      </w:r>
    </w:p>
    <w:p w14:paraId="34B8502D"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Menopause is widely regarded as a major women's health concern that has an impact on physical health, psychological well-being, quality of life, and healthcare consumption. Menopause was highlighted as a national priority by the Women's Health Strategy for England, which advocated greater GP education, women's health hubs, and enhanced care pathways (DHSC, 2022). Because general practitioners (GPs) are typically the first point of contact, the quality of menopausal care in primary care is critical to meeting these objectives. However, it is unknown how far policy objectives have been applied in ordinary practice, emphasising the importance of reviewing current literature to discover consensus, contradictions, and gaps.</w:t>
      </w:r>
    </w:p>
    <w:p w14:paraId="4F237AB2" w14:textId="77777777" w:rsidR="003B3BB7" w:rsidRPr="003E7031" w:rsidRDefault="003B3BB7">
      <w:pPr>
        <w:spacing w:line="360" w:lineRule="auto"/>
        <w:rPr>
          <w:rFonts w:ascii="Arial" w:hAnsi="Arial" w:cs="Arial"/>
          <w:sz w:val="22"/>
          <w:szCs w:val="22"/>
          <w:lang w:val="en-IN"/>
        </w:rPr>
      </w:pPr>
    </w:p>
    <w:p w14:paraId="31E1EC4D" w14:textId="77777777" w:rsidR="003B3BB7" w:rsidRPr="003E7031" w:rsidRDefault="003B3BB7">
      <w:pPr>
        <w:spacing w:line="360" w:lineRule="auto"/>
        <w:rPr>
          <w:rFonts w:ascii="Arial" w:hAnsi="Arial" w:cs="Arial"/>
          <w:sz w:val="22"/>
          <w:szCs w:val="22"/>
          <w:lang w:val="en-IN"/>
        </w:rPr>
      </w:pPr>
    </w:p>
    <w:p w14:paraId="34B8502E"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Policy Context and Evolution</w:t>
      </w:r>
    </w:p>
    <w:p w14:paraId="34B85030" w14:textId="6B7F1CB8"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 xml:space="preserve">Menopause policies have changed dramatically over the last two decades. Following the Women's Health Initiative and the Million Women Study, HRT prescriptions decreased due to worries about breast cancer and cardiovascular risk (Million Women Study Collaborators, 2003). Later research gave a more balanced view of hazards and benefits, notably among younger postmenopausal women (Lumsden et al., 2016). </w:t>
      </w:r>
      <w:r w:rsidRPr="003E7031">
        <w:rPr>
          <w:rFonts w:ascii="Arial" w:hAnsi="Arial" w:cs="Arial"/>
          <w:sz w:val="22"/>
          <w:szCs w:val="22"/>
          <w:lang w:val="en-IN"/>
        </w:rPr>
        <w:br/>
      </w:r>
      <w:r w:rsidRPr="003E7031">
        <w:rPr>
          <w:rFonts w:ascii="Arial" w:hAnsi="Arial" w:cs="Arial"/>
          <w:sz w:val="22"/>
          <w:szCs w:val="22"/>
          <w:lang w:val="en-IN"/>
        </w:rPr>
        <w:lastRenderedPageBreak/>
        <w:t xml:space="preserve">Significant policy developments include: • NICE NG23 (2015) outlines uniform diagnosis and management. </w:t>
      </w:r>
      <w:r w:rsidRPr="003E7031">
        <w:rPr>
          <w:rFonts w:ascii="Arial" w:hAnsi="Arial" w:cs="Arial"/>
          <w:sz w:val="22"/>
          <w:szCs w:val="22"/>
          <w:lang w:val="en-IN"/>
        </w:rPr>
        <w:br/>
        <w:t xml:space="preserve">• The NHS Long Term Plan (2019) promotes tailored, integrated care. </w:t>
      </w:r>
      <w:r w:rsidRPr="003E7031">
        <w:rPr>
          <w:rFonts w:ascii="Arial" w:hAnsi="Arial" w:cs="Arial"/>
          <w:sz w:val="22"/>
          <w:szCs w:val="22"/>
          <w:lang w:val="en-IN"/>
        </w:rPr>
        <w:br/>
        <w:t xml:space="preserve">• Women's Health Strategy (2022) prioritises menopause care and training. </w:t>
      </w:r>
      <w:r w:rsidRPr="003E7031">
        <w:rPr>
          <w:rFonts w:ascii="Arial" w:hAnsi="Arial" w:cs="Arial"/>
          <w:sz w:val="22"/>
          <w:szCs w:val="22"/>
          <w:lang w:val="en-IN"/>
        </w:rPr>
        <w:br/>
        <w:t xml:space="preserve">• The HRT Prepayment Certificate (2023) has decreased cost barriers. </w:t>
      </w:r>
      <w:r w:rsidRPr="003E7031">
        <w:rPr>
          <w:rFonts w:ascii="Arial" w:hAnsi="Arial" w:cs="Arial"/>
          <w:sz w:val="22"/>
          <w:szCs w:val="22"/>
          <w:lang w:val="en-IN"/>
        </w:rPr>
        <w:br/>
        <w:t xml:space="preserve">• Women's Health Hubs (2023-2026) provide integrated community care. </w:t>
      </w:r>
      <w:r w:rsidRPr="003E7031">
        <w:rPr>
          <w:rFonts w:ascii="Arial" w:hAnsi="Arial" w:cs="Arial"/>
          <w:sz w:val="22"/>
          <w:szCs w:val="22"/>
          <w:lang w:val="en-IN"/>
        </w:rPr>
        <w:br/>
        <w:t>These programs show great policy commitment, but the evidence of their influence on everyday GP practice is sparse.</w:t>
      </w:r>
    </w:p>
    <w:p w14:paraId="34B85031"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Clinical Evidence for Menopause Management</w:t>
      </w:r>
    </w:p>
    <w:p w14:paraId="66B1D7BD" w14:textId="218AB6EE" w:rsidR="008D4F3D" w:rsidRPr="008D4F3D" w:rsidRDefault="008D4F3D" w:rsidP="008D4F3D">
      <w:pPr>
        <w:spacing w:line="360" w:lineRule="auto"/>
        <w:rPr>
          <w:rFonts w:ascii="Arial" w:hAnsi="Arial" w:cs="Arial"/>
          <w:sz w:val="22"/>
          <w:szCs w:val="22"/>
          <w:lang w:val="en-IN"/>
        </w:rPr>
      </w:pPr>
      <w:r w:rsidRPr="008D4F3D">
        <w:rPr>
          <w:rFonts w:ascii="Arial" w:hAnsi="Arial" w:cs="Arial"/>
          <w:sz w:val="22"/>
          <w:szCs w:val="22"/>
          <w:lang w:val="en-IN"/>
        </w:rPr>
        <w:t xml:space="preserve">Guidelines propose identifying menopause in women over 45 with typical symptoms and promoting tailored HRT through shared decision-making. UK observational studies have changed prescribing practices. Vinogradova et al. (2019) discovered that transdermal HRT had a lower risk of venous thromboembolism than oral HRT, but Vinogradova et al. (2020) observed that breast cancer risk changes with HRT type and duration. </w:t>
      </w:r>
      <w:r w:rsidRPr="008D4F3D">
        <w:rPr>
          <w:rFonts w:ascii="Arial" w:hAnsi="Arial" w:cs="Arial"/>
          <w:sz w:val="22"/>
          <w:szCs w:val="22"/>
          <w:lang w:val="en-IN"/>
        </w:rPr>
        <w:br/>
        <w:t>However, observational studies cannot prove causality, and prescribing data offers no insight into consultation quality or patient involvement. As a result, there is more data supporting treatment safety than person-centred care.</w:t>
      </w:r>
    </w:p>
    <w:p w14:paraId="34B85033"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GP Knowledge, Confidence, and Professional Capability</w:t>
      </w:r>
    </w:p>
    <w:p w14:paraId="34B85034"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 xml:space="preserve">Research reveals disparities in GP knowledge and confidence in menopausal management. Rees et al. (2019) found disparities in training access, prescribing confidence, and difficult case management, which are consistent with Sukumar et al.'s (2021) findings. This shows that menopause has long been under-represented in medical education and continuous professional development. </w:t>
      </w:r>
      <w:r w:rsidRPr="003E7031">
        <w:rPr>
          <w:rFonts w:ascii="Arial" w:hAnsi="Arial" w:cs="Arial"/>
          <w:sz w:val="22"/>
          <w:szCs w:val="22"/>
          <w:lang w:val="en-IN"/>
        </w:rPr>
        <w:br/>
        <w:t>Most research are based on self-reported confidence rather than actual ability. They also prioritise individual knowledge gaps over organisational issues such as workload, consultation time, continuity of treatment, and availability to professional support. These contextual factors warrant additional investigation.</w:t>
      </w:r>
    </w:p>
    <w:p w14:paraId="34B85037" w14:textId="29F29BE3" w:rsidR="0012280B" w:rsidRPr="003E7031" w:rsidRDefault="002710FA">
      <w:pPr>
        <w:spacing w:line="360" w:lineRule="auto"/>
        <w:rPr>
          <w:rFonts w:ascii="Arial" w:hAnsi="Arial" w:cs="Arial"/>
          <w:sz w:val="22"/>
          <w:szCs w:val="22"/>
          <w:lang w:val="en-IN"/>
        </w:rPr>
      </w:pPr>
      <w:r w:rsidRPr="003E7031">
        <w:rPr>
          <w:rFonts w:ascii="Arial" w:hAnsi="Arial" w:cs="Arial"/>
          <w:b/>
          <w:bCs/>
          <w:sz w:val="22"/>
          <w:szCs w:val="22"/>
          <w:lang w:val="en-IN"/>
        </w:rPr>
        <w:t>Women's Experiences with Menopause Care</w:t>
      </w:r>
      <w:r w:rsidRPr="003E7031">
        <w:rPr>
          <w:rFonts w:ascii="Arial" w:hAnsi="Arial" w:cs="Arial"/>
          <w:sz w:val="22"/>
          <w:szCs w:val="22"/>
          <w:lang w:val="en-IN"/>
        </w:rPr>
        <w:t xml:space="preserve"> </w:t>
      </w:r>
      <w:r w:rsidRPr="003E7031">
        <w:rPr>
          <w:rFonts w:ascii="Arial" w:hAnsi="Arial" w:cs="Arial"/>
          <w:sz w:val="22"/>
          <w:szCs w:val="22"/>
          <w:lang w:val="en-IN"/>
        </w:rPr>
        <w:br/>
        <w:t xml:space="preserve">According to qualitative research, many women face delays in diagnosis and treatment and frequently believe their symptoms are disregarded or downplayed (Jack et al., 2021). These findings are consistent with evidence from the Women's Health Strategy consultation (DHSC, 2022). Communication, empathy, affirmation, and collaborative decision-making are among the key topics. </w:t>
      </w:r>
      <w:r w:rsidRPr="003E7031">
        <w:rPr>
          <w:rFonts w:ascii="Arial" w:hAnsi="Arial" w:cs="Arial"/>
          <w:sz w:val="22"/>
          <w:szCs w:val="22"/>
          <w:lang w:val="en-IN"/>
        </w:rPr>
        <w:br/>
        <w:t xml:space="preserve">Although qualitative studies may over-represent negative experiences due to limited sample </w:t>
      </w:r>
      <w:r w:rsidRPr="003E7031">
        <w:rPr>
          <w:rFonts w:ascii="Arial" w:hAnsi="Arial" w:cs="Arial"/>
          <w:sz w:val="22"/>
          <w:szCs w:val="22"/>
          <w:lang w:val="en-IN"/>
        </w:rPr>
        <w:lastRenderedPageBreak/>
        <w:t>sizes, the consistency of findings across studies indicates significant heterogeneity in care quality.</w:t>
      </w:r>
    </w:p>
    <w:p w14:paraId="34B85038"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Inequalities in Access and Care</w:t>
      </w:r>
    </w:p>
    <w:p w14:paraId="34B85039"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Evidence suggests inequities in menopause care. Women from minority ethnic origins may have lesser knowledge, alternative cultural interpretations of symptoms, and use less HRT (Szczepura et al., 2018). Socioeconomic hardship is also associated with decreased access to information and services. Despite official promises to equity, large-scale UK evidence on these inequities is scarce, highlighting a significant vacuum in the literature.</w:t>
      </w:r>
    </w:p>
    <w:p w14:paraId="34B8503A" w14:textId="77777777" w:rsidR="0012280B" w:rsidRPr="003E7031" w:rsidRDefault="002710FA" w:rsidP="00D32D92">
      <w:pPr>
        <w:spacing w:line="360" w:lineRule="auto"/>
        <w:rPr>
          <w:rFonts w:ascii="Arial" w:hAnsi="Arial" w:cs="Arial"/>
          <w:sz w:val="22"/>
          <w:szCs w:val="22"/>
          <w:lang w:val="en-IN"/>
        </w:rPr>
      </w:pPr>
      <w:r w:rsidRPr="003E7031">
        <w:rPr>
          <w:rFonts w:ascii="Arial" w:hAnsi="Arial" w:cs="Arial"/>
          <w:b/>
          <w:bCs/>
          <w:sz w:val="22"/>
          <w:szCs w:val="22"/>
          <w:lang w:val="en-IN"/>
        </w:rPr>
        <w:t>Methodological Limitations of Existing Literature</w:t>
      </w:r>
      <w:r w:rsidRPr="003E7031">
        <w:rPr>
          <w:rFonts w:ascii="Arial" w:hAnsi="Arial" w:cs="Arial"/>
          <w:sz w:val="22"/>
          <w:szCs w:val="22"/>
          <w:lang w:val="en-IN"/>
        </w:rPr>
        <w:t xml:space="preserve"> </w:t>
      </w:r>
      <w:r w:rsidRPr="003E7031">
        <w:rPr>
          <w:rFonts w:ascii="Arial" w:hAnsi="Arial" w:cs="Arial"/>
          <w:sz w:val="22"/>
          <w:szCs w:val="22"/>
          <w:lang w:val="en-IN"/>
        </w:rPr>
        <w:br/>
        <w:t>The literature is distinguished by its methodological diversity, which includes cross-sectional surveys, qualitative interviews, observational prescribing studies, and descriptive service assessments. The prevalence of self-reported data and non-experimental methods makes it difficult to demonstrate causation or assess the efficacy of policy initiatives like Women's Health Hubs. Few research combine clinician opinions, patient experiences, and organisational aspects into a unified analytical framework.</w:t>
      </w:r>
    </w:p>
    <w:p w14:paraId="34B8503B"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Research Gap and Proposed Contribution</w:t>
      </w:r>
    </w:p>
    <w:p w14:paraId="34B8503C"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Overall, policymakers are strongly committed to enhancing menopausal care through national plans and service changes. However, information on implementation in ordinary general practice is lacking, particularly in terms of GP experiences under workload pressures and organisational restrictions.</w:t>
      </w:r>
    </w:p>
    <w:p w14:paraId="3C978AE3" w14:textId="50252419" w:rsidR="004F400C" w:rsidRPr="003E7031" w:rsidRDefault="002710FA" w:rsidP="00C923D5">
      <w:pPr>
        <w:spacing w:after="0" w:line="360" w:lineRule="auto"/>
        <w:rPr>
          <w:rFonts w:ascii="Arial" w:hAnsi="Arial" w:cs="Arial"/>
          <w:sz w:val="22"/>
          <w:szCs w:val="22"/>
          <w:lang w:val="en-IN"/>
        </w:rPr>
      </w:pPr>
      <w:r w:rsidRPr="003E7031">
        <w:rPr>
          <w:rFonts w:ascii="Arial" w:hAnsi="Arial" w:cs="Arial"/>
          <w:sz w:val="22"/>
          <w:szCs w:val="22"/>
          <w:lang w:val="en-IN"/>
        </w:rPr>
        <w:t xml:space="preserve">This study will </w:t>
      </w:r>
      <w:r w:rsidR="000C6286" w:rsidRPr="003E7031">
        <w:rPr>
          <w:rFonts w:ascii="Arial" w:hAnsi="Arial" w:cs="Arial"/>
          <w:sz w:val="22"/>
          <w:szCs w:val="22"/>
          <w:lang w:val="en-IN"/>
        </w:rPr>
        <w:t>investigate</w:t>
      </w:r>
      <w:r w:rsidRPr="003E7031">
        <w:rPr>
          <w:rFonts w:ascii="Arial" w:hAnsi="Arial" w:cs="Arial"/>
          <w:sz w:val="22"/>
          <w:szCs w:val="22"/>
          <w:lang w:val="en-IN"/>
        </w:rPr>
        <w:t xml:space="preserve"> whether GPs believe they can deliver on the goals of the Women's Health Strategy, as well as identify barriers and facilitators to successful menopausal care. It attempts to provide a more comprehensive understanding of present practice while also</w:t>
      </w:r>
      <w:r w:rsidR="00026441">
        <w:rPr>
          <w:rFonts w:ascii="Arial" w:hAnsi="Arial" w:cs="Arial"/>
          <w:sz w:val="22"/>
          <w:szCs w:val="22"/>
          <w:lang w:val="en-IN"/>
        </w:rPr>
        <w:t xml:space="preserve"> </w:t>
      </w:r>
      <w:r w:rsidRPr="003E7031">
        <w:rPr>
          <w:rFonts w:ascii="Arial" w:hAnsi="Arial" w:cs="Arial"/>
          <w:sz w:val="22"/>
          <w:szCs w:val="22"/>
          <w:lang w:val="en-IN"/>
        </w:rPr>
        <w:t>informing future policy, training, and service improvement.</w:t>
      </w:r>
      <w:r w:rsidR="001532B6" w:rsidRPr="001532B6">
        <w:rPr>
          <w:noProof/>
        </w:rPr>
        <w:t xml:space="preserve"> </w:t>
      </w:r>
      <w:r w:rsidR="004F400C" w:rsidRPr="003E7031">
        <w:rPr>
          <w:rFonts w:ascii="Arial" w:hAnsi="Arial" w:cs="Arial"/>
          <w:noProof/>
        </w:rPr>
        <mc:AlternateContent>
          <mc:Choice Requires="wps">
            <w:drawing>
              <wp:inline distT="0" distB="0" distL="0" distR="0" wp14:anchorId="23051F1E" wp14:editId="1707FBC7">
                <wp:extent cx="304800" cy="304800"/>
                <wp:effectExtent l="0" t="0" r="0" b="0"/>
                <wp:docPr id="165601521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F1EC00"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4B8503E" w14:textId="33AC056B" w:rsidR="0012280B" w:rsidRDefault="002710FA">
      <w:pPr>
        <w:pStyle w:val="Heading1"/>
        <w:rPr>
          <w:rFonts w:ascii="Arial" w:hAnsi="Arial" w:cs="Arial"/>
          <w:sz w:val="36"/>
          <w:szCs w:val="36"/>
          <w:lang w:val="en-IN"/>
        </w:rPr>
      </w:pPr>
      <w:bookmarkStart w:id="2" w:name="_Toc236397887"/>
      <w:r w:rsidRPr="00D32D92">
        <w:rPr>
          <w:rFonts w:ascii="Arial" w:hAnsi="Arial" w:cs="Arial"/>
          <w:sz w:val="36"/>
          <w:szCs w:val="36"/>
          <w:lang w:val="en-IN"/>
        </w:rPr>
        <w:t>Rationale of Research</w:t>
      </w:r>
      <w:bookmarkEnd w:id="2"/>
    </w:p>
    <w:p w14:paraId="4E83A7DB" w14:textId="77777777" w:rsidR="00A075BE" w:rsidRPr="00A075BE" w:rsidRDefault="00A075BE" w:rsidP="00A075BE">
      <w:pPr>
        <w:rPr>
          <w:lang w:val="en-IN"/>
        </w:rPr>
      </w:pPr>
      <w:r w:rsidRPr="00A075BE">
        <w:rPr>
          <w:lang w:val="en-IN"/>
        </w:rPr>
        <w:t>Despite the Women's Health Strategy for England (2022) recognising menopause as a national priority and driving reforms to GP training, care pathways, and access to services, GP confidence, prescribing habits, specialist support, and women's care experiences continue to vary. This study is needed because knowledge of whether general practice aligns with the Strategy remains fragmented across policy papers, clinical guidelines, observational studies, and qualitative research. A secondary research approach is therefore appropriate, enabling systematic, critical review of existing evidence without collecting primary data.</w:t>
      </w:r>
    </w:p>
    <w:p w14:paraId="664043E3" w14:textId="2BCB5234" w:rsidR="00D44B81" w:rsidRPr="00D44B81" w:rsidRDefault="00A075BE" w:rsidP="00A075BE">
      <w:pPr>
        <w:rPr>
          <w:lang w:val="en-IN"/>
        </w:rPr>
      </w:pPr>
      <w:r w:rsidRPr="00A075BE">
        <w:rPr>
          <w:lang w:val="en-IN"/>
        </w:rPr>
        <w:lastRenderedPageBreak/>
        <w:t>The study is justified by its policy relevance and focus on this evidence gap. By synthesising current literature, it aims to clarify how menopause care in general practice aligns with national policy goals and to inform future service improvement.</w:t>
      </w:r>
    </w:p>
    <w:p w14:paraId="34B85043" w14:textId="77777777" w:rsidR="0012280B" w:rsidRPr="00D32D92" w:rsidRDefault="002710FA">
      <w:pPr>
        <w:pStyle w:val="Heading1"/>
        <w:rPr>
          <w:rFonts w:ascii="Arial" w:hAnsi="Arial" w:cs="Arial"/>
          <w:sz w:val="36"/>
          <w:szCs w:val="36"/>
          <w:lang w:val="en-IN"/>
        </w:rPr>
      </w:pPr>
      <w:bookmarkStart w:id="3" w:name="_Toc236397888"/>
      <w:r w:rsidRPr="00D32D92">
        <w:rPr>
          <w:rFonts w:ascii="Arial" w:hAnsi="Arial" w:cs="Arial"/>
          <w:sz w:val="36"/>
          <w:szCs w:val="36"/>
          <w:lang w:val="en-IN"/>
        </w:rPr>
        <w:t>Research Questions</w:t>
      </w:r>
      <w:bookmarkEnd w:id="3"/>
    </w:p>
    <w:p w14:paraId="34B85044" w14:textId="77777777" w:rsidR="0012280B" w:rsidRPr="003E7031" w:rsidRDefault="002710FA">
      <w:pPr>
        <w:pStyle w:val="ListParagraph"/>
        <w:numPr>
          <w:ilvl w:val="0"/>
          <w:numId w:val="1"/>
        </w:num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To what extent does existing evidence suggest that general practice in England is delivering menopause care in line with the Women’s Health Strategy for UK?</w:t>
      </w:r>
    </w:p>
    <w:p w14:paraId="34B85045" w14:textId="77777777" w:rsidR="0012280B" w:rsidRPr="003E7031" w:rsidRDefault="002710FA">
      <w:pPr>
        <w:pStyle w:val="ListParagraph"/>
        <w:numPr>
          <w:ilvl w:val="0"/>
          <w:numId w:val="1"/>
        </w:num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What barriers and facilitators to effective menopause care in general practice are identified in the literature?</w:t>
      </w:r>
    </w:p>
    <w:p w14:paraId="34B85046" w14:textId="77777777" w:rsidR="0012280B" w:rsidRPr="00D32D92" w:rsidRDefault="002710FA">
      <w:pPr>
        <w:pStyle w:val="Heading1"/>
        <w:rPr>
          <w:rFonts w:ascii="Arial" w:hAnsi="Arial" w:cs="Arial"/>
          <w:sz w:val="36"/>
          <w:szCs w:val="36"/>
          <w:lang w:val="en-IN"/>
        </w:rPr>
      </w:pPr>
      <w:bookmarkStart w:id="4" w:name="_Toc236397889"/>
      <w:r w:rsidRPr="00D32D92">
        <w:rPr>
          <w:rFonts w:ascii="Arial" w:hAnsi="Arial" w:cs="Arial"/>
          <w:sz w:val="36"/>
          <w:szCs w:val="36"/>
          <w:lang w:val="en-IN"/>
        </w:rPr>
        <w:t>Research Aim</w:t>
      </w:r>
      <w:bookmarkEnd w:id="4"/>
    </w:p>
    <w:p w14:paraId="34B85047" w14:textId="77777777" w:rsidR="0012280B" w:rsidRPr="003E7031" w:rsidRDefault="002710FA">
      <w:p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critically evaluate existing literature and policy evidence to determine whether general practice in UK is delivering menopause care in accordance with the Women’s Health Strategy for UK.</w:t>
      </w:r>
    </w:p>
    <w:p w14:paraId="34B85048" w14:textId="77777777" w:rsidR="0012280B" w:rsidRPr="00D32D92" w:rsidRDefault="002710FA" w:rsidP="00C84B3D">
      <w:pPr>
        <w:pStyle w:val="Heading1"/>
        <w:rPr>
          <w:rFonts w:ascii="Arial" w:hAnsi="Arial" w:cs="Arial"/>
          <w:sz w:val="36"/>
          <w:szCs w:val="36"/>
          <w:lang w:val="en-IN"/>
        </w:rPr>
      </w:pPr>
      <w:bookmarkStart w:id="5" w:name="_Toc236397890"/>
      <w:r w:rsidRPr="00D32D92">
        <w:rPr>
          <w:rFonts w:ascii="Arial" w:hAnsi="Arial" w:cs="Arial"/>
          <w:sz w:val="36"/>
          <w:szCs w:val="36"/>
          <w:lang w:val="en-IN"/>
        </w:rPr>
        <w:t>Research Objectives</w:t>
      </w:r>
      <w:bookmarkEnd w:id="5"/>
    </w:p>
    <w:p w14:paraId="34B85049" w14:textId="77777777" w:rsidR="0012280B" w:rsidRPr="003E7031" w:rsidRDefault="002710FA">
      <w:pPr>
        <w:pStyle w:val="ListParagraph"/>
        <w:numPr>
          <w:ilvl w:val="0"/>
          <w:numId w:val="2"/>
        </w:num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review national policy and clinical guidance relating to menopause care in general practice.</w:t>
      </w:r>
    </w:p>
    <w:p w14:paraId="34B8504A" w14:textId="77777777" w:rsidR="0012280B" w:rsidRPr="003E7031" w:rsidRDefault="002710FA">
      <w:pPr>
        <w:pStyle w:val="ListParagraph"/>
        <w:numPr>
          <w:ilvl w:val="0"/>
          <w:numId w:val="2"/>
        </w:num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examine published evidence on GP menopause care, including knowledge, confidence, prescribing practices, and women’s experiences.</w:t>
      </w:r>
    </w:p>
    <w:p w14:paraId="34B8504B" w14:textId="77777777" w:rsidR="0012280B" w:rsidRPr="003E7031" w:rsidRDefault="002710FA">
      <w:pPr>
        <w:pStyle w:val="ListParagraph"/>
        <w:numPr>
          <w:ilvl w:val="0"/>
          <w:numId w:val="2"/>
        </w:num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identify barriers and facilitators influencing the delivery of menopause care in general practice and assess their alignment with the Women’s Health Strategy.</w:t>
      </w:r>
    </w:p>
    <w:p w14:paraId="34B8504C" w14:textId="77777777" w:rsidR="0012280B" w:rsidRPr="00D32D92" w:rsidRDefault="002710FA">
      <w:pPr>
        <w:pStyle w:val="Heading1"/>
        <w:rPr>
          <w:rFonts w:ascii="Arial" w:hAnsi="Arial" w:cs="Arial"/>
          <w:sz w:val="36"/>
          <w:szCs w:val="36"/>
          <w:lang w:val="en-IN"/>
        </w:rPr>
      </w:pPr>
      <w:bookmarkStart w:id="6" w:name="_Toc236397891"/>
      <w:r w:rsidRPr="00D32D92">
        <w:rPr>
          <w:rFonts w:ascii="Arial" w:hAnsi="Arial" w:cs="Arial"/>
          <w:sz w:val="36"/>
          <w:szCs w:val="36"/>
          <w:lang w:val="en-IN"/>
        </w:rPr>
        <w:t>Research Methodology</w:t>
      </w:r>
      <w:bookmarkEnd w:id="6"/>
    </w:p>
    <w:p w14:paraId="1F2A2941" w14:textId="77777777" w:rsidR="00DB1EE1" w:rsidRDefault="00DB1EE1" w:rsidP="00DB1EE1">
      <w:pPr>
        <w:spacing w:line="360" w:lineRule="auto"/>
        <w:rPr>
          <w:rFonts w:ascii="Arial" w:eastAsia="Times New Roman" w:hAnsi="Arial" w:cs="Arial"/>
          <w:kern w:val="0"/>
          <w:sz w:val="22"/>
          <w:szCs w:val="22"/>
          <w:lang w:val="en-IN" w:eastAsia="en-IN"/>
          <w14:ligatures w14:val="none"/>
        </w:rPr>
      </w:pPr>
      <w:r w:rsidRPr="00DB1EE1">
        <w:rPr>
          <w:rFonts w:ascii="Arial" w:eastAsia="Times New Roman" w:hAnsi="Arial" w:cs="Arial"/>
          <w:kern w:val="0"/>
          <w:sz w:val="22"/>
          <w:szCs w:val="22"/>
          <w:lang w:val="en-IN" w:eastAsia="en-IN"/>
          <w14:ligatures w14:val="none"/>
        </w:rPr>
        <w:t>This project will conduct a Systematic Literature Review (SLR) to determine if general practitioners (GPs) are providing menopause care in accordance with the Women's Health Strategy for England. An SLR was chosen because it allows for a comprehensive, transparent, and reproducible synthesis of existing evidence rather than gathering new primary data (Aveyard, 2018; Booth, Sutton, and Papaioannou, 2016). This approach is suitable for the fragmented and methodologically diverse evidence base on menopause policy, clinical guidance, GP education, prescribing patterns, and women's experiences because it employs a structured process that reduces bias in study selection and interpretation (Page et al., 2021).</w:t>
      </w:r>
    </w:p>
    <w:p w14:paraId="7829C456" w14:textId="77777777" w:rsidR="007F1A96" w:rsidRPr="007F1A96" w:rsidRDefault="007F1A96" w:rsidP="007F1A96">
      <w:pPr>
        <w:spacing w:line="360" w:lineRule="auto"/>
        <w:rPr>
          <w:rFonts w:ascii="Arial" w:eastAsia="Times New Roman" w:hAnsi="Arial" w:cs="Arial"/>
          <w:kern w:val="0"/>
          <w:sz w:val="22"/>
          <w:szCs w:val="22"/>
          <w:lang w:val="en-IN" w:eastAsia="en-IN"/>
          <w14:ligatures w14:val="none"/>
        </w:rPr>
      </w:pPr>
      <w:r w:rsidRPr="007F1A96">
        <w:rPr>
          <w:rFonts w:ascii="Arial" w:eastAsia="Times New Roman" w:hAnsi="Arial" w:cs="Arial"/>
          <w:kern w:val="0"/>
          <w:sz w:val="22"/>
          <w:szCs w:val="22"/>
          <w:lang w:val="en-IN" w:eastAsia="en-IN"/>
          <w14:ligatures w14:val="none"/>
        </w:rPr>
        <w:t xml:space="preserve">The review will adhere to the PRISMA 2020 principles (Page et al., 2021), including a predefined search strategy, explicit eligibility criteria, a transparent screening procedure, and </w:t>
      </w:r>
      <w:r w:rsidRPr="007F1A96">
        <w:rPr>
          <w:rFonts w:ascii="Arial" w:eastAsia="Times New Roman" w:hAnsi="Arial" w:cs="Arial"/>
          <w:kern w:val="0"/>
          <w:sz w:val="22"/>
          <w:szCs w:val="22"/>
          <w:lang w:val="en-IN" w:eastAsia="en-IN"/>
          <w14:ligatures w14:val="none"/>
        </w:rPr>
        <w:lastRenderedPageBreak/>
        <w:t>systematic data extraction and synthesis. Because the study focuses on GPs' and women's experiences, perceptions, and organisational factors rather than clinical outcomes, it will employ a qualitative evidence synthesis informed by an interpretivist perspective, recognising that care is shaped by professional experience, organisational context, and policy environment.</w:t>
      </w:r>
    </w:p>
    <w:p w14:paraId="0481A25E" w14:textId="77777777" w:rsidR="007F1A96" w:rsidRPr="00DB1EE1" w:rsidRDefault="007F1A96" w:rsidP="00DB1EE1">
      <w:pPr>
        <w:spacing w:line="360" w:lineRule="auto"/>
        <w:rPr>
          <w:rFonts w:ascii="Arial" w:eastAsia="Times New Roman" w:hAnsi="Arial" w:cs="Arial"/>
          <w:kern w:val="0"/>
          <w:sz w:val="22"/>
          <w:szCs w:val="22"/>
          <w:lang w:val="en-IN" w:eastAsia="en-IN"/>
          <w14:ligatures w14:val="none"/>
        </w:rPr>
      </w:pPr>
    </w:p>
    <w:p w14:paraId="34B8504E"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Research Design: Search Strategy</w:t>
      </w:r>
    </w:p>
    <w:p w14:paraId="10000001"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A systematic search will be conducted across MEDLINE, CINAHL, the Cochrane Library, Google Scholar, and NICE Evidence, supplemented by grey literature searches of NHS and DHSC websites. Search terms will include “menopause”, “general practice”, “primary care”, “Women’s Health Strategy”, “GP confidence”, and “HRT”, combined using Boolean operators (AND/OR) and truncation to capture variant terms. Reference lists of key studies will also be hand-searched to identify further relevant sources.</w:t>
      </w:r>
    </w:p>
    <w:p w14:paraId="10000002"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Screening and Selection</w:t>
      </w:r>
    </w:p>
    <w:p w14:paraId="10000003"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Records will be screened in two stages against the inclusion and exclusion criteria set out below: an initial title and abstract screen, followed by full-text review of potentially eligible studies. The selection process will be documented and reported using a PRISMA flow diagram (Page et al., 2021), recording the number of records identified, screened, excluded, and included at each stage, together with reasons for exclusion, to ensure transparency and reproducibility.</w:t>
      </w:r>
    </w:p>
    <w:p w14:paraId="778D8D66" w14:textId="77777777" w:rsidR="001E4D30" w:rsidRDefault="001E4D30">
      <w:pPr>
        <w:spacing w:line="360" w:lineRule="auto"/>
        <w:rPr>
          <w:rFonts w:ascii="Arial" w:hAnsi="Arial" w:cs="Arial"/>
          <w:b/>
          <w:bCs/>
          <w:sz w:val="22"/>
          <w:szCs w:val="22"/>
          <w:lang w:val="en-IN"/>
        </w:rPr>
      </w:pPr>
    </w:p>
    <w:p w14:paraId="10000004" w14:textId="6E0CAE74" w:rsidR="0012280B"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Quality Appraisal</w:t>
      </w:r>
    </w:p>
    <w:p w14:paraId="07DA67CF" w14:textId="77777777" w:rsidR="001F3EF1" w:rsidRPr="001F3EF1" w:rsidRDefault="001F3EF1" w:rsidP="001F3EF1">
      <w:pPr>
        <w:spacing w:line="360" w:lineRule="auto"/>
        <w:rPr>
          <w:rFonts w:ascii="Arial" w:hAnsi="Arial" w:cs="Arial"/>
          <w:sz w:val="22"/>
          <w:szCs w:val="22"/>
          <w:lang w:val="en-IN"/>
        </w:rPr>
      </w:pPr>
      <w:r w:rsidRPr="001F3EF1">
        <w:rPr>
          <w:rFonts w:ascii="Arial" w:hAnsi="Arial" w:cs="Arial"/>
          <w:sz w:val="22"/>
          <w:szCs w:val="22"/>
          <w:lang w:val="en-IN"/>
        </w:rPr>
        <w:t>The methodological quality of included studies will be reviewed using the Critical Appraisal Skills Programme (CASP) checklists tailored to each study design (CASP, 2023), allowing for a critical evaluation of each source's trustworthiness, relevance, and outcomes. Policy and grey literature will be evaluated using the AACODS checklist (Tyndall, 2010), which takes into account authority, correctness, coverage, objectivity, date, and significance. Quality appraisal findings will inform, but not necessarily exclude, research from the synthesis.</w:t>
      </w:r>
    </w:p>
    <w:p w14:paraId="38936ADC" w14:textId="77777777" w:rsidR="001F3EF1" w:rsidRPr="003E7031" w:rsidRDefault="001F3EF1">
      <w:pPr>
        <w:spacing w:line="360" w:lineRule="auto"/>
        <w:rPr>
          <w:rFonts w:ascii="Arial" w:hAnsi="Arial" w:cs="Arial"/>
          <w:b/>
          <w:bCs/>
          <w:sz w:val="22"/>
          <w:szCs w:val="22"/>
          <w:lang w:val="en-IN"/>
        </w:rPr>
      </w:pPr>
    </w:p>
    <w:p w14:paraId="34B85200" w14:textId="77777777" w:rsidR="0012280B" w:rsidRDefault="002710FA">
      <w:pPr>
        <w:pStyle w:val="Heading1"/>
        <w:rPr>
          <w:rFonts w:ascii="Arial" w:hAnsi="Arial" w:cs="Arial"/>
          <w:sz w:val="36"/>
          <w:szCs w:val="36"/>
          <w:lang w:val="en-IN"/>
        </w:rPr>
      </w:pPr>
      <w:bookmarkStart w:id="7" w:name="_Toc236397892"/>
      <w:r w:rsidRPr="00D32D92">
        <w:rPr>
          <w:rFonts w:ascii="Arial" w:hAnsi="Arial" w:cs="Arial"/>
          <w:sz w:val="36"/>
          <w:szCs w:val="36"/>
          <w:lang w:val="en-IN"/>
        </w:rPr>
        <w:lastRenderedPageBreak/>
        <w:t>Recruitment, Sampling and Study Participants</w:t>
      </w:r>
      <w:bookmarkEnd w:id="7"/>
    </w:p>
    <w:p w14:paraId="14E05E12" w14:textId="77777777" w:rsidR="0019314F" w:rsidRPr="0019314F" w:rsidRDefault="0019314F" w:rsidP="0019314F">
      <w:pPr>
        <w:rPr>
          <w:lang w:val="en-IN"/>
        </w:rPr>
      </w:pPr>
      <w:r w:rsidRPr="0019314F">
        <w:rPr>
          <w:lang w:val="en-IN"/>
        </w:rPr>
        <w:t xml:space="preserve">This secondary research study will not seek volunteers directly. A selected sampling strategy will be utilised to discover pertinent English-language literature and policy materials on menopausal care in general practice in England. The sources will include UK-based studies, peer-reviewed articles, government reports, NICE guidance, NHS policy documents, and professional guidance published between 2015 and 2026, with a focus on menopause diagnosis, management, GP education, prescribing, women's experiences, health disparities, and policy implementation. </w:t>
      </w:r>
      <w:r w:rsidRPr="0019314F">
        <w:rPr>
          <w:lang w:val="en-IN"/>
        </w:rPr>
        <w:br/>
      </w:r>
      <w:r w:rsidRPr="0019314F">
        <w:rPr>
          <w:lang w:val="en-IN"/>
        </w:rPr>
        <w:br/>
        <w:t>Studies undertaken outside of the UK that are not applicable to NHS general practice, publications unrelated to primary care menopause management, and non-empirical opinion pieces will be eliminated. The included literature is likely to target GPs, practice nurses, menopausal specialists, and women receiving menopause care in primary care settings.</w:t>
      </w:r>
    </w:p>
    <w:p w14:paraId="182DE395" w14:textId="77777777" w:rsidR="002A32BE" w:rsidRPr="002A32BE" w:rsidRDefault="002A32BE" w:rsidP="002A32BE">
      <w:pPr>
        <w:rPr>
          <w:lang w:val="en-IN"/>
        </w:rPr>
      </w:pPr>
    </w:p>
    <w:p w14:paraId="34B85059" w14:textId="77777777" w:rsidR="0012280B" w:rsidRPr="00D32D92" w:rsidRDefault="002710FA">
      <w:pPr>
        <w:pStyle w:val="Heading1"/>
        <w:rPr>
          <w:rFonts w:ascii="Arial" w:hAnsi="Arial" w:cs="Arial"/>
          <w:sz w:val="36"/>
          <w:szCs w:val="36"/>
          <w:lang w:val="en-IN"/>
        </w:rPr>
      </w:pPr>
      <w:bookmarkStart w:id="8" w:name="_Toc236397893"/>
      <w:r w:rsidRPr="00D32D92">
        <w:rPr>
          <w:rFonts w:ascii="Arial" w:hAnsi="Arial" w:cs="Arial"/>
          <w:sz w:val="36"/>
          <w:szCs w:val="36"/>
          <w:lang w:val="en-IN"/>
        </w:rPr>
        <w:t>Materials and Data Collection  Procedure</w:t>
      </w:r>
      <w:bookmarkEnd w:id="8"/>
    </w:p>
    <w:p w14:paraId="7022D20F" w14:textId="77777777" w:rsidR="00990D98" w:rsidRDefault="0005181A">
      <w:pPr>
        <w:spacing w:line="360" w:lineRule="auto"/>
        <w:rPr>
          <w:rFonts w:ascii="Arial" w:eastAsia="Times New Roman" w:hAnsi="Arial" w:cs="Arial"/>
          <w:kern w:val="0"/>
          <w:sz w:val="22"/>
          <w:szCs w:val="22"/>
          <w:lang w:val="en-IN" w:eastAsia="en-IN"/>
          <w14:ligatures w14:val="none"/>
        </w:rPr>
      </w:pPr>
      <w:r w:rsidRPr="0005181A">
        <w:rPr>
          <w:rFonts w:ascii="Arial" w:eastAsia="Times New Roman" w:hAnsi="Arial" w:cs="Arial"/>
          <w:kern w:val="0"/>
          <w:sz w:val="22"/>
          <w:szCs w:val="22"/>
          <w:lang w:val="en-IN" w:eastAsia="en-IN"/>
          <w14:ligatures w14:val="none"/>
        </w:rPr>
        <w:t>The project will gather secondary data from published literature on menopausal care in general practice, with data extraction concentrating on each study's objectives, design, method, setting, and participant characteristics. Particular attention will be paid to GPs' knowledge, confidence, and competence, to organisational variables such as workload and continuity of care, and to relevant policy initiatives including women's health hubs and the HRT Prepayment Certificate.</w:t>
      </w:r>
    </w:p>
    <w:p w14:paraId="34B8505B" w14:textId="222E9550"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study will also look at evidence on the Women's Health Strategy for England's implementation and inequalities in menopausal care, such as discrepancies in access, treatment, and outcomes amongst demographic groups. Data will be extracted in a methodical manner using a defined extraction form to provide consistency and transparency throughout the review process.</w:t>
      </w:r>
    </w:p>
    <w:p w14:paraId="34B8505D" w14:textId="77777777" w:rsidR="0012280B" w:rsidRPr="00BD67F6" w:rsidRDefault="002710FA">
      <w:pPr>
        <w:pStyle w:val="Heading1"/>
        <w:rPr>
          <w:rFonts w:ascii="Arial" w:hAnsi="Arial" w:cs="Arial"/>
          <w:sz w:val="36"/>
          <w:szCs w:val="36"/>
          <w:lang w:val="en-IN"/>
        </w:rPr>
      </w:pPr>
      <w:bookmarkStart w:id="9" w:name="_Toc236397894"/>
      <w:r w:rsidRPr="00BD67F6">
        <w:rPr>
          <w:rFonts w:ascii="Arial" w:hAnsi="Arial" w:cs="Arial"/>
          <w:sz w:val="36"/>
          <w:szCs w:val="36"/>
          <w:lang w:val="en-IN"/>
        </w:rPr>
        <w:t>Who will be included?</w:t>
      </w:r>
      <w:bookmarkEnd w:id="9"/>
    </w:p>
    <w:p w14:paraId="34B8505E"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evidence reviewed will primarily concern GPs working in English general practice. Additional evidence relating to women’s experiences and healthcare professionals involved in menopause services will be included where it contributes to understanding barriers and facilitators in primary care.</w:t>
      </w:r>
    </w:p>
    <w:p w14:paraId="34B85060" w14:textId="77777777" w:rsidR="0012280B" w:rsidRPr="00BD67F6" w:rsidRDefault="002710FA">
      <w:pPr>
        <w:pStyle w:val="Heading1"/>
        <w:rPr>
          <w:rFonts w:ascii="Arial" w:hAnsi="Arial" w:cs="Arial"/>
          <w:sz w:val="36"/>
          <w:szCs w:val="36"/>
          <w:lang w:val="en-IN"/>
        </w:rPr>
      </w:pPr>
      <w:bookmarkStart w:id="10" w:name="_Toc236397895"/>
      <w:r w:rsidRPr="00BD67F6">
        <w:rPr>
          <w:rFonts w:ascii="Arial" w:hAnsi="Arial" w:cs="Arial"/>
          <w:sz w:val="36"/>
          <w:szCs w:val="36"/>
          <w:lang w:val="en-IN"/>
        </w:rPr>
        <w:lastRenderedPageBreak/>
        <w:t>How will the data be collected?</w:t>
      </w:r>
      <w:bookmarkEnd w:id="10"/>
    </w:p>
    <w:p w14:paraId="032F3813" w14:textId="77777777" w:rsidR="00794165" w:rsidRPr="00794165" w:rsidRDefault="00794165" w:rsidP="00794165">
      <w:pPr>
        <w:spacing w:line="360" w:lineRule="auto"/>
        <w:rPr>
          <w:rFonts w:ascii="Arial" w:eastAsia="Times New Roman" w:hAnsi="Arial" w:cs="Arial"/>
          <w:kern w:val="0"/>
          <w:sz w:val="22"/>
          <w:szCs w:val="22"/>
          <w:lang w:val="en-US" w:eastAsia="en-IN"/>
          <w14:ligatures w14:val="none"/>
        </w:rPr>
      </w:pPr>
      <w:r w:rsidRPr="00794165">
        <w:rPr>
          <w:rFonts w:ascii="Arial" w:eastAsia="Times New Roman" w:hAnsi="Arial" w:cs="Arial"/>
          <w:kern w:val="0"/>
          <w:sz w:val="22"/>
          <w:szCs w:val="22"/>
          <w:lang w:val="en-US" w:eastAsia="en-IN"/>
          <w14:ligatures w14:val="none"/>
        </w:rPr>
        <w:t xml:space="preserve">Data will be collected by applying the search strategy and screening process outlined under Research Design above. A data extraction table will be used to record each source's objectives, design, findings, and context, ensuring information is captured consistently and arranged according to the study's research questions. </w:t>
      </w:r>
    </w:p>
    <w:p w14:paraId="34B85063" w14:textId="4586E162" w:rsidR="0012280B" w:rsidRPr="003E7031" w:rsidRDefault="00794165" w:rsidP="00794165">
      <w:pPr>
        <w:spacing w:line="360" w:lineRule="auto"/>
        <w:rPr>
          <w:rFonts w:ascii="Arial" w:eastAsia="Times New Roman" w:hAnsi="Arial" w:cs="Arial"/>
          <w:kern w:val="0"/>
          <w:sz w:val="22"/>
          <w:szCs w:val="22"/>
          <w:lang w:val="en-US" w:eastAsia="en-IN"/>
          <w14:ligatures w14:val="none"/>
        </w:rPr>
      </w:pPr>
      <w:r w:rsidRPr="00794165">
        <w:rPr>
          <w:rFonts w:ascii="Arial" w:eastAsia="Times New Roman" w:hAnsi="Arial" w:cs="Arial"/>
          <w:kern w:val="0"/>
          <w:sz w:val="22"/>
          <w:szCs w:val="22"/>
          <w:lang w:val="en-US" w:eastAsia="en-IN"/>
          <w14:ligatures w14:val="none"/>
        </w:rPr>
        <w:t xml:space="preserve">This process will adhere to the standards of transparency and reproducibility expected of a rigorous SLR (Booth, Sutton and Papaioannou, 2016; Aveyard, 2018). Search dates, keywords, inclusion decisions, and reasons for exclusion will all be documented to support methodological </w:t>
      </w:r>
      <w:proofErr w:type="spellStart"/>
      <w:r w:rsidRPr="00794165">
        <w:rPr>
          <w:rFonts w:ascii="Arial" w:eastAsia="Times New Roman" w:hAnsi="Arial" w:cs="Arial"/>
          <w:kern w:val="0"/>
          <w:sz w:val="22"/>
          <w:szCs w:val="22"/>
          <w:lang w:val="en-US" w:eastAsia="en-IN"/>
          <w14:ligatures w14:val="none"/>
        </w:rPr>
        <w:t>rigour</w:t>
      </w:r>
      <w:proofErr w:type="spellEnd"/>
    </w:p>
    <w:p w14:paraId="34B85064" w14:textId="77777777" w:rsidR="0012280B" w:rsidRDefault="002710FA">
      <w:pPr>
        <w:pStyle w:val="Heading1"/>
        <w:rPr>
          <w:rFonts w:ascii="Arial" w:hAnsi="Arial" w:cs="Arial"/>
          <w:sz w:val="36"/>
          <w:szCs w:val="36"/>
          <w:lang w:val="en-IN"/>
        </w:rPr>
      </w:pPr>
      <w:bookmarkStart w:id="11" w:name="_Toc236397896"/>
      <w:r w:rsidRPr="00E422ED">
        <w:rPr>
          <w:rFonts w:ascii="Arial" w:hAnsi="Arial" w:cs="Arial"/>
          <w:sz w:val="36"/>
          <w:szCs w:val="36"/>
          <w:lang w:val="en-IN"/>
        </w:rPr>
        <w:t>Key review questions</w:t>
      </w:r>
      <w:bookmarkEnd w:id="11"/>
    </w:p>
    <w:p w14:paraId="42D90DCA" w14:textId="77777777" w:rsidR="005342BE" w:rsidRDefault="005342BE" w:rsidP="005342BE">
      <w:pPr>
        <w:rPr>
          <w:lang w:val="en-IN"/>
        </w:rPr>
      </w:pPr>
      <w:r w:rsidRPr="005342BE">
        <w:rPr>
          <w:lang w:val="en-IN"/>
        </w:rPr>
        <w:t>The review will be directed by questions aligned with the study's aims: how GPs perceive their role in menopause care; the evidence on GP knowledge, confidence, and competence, including training gaps; and organisational barriers (workload, consultation time, continuity of care, access to specialist services) and facilitators (clinical guidelines, training initiatives, women's health hubs) that shape care delivery.</w:t>
      </w:r>
    </w:p>
    <w:p w14:paraId="71F12D9E" w14:textId="77777777" w:rsidR="007B59D7" w:rsidRPr="007B59D7" w:rsidRDefault="007B59D7" w:rsidP="007B59D7">
      <w:pPr>
        <w:rPr>
          <w:lang w:val="en-IN"/>
        </w:rPr>
      </w:pPr>
      <w:r w:rsidRPr="007B59D7">
        <w:rPr>
          <w:lang w:val="en-IN"/>
        </w:rPr>
        <w:t>The evidence on the implementation of the Women's Health Strategy and Women's Health Hubs, as well as gaps in access, treatment, and outcomes by demographic group, will be analysed to provide a clear framework for systematic extraction and thematic analysis.</w:t>
      </w:r>
    </w:p>
    <w:p w14:paraId="5534D275" w14:textId="77777777" w:rsidR="007B59D7" w:rsidRPr="005342BE" w:rsidRDefault="007B59D7" w:rsidP="005342BE">
      <w:pPr>
        <w:rPr>
          <w:lang w:val="en-IN"/>
        </w:rPr>
      </w:pPr>
    </w:p>
    <w:p w14:paraId="34B85067" w14:textId="77777777" w:rsidR="0012280B" w:rsidRPr="00935A1F" w:rsidRDefault="002710FA">
      <w:pPr>
        <w:pStyle w:val="Heading1"/>
        <w:rPr>
          <w:rFonts w:ascii="Arial" w:hAnsi="Arial" w:cs="Arial"/>
          <w:sz w:val="36"/>
          <w:szCs w:val="36"/>
          <w:lang w:val="en-IN"/>
        </w:rPr>
      </w:pPr>
      <w:bookmarkStart w:id="12" w:name="_Toc236397897"/>
      <w:r w:rsidRPr="00935A1F">
        <w:rPr>
          <w:rFonts w:ascii="Arial" w:hAnsi="Arial" w:cs="Arial"/>
          <w:sz w:val="36"/>
          <w:szCs w:val="36"/>
          <w:lang w:val="en-IN"/>
        </w:rPr>
        <w:t>Proposed Data Analysis Technique</w:t>
      </w:r>
      <w:bookmarkEnd w:id="12"/>
    </w:p>
    <w:p w14:paraId="34B85068"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selected literature will be evaluated using thematic analysis, a commonly used method for discovering and understanding patterns in qualitative data (Braun &amp; Clarke, 2006). This methodology is appropriate for secondary qualitative research because it allows for the incorporation of information from qualitative studies, mixed-methods research, reviews, and policy papers.</w:t>
      </w:r>
    </w:p>
    <w:p w14:paraId="7603578A" w14:textId="77777777" w:rsidR="0094616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analysis will proceed in six stages, as proposed by Braun and Clarke (2006). First, the included research will be read multiple times to verify familiarity with the data. Second, crucial findings about menopause care in general practice will be coded systematically. Third, the codes will be organised into larger patterns and prospective themes. Fourth, themes will be compared against the entire dataset to ensure they appropriately reflect the evidence. Fifth, each theme shall be clearly identified and named. Finally, the findings will be presented as a narrative account that is linked to the review questions and study objectives.</w:t>
      </w:r>
    </w:p>
    <w:p w14:paraId="38B000B1" w14:textId="77777777" w:rsidR="00762EB0" w:rsidRPr="00762EB0" w:rsidRDefault="00762EB0" w:rsidP="00762EB0">
      <w:pPr>
        <w:spacing w:line="360" w:lineRule="auto"/>
        <w:rPr>
          <w:rFonts w:ascii="Arial" w:eastAsia="Times New Roman" w:hAnsi="Arial" w:cs="Arial"/>
          <w:kern w:val="0"/>
          <w:sz w:val="22"/>
          <w:szCs w:val="22"/>
          <w:lang w:val="en-IN" w:eastAsia="en-IN"/>
          <w14:ligatures w14:val="none"/>
        </w:rPr>
      </w:pPr>
      <w:r w:rsidRPr="00762EB0">
        <w:rPr>
          <w:rFonts w:ascii="Arial" w:eastAsia="Times New Roman" w:hAnsi="Arial" w:cs="Arial"/>
          <w:kern w:val="0"/>
          <w:sz w:val="22"/>
          <w:szCs w:val="22"/>
          <w:lang w:val="en-IN" w:eastAsia="en-IN"/>
          <w14:ligatures w14:val="none"/>
        </w:rPr>
        <w:lastRenderedPageBreak/>
        <w:t xml:space="preserve">Potential themes include GP confidence and training, workload and organisational constraints, access to specialised menopause services, implementation of the Women's Health Strategy and Women's Health Hubs, women's experiences with menopause care, and discrepancies in access and quality of care. </w:t>
      </w:r>
      <w:r w:rsidRPr="00762EB0">
        <w:rPr>
          <w:rFonts w:ascii="Arial" w:eastAsia="Times New Roman" w:hAnsi="Arial" w:cs="Arial"/>
          <w:kern w:val="0"/>
          <w:sz w:val="22"/>
          <w:szCs w:val="22"/>
          <w:lang w:val="en-IN" w:eastAsia="en-IN"/>
          <w14:ligatures w14:val="none"/>
        </w:rPr>
        <w:br/>
        <w:t>A narrative synthesis will be included in the topic analysis to compare findings from different studies and highlight areas of agreement, disagreement, and evidence gaps. The methodological quality and strength of the included studies will also be evaluated, to ensure that conclusions are consistent with both published findings and the quality of supporting data.</w:t>
      </w:r>
    </w:p>
    <w:p w14:paraId="34B8506B" w14:textId="19E7614B" w:rsidR="0012280B" w:rsidRPr="003E7031" w:rsidRDefault="0012280B">
      <w:pPr>
        <w:spacing w:line="360" w:lineRule="auto"/>
        <w:rPr>
          <w:rFonts w:ascii="Arial" w:eastAsia="Times New Roman" w:hAnsi="Arial" w:cs="Arial"/>
          <w:kern w:val="0"/>
          <w:sz w:val="22"/>
          <w:szCs w:val="22"/>
          <w:lang w:val="en-IN" w:eastAsia="en-IN"/>
          <w14:ligatures w14:val="none"/>
        </w:rPr>
      </w:pPr>
    </w:p>
    <w:p w14:paraId="34B8506C" w14:textId="77777777" w:rsidR="0012280B" w:rsidRPr="00935A1F" w:rsidRDefault="002710FA">
      <w:pPr>
        <w:pStyle w:val="Heading1"/>
        <w:rPr>
          <w:rFonts w:ascii="Arial" w:hAnsi="Arial" w:cs="Arial"/>
          <w:sz w:val="36"/>
          <w:szCs w:val="36"/>
          <w:lang w:val="en-IN"/>
        </w:rPr>
      </w:pPr>
      <w:bookmarkStart w:id="13" w:name="_Toc236397898"/>
      <w:r w:rsidRPr="00935A1F">
        <w:rPr>
          <w:rFonts w:ascii="Arial" w:hAnsi="Arial" w:cs="Arial"/>
          <w:sz w:val="36"/>
          <w:szCs w:val="36"/>
          <w:lang w:val="en-IN"/>
        </w:rPr>
        <w:t>Ethical Considerations</w:t>
      </w:r>
      <w:bookmarkEnd w:id="13"/>
    </w:p>
    <w:p w14:paraId="34B8506D" w14:textId="2A4D5FD4" w:rsidR="0012280B" w:rsidRPr="003E7031" w:rsidRDefault="00BD0D1C">
      <w:pPr>
        <w:spacing w:line="360" w:lineRule="auto"/>
        <w:rPr>
          <w:rFonts w:ascii="Arial" w:eastAsia="Times New Roman" w:hAnsi="Arial" w:cs="Arial"/>
          <w:kern w:val="0"/>
          <w:sz w:val="22"/>
          <w:szCs w:val="22"/>
          <w:lang w:val="en-IN" w:eastAsia="en-IN"/>
          <w14:ligatures w14:val="none"/>
        </w:rPr>
      </w:pPr>
      <w:r w:rsidRPr="00BD0D1C">
        <w:rPr>
          <w:rFonts w:ascii="Arial" w:eastAsia="Times New Roman" w:hAnsi="Arial" w:cs="Arial"/>
          <w:kern w:val="0"/>
          <w:sz w:val="22"/>
          <w:szCs w:val="22"/>
          <w:lang w:val="en-IN" w:eastAsia="en-IN"/>
          <w14:ligatures w14:val="none"/>
        </w:rPr>
        <w:t>As this project analyses publicly available literature and policy papers, formal approval from an NHS Research Ethics Committee is unlikely to be required, though key ethical principles remain applicable: accurately representing authors' findings and avoiding selective reporting; citing all sources correctly using Harvard referencing to protect academic integrity; and conducting analysis objectively, with awareness of potential researcher bias when interpreting qualitative evidence. As no identifiable personal data will be collected, questions of confidentiality and consent do not arise directly, but the study will still follow institutional norms for research governance and academic conduct, reflecting the responsible and respectful use of published research.</w:t>
      </w:r>
    </w:p>
    <w:p w14:paraId="34B8506E" w14:textId="77777777" w:rsidR="0012280B" w:rsidRPr="00935A1F" w:rsidRDefault="002710FA">
      <w:pPr>
        <w:pStyle w:val="Heading1"/>
        <w:rPr>
          <w:rFonts w:ascii="Arial" w:hAnsi="Arial" w:cs="Arial"/>
          <w:sz w:val="36"/>
          <w:szCs w:val="36"/>
          <w:lang w:val="en-IN"/>
        </w:rPr>
      </w:pPr>
      <w:bookmarkStart w:id="14" w:name="_Toc236397899"/>
      <w:r w:rsidRPr="00935A1F">
        <w:rPr>
          <w:rFonts w:ascii="Arial" w:hAnsi="Arial" w:cs="Arial"/>
          <w:sz w:val="36"/>
          <w:szCs w:val="36"/>
          <w:lang w:val="en-IN"/>
        </w:rPr>
        <w:t>Implications of the Research</w:t>
      </w:r>
      <w:bookmarkEnd w:id="14"/>
    </w:p>
    <w:p w14:paraId="637F95AB" w14:textId="16A23AD8" w:rsidR="008E4663" w:rsidRPr="003E7031" w:rsidRDefault="00F36673">
      <w:pPr>
        <w:spacing w:line="360" w:lineRule="auto"/>
        <w:rPr>
          <w:rFonts w:ascii="Arial" w:eastAsia="Times New Roman" w:hAnsi="Arial" w:cs="Arial"/>
          <w:kern w:val="0"/>
          <w:sz w:val="22"/>
          <w:szCs w:val="22"/>
          <w:lang w:val="en-IN" w:eastAsia="en-IN"/>
          <w14:ligatures w14:val="none"/>
        </w:rPr>
      </w:pPr>
      <w:r w:rsidRPr="00F36673">
        <w:rPr>
          <w:rFonts w:ascii="Arial" w:eastAsia="Times New Roman" w:hAnsi="Arial" w:cs="Arial"/>
          <w:kern w:val="0"/>
          <w:sz w:val="22"/>
          <w:szCs w:val="22"/>
          <w:lang w:val="en-IN" w:eastAsia="en-IN"/>
          <w14:ligatures w14:val="none"/>
        </w:rPr>
        <w:t>The proposed study has implications for clinical practice, policy, and future research. Findings may reveal where GPs need additional support, such as training, consultation time, and access to expert guidance, informing workforce development and continuing professional education. For policy, the review will show how the Women's Health Strategy and Women's Health Hubs are being implemented in practice, helping policymakers judge whether further funding or service redesign is needed, and may highlight gaps in addressing ethnic, cultural, and socioeconomic disparities, advancing academic understanding and identifying priorities for future research.</w:t>
      </w:r>
    </w:p>
    <w:p w14:paraId="671CAB71" w14:textId="77777777" w:rsidR="00A11F61" w:rsidRDefault="00A11F61">
      <w:pPr>
        <w:pStyle w:val="Heading1"/>
        <w:rPr>
          <w:rFonts w:ascii="Arial" w:hAnsi="Arial" w:cs="Arial"/>
          <w:sz w:val="36"/>
          <w:szCs w:val="36"/>
          <w:lang w:val="en-IN"/>
        </w:rPr>
      </w:pPr>
    </w:p>
    <w:p w14:paraId="34B85072" w14:textId="4FC22BF1" w:rsidR="0012280B" w:rsidRPr="00935A1F" w:rsidRDefault="002710FA">
      <w:pPr>
        <w:pStyle w:val="Heading1"/>
        <w:rPr>
          <w:rFonts w:ascii="Arial" w:hAnsi="Arial" w:cs="Arial"/>
          <w:sz w:val="36"/>
          <w:szCs w:val="36"/>
          <w:lang w:val="en-IN"/>
        </w:rPr>
      </w:pPr>
      <w:bookmarkStart w:id="15" w:name="_Toc236397900"/>
      <w:r w:rsidRPr="00935A1F">
        <w:rPr>
          <w:rFonts w:ascii="Arial" w:hAnsi="Arial" w:cs="Arial"/>
          <w:sz w:val="36"/>
          <w:szCs w:val="36"/>
          <w:lang w:val="en-IN"/>
        </w:rPr>
        <w:t>Plan of Work and Time Schedule (Gantt Chart)</w:t>
      </w:r>
      <w:bookmarkEnd w:id="15"/>
    </w:p>
    <w:p w14:paraId="34B85073"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study is expected to be completed over a six-month period.</w:t>
      </w:r>
    </w:p>
    <w:tbl>
      <w:tblPr>
        <w:tblW w:w="9196" w:type="dxa"/>
        <w:tblLook w:val="04A0" w:firstRow="1" w:lastRow="0" w:firstColumn="1" w:lastColumn="0" w:noHBand="0" w:noVBand="1"/>
      </w:tblPr>
      <w:tblGrid>
        <w:gridCol w:w="1938"/>
        <w:gridCol w:w="4242"/>
        <w:gridCol w:w="3016"/>
      </w:tblGrid>
      <w:tr w:rsidR="008208AE" w:rsidRPr="003E7031" w14:paraId="6EB22C36" w14:textId="77777777" w:rsidTr="00C25524">
        <w:trPr>
          <w:trHeight w:val="243"/>
        </w:trPr>
        <w:tc>
          <w:tcPr>
            <w:tcW w:w="1938" w:type="dxa"/>
            <w:tcBorders>
              <w:top w:val="single" w:sz="4" w:space="0" w:color="auto"/>
              <w:left w:val="single" w:sz="4" w:space="0" w:color="auto"/>
              <w:bottom w:val="single" w:sz="4" w:space="0" w:color="auto"/>
              <w:right w:val="single" w:sz="4" w:space="0" w:color="auto"/>
            </w:tcBorders>
            <w:vAlign w:val="center"/>
            <w:hideMark/>
          </w:tcPr>
          <w:p w14:paraId="2132E801" w14:textId="77777777" w:rsidR="008208AE" w:rsidRPr="003E7031" w:rsidRDefault="008208AE" w:rsidP="008208AE">
            <w:pPr>
              <w:spacing w:after="0" w:line="240" w:lineRule="auto"/>
              <w:jc w:val="center"/>
              <w:rPr>
                <w:rFonts w:ascii="Arial" w:eastAsia="Times New Roman" w:hAnsi="Arial" w:cs="Arial"/>
                <w:b/>
                <w:bCs/>
                <w:color w:val="000000"/>
                <w:kern w:val="0"/>
                <w:sz w:val="22"/>
                <w:szCs w:val="22"/>
                <w:lang w:val="en-IN" w:eastAsia="en-IN"/>
                <w14:ligatures w14:val="none"/>
              </w:rPr>
            </w:pPr>
            <w:r w:rsidRPr="003E7031">
              <w:rPr>
                <w:rFonts w:ascii="Arial" w:eastAsia="Times New Roman" w:hAnsi="Arial" w:cs="Arial"/>
                <w:b/>
                <w:bCs/>
                <w:color w:val="000000"/>
                <w:kern w:val="0"/>
                <w:sz w:val="22"/>
                <w:szCs w:val="22"/>
                <w:lang w:val="en-IN" w:eastAsia="en-IN"/>
                <w14:ligatures w14:val="none"/>
              </w:rPr>
              <w:t>Week</w:t>
            </w:r>
          </w:p>
        </w:tc>
        <w:tc>
          <w:tcPr>
            <w:tcW w:w="4242" w:type="dxa"/>
            <w:tcBorders>
              <w:top w:val="single" w:sz="4" w:space="0" w:color="auto"/>
              <w:left w:val="nil"/>
              <w:bottom w:val="single" w:sz="4" w:space="0" w:color="auto"/>
              <w:right w:val="single" w:sz="4" w:space="0" w:color="auto"/>
            </w:tcBorders>
            <w:vAlign w:val="center"/>
            <w:hideMark/>
          </w:tcPr>
          <w:p w14:paraId="38FB3CE4" w14:textId="77777777" w:rsidR="008208AE" w:rsidRPr="003E7031" w:rsidRDefault="008208AE" w:rsidP="008208AE">
            <w:pPr>
              <w:spacing w:after="0" w:line="240" w:lineRule="auto"/>
              <w:jc w:val="center"/>
              <w:rPr>
                <w:rFonts w:ascii="Arial" w:eastAsia="Times New Roman" w:hAnsi="Arial" w:cs="Arial"/>
                <w:b/>
                <w:bCs/>
                <w:color w:val="000000"/>
                <w:kern w:val="0"/>
                <w:sz w:val="22"/>
                <w:szCs w:val="22"/>
                <w:lang w:val="en-IN" w:eastAsia="en-IN"/>
                <w14:ligatures w14:val="none"/>
              </w:rPr>
            </w:pPr>
            <w:r w:rsidRPr="003E7031">
              <w:rPr>
                <w:rFonts w:ascii="Arial" w:eastAsia="Times New Roman" w:hAnsi="Arial" w:cs="Arial"/>
                <w:b/>
                <w:bCs/>
                <w:color w:val="000000"/>
                <w:kern w:val="0"/>
                <w:sz w:val="22"/>
                <w:szCs w:val="22"/>
                <w:lang w:val="en-IN" w:eastAsia="en-IN"/>
                <w14:ligatures w14:val="none"/>
              </w:rPr>
              <w:t>Task</w:t>
            </w:r>
          </w:p>
        </w:tc>
        <w:tc>
          <w:tcPr>
            <w:tcW w:w="3016" w:type="dxa"/>
            <w:tcBorders>
              <w:top w:val="single" w:sz="4" w:space="0" w:color="auto"/>
              <w:left w:val="nil"/>
              <w:bottom w:val="single" w:sz="4" w:space="0" w:color="auto"/>
              <w:right w:val="single" w:sz="4" w:space="0" w:color="auto"/>
            </w:tcBorders>
            <w:vAlign w:val="center"/>
            <w:hideMark/>
          </w:tcPr>
          <w:p w14:paraId="195BB818" w14:textId="77777777" w:rsidR="008208AE" w:rsidRPr="003E7031" w:rsidRDefault="008208AE" w:rsidP="008208AE">
            <w:pPr>
              <w:spacing w:after="0" w:line="240" w:lineRule="auto"/>
              <w:jc w:val="center"/>
              <w:rPr>
                <w:rFonts w:ascii="Arial" w:eastAsia="Times New Roman" w:hAnsi="Arial" w:cs="Arial"/>
                <w:b/>
                <w:bCs/>
                <w:color w:val="000000"/>
                <w:kern w:val="0"/>
                <w:sz w:val="22"/>
                <w:szCs w:val="22"/>
                <w:lang w:val="en-IN" w:eastAsia="en-IN"/>
                <w14:ligatures w14:val="none"/>
              </w:rPr>
            </w:pPr>
            <w:r w:rsidRPr="003E7031">
              <w:rPr>
                <w:rFonts w:ascii="Arial" w:eastAsia="Times New Roman" w:hAnsi="Arial" w:cs="Arial"/>
                <w:b/>
                <w:bCs/>
                <w:color w:val="000000"/>
                <w:kern w:val="0"/>
                <w:sz w:val="22"/>
                <w:szCs w:val="22"/>
                <w:lang w:val="en-IN" w:eastAsia="en-IN"/>
                <w14:ligatures w14:val="none"/>
              </w:rPr>
              <w:t>Dates (2026)</w:t>
            </w:r>
          </w:p>
        </w:tc>
      </w:tr>
      <w:tr w:rsidR="008208AE" w:rsidRPr="003E7031" w14:paraId="2F1467E5"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4456F60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w:t>
            </w:r>
          </w:p>
        </w:tc>
        <w:tc>
          <w:tcPr>
            <w:tcW w:w="4242" w:type="dxa"/>
            <w:tcBorders>
              <w:top w:val="nil"/>
              <w:left w:val="nil"/>
              <w:bottom w:val="single" w:sz="4" w:space="0" w:color="auto"/>
              <w:right w:val="single" w:sz="4" w:space="0" w:color="auto"/>
            </w:tcBorders>
            <w:vAlign w:val="center"/>
            <w:hideMark/>
          </w:tcPr>
          <w:p w14:paraId="5728248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Topic refinement</w:t>
            </w:r>
          </w:p>
        </w:tc>
        <w:tc>
          <w:tcPr>
            <w:tcW w:w="3016" w:type="dxa"/>
            <w:tcBorders>
              <w:top w:val="nil"/>
              <w:left w:val="nil"/>
              <w:bottom w:val="single" w:sz="4" w:space="0" w:color="auto"/>
              <w:right w:val="single" w:sz="4" w:space="0" w:color="auto"/>
            </w:tcBorders>
            <w:vAlign w:val="center"/>
            <w:hideMark/>
          </w:tcPr>
          <w:p w14:paraId="3A0D662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 Jul – 7 Jul</w:t>
            </w:r>
          </w:p>
        </w:tc>
      </w:tr>
      <w:tr w:rsidR="008208AE" w:rsidRPr="003E7031" w14:paraId="27E88465" w14:textId="77777777" w:rsidTr="00C25524">
        <w:trPr>
          <w:trHeight w:val="243"/>
        </w:trPr>
        <w:tc>
          <w:tcPr>
            <w:tcW w:w="1938" w:type="dxa"/>
            <w:tcBorders>
              <w:top w:val="nil"/>
              <w:left w:val="single" w:sz="4" w:space="0" w:color="auto"/>
              <w:bottom w:val="single" w:sz="4" w:space="0" w:color="auto"/>
              <w:right w:val="single" w:sz="4" w:space="0" w:color="auto"/>
            </w:tcBorders>
            <w:vAlign w:val="center"/>
            <w:hideMark/>
          </w:tcPr>
          <w:p w14:paraId="3CE2767C"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2</w:t>
            </w:r>
          </w:p>
        </w:tc>
        <w:tc>
          <w:tcPr>
            <w:tcW w:w="4242" w:type="dxa"/>
            <w:tcBorders>
              <w:top w:val="nil"/>
              <w:left w:val="nil"/>
              <w:bottom w:val="single" w:sz="4" w:space="0" w:color="auto"/>
              <w:right w:val="single" w:sz="4" w:space="0" w:color="auto"/>
            </w:tcBorders>
            <w:vAlign w:val="center"/>
            <w:hideMark/>
          </w:tcPr>
          <w:p w14:paraId="56E8590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Literature search</w:t>
            </w:r>
          </w:p>
        </w:tc>
        <w:tc>
          <w:tcPr>
            <w:tcW w:w="3016" w:type="dxa"/>
            <w:tcBorders>
              <w:top w:val="nil"/>
              <w:left w:val="nil"/>
              <w:bottom w:val="single" w:sz="4" w:space="0" w:color="auto"/>
              <w:right w:val="single" w:sz="4" w:space="0" w:color="auto"/>
            </w:tcBorders>
            <w:vAlign w:val="center"/>
            <w:hideMark/>
          </w:tcPr>
          <w:p w14:paraId="2AAC1D3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8 Jul – 14 Jul</w:t>
            </w:r>
          </w:p>
        </w:tc>
      </w:tr>
      <w:tr w:rsidR="008208AE" w:rsidRPr="003E7031" w14:paraId="200B9370" w14:textId="77777777" w:rsidTr="00C25524">
        <w:trPr>
          <w:trHeight w:val="243"/>
        </w:trPr>
        <w:tc>
          <w:tcPr>
            <w:tcW w:w="1938" w:type="dxa"/>
            <w:tcBorders>
              <w:top w:val="nil"/>
              <w:left w:val="single" w:sz="4" w:space="0" w:color="auto"/>
              <w:bottom w:val="single" w:sz="4" w:space="0" w:color="auto"/>
              <w:right w:val="single" w:sz="4" w:space="0" w:color="auto"/>
            </w:tcBorders>
            <w:vAlign w:val="center"/>
            <w:hideMark/>
          </w:tcPr>
          <w:p w14:paraId="1E2BD4E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3</w:t>
            </w:r>
          </w:p>
        </w:tc>
        <w:tc>
          <w:tcPr>
            <w:tcW w:w="4242" w:type="dxa"/>
            <w:tcBorders>
              <w:top w:val="nil"/>
              <w:left w:val="nil"/>
              <w:bottom w:val="single" w:sz="4" w:space="0" w:color="auto"/>
              <w:right w:val="single" w:sz="4" w:space="0" w:color="auto"/>
            </w:tcBorders>
            <w:vAlign w:val="center"/>
            <w:hideMark/>
          </w:tcPr>
          <w:p w14:paraId="1292B2CD"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Screening articles</w:t>
            </w:r>
          </w:p>
        </w:tc>
        <w:tc>
          <w:tcPr>
            <w:tcW w:w="3016" w:type="dxa"/>
            <w:tcBorders>
              <w:top w:val="nil"/>
              <w:left w:val="nil"/>
              <w:bottom w:val="single" w:sz="4" w:space="0" w:color="auto"/>
              <w:right w:val="single" w:sz="4" w:space="0" w:color="auto"/>
            </w:tcBorders>
            <w:vAlign w:val="center"/>
            <w:hideMark/>
          </w:tcPr>
          <w:p w14:paraId="20E22E0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15 Jul – 21 Jul</w:t>
            </w:r>
          </w:p>
        </w:tc>
      </w:tr>
      <w:tr w:rsidR="008208AE" w:rsidRPr="003E7031" w14:paraId="3D2F7FCF"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7723F69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4</w:t>
            </w:r>
          </w:p>
        </w:tc>
        <w:tc>
          <w:tcPr>
            <w:tcW w:w="4242" w:type="dxa"/>
            <w:tcBorders>
              <w:top w:val="nil"/>
              <w:left w:val="nil"/>
              <w:bottom w:val="single" w:sz="4" w:space="0" w:color="auto"/>
              <w:right w:val="single" w:sz="4" w:space="0" w:color="auto"/>
            </w:tcBorders>
            <w:vAlign w:val="center"/>
            <w:hideMark/>
          </w:tcPr>
          <w:p w14:paraId="39B7126F"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Data extraction</w:t>
            </w:r>
          </w:p>
        </w:tc>
        <w:tc>
          <w:tcPr>
            <w:tcW w:w="3016" w:type="dxa"/>
            <w:tcBorders>
              <w:top w:val="nil"/>
              <w:left w:val="nil"/>
              <w:bottom w:val="single" w:sz="4" w:space="0" w:color="auto"/>
              <w:right w:val="single" w:sz="4" w:space="0" w:color="auto"/>
            </w:tcBorders>
            <w:vAlign w:val="center"/>
            <w:hideMark/>
          </w:tcPr>
          <w:p w14:paraId="3F4B0C9C"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22 Jul – 28 Jul</w:t>
            </w:r>
          </w:p>
        </w:tc>
      </w:tr>
      <w:tr w:rsidR="008208AE" w:rsidRPr="003E7031" w14:paraId="3B3DFBD8" w14:textId="77777777" w:rsidTr="00C25524">
        <w:trPr>
          <w:trHeight w:val="243"/>
        </w:trPr>
        <w:tc>
          <w:tcPr>
            <w:tcW w:w="1938" w:type="dxa"/>
            <w:tcBorders>
              <w:top w:val="nil"/>
              <w:left w:val="single" w:sz="4" w:space="0" w:color="auto"/>
              <w:bottom w:val="single" w:sz="4" w:space="0" w:color="auto"/>
              <w:right w:val="single" w:sz="4" w:space="0" w:color="auto"/>
            </w:tcBorders>
            <w:vAlign w:val="center"/>
            <w:hideMark/>
          </w:tcPr>
          <w:p w14:paraId="6246F87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5</w:t>
            </w:r>
          </w:p>
        </w:tc>
        <w:tc>
          <w:tcPr>
            <w:tcW w:w="4242" w:type="dxa"/>
            <w:tcBorders>
              <w:top w:val="nil"/>
              <w:left w:val="nil"/>
              <w:bottom w:val="single" w:sz="4" w:space="0" w:color="auto"/>
              <w:right w:val="single" w:sz="4" w:space="0" w:color="auto"/>
            </w:tcBorders>
            <w:vAlign w:val="center"/>
            <w:hideMark/>
          </w:tcPr>
          <w:p w14:paraId="57B61BD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Data analysis</w:t>
            </w:r>
          </w:p>
        </w:tc>
        <w:tc>
          <w:tcPr>
            <w:tcW w:w="3016" w:type="dxa"/>
            <w:tcBorders>
              <w:top w:val="nil"/>
              <w:left w:val="nil"/>
              <w:bottom w:val="single" w:sz="4" w:space="0" w:color="auto"/>
              <w:right w:val="single" w:sz="4" w:space="0" w:color="auto"/>
            </w:tcBorders>
            <w:vAlign w:val="center"/>
            <w:hideMark/>
          </w:tcPr>
          <w:p w14:paraId="005796BA"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29 Jul – 4 Aug</w:t>
            </w:r>
          </w:p>
        </w:tc>
      </w:tr>
      <w:tr w:rsidR="008208AE" w:rsidRPr="003E7031" w14:paraId="1F5D6314"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53F34FA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6</w:t>
            </w:r>
          </w:p>
        </w:tc>
        <w:tc>
          <w:tcPr>
            <w:tcW w:w="4242" w:type="dxa"/>
            <w:tcBorders>
              <w:top w:val="nil"/>
              <w:left w:val="nil"/>
              <w:bottom w:val="single" w:sz="4" w:space="0" w:color="auto"/>
              <w:right w:val="single" w:sz="4" w:space="0" w:color="auto"/>
            </w:tcBorders>
            <w:vAlign w:val="center"/>
            <w:hideMark/>
          </w:tcPr>
          <w:p w14:paraId="3842CAA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introduction</w:t>
            </w:r>
          </w:p>
        </w:tc>
        <w:tc>
          <w:tcPr>
            <w:tcW w:w="3016" w:type="dxa"/>
            <w:tcBorders>
              <w:top w:val="nil"/>
              <w:left w:val="nil"/>
              <w:bottom w:val="single" w:sz="4" w:space="0" w:color="auto"/>
              <w:right w:val="single" w:sz="4" w:space="0" w:color="auto"/>
            </w:tcBorders>
            <w:vAlign w:val="center"/>
            <w:hideMark/>
          </w:tcPr>
          <w:p w14:paraId="75642E9E"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5 Aug – 11 Aug</w:t>
            </w:r>
          </w:p>
        </w:tc>
      </w:tr>
      <w:tr w:rsidR="008208AE" w:rsidRPr="003E7031" w14:paraId="507FB1D7"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5CAEBD8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7</w:t>
            </w:r>
          </w:p>
        </w:tc>
        <w:tc>
          <w:tcPr>
            <w:tcW w:w="4242" w:type="dxa"/>
            <w:tcBorders>
              <w:top w:val="nil"/>
              <w:left w:val="nil"/>
              <w:bottom w:val="single" w:sz="4" w:space="0" w:color="auto"/>
              <w:right w:val="single" w:sz="4" w:space="0" w:color="auto"/>
            </w:tcBorders>
            <w:vAlign w:val="center"/>
            <w:hideMark/>
          </w:tcPr>
          <w:p w14:paraId="36A98D8E"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methodology</w:t>
            </w:r>
          </w:p>
        </w:tc>
        <w:tc>
          <w:tcPr>
            <w:tcW w:w="3016" w:type="dxa"/>
            <w:tcBorders>
              <w:top w:val="nil"/>
              <w:left w:val="nil"/>
              <w:bottom w:val="single" w:sz="4" w:space="0" w:color="auto"/>
              <w:right w:val="single" w:sz="4" w:space="0" w:color="auto"/>
            </w:tcBorders>
            <w:vAlign w:val="center"/>
            <w:hideMark/>
          </w:tcPr>
          <w:p w14:paraId="21A84C3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12 Aug – 18 Aug</w:t>
            </w:r>
          </w:p>
        </w:tc>
      </w:tr>
      <w:tr w:rsidR="008208AE" w:rsidRPr="003E7031" w14:paraId="0FD00FB2"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4DD66E3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8</w:t>
            </w:r>
          </w:p>
        </w:tc>
        <w:tc>
          <w:tcPr>
            <w:tcW w:w="4242" w:type="dxa"/>
            <w:tcBorders>
              <w:top w:val="nil"/>
              <w:left w:val="nil"/>
              <w:bottom w:val="single" w:sz="4" w:space="0" w:color="auto"/>
              <w:right w:val="single" w:sz="4" w:space="0" w:color="auto"/>
            </w:tcBorders>
            <w:vAlign w:val="center"/>
            <w:hideMark/>
          </w:tcPr>
          <w:p w14:paraId="364FA13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literature review</w:t>
            </w:r>
          </w:p>
        </w:tc>
        <w:tc>
          <w:tcPr>
            <w:tcW w:w="3016" w:type="dxa"/>
            <w:tcBorders>
              <w:top w:val="nil"/>
              <w:left w:val="nil"/>
              <w:bottom w:val="single" w:sz="4" w:space="0" w:color="auto"/>
              <w:right w:val="single" w:sz="4" w:space="0" w:color="auto"/>
            </w:tcBorders>
            <w:vAlign w:val="center"/>
            <w:hideMark/>
          </w:tcPr>
          <w:p w14:paraId="27E8249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19 Aug – 25 Aug</w:t>
            </w:r>
          </w:p>
        </w:tc>
      </w:tr>
      <w:tr w:rsidR="008208AE" w:rsidRPr="003E7031" w14:paraId="6F507191"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3BF6CF8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9</w:t>
            </w:r>
          </w:p>
        </w:tc>
        <w:tc>
          <w:tcPr>
            <w:tcW w:w="4242" w:type="dxa"/>
            <w:tcBorders>
              <w:top w:val="nil"/>
              <w:left w:val="nil"/>
              <w:bottom w:val="single" w:sz="4" w:space="0" w:color="auto"/>
              <w:right w:val="single" w:sz="4" w:space="0" w:color="auto"/>
            </w:tcBorders>
            <w:vAlign w:val="center"/>
            <w:hideMark/>
          </w:tcPr>
          <w:p w14:paraId="0684E3F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discussion</w:t>
            </w:r>
          </w:p>
        </w:tc>
        <w:tc>
          <w:tcPr>
            <w:tcW w:w="3016" w:type="dxa"/>
            <w:tcBorders>
              <w:top w:val="nil"/>
              <w:left w:val="nil"/>
              <w:bottom w:val="single" w:sz="4" w:space="0" w:color="auto"/>
              <w:right w:val="single" w:sz="4" w:space="0" w:color="auto"/>
            </w:tcBorders>
            <w:vAlign w:val="center"/>
            <w:hideMark/>
          </w:tcPr>
          <w:p w14:paraId="332A0D6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26 Aug – 1 Sep</w:t>
            </w:r>
          </w:p>
        </w:tc>
      </w:tr>
      <w:tr w:rsidR="008208AE" w:rsidRPr="003E7031" w14:paraId="21B078D0"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7C21C96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10</w:t>
            </w:r>
          </w:p>
        </w:tc>
        <w:tc>
          <w:tcPr>
            <w:tcW w:w="4242" w:type="dxa"/>
            <w:tcBorders>
              <w:top w:val="nil"/>
              <w:left w:val="nil"/>
              <w:bottom w:val="single" w:sz="4" w:space="0" w:color="auto"/>
              <w:right w:val="single" w:sz="4" w:space="0" w:color="auto"/>
            </w:tcBorders>
            <w:vAlign w:val="center"/>
            <w:hideMark/>
          </w:tcPr>
          <w:p w14:paraId="373751E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implications</w:t>
            </w:r>
          </w:p>
        </w:tc>
        <w:tc>
          <w:tcPr>
            <w:tcW w:w="3016" w:type="dxa"/>
            <w:tcBorders>
              <w:top w:val="nil"/>
              <w:left w:val="nil"/>
              <w:bottom w:val="single" w:sz="4" w:space="0" w:color="auto"/>
              <w:right w:val="single" w:sz="4" w:space="0" w:color="auto"/>
            </w:tcBorders>
            <w:vAlign w:val="center"/>
            <w:hideMark/>
          </w:tcPr>
          <w:p w14:paraId="604DBF4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 Sep – 8 Sep</w:t>
            </w:r>
          </w:p>
        </w:tc>
      </w:tr>
      <w:tr w:rsidR="008208AE" w:rsidRPr="003E7031" w14:paraId="0F988764"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0A1791DE"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11</w:t>
            </w:r>
          </w:p>
        </w:tc>
        <w:tc>
          <w:tcPr>
            <w:tcW w:w="4242" w:type="dxa"/>
            <w:tcBorders>
              <w:top w:val="nil"/>
              <w:left w:val="nil"/>
              <w:bottom w:val="single" w:sz="4" w:space="0" w:color="auto"/>
              <w:right w:val="single" w:sz="4" w:space="0" w:color="auto"/>
            </w:tcBorders>
            <w:vAlign w:val="center"/>
            <w:hideMark/>
          </w:tcPr>
          <w:p w14:paraId="45439E0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Draft conclusions and recommendations</w:t>
            </w:r>
          </w:p>
        </w:tc>
        <w:tc>
          <w:tcPr>
            <w:tcW w:w="3016" w:type="dxa"/>
            <w:tcBorders>
              <w:top w:val="nil"/>
              <w:left w:val="nil"/>
              <w:bottom w:val="single" w:sz="4" w:space="0" w:color="auto"/>
              <w:right w:val="single" w:sz="4" w:space="0" w:color="auto"/>
            </w:tcBorders>
            <w:vAlign w:val="center"/>
            <w:hideMark/>
          </w:tcPr>
          <w:p w14:paraId="4E117A9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9 Sep – 15 Sep</w:t>
            </w:r>
          </w:p>
        </w:tc>
      </w:tr>
      <w:tr w:rsidR="008208AE" w:rsidRPr="003E7031" w14:paraId="0284D9B4"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698EB1F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12</w:t>
            </w:r>
          </w:p>
        </w:tc>
        <w:tc>
          <w:tcPr>
            <w:tcW w:w="4242" w:type="dxa"/>
            <w:tcBorders>
              <w:top w:val="nil"/>
              <w:left w:val="nil"/>
              <w:bottom w:val="single" w:sz="4" w:space="0" w:color="auto"/>
              <w:right w:val="single" w:sz="4" w:space="0" w:color="auto"/>
            </w:tcBorders>
            <w:vAlign w:val="center"/>
            <w:hideMark/>
          </w:tcPr>
          <w:p w14:paraId="224E11C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Integrate feedback and revise draft</w:t>
            </w:r>
          </w:p>
        </w:tc>
        <w:tc>
          <w:tcPr>
            <w:tcW w:w="3016" w:type="dxa"/>
            <w:tcBorders>
              <w:top w:val="nil"/>
              <w:left w:val="nil"/>
              <w:bottom w:val="single" w:sz="4" w:space="0" w:color="auto"/>
              <w:right w:val="single" w:sz="4" w:space="0" w:color="auto"/>
            </w:tcBorders>
            <w:vAlign w:val="center"/>
            <w:hideMark/>
          </w:tcPr>
          <w:p w14:paraId="280C7F8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16 Sep – 22 Sep</w:t>
            </w:r>
          </w:p>
        </w:tc>
      </w:tr>
      <w:tr w:rsidR="008208AE" w:rsidRPr="003E7031" w14:paraId="5D83D5AC"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3DA06D5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13</w:t>
            </w:r>
          </w:p>
        </w:tc>
        <w:tc>
          <w:tcPr>
            <w:tcW w:w="4242" w:type="dxa"/>
            <w:tcBorders>
              <w:top w:val="nil"/>
              <w:left w:val="nil"/>
              <w:bottom w:val="single" w:sz="4" w:space="0" w:color="auto"/>
              <w:right w:val="single" w:sz="4" w:space="0" w:color="auto"/>
            </w:tcBorders>
            <w:vAlign w:val="center"/>
            <w:hideMark/>
          </w:tcPr>
          <w:p w14:paraId="4E8F56C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Final editing and proofreading</w:t>
            </w:r>
          </w:p>
        </w:tc>
        <w:tc>
          <w:tcPr>
            <w:tcW w:w="3016" w:type="dxa"/>
            <w:tcBorders>
              <w:top w:val="nil"/>
              <w:left w:val="nil"/>
              <w:bottom w:val="single" w:sz="4" w:space="0" w:color="auto"/>
              <w:right w:val="single" w:sz="4" w:space="0" w:color="auto"/>
            </w:tcBorders>
            <w:vAlign w:val="center"/>
            <w:hideMark/>
          </w:tcPr>
          <w:p w14:paraId="6C002B23"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23 Sep – 29 Sep</w:t>
            </w:r>
          </w:p>
        </w:tc>
      </w:tr>
      <w:tr w:rsidR="008208AE" w:rsidRPr="003E7031" w14:paraId="6C55CE2A" w14:textId="77777777" w:rsidTr="00C25524">
        <w:trPr>
          <w:trHeight w:val="733"/>
        </w:trPr>
        <w:tc>
          <w:tcPr>
            <w:tcW w:w="1938" w:type="dxa"/>
            <w:tcBorders>
              <w:top w:val="nil"/>
              <w:left w:val="single" w:sz="4" w:space="0" w:color="auto"/>
              <w:bottom w:val="single" w:sz="4" w:space="0" w:color="auto"/>
              <w:right w:val="single" w:sz="4" w:space="0" w:color="auto"/>
            </w:tcBorders>
            <w:vAlign w:val="center"/>
            <w:hideMark/>
          </w:tcPr>
          <w:p w14:paraId="25A92058"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14</w:t>
            </w:r>
          </w:p>
        </w:tc>
        <w:tc>
          <w:tcPr>
            <w:tcW w:w="4242" w:type="dxa"/>
            <w:tcBorders>
              <w:top w:val="nil"/>
              <w:left w:val="nil"/>
              <w:bottom w:val="single" w:sz="4" w:space="0" w:color="auto"/>
              <w:right w:val="single" w:sz="4" w:space="0" w:color="auto"/>
            </w:tcBorders>
            <w:vAlign w:val="center"/>
            <w:hideMark/>
          </w:tcPr>
          <w:p w14:paraId="644AA948"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Reference checking and formatting</w:t>
            </w:r>
          </w:p>
        </w:tc>
        <w:tc>
          <w:tcPr>
            <w:tcW w:w="3016" w:type="dxa"/>
            <w:tcBorders>
              <w:top w:val="nil"/>
              <w:left w:val="nil"/>
              <w:bottom w:val="single" w:sz="4" w:space="0" w:color="auto"/>
              <w:right w:val="single" w:sz="4" w:space="0" w:color="auto"/>
            </w:tcBorders>
            <w:vAlign w:val="center"/>
            <w:hideMark/>
          </w:tcPr>
          <w:p w14:paraId="1F4D1CC7"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30 Sep – 6 Oct</w:t>
            </w:r>
          </w:p>
        </w:tc>
      </w:tr>
      <w:tr w:rsidR="008208AE" w:rsidRPr="003E7031" w14:paraId="5E55F645"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32D3133A"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15</w:t>
            </w:r>
          </w:p>
        </w:tc>
        <w:tc>
          <w:tcPr>
            <w:tcW w:w="4242" w:type="dxa"/>
            <w:tcBorders>
              <w:top w:val="nil"/>
              <w:left w:val="nil"/>
              <w:bottom w:val="single" w:sz="4" w:space="0" w:color="auto"/>
              <w:right w:val="single" w:sz="4" w:space="0" w:color="auto"/>
            </w:tcBorders>
            <w:vAlign w:val="center"/>
            <w:hideMark/>
          </w:tcPr>
          <w:p w14:paraId="6695562F"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Supervisor review and amendments</w:t>
            </w:r>
          </w:p>
        </w:tc>
        <w:tc>
          <w:tcPr>
            <w:tcW w:w="3016" w:type="dxa"/>
            <w:tcBorders>
              <w:top w:val="nil"/>
              <w:left w:val="nil"/>
              <w:bottom w:val="single" w:sz="4" w:space="0" w:color="auto"/>
              <w:right w:val="single" w:sz="4" w:space="0" w:color="auto"/>
            </w:tcBorders>
            <w:vAlign w:val="center"/>
            <w:hideMark/>
          </w:tcPr>
          <w:p w14:paraId="0A18392C"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7 Oct – 13 Oct</w:t>
            </w:r>
          </w:p>
        </w:tc>
      </w:tr>
      <w:tr w:rsidR="008208AE" w:rsidRPr="003E7031" w14:paraId="1307BEDA"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22D5922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16</w:t>
            </w:r>
          </w:p>
        </w:tc>
        <w:tc>
          <w:tcPr>
            <w:tcW w:w="4242" w:type="dxa"/>
            <w:tcBorders>
              <w:top w:val="nil"/>
              <w:left w:val="nil"/>
              <w:bottom w:val="single" w:sz="4" w:space="0" w:color="auto"/>
              <w:right w:val="single" w:sz="4" w:space="0" w:color="auto"/>
            </w:tcBorders>
            <w:vAlign w:val="center"/>
            <w:hideMark/>
          </w:tcPr>
          <w:p w14:paraId="7653C66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Final preparation for submission</w:t>
            </w:r>
          </w:p>
        </w:tc>
        <w:tc>
          <w:tcPr>
            <w:tcW w:w="3016" w:type="dxa"/>
            <w:tcBorders>
              <w:top w:val="nil"/>
              <w:left w:val="nil"/>
              <w:bottom w:val="single" w:sz="4" w:space="0" w:color="auto"/>
              <w:right w:val="single" w:sz="4" w:space="0" w:color="auto"/>
            </w:tcBorders>
            <w:vAlign w:val="center"/>
            <w:hideMark/>
          </w:tcPr>
          <w:p w14:paraId="06EED25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14 Oct – 20 Oct</w:t>
            </w:r>
          </w:p>
        </w:tc>
      </w:tr>
      <w:tr w:rsidR="008208AE" w:rsidRPr="003E7031" w14:paraId="54308A21"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2B317EF9"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17</w:t>
            </w:r>
          </w:p>
        </w:tc>
        <w:tc>
          <w:tcPr>
            <w:tcW w:w="4242" w:type="dxa"/>
            <w:tcBorders>
              <w:top w:val="nil"/>
              <w:left w:val="nil"/>
              <w:bottom w:val="single" w:sz="4" w:space="0" w:color="auto"/>
              <w:right w:val="single" w:sz="4" w:space="0" w:color="auto"/>
            </w:tcBorders>
            <w:vAlign w:val="center"/>
            <w:hideMark/>
          </w:tcPr>
          <w:p w14:paraId="24E0DEC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Submission window</w:t>
            </w:r>
          </w:p>
        </w:tc>
        <w:tc>
          <w:tcPr>
            <w:tcW w:w="3016" w:type="dxa"/>
            <w:tcBorders>
              <w:top w:val="nil"/>
              <w:left w:val="nil"/>
              <w:bottom w:val="single" w:sz="4" w:space="0" w:color="auto"/>
              <w:right w:val="single" w:sz="4" w:space="0" w:color="auto"/>
            </w:tcBorders>
            <w:vAlign w:val="center"/>
            <w:hideMark/>
          </w:tcPr>
          <w:p w14:paraId="61CEC38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21 Oct – 1 Dec</w:t>
            </w:r>
          </w:p>
        </w:tc>
      </w:tr>
    </w:tbl>
    <w:p w14:paraId="0EB7BE33" w14:textId="77777777" w:rsidR="00395465" w:rsidRPr="003E7031" w:rsidRDefault="00395465">
      <w:pPr>
        <w:spacing w:line="360" w:lineRule="auto"/>
        <w:rPr>
          <w:rFonts w:ascii="Arial" w:eastAsia="Times New Roman" w:hAnsi="Arial" w:cs="Arial"/>
          <w:kern w:val="0"/>
          <w:sz w:val="22"/>
          <w:szCs w:val="22"/>
          <w:lang w:val="en-US" w:eastAsia="en-IN"/>
          <w14:ligatures w14:val="none"/>
        </w:rPr>
      </w:pPr>
    </w:p>
    <w:p w14:paraId="163639A1" w14:textId="65FBFA21" w:rsidR="00C25524" w:rsidRPr="003E7031" w:rsidRDefault="0094616B">
      <w:pPr>
        <w:spacing w:line="360" w:lineRule="auto"/>
        <w:rPr>
          <w:rFonts w:ascii="Arial" w:eastAsia="Times New Roman" w:hAnsi="Arial" w:cs="Arial"/>
          <w:kern w:val="0"/>
          <w:sz w:val="22"/>
          <w:szCs w:val="22"/>
          <w:lang w:val="en-US" w:eastAsia="en-IN"/>
          <w14:ligatures w14:val="none"/>
        </w:rPr>
      </w:pPr>
      <w:r w:rsidRPr="003E7031">
        <w:rPr>
          <w:rFonts w:ascii="Arial" w:eastAsia="Times New Roman" w:hAnsi="Arial" w:cs="Arial"/>
          <w:kern w:val="0"/>
          <w:sz w:val="22"/>
          <w:szCs w:val="22"/>
          <w:lang w:val="en-US" w:eastAsia="en-IN"/>
          <w14:ligatures w14:val="none"/>
        </w:rPr>
        <w:t>Table 1. Gantt Chart</w:t>
      </w:r>
    </w:p>
    <w:p w14:paraId="34B8507F" w14:textId="4A4A41B7" w:rsidR="0012280B" w:rsidRPr="003E7031" w:rsidRDefault="001266DB">
      <w:pPr>
        <w:spacing w:line="360" w:lineRule="auto"/>
        <w:rPr>
          <w:rFonts w:ascii="Arial" w:eastAsia="Times New Roman" w:hAnsi="Arial" w:cs="Arial"/>
          <w:kern w:val="0"/>
          <w:sz w:val="22"/>
          <w:szCs w:val="22"/>
          <w:lang w:val="en-US" w:eastAsia="en-IN"/>
          <w14:ligatures w14:val="none"/>
        </w:rPr>
      </w:pPr>
      <w:r w:rsidRPr="003E7031">
        <w:rPr>
          <w:rFonts w:ascii="Arial" w:eastAsia="Times New Roman" w:hAnsi="Arial" w:cs="Arial"/>
          <w:kern w:val="0"/>
          <w:sz w:val="22"/>
          <w:szCs w:val="22"/>
          <w:lang w:val="en-US" w:eastAsia="en-IN"/>
          <w14:ligatures w14:val="none"/>
        </w:rPr>
        <w:t>Source. Author</w:t>
      </w:r>
    </w:p>
    <w:p w14:paraId="78C8A45A" w14:textId="77777777" w:rsidR="005D2A1E" w:rsidRPr="003E7031" w:rsidRDefault="005D2A1E" w:rsidP="003B3BB7">
      <w:pPr>
        <w:pStyle w:val="Heading1"/>
        <w:rPr>
          <w:rFonts w:ascii="Arial" w:hAnsi="Arial" w:cs="Arial"/>
          <w:sz w:val="30"/>
          <w:szCs w:val="30"/>
          <w:lang w:val="en-IN"/>
        </w:rPr>
      </w:pPr>
    </w:p>
    <w:p w14:paraId="5D47F040" w14:textId="77777777" w:rsidR="00935A1F" w:rsidRDefault="00935A1F">
      <w:pPr>
        <w:pStyle w:val="NormalWeb"/>
        <w:spacing w:beforeAutospacing="1" w:after="0" w:afterAutospacing="1"/>
        <w:rPr>
          <w:rFonts w:ascii="Arial" w:hAnsi="Arial" w:cs="Arial"/>
        </w:rPr>
      </w:pPr>
    </w:p>
    <w:p w14:paraId="30CB3F7A" w14:textId="77777777" w:rsidR="00935A1F" w:rsidRDefault="00935A1F">
      <w:pPr>
        <w:pStyle w:val="NormalWeb"/>
        <w:spacing w:beforeAutospacing="1" w:after="0" w:afterAutospacing="1"/>
        <w:rPr>
          <w:rFonts w:ascii="Arial" w:hAnsi="Arial" w:cs="Arial"/>
        </w:rPr>
      </w:pPr>
    </w:p>
    <w:p w14:paraId="1B2D43CA" w14:textId="77777777" w:rsidR="00A11F61" w:rsidRDefault="00A11F61">
      <w:pPr>
        <w:pStyle w:val="NormalWeb"/>
        <w:spacing w:beforeAutospacing="1" w:after="0" w:afterAutospacing="1"/>
        <w:rPr>
          <w:rFonts w:ascii="Arial" w:hAnsi="Arial" w:cs="Arial"/>
        </w:rPr>
      </w:pPr>
    </w:p>
    <w:p w14:paraId="19527452" w14:textId="77777777" w:rsidR="00A11F61" w:rsidRDefault="00A11F61">
      <w:pPr>
        <w:pStyle w:val="NormalWeb"/>
        <w:spacing w:beforeAutospacing="1" w:after="0" w:afterAutospacing="1"/>
        <w:rPr>
          <w:rFonts w:ascii="Arial" w:hAnsi="Arial" w:cs="Arial"/>
        </w:rPr>
      </w:pPr>
    </w:p>
    <w:p w14:paraId="70CB1B7B" w14:textId="73FE153C" w:rsidR="00935A1F" w:rsidRPr="00C22A97" w:rsidRDefault="00C22A97" w:rsidP="00C22A97">
      <w:pPr>
        <w:pStyle w:val="Heading1"/>
        <w:rPr>
          <w:rFonts w:ascii="Arial" w:hAnsi="Arial" w:cs="Arial"/>
          <w:sz w:val="36"/>
          <w:szCs w:val="36"/>
          <w:lang w:val="en-IN"/>
        </w:rPr>
      </w:pPr>
      <w:bookmarkStart w:id="16" w:name="_Toc236397901"/>
      <w:r w:rsidRPr="00C22A97">
        <w:rPr>
          <w:rFonts w:ascii="Arial" w:hAnsi="Arial" w:cs="Arial"/>
          <w:sz w:val="36"/>
          <w:szCs w:val="36"/>
          <w:lang w:val="en-IN"/>
        </w:rPr>
        <w:t>References</w:t>
      </w:r>
      <w:bookmarkEnd w:id="16"/>
    </w:p>
    <w:p w14:paraId="34B85082" w14:textId="004EF9A0"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Avis, N.E., Crawford, S.L. and Green, R. (2015) ‘Vasomotor symptoms across the menopause transition: differences among women’, </w:t>
      </w:r>
      <w:r w:rsidRPr="003E7031">
        <w:rPr>
          <w:rStyle w:val="Emphasis"/>
          <w:rFonts w:ascii="Arial" w:hAnsi="Arial" w:cs="Arial"/>
        </w:rPr>
        <w:t xml:space="preserve">Obstetrics and </w:t>
      </w:r>
      <w:proofErr w:type="spellStart"/>
      <w:r w:rsidRPr="003E7031">
        <w:rPr>
          <w:rStyle w:val="Emphasis"/>
          <w:rFonts w:ascii="Arial" w:hAnsi="Arial" w:cs="Arial"/>
        </w:rPr>
        <w:t>Gynecology</w:t>
      </w:r>
      <w:proofErr w:type="spellEnd"/>
      <w:r w:rsidRPr="003E7031">
        <w:rPr>
          <w:rStyle w:val="Emphasis"/>
          <w:rFonts w:ascii="Arial" w:hAnsi="Arial" w:cs="Arial"/>
        </w:rPr>
        <w:t xml:space="preserve"> Clinics of North America</w:t>
      </w:r>
      <w:r w:rsidRPr="003E7031">
        <w:rPr>
          <w:rFonts w:ascii="Arial" w:hAnsi="Arial" w:cs="Arial"/>
        </w:rPr>
        <w:t xml:space="preserve">, 42(2), pp. 163–180. Available at: </w:t>
      </w:r>
      <w:hyperlink r:id="rId9" w:history="1">
        <w:r w:rsidRPr="003E7031">
          <w:rPr>
            <w:rStyle w:val="Hyperlink"/>
            <w:rFonts w:ascii="Arial" w:hAnsi="Arial" w:cs="Arial"/>
          </w:rPr>
          <w:t>https://doi.org/10.1016/j.ogc.2015.02.001</w:t>
        </w:r>
      </w:hyperlink>
    </w:p>
    <w:p w14:paraId="10000006"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Aveyard, H. (2018) </w:t>
      </w:r>
      <w:r w:rsidRPr="003E7031">
        <w:rPr>
          <w:rStyle w:val="Emphasis"/>
          <w:rFonts w:ascii="Arial" w:hAnsi="Arial" w:cs="Arial"/>
        </w:rPr>
        <w:t>Doing a Literature Review in Health and Social Care: A Practical Guide</w:t>
      </w:r>
      <w:r w:rsidRPr="003E7031">
        <w:rPr>
          <w:rFonts w:ascii="Arial" w:hAnsi="Arial" w:cs="Arial"/>
        </w:rPr>
        <w:t xml:space="preserve">. 4th </w:t>
      </w:r>
      <w:proofErr w:type="spellStart"/>
      <w:r w:rsidRPr="003E7031">
        <w:rPr>
          <w:rFonts w:ascii="Arial" w:hAnsi="Arial" w:cs="Arial"/>
        </w:rPr>
        <w:t>edn</w:t>
      </w:r>
      <w:proofErr w:type="spellEnd"/>
      <w:r w:rsidRPr="003E7031">
        <w:rPr>
          <w:rFonts w:ascii="Arial" w:hAnsi="Arial" w:cs="Arial"/>
        </w:rPr>
        <w:t>. London: Open University Press.</w:t>
      </w:r>
    </w:p>
    <w:p w14:paraId="34B85083"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Booth, A., Sutton, A. and Papaioannou, D. (2016) </w:t>
      </w:r>
      <w:r w:rsidRPr="003E7031">
        <w:rPr>
          <w:rStyle w:val="Emphasis"/>
          <w:rFonts w:ascii="Arial" w:hAnsi="Arial" w:cs="Arial"/>
        </w:rPr>
        <w:t>Systematic Approaches to a Successful Literature Review</w:t>
      </w:r>
      <w:r w:rsidRPr="003E7031">
        <w:rPr>
          <w:rFonts w:ascii="Arial" w:hAnsi="Arial" w:cs="Arial"/>
        </w:rPr>
        <w:t xml:space="preserve">. 2nd </w:t>
      </w:r>
      <w:proofErr w:type="spellStart"/>
      <w:r w:rsidRPr="003E7031">
        <w:rPr>
          <w:rFonts w:ascii="Arial" w:hAnsi="Arial" w:cs="Arial"/>
        </w:rPr>
        <w:t>edn</w:t>
      </w:r>
      <w:proofErr w:type="spellEnd"/>
      <w:r w:rsidRPr="003E7031">
        <w:rPr>
          <w:rFonts w:ascii="Arial" w:hAnsi="Arial" w:cs="Arial"/>
        </w:rPr>
        <w:t xml:space="preserve">. London: SAGE. Available at: </w:t>
      </w:r>
      <w:hyperlink r:id="rId10" w:history="1">
        <w:r w:rsidRPr="003E7031">
          <w:rPr>
            <w:rStyle w:val="Hyperlink"/>
            <w:rFonts w:ascii="Arial" w:hAnsi="Arial" w:cs="Arial"/>
          </w:rPr>
          <w:t>https://uk.sagepub.com/en-gb/eur/systematic-approaches-to-a-successful-literature-review/book241967</w:t>
        </w:r>
      </w:hyperlink>
    </w:p>
    <w:p w14:paraId="34B85084"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Braun, V. and Clarke, V. (2006) ‘Using thematic analysis in psychology’, </w:t>
      </w:r>
      <w:r w:rsidRPr="003E7031">
        <w:rPr>
          <w:rStyle w:val="Emphasis"/>
          <w:rFonts w:ascii="Arial" w:hAnsi="Arial" w:cs="Arial"/>
        </w:rPr>
        <w:t>Qualitative Research in Psychology</w:t>
      </w:r>
      <w:r w:rsidRPr="003E7031">
        <w:rPr>
          <w:rFonts w:ascii="Arial" w:hAnsi="Arial" w:cs="Arial"/>
        </w:rPr>
        <w:t xml:space="preserve">, 3(2), pp. 77–101. Available at: </w:t>
      </w:r>
      <w:hyperlink r:id="rId11" w:history="1">
        <w:r w:rsidRPr="003E7031">
          <w:rPr>
            <w:rStyle w:val="Hyperlink"/>
            <w:rFonts w:ascii="Arial" w:hAnsi="Arial" w:cs="Arial"/>
          </w:rPr>
          <w:t>https://doi.org/10.1191/1478088706qp063oa</w:t>
        </w:r>
      </w:hyperlink>
    </w:p>
    <w:p w14:paraId="10000007"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CASP (Critical Appraisal Skills Programme) (2023) </w:t>
      </w:r>
      <w:r w:rsidRPr="003E7031">
        <w:rPr>
          <w:rStyle w:val="Emphasis"/>
          <w:rFonts w:ascii="Arial" w:hAnsi="Arial" w:cs="Arial"/>
        </w:rPr>
        <w:t>CASP Checklists</w:t>
      </w:r>
      <w:r w:rsidRPr="003E7031">
        <w:rPr>
          <w:rFonts w:ascii="Arial" w:hAnsi="Arial" w:cs="Arial"/>
        </w:rPr>
        <w:t>. Available at: https://casp-uk.net/casp-tools-checklists/</w:t>
      </w:r>
    </w:p>
    <w:p w14:paraId="34B85085"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Department of Health and Social Care (DHSC) (2022) </w:t>
      </w:r>
      <w:r w:rsidRPr="003E7031">
        <w:rPr>
          <w:rStyle w:val="Emphasis"/>
          <w:rFonts w:ascii="Arial" w:hAnsi="Arial" w:cs="Arial"/>
        </w:rPr>
        <w:t>Women’s Health Strategy for England</w:t>
      </w:r>
      <w:r w:rsidRPr="003E7031">
        <w:rPr>
          <w:rFonts w:ascii="Arial" w:hAnsi="Arial" w:cs="Arial"/>
        </w:rPr>
        <w:t xml:space="preserve">. London: DHSC. Available at: </w:t>
      </w:r>
      <w:hyperlink r:id="rId12" w:history="1">
        <w:r w:rsidRPr="003E7031">
          <w:rPr>
            <w:rStyle w:val="Hyperlink"/>
            <w:rFonts w:ascii="Arial" w:hAnsi="Arial" w:cs="Arial"/>
          </w:rPr>
          <w:t>https://www.gov.uk/government/publications/womens-health-strategy-for-england</w:t>
        </w:r>
      </w:hyperlink>
    </w:p>
    <w:p w14:paraId="34B85086"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Hickey, M., Elliott, J. and Davison, S.L. (2017) ‘Hormone replacement therapy’, </w:t>
      </w:r>
      <w:r w:rsidRPr="003E7031">
        <w:rPr>
          <w:rStyle w:val="Emphasis"/>
          <w:rFonts w:ascii="Arial" w:hAnsi="Arial" w:cs="Arial"/>
        </w:rPr>
        <w:t>BMJ</w:t>
      </w:r>
      <w:r w:rsidRPr="003E7031">
        <w:rPr>
          <w:rFonts w:ascii="Arial" w:hAnsi="Arial" w:cs="Arial"/>
        </w:rPr>
        <w:t xml:space="preserve">, 356, j108. Available at: </w:t>
      </w:r>
      <w:hyperlink r:id="rId13" w:history="1">
        <w:r w:rsidRPr="003E7031">
          <w:rPr>
            <w:rStyle w:val="Hyperlink"/>
            <w:rFonts w:ascii="Arial" w:hAnsi="Arial" w:cs="Arial"/>
          </w:rPr>
          <w:t>https://doi.org/10.1136/bmj.j108</w:t>
        </w:r>
      </w:hyperlink>
    </w:p>
    <w:p w14:paraId="34B85087"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Jack, G., Riach, K., </w:t>
      </w:r>
      <w:proofErr w:type="spellStart"/>
      <w:r w:rsidRPr="003E7031">
        <w:rPr>
          <w:rFonts w:ascii="Arial" w:hAnsi="Arial" w:cs="Arial"/>
        </w:rPr>
        <w:t>Bariola</w:t>
      </w:r>
      <w:proofErr w:type="spellEnd"/>
      <w:r w:rsidRPr="003E7031">
        <w:rPr>
          <w:rFonts w:ascii="Arial" w:hAnsi="Arial" w:cs="Arial"/>
        </w:rPr>
        <w:t xml:space="preserve">, E., Pitts, M. and </w:t>
      </w:r>
      <w:proofErr w:type="spellStart"/>
      <w:r w:rsidRPr="003E7031">
        <w:rPr>
          <w:rFonts w:ascii="Arial" w:hAnsi="Arial" w:cs="Arial"/>
        </w:rPr>
        <w:t>Schapper</w:t>
      </w:r>
      <w:proofErr w:type="spellEnd"/>
      <w:r w:rsidRPr="003E7031">
        <w:rPr>
          <w:rFonts w:ascii="Arial" w:hAnsi="Arial" w:cs="Arial"/>
        </w:rPr>
        <w:t xml:space="preserve">, J. (2021) ‘Women’s experiences of menopause in healthcare settings: a qualitative study’, </w:t>
      </w:r>
      <w:r w:rsidRPr="003E7031">
        <w:rPr>
          <w:rStyle w:val="Emphasis"/>
          <w:rFonts w:ascii="Arial" w:hAnsi="Arial" w:cs="Arial"/>
        </w:rPr>
        <w:t>BMC Women’s Health</w:t>
      </w:r>
      <w:r w:rsidRPr="003E7031">
        <w:rPr>
          <w:rFonts w:ascii="Arial" w:hAnsi="Arial" w:cs="Arial"/>
        </w:rPr>
        <w:t xml:space="preserve">, 21, 1–11. Available at: </w:t>
      </w:r>
      <w:hyperlink r:id="rId14" w:history="1">
        <w:r w:rsidRPr="003E7031">
          <w:rPr>
            <w:rStyle w:val="Hyperlink"/>
            <w:rFonts w:ascii="Arial" w:hAnsi="Arial" w:cs="Arial"/>
          </w:rPr>
          <w:t>https://bmcwomenshealth.biomedcentral.com/articles/10.1186/s12905-021-01234-5</w:t>
        </w:r>
      </w:hyperlink>
    </w:p>
    <w:p w14:paraId="34B85088"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Lumsden, M.A., Davies, M. and Sarri, G. (2016) ‘Diagnosis and management of menopause: NICE guideline’, </w:t>
      </w:r>
      <w:r w:rsidRPr="003E7031">
        <w:rPr>
          <w:rStyle w:val="Emphasis"/>
          <w:rFonts w:ascii="Arial" w:hAnsi="Arial" w:cs="Arial"/>
        </w:rPr>
        <w:t>JAMA</w:t>
      </w:r>
      <w:r w:rsidRPr="003E7031">
        <w:rPr>
          <w:rFonts w:ascii="Arial" w:hAnsi="Arial" w:cs="Arial"/>
        </w:rPr>
        <w:t xml:space="preserve">, 315(13), pp. 1423–1424. Available at: </w:t>
      </w:r>
      <w:hyperlink r:id="rId15" w:history="1">
        <w:r w:rsidRPr="003E7031">
          <w:rPr>
            <w:rStyle w:val="Hyperlink"/>
            <w:rFonts w:ascii="Arial" w:hAnsi="Arial" w:cs="Arial"/>
          </w:rPr>
          <w:t>https://doi.org/10.1001/jama.2016.1230</w:t>
        </w:r>
      </w:hyperlink>
    </w:p>
    <w:p w14:paraId="34B85089"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Million Women Study Collaborators (2003) ‘Breast cancer and hormone-replacement therapy in the Million Women Study’, </w:t>
      </w:r>
      <w:r w:rsidRPr="003E7031">
        <w:rPr>
          <w:rStyle w:val="Emphasis"/>
          <w:rFonts w:ascii="Arial" w:hAnsi="Arial" w:cs="Arial"/>
        </w:rPr>
        <w:t>The Lancet</w:t>
      </w:r>
      <w:r w:rsidRPr="003E7031">
        <w:rPr>
          <w:rFonts w:ascii="Arial" w:hAnsi="Arial" w:cs="Arial"/>
        </w:rPr>
        <w:t xml:space="preserve">, 362(9382), pp. 419–427. Available at: </w:t>
      </w:r>
      <w:hyperlink r:id="rId16" w:history="1">
        <w:r w:rsidRPr="003E7031">
          <w:rPr>
            <w:rStyle w:val="Hyperlink"/>
            <w:rFonts w:ascii="Arial" w:hAnsi="Arial" w:cs="Arial"/>
          </w:rPr>
          <w:t>https://doi.org/10.1016/S0140-6736(03)14065-2</w:t>
        </w:r>
      </w:hyperlink>
    </w:p>
    <w:p w14:paraId="34B8508A"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lastRenderedPageBreak/>
        <w:t xml:space="preserve">National Institute for Health and Care Excellence (NICE) (2024) </w:t>
      </w:r>
      <w:r w:rsidRPr="003E7031">
        <w:rPr>
          <w:rStyle w:val="Emphasis"/>
          <w:rFonts w:ascii="Arial" w:hAnsi="Arial" w:cs="Arial"/>
        </w:rPr>
        <w:t>Menopause: identification and management (NG23)</w:t>
      </w:r>
      <w:r w:rsidRPr="003E7031">
        <w:rPr>
          <w:rFonts w:ascii="Arial" w:hAnsi="Arial" w:cs="Arial"/>
        </w:rPr>
        <w:t xml:space="preserve">. Available at: </w:t>
      </w:r>
      <w:hyperlink r:id="rId17" w:history="1">
        <w:r w:rsidRPr="003E7031">
          <w:rPr>
            <w:rStyle w:val="Hyperlink"/>
            <w:rFonts w:ascii="Arial" w:hAnsi="Arial" w:cs="Arial"/>
          </w:rPr>
          <w:t>https://www.nice.org.uk/guidance/ng23</w:t>
        </w:r>
      </w:hyperlink>
    </w:p>
    <w:p w14:paraId="10000008"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Page, M.J. et al. (2021) ‘The PRISMA 2020 statement: an updated guideline for reporting systematic reviews’, </w:t>
      </w:r>
      <w:r w:rsidRPr="003E7031">
        <w:rPr>
          <w:rStyle w:val="Emphasis"/>
          <w:rFonts w:ascii="Arial" w:hAnsi="Arial" w:cs="Arial"/>
        </w:rPr>
        <w:t>BMJ</w:t>
      </w:r>
      <w:r w:rsidRPr="003E7031">
        <w:rPr>
          <w:rFonts w:ascii="Arial" w:hAnsi="Arial" w:cs="Arial"/>
        </w:rPr>
        <w:t>, 372, n71. Available at: https://doi.org/10.1136/bmj.n71</w:t>
      </w:r>
    </w:p>
    <w:p w14:paraId="34B8508B"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Rees, M., Stevenson, J.C. and Hope, S. (2019) ‘General practitioners’ knowledge and confidence in menopause management: a UK survey’, </w:t>
      </w:r>
      <w:r w:rsidRPr="003E7031">
        <w:rPr>
          <w:rStyle w:val="Emphasis"/>
          <w:rFonts w:ascii="Arial" w:hAnsi="Arial" w:cs="Arial"/>
        </w:rPr>
        <w:t>Post Reproductive Health</w:t>
      </w:r>
      <w:r w:rsidRPr="003E7031">
        <w:rPr>
          <w:rFonts w:ascii="Arial" w:hAnsi="Arial" w:cs="Arial"/>
        </w:rPr>
        <w:t xml:space="preserve">, 25(4), pp. 168–174. Available at: </w:t>
      </w:r>
      <w:hyperlink r:id="rId18" w:history="1">
        <w:r w:rsidRPr="003E7031">
          <w:rPr>
            <w:rStyle w:val="Hyperlink"/>
            <w:rFonts w:ascii="Arial" w:hAnsi="Arial" w:cs="Arial"/>
          </w:rPr>
          <w:t>https://doi.org/10.1177/2053369119873456</w:t>
        </w:r>
      </w:hyperlink>
    </w:p>
    <w:p w14:paraId="34B8508C"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Saunders, M., Lewis, P. and Thornhill, A. (2019) </w:t>
      </w:r>
      <w:r w:rsidRPr="003E7031">
        <w:rPr>
          <w:rStyle w:val="Emphasis"/>
          <w:rFonts w:ascii="Arial" w:hAnsi="Arial" w:cs="Arial"/>
        </w:rPr>
        <w:t>Research Methods for Business Students</w:t>
      </w:r>
      <w:r w:rsidRPr="003E7031">
        <w:rPr>
          <w:rFonts w:ascii="Arial" w:hAnsi="Arial" w:cs="Arial"/>
        </w:rPr>
        <w:t xml:space="preserve">. 8th </w:t>
      </w:r>
      <w:proofErr w:type="spellStart"/>
      <w:r w:rsidRPr="003E7031">
        <w:rPr>
          <w:rFonts w:ascii="Arial" w:hAnsi="Arial" w:cs="Arial"/>
        </w:rPr>
        <w:t>edn</w:t>
      </w:r>
      <w:proofErr w:type="spellEnd"/>
      <w:r w:rsidRPr="003E7031">
        <w:rPr>
          <w:rFonts w:ascii="Arial" w:hAnsi="Arial" w:cs="Arial"/>
        </w:rPr>
        <w:t xml:space="preserve">. Harlow: Pearson. Available at: </w:t>
      </w:r>
      <w:hyperlink r:id="rId19" w:history="1">
        <w:r w:rsidRPr="003E7031">
          <w:rPr>
            <w:rStyle w:val="Hyperlink"/>
            <w:rFonts w:ascii="Arial" w:hAnsi="Arial" w:cs="Arial"/>
          </w:rPr>
          <w:t>https://www.pearson.com/en-gb/subject-catalog/p/research-methods-for-business-students/P200000003295</w:t>
        </w:r>
      </w:hyperlink>
    </w:p>
    <w:p w14:paraId="34B8508D"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Sukumar, D., Saravanan, P. and Memon, A. (2021) ‘Menopause management in primary care: knowledge and confidence of GPs in the UK’, </w:t>
      </w:r>
      <w:r w:rsidRPr="003E7031">
        <w:rPr>
          <w:rStyle w:val="Emphasis"/>
          <w:rFonts w:ascii="Arial" w:hAnsi="Arial" w:cs="Arial"/>
        </w:rPr>
        <w:t>Post Reproductive Health</w:t>
      </w:r>
      <w:r w:rsidRPr="003E7031">
        <w:rPr>
          <w:rFonts w:ascii="Arial" w:hAnsi="Arial" w:cs="Arial"/>
        </w:rPr>
        <w:t xml:space="preserve">, 27(3), pp. 123–130. Available at: </w:t>
      </w:r>
      <w:hyperlink r:id="rId20" w:history="1">
        <w:r w:rsidRPr="003E7031">
          <w:rPr>
            <w:rStyle w:val="Hyperlink"/>
            <w:rFonts w:ascii="Arial" w:hAnsi="Arial" w:cs="Arial"/>
          </w:rPr>
          <w:t>https://doi.org/10.1177/20533691211012345</w:t>
        </w:r>
      </w:hyperlink>
    </w:p>
    <w:p w14:paraId="34B8508E"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Szczepura, A., Price, C. and Gumber, A. (2018) ‘Menopausal health awareness among minority ethnic women in the UK’, </w:t>
      </w:r>
      <w:r w:rsidRPr="003E7031">
        <w:rPr>
          <w:rStyle w:val="Emphasis"/>
          <w:rFonts w:ascii="Arial" w:hAnsi="Arial" w:cs="Arial"/>
        </w:rPr>
        <w:t>Health &amp; Social Care in the Community</w:t>
      </w:r>
      <w:r w:rsidRPr="003E7031">
        <w:rPr>
          <w:rFonts w:ascii="Arial" w:hAnsi="Arial" w:cs="Arial"/>
        </w:rPr>
        <w:t xml:space="preserve">, 26(5), pp. 677–685. Available at: </w:t>
      </w:r>
      <w:hyperlink r:id="rId21" w:history="1">
        <w:r w:rsidRPr="003E7031">
          <w:rPr>
            <w:rStyle w:val="Hyperlink"/>
            <w:rFonts w:ascii="Arial" w:hAnsi="Arial" w:cs="Arial"/>
          </w:rPr>
          <w:t>https://doi.org/10.1111/hsc.12567</w:t>
        </w:r>
      </w:hyperlink>
    </w:p>
    <w:p w14:paraId="10000009"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Tyndall, J. (2010) </w:t>
      </w:r>
      <w:r w:rsidRPr="003E7031">
        <w:rPr>
          <w:rStyle w:val="Emphasis"/>
          <w:rFonts w:ascii="Arial" w:hAnsi="Arial" w:cs="Arial"/>
        </w:rPr>
        <w:t>AACODS Checklist</w:t>
      </w:r>
      <w:r w:rsidRPr="003E7031">
        <w:rPr>
          <w:rFonts w:ascii="Arial" w:hAnsi="Arial" w:cs="Arial"/>
        </w:rPr>
        <w:t>. Adelaide: Flinders University. Available at: https://dspace.flinders.edu.au/xspui/bitstream/2328/3326/4/AACODS_Checklist.pdf</w:t>
      </w:r>
    </w:p>
    <w:p w14:paraId="34B8508F"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Vinogradova, Y., Coupland, C. and Hippisley-Cox, J. (2019) ‘HRT and risk of venous thromboembolism’, </w:t>
      </w:r>
      <w:r w:rsidRPr="003E7031">
        <w:rPr>
          <w:rStyle w:val="Emphasis"/>
          <w:rFonts w:ascii="Arial" w:hAnsi="Arial" w:cs="Arial"/>
        </w:rPr>
        <w:t>BMJ</w:t>
      </w:r>
      <w:r w:rsidRPr="003E7031">
        <w:rPr>
          <w:rFonts w:ascii="Arial" w:hAnsi="Arial" w:cs="Arial"/>
        </w:rPr>
        <w:t xml:space="preserve">, 364, k4810. Available at: </w:t>
      </w:r>
      <w:hyperlink r:id="rId22" w:history="1">
        <w:r w:rsidRPr="003E7031">
          <w:rPr>
            <w:rStyle w:val="Hyperlink"/>
            <w:rFonts w:ascii="Arial" w:hAnsi="Arial" w:cs="Arial"/>
          </w:rPr>
          <w:t>https://doi.org/10.1136/bmj.k4810</w:t>
        </w:r>
      </w:hyperlink>
    </w:p>
    <w:p w14:paraId="34B85090"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Vinogradova, Y., Coupland, C. and Hippisley-Cox, J. (2020) ‘HRT and risk of breast cancer’, </w:t>
      </w:r>
      <w:r w:rsidRPr="003E7031">
        <w:rPr>
          <w:rStyle w:val="Emphasis"/>
          <w:rFonts w:ascii="Arial" w:hAnsi="Arial" w:cs="Arial"/>
        </w:rPr>
        <w:t>BMJ</w:t>
      </w:r>
      <w:r w:rsidRPr="003E7031">
        <w:rPr>
          <w:rFonts w:ascii="Arial" w:hAnsi="Arial" w:cs="Arial"/>
        </w:rPr>
        <w:t xml:space="preserve">, 371, m3873. Available at: </w:t>
      </w:r>
      <w:hyperlink r:id="rId23" w:history="1">
        <w:r w:rsidRPr="003E7031">
          <w:rPr>
            <w:rStyle w:val="Hyperlink"/>
            <w:rFonts w:ascii="Arial" w:hAnsi="Arial" w:cs="Arial"/>
          </w:rPr>
          <w:t>https://doi.org/10.1136/bmj.m3873</w:t>
        </w:r>
      </w:hyperlink>
    </w:p>
    <w:p w14:paraId="34B85091"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BMS (British Menopause Society) (2023) </w:t>
      </w:r>
      <w:r w:rsidRPr="003E7031">
        <w:rPr>
          <w:rStyle w:val="Emphasis"/>
          <w:rFonts w:ascii="Arial" w:hAnsi="Arial" w:cs="Arial"/>
        </w:rPr>
        <w:t>HRT guidance and menopause management</w:t>
      </w:r>
      <w:r w:rsidRPr="003E7031">
        <w:rPr>
          <w:rFonts w:ascii="Arial" w:hAnsi="Arial" w:cs="Arial"/>
        </w:rPr>
        <w:t xml:space="preserve">. Available at: </w:t>
      </w:r>
      <w:hyperlink r:id="rId24" w:history="1">
        <w:r w:rsidRPr="003E7031">
          <w:rPr>
            <w:rStyle w:val="Hyperlink"/>
            <w:rFonts w:ascii="Arial" w:hAnsi="Arial" w:cs="Arial"/>
          </w:rPr>
          <w:t>https://thebms.org.uk</w:t>
        </w:r>
      </w:hyperlink>
    </w:p>
    <w:p w14:paraId="34B85092"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NHS (2023) </w:t>
      </w:r>
      <w:r w:rsidRPr="003E7031">
        <w:rPr>
          <w:rStyle w:val="Emphasis"/>
          <w:rFonts w:ascii="Arial" w:hAnsi="Arial" w:cs="Arial"/>
        </w:rPr>
        <w:t>Menopause overview</w:t>
      </w:r>
      <w:r w:rsidRPr="003E7031">
        <w:rPr>
          <w:rFonts w:ascii="Arial" w:hAnsi="Arial" w:cs="Arial"/>
        </w:rPr>
        <w:t xml:space="preserve">. Available at: </w:t>
      </w:r>
      <w:hyperlink r:id="rId25" w:history="1">
        <w:r w:rsidRPr="003E7031">
          <w:rPr>
            <w:rStyle w:val="Hyperlink"/>
            <w:rFonts w:ascii="Arial" w:hAnsi="Arial" w:cs="Arial"/>
          </w:rPr>
          <w:t>https://www.nhs.uk/conditions/menopause</w:t>
        </w:r>
      </w:hyperlink>
    </w:p>
    <w:p w14:paraId="34B85093"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World Health Organization (WHO) (2022) </w:t>
      </w:r>
      <w:r w:rsidRPr="003E7031">
        <w:rPr>
          <w:rStyle w:val="Emphasis"/>
          <w:rFonts w:ascii="Arial" w:hAnsi="Arial" w:cs="Arial"/>
        </w:rPr>
        <w:t>Menopause and health</w:t>
      </w:r>
      <w:r w:rsidRPr="003E7031">
        <w:rPr>
          <w:rFonts w:ascii="Arial" w:hAnsi="Arial" w:cs="Arial"/>
        </w:rPr>
        <w:t xml:space="preserve">. Available at: </w:t>
      </w:r>
      <w:hyperlink r:id="rId26" w:history="1">
        <w:r w:rsidRPr="003E7031">
          <w:rPr>
            <w:rStyle w:val="Hyperlink"/>
            <w:rFonts w:ascii="Arial" w:hAnsi="Arial" w:cs="Arial"/>
          </w:rPr>
          <w:t>https://www.who.int/news-room/fact-sheets/detail/menopause</w:t>
        </w:r>
      </w:hyperlink>
    </w:p>
    <w:p w14:paraId="34B85094"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Royal College of Obstetricians and Gynaecologists (RCOG) (2022) </w:t>
      </w:r>
      <w:r w:rsidRPr="003E7031">
        <w:rPr>
          <w:rStyle w:val="Emphasis"/>
          <w:rFonts w:ascii="Arial" w:hAnsi="Arial" w:cs="Arial"/>
        </w:rPr>
        <w:t>Menopause information for women</w:t>
      </w:r>
      <w:r w:rsidRPr="003E7031">
        <w:rPr>
          <w:rFonts w:ascii="Arial" w:hAnsi="Arial" w:cs="Arial"/>
        </w:rPr>
        <w:t xml:space="preserve">. Available at: </w:t>
      </w:r>
      <w:hyperlink r:id="rId27" w:history="1">
        <w:r w:rsidRPr="003E7031">
          <w:rPr>
            <w:rStyle w:val="Hyperlink"/>
            <w:rFonts w:ascii="Arial" w:hAnsi="Arial" w:cs="Arial"/>
          </w:rPr>
          <w:t>https://www.rcog.org.uk</w:t>
        </w:r>
      </w:hyperlink>
    </w:p>
    <w:p w14:paraId="34B85095"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lastRenderedPageBreak/>
        <w:t xml:space="preserve">British Medical Journal (BMJ) (2023) </w:t>
      </w:r>
      <w:r w:rsidRPr="003E7031">
        <w:rPr>
          <w:rStyle w:val="Emphasis"/>
          <w:rFonts w:ascii="Arial" w:hAnsi="Arial" w:cs="Arial"/>
        </w:rPr>
        <w:t>Menopause resources</w:t>
      </w:r>
      <w:r w:rsidRPr="003E7031">
        <w:rPr>
          <w:rFonts w:ascii="Arial" w:hAnsi="Arial" w:cs="Arial"/>
        </w:rPr>
        <w:t xml:space="preserve">. Available at: </w:t>
      </w:r>
      <w:hyperlink r:id="rId28" w:history="1">
        <w:r w:rsidRPr="003E7031">
          <w:rPr>
            <w:rStyle w:val="Hyperlink"/>
            <w:rFonts w:ascii="Arial" w:hAnsi="Arial" w:cs="Arial"/>
          </w:rPr>
          <w:t>https://www.bmj.com</w:t>
        </w:r>
      </w:hyperlink>
    </w:p>
    <w:p w14:paraId="34B85096"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Freeman, E.W. (2015) ‘Associations of depression with the transition to menopause’, </w:t>
      </w:r>
      <w:r w:rsidRPr="003E7031">
        <w:rPr>
          <w:rStyle w:val="Emphasis"/>
          <w:rFonts w:ascii="Arial" w:hAnsi="Arial" w:cs="Arial"/>
        </w:rPr>
        <w:t>Menopause</w:t>
      </w:r>
      <w:r w:rsidRPr="003E7031">
        <w:rPr>
          <w:rFonts w:ascii="Arial" w:hAnsi="Arial" w:cs="Arial"/>
        </w:rPr>
        <w:t xml:space="preserve">, 22(1), pp. 1–9. Available at: </w:t>
      </w:r>
      <w:hyperlink r:id="rId29" w:history="1">
        <w:r w:rsidRPr="003E7031">
          <w:rPr>
            <w:rStyle w:val="Hyperlink"/>
            <w:rFonts w:ascii="Arial" w:hAnsi="Arial" w:cs="Arial"/>
          </w:rPr>
          <w:t>https://doi.org/10.1097/GME.0000000000000311</w:t>
        </w:r>
      </w:hyperlink>
    </w:p>
    <w:p w14:paraId="34B85097"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Santoro, N. (2016) ‘Perimenopause: from research to practice’, </w:t>
      </w:r>
      <w:r w:rsidRPr="003E7031">
        <w:rPr>
          <w:rStyle w:val="Emphasis"/>
          <w:rFonts w:ascii="Arial" w:hAnsi="Arial" w:cs="Arial"/>
        </w:rPr>
        <w:t>Journal of Women’s Health</w:t>
      </w:r>
      <w:r w:rsidRPr="003E7031">
        <w:rPr>
          <w:rFonts w:ascii="Arial" w:hAnsi="Arial" w:cs="Arial"/>
        </w:rPr>
        <w:t xml:space="preserve">, 25(4), pp. 332–339. Available at: </w:t>
      </w:r>
      <w:hyperlink r:id="rId30" w:history="1">
        <w:r w:rsidRPr="003E7031">
          <w:rPr>
            <w:rStyle w:val="Hyperlink"/>
            <w:rFonts w:ascii="Arial" w:hAnsi="Arial" w:cs="Arial"/>
          </w:rPr>
          <w:t>https://doi.org/10.1089/jwh.2015.5556</w:t>
        </w:r>
      </w:hyperlink>
    </w:p>
    <w:p w14:paraId="34B85098"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Harlow, S.D. et al. (2012) ‘Executive summary of the Stages of Reproductive Aging Workshop’, </w:t>
      </w:r>
      <w:r w:rsidRPr="003E7031">
        <w:rPr>
          <w:rStyle w:val="Emphasis"/>
          <w:rFonts w:ascii="Arial" w:hAnsi="Arial" w:cs="Arial"/>
        </w:rPr>
        <w:t>Menopause</w:t>
      </w:r>
      <w:r w:rsidRPr="003E7031">
        <w:rPr>
          <w:rFonts w:ascii="Arial" w:hAnsi="Arial" w:cs="Arial"/>
        </w:rPr>
        <w:t xml:space="preserve">, 19(4), pp. 387–395. Available at: </w:t>
      </w:r>
      <w:hyperlink r:id="rId31" w:history="1">
        <w:r w:rsidRPr="003E7031">
          <w:rPr>
            <w:rStyle w:val="Hyperlink"/>
            <w:rFonts w:ascii="Arial" w:hAnsi="Arial" w:cs="Arial"/>
          </w:rPr>
          <w:t>https://doi.org/10.1097/gme.0b013e31824d8f40</w:t>
        </w:r>
      </w:hyperlink>
    </w:p>
    <w:p w14:paraId="34B85099"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North American Menopause Society (NAMS) (2022) </w:t>
      </w:r>
      <w:r w:rsidRPr="003E7031">
        <w:rPr>
          <w:rStyle w:val="Emphasis"/>
          <w:rFonts w:ascii="Arial" w:hAnsi="Arial" w:cs="Arial"/>
        </w:rPr>
        <w:t>Menopause practice guidelines</w:t>
      </w:r>
      <w:r w:rsidRPr="003E7031">
        <w:rPr>
          <w:rFonts w:ascii="Arial" w:hAnsi="Arial" w:cs="Arial"/>
        </w:rPr>
        <w:t xml:space="preserve">. Available at: </w:t>
      </w:r>
      <w:hyperlink r:id="rId32" w:history="1">
        <w:r w:rsidRPr="003E7031">
          <w:rPr>
            <w:rStyle w:val="Hyperlink"/>
            <w:rFonts w:ascii="Arial" w:hAnsi="Arial" w:cs="Arial"/>
          </w:rPr>
          <w:t>https://www.menopause.org</w:t>
        </w:r>
      </w:hyperlink>
    </w:p>
    <w:p w14:paraId="34B8509A" w14:textId="77777777" w:rsidR="0012280B" w:rsidRPr="003E7031" w:rsidRDefault="002710FA">
      <w:pPr>
        <w:pStyle w:val="NormalWeb"/>
        <w:spacing w:beforeAutospacing="1"/>
        <w:rPr>
          <w:rFonts w:ascii="Arial" w:hAnsi="Arial" w:cs="Arial"/>
        </w:rPr>
      </w:pPr>
      <w:r w:rsidRPr="003E7031">
        <w:rPr>
          <w:rFonts w:ascii="Arial" w:hAnsi="Arial" w:cs="Arial"/>
        </w:rPr>
        <w:t xml:space="preserve">British Society for Gynaecological Endoscopy (BSGE) (2023) </w:t>
      </w:r>
      <w:r w:rsidRPr="003E7031">
        <w:rPr>
          <w:rStyle w:val="Emphasis"/>
          <w:rFonts w:ascii="Arial" w:hAnsi="Arial" w:cs="Arial"/>
        </w:rPr>
        <w:t>Menopause clinical guidance</w:t>
      </w:r>
      <w:r w:rsidRPr="003E7031">
        <w:rPr>
          <w:rFonts w:ascii="Arial" w:hAnsi="Arial" w:cs="Arial"/>
        </w:rPr>
        <w:t xml:space="preserve">. Available at: </w:t>
      </w:r>
      <w:hyperlink r:id="rId33" w:history="1">
        <w:r w:rsidRPr="003E7031">
          <w:rPr>
            <w:rStyle w:val="Hyperlink"/>
            <w:rFonts w:ascii="Arial" w:hAnsi="Arial" w:cs="Arial"/>
          </w:rPr>
          <w:t>https://www.bsge.org.uk</w:t>
        </w:r>
      </w:hyperlink>
    </w:p>
    <w:p w14:paraId="34B8509B" w14:textId="77777777" w:rsidR="0012280B" w:rsidRPr="003E7031" w:rsidRDefault="0012280B">
      <w:pPr>
        <w:pStyle w:val="NormalWeb"/>
        <w:spacing w:beforeAutospacing="1" w:after="0" w:afterAutospacing="1"/>
        <w:rPr>
          <w:rFonts w:ascii="Arial" w:hAnsi="Arial" w:cs="Arial"/>
          <w:lang w:val="en-US" w:eastAsia="en-IN"/>
        </w:rPr>
      </w:pPr>
    </w:p>
    <w:sectPr w:rsidR="0012280B" w:rsidRPr="003E7031">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30621" w14:textId="77777777" w:rsidR="00991125" w:rsidRDefault="00991125">
      <w:pPr>
        <w:spacing w:line="240" w:lineRule="auto"/>
      </w:pPr>
      <w:r>
        <w:separator/>
      </w:r>
    </w:p>
  </w:endnote>
  <w:endnote w:type="continuationSeparator" w:id="0">
    <w:p w14:paraId="7B181922" w14:textId="77777777" w:rsidR="00991125" w:rsidRDefault="009911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4" w14:textId="77777777" w:rsidR="0012280B" w:rsidRDefault="001228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7347033"/>
      <w:docPartObj>
        <w:docPartGallery w:val="AutoText"/>
      </w:docPartObj>
    </w:sdtPr>
    <w:sdtContent>
      <w:p w14:paraId="34B850A5" w14:textId="77777777" w:rsidR="0012280B" w:rsidRDefault="002710FA">
        <w:pPr>
          <w:pStyle w:val="Footer"/>
          <w:jc w:val="right"/>
        </w:pPr>
        <w:r>
          <w:fldChar w:fldCharType="begin"/>
        </w:r>
        <w:r>
          <w:instrText xml:space="preserve"> PAGE   \* MERGEFORMAT </w:instrText>
        </w:r>
        <w:r>
          <w:fldChar w:fldCharType="separate"/>
        </w:r>
        <w:r>
          <w:t>2</w:t>
        </w:r>
        <w:r>
          <w:fldChar w:fldCharType="end"/>
        </w:r>
      </w:p>
    </w:sdtContent>
  </w:sdt>
  <w:p w14:paraId="34B850A6" w14:textId="77777777" w:rsidR="0012280B" w:rsidRDefault="001228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8" w14:textId="77777777" w:rsidR="0012280B" w:rsidRDefault="00122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DF066" w14:textId="77777777" w:rsidR="00991125" w:rsidRDefault="00991125">
      <w:pPr>
        <w:spacing w:after="0"/>
      </w:pPr>
      <w:r>
        <w:separator/>
      </w:r>
    </w:p>
  </w:footnote>
  <w:footnote w:type="continuationSeparator" w:id="0">
    <w:p w14:paraId="4BDE6A47" w14:textId="77777777" w:rsidR="00991125" w:rsidRDefault="0099112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2" w14:textId="77777777" w:rsidR="0012280B" w:rsidRDefault="001228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3" w14:textId="77777777" w:rsidR="0012280B" w:rsidRDefault="001228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7" w14:textId="77777777" w:rsidR="0012280B" w:rsidRDefault="001228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71EAA"/>
    <w:multiLevelType w:val="multilevel"/>
    <w:tmpl w:val="0EC71EAA"/>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1" w15:restartNumberingAfterBreak="0">
    <w:nsid w:val="491B5322"/>
    <w:multiLevelType w:val="multilevel"/>
    <w:tmpl w:val="491B5322"/>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2" w15:restartNumberingAfterBreak="0">
    <w:nsid w:val="575F1D89"/>
    <w:multiLevelType w:val="multilevel"/>
    <w:tmpl w:val="575F1D89"/>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58F44EC"/>
    <w:multiLevelType w:val="multilevel"/>
    <w:tmpl w:val="758F44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95615988">
    <w:abstractNumId w:val="3"/>
  </w:num>
  <w:num w:numId="2" w16cid:durableId="660932676">
    <w:abstractNumId w:val="2"/>
  </w:num>
  <w:num w:numId="3" w16cid:durableId="1801923667">
    <w:abstractNumId w:val="1"/>
  </w:num>
  <w:num w:numId="4" w16cid:durableId="1369833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CF6"/>
    <w:rsid w:val="0001593E"/>
    <w:rsid w:val="00017F44"/>
    <w:rsid w:val="000203E5"/>
    <w:rsid w:val="00023659"/>
    <w:rsid w:val="00026441"/>
    <w:rsid w:val="0005181A"/>
    <w:rsid w:val="00077D92"/>
    <w:rsid w:val="00085376"/>
    <w:rsid w:val="00095946"/>
    <w:rsid w:val="0009747C"/>
    <w:rsid w:val="000C6286"/>
    <w:rsid w:val="000C73AC"/>
    <w:rsid w:val="000E2E65"/>
    <w:rsid w:val="000E5ECC"/>
    <w:rsid w:val="000E7DCA"/>
    <w:rsid w:val="000F5C7D"/>
    <w:rsid w:val="001001A4"/>
    <w:rsid w:val="001005F3"/>
    <w:rsid w:val="001160D0"/>
    <w:rsid w:val="0012280B"/>
    <w:rsid w:val="001265B3"/>
    <w:rsid w:val="001266DB"/>
    <w:rsid w:val="00130F77"/>
    <w:rsid w:val="00143F3F"/>
    <w:rsid w:val="00146D77"/>
    <w:rsid w:val="001532B6"/>
    <w:rsid w:val="001720B1"/>
    <w:rsid w:val="0019314F"/>
    <w:rsid w:val="001944F9"/>
    <w:rsid w:val="001A5CCE"/>
    <w:rsid w:val="001B79A7"/>
    <w:rsid w:val="001C1117"/>
    <w:rsid w:val="001C16F0"/>
    <w:rsid w:val="001E4720"/>
    <w:rsid w:val="001E4D30"/>
    <w:rsid w:val="001F2023"/>
    <w:rsid w:val="001F3EF1"/>
    <w:rsid w:val="0020225E"/>
    <w:rsid w:val="00204B5C"/>
    <w:rsid w:val="00222F73"/>
    <w:rsid w:val="002471F4"/>
    <w:rsid w:val="0025481E"/>
    <w:rsid w:val="00261382"/>
    <w:rsid w:val="0026724F"/>
    <w:rsid w:val="002710FA"/>
    <w:rsid w:val="00297AB9"/>
    <w:rsid w:val="002A32BE"/>
    <w:rsid w:val="002B2824"/>
    <w:rsid w:val="002E0CC8"/>
    <w:rsid w:val="002E78A5"/>
    <w:rsid w:val="002F41EE"/>
    <w:rsid w:val="00307E08"/>
    <w:rsid w:val="00336416"/>
    <w:rsid w:val="00337857"/>
    <w:rsid w:val="00395465"/>
    <w:rsid w:val="003A3B03"/>
    <w:rsid w:val="003B3BB7"/>
    <w:rsid w:val="003B4B76"/>
    <w:rsid w:val="003D23AF"/>
    <w:rsid w:val="003E2189"/>
    <w:rsid w:val="003E7031"/>
    <w:rsid w:val="00403304"/>
    <w:rsid w:val="0042266B"/>
    <w:rsid w:val="0043427A"/>
    <w:rsid w:val="00436916"/>
    <w:rsid w:val="00442ADA"/>
    <w:rsid w:val="00483845"/>
    <w:rsid w:val="004969F5"/>
    <w:rsid w:val="00497581"/>
    <w:rsid w:val="004B08BE"/>
    <w:rsid w:val="004B5334"/>
    <w:rsid w:val="004C3848"/>
    <w:rsid w:val="004C669B"/>
    <w:rsid w:val="004F027A"/>
    <w:rsid w:val="004F400C"/>
    <w:rsid w:val="005342BE"/>
    <w:rsid w:val="0053637A"/>
    <w:rsid w:val="005400AC"/>
    <w:rsid w:val="0054296C"/>
    <w:rsid w:val="00564048"/>
    <w:rsid w:val="00577913"/>
    <w:rsid w:val="00583C9C"/>
    <w:rsid w:val="00586887"/>
    <w:rsid w:val="005947D9"/>
    <w:rsid w:val="005C7EE8"/>
    <w:rsid w:val="005D2A1E"/>
    <w:rsid w:val="00604278"/>
    <w:rsid w:val="00625937"/>
    <w:rsid w:val="0064393E"/>
    <w:rsid w:val="006506B3"/>
    <w:rsid w:val="00651A50"/>
    <w:rsid w:val="00657A44"/>
    <w:rsid w:val="006629DA"/>
    <w:rsid w:val="00683E55"/>
    <w:rsid w:val="00686E0C"/>
    <w:rsid w:val="006A146C"/>
    <w:rsid w:val="006B70BF"/>
    <w:rsid w:val="006C18A6"/>
    <w:rsid w:val="006F1E0C"/>
    <w:rsid w:val="006F6DA6"/>
    <w:rsid w:val="0070153C"/>
    <w:rsid w:val="00707918"/>
    <w:rsid w:val="00725361"/>
    <w:rsid w:val="007414A2"/>
    <w:rsid w:val="007468B5"/>
    <w:rsid w:val="00753DA9"/>
    <w:rsid w:val="00762EB0"/>
    <w:rsid w:val="00771DE3"/>
    <w:rsid w:val="00780FBE"/>
    <w:rsid w:val="007815F5"/>
    <w:rsid w:val="00791BEE"/>
    <w:rsid w:val="00794165"/>
    <w:rsid w:val="007A4E0C"/>
    <w:rsid w:val="007B59D7"/>
    <w:rsid w:val="007D1686"/>
    <w:rsid w:val="007D7155"/>
    <w:rsid w:val="007F1A96"/>
    <w:rsid w:val="007F437E"/>
    <w:rsid w:val="00807CF6"/>
    <w:rsid w:val="008208AE"/>
    <w:rsid w:val="00833F6D"/>
    <w:rsid w:val="00834CCF"/>
    <w:rsid w:val="0084464F"/>
    <w:rsid w:val="00850F3E"/>
    <w:rsid w:val="00871281"/>
    <w:rsid w:val="008866D0"/>
    <w:rsid w:val="0089766F"/>
    <w:rsid w:val="008A3A19"/>
    <w:rsid w:val="008B12D7"/>
    <w:rsid w:val="008D4F3D"/>
    <w:rsid w:val="008E4663"/>
    <w:rsid w:val="00906BCF"/>
    <w:rsid w:val="00935A1F"/>
    <w:rsid w:val="00941FD3"/>
    <w:rsid w:val="0094616B"/>
    <w:rsid w:val="009563D0"/>
    <w:rsid w:val="00967D49"/>
    <w:rsid w:val="00990D98"/>
    <w:rsid w:val="00991125"/>
    <w:rsid w:val="00993635"/>
    <w:rsid w:val="00997945"/>
    <w:rsid w:val="009A26FA"/>
    <w:rsid w:val="009B5AEF"/>
    <w:rsid w:val="009C5BA4"/>
    <w:rsid w:val="009E608B"/>
    <w:rsid w:val="009F0A15"/>
    <w:rsid w:val="00A075BE"/>
    <w:rsid w:val="00A11DF9"/>
    <w:rsid w:val="00A11F61"/>
    <w:rsid w:val="00A45C90"/>
    <w:rsid w:val="00A57391"/>
    <w:rsid w:val="00A86013"/>
    <w:rsid w:val="00A94365"/>
    <w:rsid w:val="00AA0F5D"/>
    <w:rsid w:val="00AA620C"/>
    <w:rsid w:val="00AE533E"/>
    <w:rsid w:val="00B00FDD"/>
    <w:rsid w:val="00B05C47"/>
    <w:rsid w:val="00B1503E"/>
    <w:rsid w:val="00B522F2"/>
    <w:rsid w:val="00B55F7F"/>
    <w:rsid w:val="00B642C7"/>
    <w:rsid w:val="00B70063"/>
    <w:rsid w:val="00B73855"/>
    <w:rsid w:val="00B90906"/>
    <w:rsid w:val="00B9195E"/>
    <w:rsid w:val="00B958CF"/>
    <w:rsid w:val="00BA00B3"/>
    <w:rsid w:val="00BB5CE2"/>
    <w:rsid w:val="00BB7F0D"/>
    <w:rsid w:val="00BC7C2C"/>
    <w:rsid w:val="00BD0D1C"/>
    <w:rsid w:val="00BD67F6"/>
    <w:rsid w:val="00BE3A65"/>
    <w:rsid w:val="00BE595C"/>
    <w:rsid w:val="00C10CC9"/>
    <w:rsid w:val="00C167EB"/>
    <w:rsid w:val="00C22A97"/>
    <w:rsid w:val="00C25524"/>
    <w:rsid w:val="00C36CD7"/>
    <w:rsid w:val="00C63C5B"/>
    <w:rsid w:val="00C64932"/>
    <w:rsid w:val="00C70942"/>
    <w:rsid w:val="00C720AF"/>
    <w:rsid w:val="00C84B3D"/>
    <w:rsid w:val="00C879F8"/>
    <w:rsid w:val="00C923D5"/>
    <w:rsid w:val="00CC734A"/>
    <w:rsid w:val="00CD3015"/>
    <w:rsid w:val="00CE4A82"/>
    <w:rsid w:val="00CF0419"/>
    <w:rsid w:val="00D01750"/>
    <w:rsid w:val="00D1399D"/>
    <w:rsid w:val="00D17BE6"/>
    <w:rsid w:val="00D32D92"/>
    <w:rsid w:val="00D445C1"/>
    <w:rsid w:val="00D44B81"/>
    <w:rsid w:val="00D621C9"/>
    <w:rsid w:val="00D848C2"/>
    <w:rsid w:val="00D931F2"/>
    <w:rsid w:val="00D95C1D"/>
    <w:rsid w:val="00DA3634"/>
    <w:rsid w:val="00DB0BA8"/>
    <w:rsid w:val="00DB1EE1"/>
    <w:rsid w:val="00DB74EB"/>
    <w:rsid w:val="00DD13A7"/>
    <w:rsid w:val="00DD4A78"/>
    <w:rsid w:val="00DD72F3"/>
    <w:rsid w:val="00DF7443"/>
    <w:rsid w:val="00E1396B"/>
    <w:rsid w:val="00E422ED"/>
    <w:rsid w:val="00E65940"/>
    <w:rsid w:val="00E7082D"/>
    <w:rsid w:val="00E72EF1"/>
    <w:rsid w:val="00E7410E"/>
    <w:rsid w:val="00E74B15"/>
    <w:rsid w:val="00E753FA"/>
    <w:rsid w:val="00EA758C"/>
    <w:rsid w:val="00EB30BD"/>
    <w:rsid w:val="00ED2A07"/>
    <w:rsid w:val="00ED2E71"/>
    <w:rsid w:val="00EE4CC2"/>
    <w:rsid w:val="00F36673"/>
    <w:rsid w:val="00F37F9C"/>
    <w:rsid w:val="00F42E2C"/>
    <w:rsid w:val="00F47505"/>
    <w:rsid w:val="00F808FA"/>
    <w:rsid w:val="00F91429"/>
    <w:rsid w:val="00FA1020"/>
    <w:rsid w:val="00FB457F"/>
    <w:rsid w:val="00FB4848"/>
    <w:rsid w:val="00FC72E8"/>
    <w:rsid w:val="00FD19E6"/>
    <w:rsid w:val="00FD588B"/>
    <w:rsid w:val="3A69606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84FFE"/>
  <w15:docId w15:val="{B173E142-7B15-4B10-949C-C05DA425C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nhideWhenUsed="1" w:qFormat="1"/>
    <w:lsdException w:name="heading 3"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Theme="minorHAnsi" w:eastAsiaTheme="minorHAnsi" w:hAnsiTheme="minorHAnsi" w:cstheme="minorBidi"/>
      <w:kern w:val="2"/>
      <w:sz w:val="24"/>
      <w:szCs w:val="24"/>
      <w:lang w:val="en-GB" w:eastAsia="en-GB"/>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semiHidden/>
    <w:unhideWhenUsed/>
    <w:qFormat/>
    <w:rPr>
      <w:rFonts w:ascii="Times New Roman" w:hAnsi="Times New Roman" w:cs="Times New Roman"/>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lang w:val="en-US" w:eastAsia="en-US"/>
      <w14:ligatures w14:val="non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Caption">
    <w:name w:val="caption"/>
    <w:basedOn w:val="Normal"/>
    <w:next w:val="Normal"/>
    <w:uiPriority w:val="35"/>
    <w:unhideWhenUsed/>
    <w:qFormat/>
    <w:rsid w:val="002471F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36/bmj.j108" TargetMode="External"/><Relationship Id="rId18" Type="http://schemas.openxmlformats.org/officeDocument/2006/relationships/hyperlink" Target="https://doi.org/10.1177/2053369119873456" TargetMode="External"/><Relationship Id="rId26" Type="http://schemas.openxmlformats.org/officeDocument/2006/relationships/hyperlink" Target="https://www.who.int/news-room/fact-sheets/detail/menopause" TargetMode="External"/><Relationship Id="rId39" Type="http://schemas.openxmlformats.org/officeDocument/2006/relationships/footer" Target="footer3.xml"/><Relationship Id="rId21" Type="http://schemas.openxmlformats.org/officeDocument/2006/relationships/hyperlink" Target="https://doi.org/10.1111/hsc.12567" TargetMode="External"/><Relationship Id="rId34"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S0140-6736(03)14065-2" TargetMode="External"/><Relationship Id="rId20" Type="http://schemas.openxmlformats.org/officeDocument/2006/relationships/hyperlink" Target="https://doi.org/10.1177/20533691211012345" TargetMode="External"/><Relationship Id="rId29" Type="http://schemas.openxmlformats.org/officeDocument/2006/relationships/hyperlink" Target="https://doi.org/10.1097/GME.000000000000031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91/1478088706qp063oa" TargetMode="External"/><Relationship Id="rId24" Type="http://schemas.openxmlformats.org/officeDocument/2006/relationships/hyperlink" Target="https://thebms.org.uk" TargetMode="External"/><Relationship Id="rId32" Type="http://schemas.openxmlformats.org/officeDocument/2006/relationships/hyperlink" Target="https://www.menopause.org"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1/jama.2016.1230" TargetMode="External"/><Relationship Id="rId23" Type="http://schemas.openxmlformats.org/officeDocument/2006/relationships/hyperlink" Target="https://doi.org/10.1136/bmj.m3873" TargetMode="External"/><Relationship Id="rId28" Type="http://schemas.openxmlformats.org/officeDocument/2006/relationships/hyperlink" Target="https://www.bmj.com" TargetMode="External"/><Relationship Id="rId36" Type="http://schemas.openxmlformats.org/officeDocument/2006/relationships/footer" Target="footer1.xml"/><Relationship Id="rId10" Type="http://schemas.openxmlformats.org/officeDocument/2006/relationships/hyperlink" Target="https://uk.sagepub.com/en-gb/eur/systematic-approaches-to-a-successful-literature-review/book241967" TargetMode="External"/><Relationship Id="rId19" Type="http://schemas.openxmlformats.org/officeDocument/2006/relationships/hyperlink" Target="https://www.pearson.com/en-gb/subject-catalog/p/research-methods-for-business-students/P200000003295" TargetMode="External"/><Relationship Id="rId31" Type="http://schemas.openxmlformats.org/officeDocument/2006/relationships/hyperlink" Target="https://doi.org/10.1097/gme.0b013e31824d8f40" TargetMode="External"/><Relationship Id="rId4" Type="http://schemas.openxmlformats.org/officeDocument/2006/relationships/settings" Target="settings.xml"/><Relationship Id="rId9" Type="http://schemas.openxmlformats.org/officeDocument/2006/relationships/hyperlink" Target="https://doi.org/10.1016/j.ogc.2015.02.001" TargetMode="External"/><Relationship Id="rId14" Type="http://schemas.openxmlformats.org/officeDocument/2006/relationships/hyperlink" Target="https://bmcwomenshealth.biomedcentral.com/articles/10.1186/s12905-021-01234-5" TargetMode="External"/><Relationship Id="rId22" Type="http://schemas.openxmlformats.org/officeDocument/2006/relationships/hyperlink" Target="https://doi.org/10.1136/bmj.k4810" TargetMode="External"/><Relationship Id="rId27" Type="http://schemas.openxmlformats.org/officeDocument/2006/relationships/hyperlink" Target="https://www.rcog.org.uk" TargetMode="External"/><Relationship Id="rId30" Type="http://schemas.openxmlformats.org/officeDocument/2006/relationships/hyperlink" Target="https://doi.org/10.1089/jwh.2015.5556" TargetMode="External"/><Relationship Id="rId35"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gov.uk/government/publications/womens-health-strategy-for-england" TargetMode="External"/><Relationship Id="rId17" Type="http://schemas.openxmlformats.org/officeDocument/2006/relationships/hyperlink" Target="https://www.nice.org.uk/guidance/ng23" TargetMode="External"/><Relationship Id="rId25" Type="http://schemas.openxmlformats.org/officeDocument/2006/relationships/hyperlink" Target="https://www.nhs.uk/conditions/menopause" TargetMode="External"/><Relationship Id="rId33" Type="http://schemas.openxmlformats.org/officeDocument/2006/relationships/hyperlink" Target="https://www.bsge.org.uk"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E2064-E8D3-4F20-A1B8-49106D5F1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14</Pages>
  <Words>4084</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melvita dasilva</dc:creator>
  <cp:lastModifiedBy>melvita dasilva</cp:lastModifiedBy>
  <cp:revision>23</cp:revision>
  <dcterms:created xsi:type="dcterms:W3CDTF">2026-07-31T06:32:00Z</dcterms:created>
  <dcterms:modified xsi:type="dcterms:W3CDTF">2026-07-31T12:44:00Z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eyJoZGlkIjoiMzI4ODg0ODAyMDI2YTFkZTE4MWVmNmViYTAxYzEwZWIiLCJ1c2VySWQiOiIzODY2MTk3MTQ1Mjk0In0=</vt:lpwstr>
  </property>
  <property fmtid="{D5CDD505-2E9C-101B-9397-08002B2CF9AE}" pid="3" name="KSOProductBuildVer">
    <vt:lpwstr>1033-12.1.0.27458</vt:lpwstr>
  </property>
  <property fmtid="{D5CDD505-2E9C-101B-9397-08002B2CF9AE}" pid="4" name="ICV">
    <vt:lpwstr>2EDB9D2E9A694E46B8AF4587D380B723_12</vt:lpwstr>
  </property>
</Properties>
</file>