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19DCB" w14:textId="77777777" w:rsidR="008962E6" w:rsidRDefault="008962E6">
      <w:pPr>
        <w:pStyle w:val="a7"/>
        <w:spacing w:before="0" w:beforeAutospacing="0" w:after="0" w:afterAutospacing="0" w:line="360" w:lineRule="auto"/>
        <w:rPr>
          <w:color w:val="0E101A"/>
        </w:rPr>
      </w:pPr>
    </w:p>
    <w:p w14:paraId="4E06530B" w14:textId="77777777" w:rsidR="008962E6" w:rsidRDefault="008962E6">
      <w:pPr>
        <w:pStyle w:val="a7"/>
        <w:spacing w:before="0" w:beforeAutospacing="0" w:after="0" w:afterAutospacing="0" w:line="360" w:lineRule="auto"/>
        <w:rPr>
          <w:color w:val="0E101A"/>
        </w:rPr>
      </w:pPr>
    </w:p>
    <w:p w14:paraId="74D92B43" w14:textId="77777777" w:rsidR="008962E6" w:rsidRDefault="008962E6">
      <w:pPr>
        <w:pStyle w:val="a7"/>
        <w:spacing w:before="0" w:beforeAutospacing="0" w:after="0" w:afterAutospacing="0" w:line="360" w:lineRule="auto"/>
        <w:rPr>
          <w:color w:val="0E101A"/>
        </w:rPr>
      </w:pPr>
    </w:p>
    <w:p w14:paraId="0236199A" w14:textId="77777777" w:rsidR="008962E6" w:rsidRDefault="008962E6">
      <w:pPr>
        <w:pStyle w:val="a7"/>
        <w:spacing w:before="0" w:beforeAutospacing="0" w:after="0" w:afterAutospacing="0" w:line="360" w:lineRule="auto"/>
        <w:rPr>
          <w:color w:val="0E101A"/>
        </w:rPr>
      </w:pPr>
    </w:p>
    <w:p w14:paraId="1802AA87" w14:textId="77777777" w:rsidR="008962E6" w:rsidRDefault="008962E6">
      <w:pPr>
        <w:pStyle w:val="a7"/>
        <w:spacing w:before="0" w:beforeAutospacing="0" w:after="0" w:afterAutospacing="0" w:line="360" w:lineRule="auto"/>
        <w:rPr>
          <w:color w:val="0E101A"/>
        </w:rPr>
      </w:pPr>
    </w:p>
    <w:p w14:paraId="1E1794C6" w14:textId="46A7564D" w:rsidR="008962E6" w:rsidRPr="008962E6" w:rsidRDefault="008962E6" w:rsidP="008962E6">
      <w:pPr>
        <w:pStyle w:val="a7"/>
        <w:spacing w:before="0" w:beforeAutospacing="0" w:after="0" w:afterAutospacing="0" w:line="360" w:lineRule="auto"/>
        <w:jc w:val="center"/>
        <w:rPr>
          <w:color w:val="0E101A"/>
          <w:sz w:val="32"/>
          <w:szCs w:val="32"/>
        </w:rPr>
      </w:pPr>
      <w:r w:rsidRPr="008962E6">
        <w:rPr>
          <w:color w:val="0E101A"/>
          <w:sz w:val="32"/>
          <w:szCs w:val="32"/>
        </w:rPr>
        <w:t>HR Skills Development</w:t>
      </w:r>
    </w:p>
    <w:p w14:paraId="3A02EBB4" w14:textId="77777777" w:rsidR="008962E6" w:rsidRDefault="008962E6">
      <w:pPr>
        <w:pStyle w:val="a7"/>
        <w:spacing w:before="0" w:beforeAutospacing="0" w:after="0" w:afterAutospacing="0" w:line="360" w:lineRule="auto"/>
        <w:rPr>
          <w:color w:val="0E101A"/>
        </w:rPr>
      </w:pPr>
    </w:p>
    <w:p w14:paraId="60D001B8" w14:textId="1F1E3226" w:rsidR="008962E6" w:rsidRDefault="008962E6" w:rsidP="008962E6">
      <w:pPr>
        <w:pStyle w:val="a7"/>
        <w:spacing w:before="0" w:beforeAutospacing="0" w:after="0" w:afterAutospacing="0" w:line="360" w:lineRule="auto"/>
        <w:jc w:val="center"/>
        <w:rPr>
          <w:rFonts w:ascii="宋体" w:eastAsia="宋体" w:hAnsi="宋体" w:cs="宋体"/>
          <w:color w:val="0E101A"/>
          <w:lang w:eastAsia="zh-CN"/>
        </w:rPr>
      </w:pPr>
      <w:r>
        <w:rPr>
          <w:rFonts w:hint="eastAsia"/>
          <w:color w:val="0E101A"/>
          <w:lang w:eastAsia="zh-CN"/>
        </w:rPr>
        <w:t>Chong</w:t>
      </w:r>
      <w:r>
        <w:rPr>
          <w:color w:val="0E101A"/>
          <w:lang w:eastAsia="zh-CN"/>
        </w:rPr>
        <w:t xml:space="preserve"> </w:t>
      </w:r>
      <w:r>
        <w:rPr>
          <w:rFonts w:hint="eastAsia"/>
          <w:color w:val="0E101A"/>
          <w:lang w:eastAsia="zh-CN"/>
        </w:rPr>
        <w:t>Zhao</w:t>
      </w:r>
      <w:r>
        <w:rPr>
          <w:rFonts w:ascii="宋体" w:eastAsia="宋体" w:hAnsi="宋体" w:cs="宋体" w:hint="eastAsia"/>
          <w:color w:val="0E101A"/>
          <w:lang w:eastAsia="zh-CN"/>
        </w:rPr>
        <w:t>（2</w:t>
      </w:r>
      <w:r>
        <w:rPr>
          <w:rFonts w:ascii="宋体" w:eastAsia="宋体" w:hAnsi="宋体" w:cs="宋体"/>
          <w:color w:val="0E101A"/>
          <w:lang w:eastAsia="zh-CN"/>
        </w:rPr>
        <w:t>232349</w:t>
      </w:r>
      <w:r>
        <w:rPr>
          <w:rFonts w:ascii="宋体" w:eastAsia="宋体" w:hAnsi="宋体" w:cs="宋体" w:hint="eastAsia"/>
          <w:color w:val="0E101A"/>
          <w:lang w:eastAsia="zh-CN"/>
        </w:rPr>
        <w:t>）</w:t>
      </w:r>
    </w:p>
    <w:p w14:paraId="00E9896B" w14:textId="77777777" w:rsidR="00AC1CE7" w:rsidRDefault="00AC1CE7" w:rsidP="008962E6">
      <w:pPr>
        <w:pStyle w:val="a7"/>
        <w:spacing w:before="0" w:beforeAutospacing="0" w:after="0" w:afterAutospacing="0" w:line="360" w:lineRule="auto"/>
        <w:jc w:val="center"/>
        <w:rPr>
          <w:rFonts w:ascii="宋体" w:eastAsia="宋体" w:hAnsi="宋体" w:cs="宋体" w:hint="eastAsia"/>
          <w:color w:val="0E101A"/>
          <w:lang w:eastAsia="zh-CN"/>
        </w:rPr>
      </w:pPr>
    </w:p>
    <w:p w14:paraId="0218A394" w14:textId="41F31927" w:rsidR="008962E6" w:rsidRDefault="00AC1CE7" w:rsidP="008962E6">
      <w:pPr>
        <w:pStyle w:val="a7"/>
        <w:spacing w:before="0" w:beforeAutospacing="0" w:after="0" w:afterAutospacing="0" w:line="360" w:lineRule="auto"/>
        <w:jc w:val="center"/>
        <w:rPr>
          <w:rFonts w:ascii="宋体" w:eastAsia="宋体" w:hAnsi="宋体" w:cs="宋体"/>
          <w:color w:val="0E101A"/>
        </w:rPr>
      </w:pPr>
      <w:hyperlink r:id="rId7" w:history="1">
        <w:r>
          <w:rPr>
            <w:rStyle w:val="aa"/>
          </w:rPr>
          <w:t>HR Skills Development.mp4</w:t>
        </w:r>
      </w:hyperlink>
    </w:p>
    <w:p w14:paraId="24E285B7" w14:textId="76DA20C8" w:rsidR="00673FAE" w:rsidRDefault="00673FAE" w:rsidP="008962E6">
      <w:pPr>
        <w:pStyle w:val="a7"/>
        <w:spacing w:before="0" w:after="0" w:line="360" w:lineRule="auto"/>
        <w:ind w:left="720"/>
      </w:pPr>
    </w:p>
    <w:p w14:paraId="30348305" w14:textId="712EA0FA" w:rsidR="008962E6" w:rsidRPr="008962E6" w:rsidRDefault="008962E6" w:rsidP="008962E6">
      <w:pPr>
        <w:pStyle w:val="a7"/>
        <w:spacing w:before="0" w:after="0" w:line="360" w:lineRule="auto"/>
        <w:ind w:left="720"/>
        <w:rPr>
          <w:color w:val="0E101A"/>
        </w:rPr>
      </w:pPr>
      <w:r w:rsidRPr="008962E6">
        <w:rPr>
          <w:color w:val="0E101A"/>
        </w:rPr>
        <w:t xml:space="preserve">Ahmed, M., </w:t>
      </w:r>
      <w:proofErr w:type="spellStart"/>
      <w:r w:rsidRPr="008962E6">
        <w:rPr>
          <w:color w:val="0E101A"/>
        </w:rPr>
        <w:t>Zehou</w:t>
      </w:r>
      <w:proofErr w:type="spellEnd"/>
      <w:r w:rsidRPr="008962E6">
        <w:rPr>
          <w:color w:val="0E101A"/>
        </w:rPr>
        <w:t xml:space="preserve">, S., Raza, S.A., Qureshi, M.A. and </w:t>
      </w:r>
      <w:proofErr w:type="spellStart"/>
      <w:r w:rsidRPr="008962E6">
        <w:rPr>
          <w:color w:val="0E101A"/>
        </w:rPr>
        <w:t>Yousufi</w:t>
      </w:r>
      <w:proofErr w:type="spellEnd"/>
      <w:r w:rsidRPr="008962E6">
        <w:rPr>
          <w:color w:val="0E101A"/>
        </w:rPr>
        <w:t>, S.Q., 2020. Impact of CSR and environmental triggers on employee green behavior: The mediating effect of employee well‐being. </w:t>
      </w:r>
      <w:r w:rsidRPr="008962E6">
        <w:rPr>
          <w:i/>
          <w:iCs/>
          <w:color w:val="0E101A"/>
        </w:rPr>
        <w:t>Corporate Social Responsibility and Environmental Management</w:t>
      </w:r>
      <w:r w:rsidRPr="008962E6">
        <w:rPr>
          <w:color w:val="0E101A"/>
        </w:rPr>
        <w:t>, </w:t>
      </w:r>
      <w:r w:rsidRPr="008962E6">
        <w:rPr>
          <w:i/>
          <w:iCs/>
          <w:color w:val="0E101A"/>
        </w:rPr>
        <w:t>27</w:t>
      </w:r>
      <w:r w:rsidRPr="008962E6">
        <w:rPr>
          <w:color w:val="0E101A"/>
        </w:rPr>
        <w:t>(5), pp.2225-2239.</w:t>
      </w:r>
    </w:p>
    <w:p w14:paraId="69932484" w14:textId="77777777" w:rsidR="008962E6" w:rsidRPr="008962E6" w:rsidRDefault="008962E6" w:rsidP="008962E6">
      <w:pPr>
        <w:pStyle w:val="a7"/>
        <w:spacing w:before="0" w:after="0" w:line="360" w:lineRule="auto"/>
        <w:ind w:left="720"/>
        <w:rPr>
          <w:color w:val="0E101A"/>
        </w:rPr>
      </w:pPr>
      <w:r w:rsidRPr="008962E6">
        <w:rPr>
          <w:color w:val="0E101A"/>
        </w:rPr>
        <w:t xml:space="preserve">Cooper, B., Wang, J., Bartram, </w:t>
      </w:r>
      <w:proofErr w:type="gramStart"/>
      <w:r w:rsidRPr="008962E6">
        <w:rPr>
          <w:color w:val="0E101A"/>
        </w:rPr>
        <w:t>T.</w:t>
      </w:r>
      <w:proofErr w:type="gramEnd"/>
      <w:r w:rsidRPr="008962E6">
        <w:rPr>
          <w:color w:val="0E101A"/>
        </w:rPr>
        <w:t xml:space="preserve"> and Cooke, F.L., 2019. Well‐being‐oriented human resource management practices and employee performance in the Chinese banking sector: The role of social climate and resilience. </w:t>
      </w:r>
      <w:r w:rsidRPr="008962E6">
        <w:rPr>
          <w:i/>
          <w:iCs/>
          <w:color w:val="0E101A"/>
        </w:rPr>
        <w:t>Human Resource Management</w:t>
      </w:r>
      <w:r w:rsidRPr="008962E6">
        <w:rPr>
          <w:color w:val="0E101A"/>
        </w:rPr>
        <w:t>, </w:t>
      </w:r>
      <w:r w:rsidRPr="008962E6">
        <w:rPr>
          <w:i/>
          <w:iCs/>
          <w:color w:val="0E101A"/>
        </w:rPr>
        <w:t>58</w:t>
      </w:r>
      <w:r w:rsidRPr="008962E6">
        <w:rPr>
          <w:color w:val="0E101A"/>
        </w:rPr>
        <w:t>(1), pp.85-97.</w:t>
      </w:r>
    </w:p>
    <w:p w14:paraId="4CECC3A7" w14:textId="77777777" w:rsidR="008962E6" w:rsidRPr="008962E6" w:rsidRDefault="008962E6" w:rsidP="008962E6">
      <w:pPr>
        <w:pStyle w:val="a7"/>
        <w:spacing w:before="0" w:after="0" w:line="360" w:lineRule="auto"/>
        <w:ind w:left="720"/>
        <w:rPr>
          <w:color w:val="0E101A"/>
        </w:rPr>
      </w:pPr>
      <w:r w:rsidRPr="008962E6">
        <w:rPr>
          <w:color w:val="0E101A"/>
        </w:rPr>
        <w:t>Hackman, J.R. and Oldham, G.R., 1976. Motivation through the design of work: Test of a theory. </w:t>
      </w:r>
      <w:r w:rsidRPr="008962E6">
        <w:rPr>
          <w:i/>
          <w:iCs/>
          <w:color w:val="0E101A"/>
        </w:rPr>
        <w:t>Organizational behavior and human performance</w:t>
      </w:r>
      <w:r w:rsidRPr="008962E6">
        <w:rPr>
          <w:color w:val="0E101A"/>
        </w:rPr>
        <w:t>, </w:t>
      </w:r>
      <w:r w:rsidRPr="008962E6">
        <w:rPr>
          <w:i/>
          <w:iCs/>
          <w:color w:val="0E101A"/>
        </w:rPr>
        <w:t>16</w:t>
      </w:r>
      <w:r w:rsidRPr="008962E6">
        <w:rPr>
          <w:color w:val="0E101A"/>
        </w:rPr>
        <w:t>(2), pp.250-279.</w:t>
      </w:r>
    </w:p>
    <w:p w14:paraId="321AC67E" w14:textId="77777777" w:rsidR="008962E6" w:rsidRPr="008962E6" w:rsidRDefault="008962E6" w:rsidP="008962E6">
      <w:pPr>
        <w:pStyle w:val="a7"/>
        <w:spacing w:before="0" w:after="0" w:line="360" w:lineRule="auto"/>
        <w:ind w:left="720"/>
        <w:rPr>
          <w:color w:val="0E101A"/>
        </w:rPr>
      </w:pPr>
      <w:proofErr w:type="spellStart"/>
      <w:r w:rsidRPr="008962E6">
        <w:rPr>
          <w:color w:val="0E101A"/>
        </w:rPr>
        <w:t>Hamouche</w:t>
      </w:r>
      <w:proofErr w:type="spellEnd"/>
      <w:r w:rsidRPr="008962E6">
        <w:rPr>
          <w:color w:val="0E101A"/>
        </w:rPr>
        <w:t xml:space="preserve">, S., 2020. COVID-19 and employees’ mental health: stressors, </w:t>
      </w:r>
      <w:proofErr w:type="gramStart"/>
      <w:r w:rsidRPr="008962E6">
        <w:rPr>
          <w:color w:val="0E101A"/>
        </w:rPr>
        <w:t>moderators</w:t>
      </w:r>
      <w:proofErr w:type="gramEnd"/>
      <w:r w:rsidRPr="008962E6">
        <w:rPr>
          <w:color w:val="0E101A"/>
        </w:rPr>
        <w:t xml:space="preserve"> and agenda for organizational actions. </w:t>
      </w:r>
      <w:r w:rsidRPr="008962E6">
        <w:rPr>
          <w:i/>
          <w:iCs/>
          <w:color w:val="0E101A"/>
        </w:rPr>
        <w:t>Emerald Open Research</w:t>
      </w:r>
      <w:r w:rsidRPr="008962E6">
        <w:rPr>
          <w:color w:val="0E101A"/>
        </w:rPr>
        <w:t>, </w:t>
      </w:r>
      <w:r w:rsidRPr="008962E6">
        <w:rPr>
          <w:i/>
          <w:iCs/>
          <w:color w:val="0E101A"/>
        </w:rPr>
        <w:t>2</w:t>
      </w:r>
      <w:r w:rsidRPr="008962E6">
        <w:rPr>
          <w:color w:val="0E101A"/>
        </w:rPr>
        <w:t>.</w:t>
      </w:r>
    </w:p>
    <w:p w14:paraId="483DAE08" w14:textId="77777777" w:rsidR="008962E6" w:rsidRPr="008962E6" w:rsidRDefault="008962E6" w:rsidP="008962E6">
      <w:pPr>
        <w:pStyle w:val="a7"/>
        <w:spacing w:before="0" w:after="0" w:line="360" w:lineRule="auto"/>
        <w:ind w:left="720"/>
        <w:rPr>
          <w:color w:val="0E101A"/>
        </w:rPr>
      </w:pPr>
      <w:r w:rsidRPr="008962E6">
        <w:rPr>
          <w:color w:val="0E101A"/>
        </w:rPr>
        <w:t xml:space="preserve">Krekel, C., Ward, </w:t>
      </w:r>
      <w:proofErr w:type="gramStart"/>
      <w:r w:rsidRPr="008962E6">
        <w:rPr>
          <w:color w:val="0E101A"/>
        </w:rPr>
        <w:t>G.</w:t>
      </w:r>
      <w:proofErr w:type="gramEnd"/>
      <w:r w:rsidRPr="008962E6">
        <w:rPr>
          <w:color w:val="0E101A"/>
        </w:rPr>
        <w:t xml:space="preserve"> and De Neve, J.E., 2019. Employee wellbeing, productivity, and firm performance. </w:t>
      </w:r>
      <w:r w:rsidRPr="008962E6">
        <w:rPr>
          <w:i/>
          <w:iCs/>
          <w:color w:val="0E101A"/>
        </w:rPr>
        <w:t>Saïd Business School WP</w:t>
      </w:r>
      <w:r w:rsidRPr="008962E6">
        <w:rPr>
          <w:color w:val="0E101A"/>
        </w:rPr>
        <w:t>, </w:t>
      </w:r>
      <w:r w:rsidRPr="008962E6">
        <w:rPr>
          <w:i/>
          <w:iCs/>
          <w:color w:val="0E101A"/>
        </w:rPr>
        <w:t>4</w:t>
      </w:r>
      <w:r w:rsidRPr="008962E6">
        <w:rPr>
          <w:color w:val="0E101A"/>
        </w:rPr>
        <w:t>.</w:t>
      </w:r>
    </w:p>
    <w:p w14:paraId="014A5615" w14:textId="77777777" w:rsidR="008962E6" w:rsidRPr="008962E6" w:rsidRDefault="008962E6" w:rsidP="008962E6">
      <w:pPr>
        <w:pStyle w:val="a7"/>
        <w:spacing w:before="0" w:after="0" w:line="360" w:lineRule="auto"/>
        <w:ind w:left="720"/>
        <w:rPr>
          <w:color w:val="0E101A"/>
        </w:rPr>
      </w:pPr>
      <w:r w:rsidRPr="008962E6">
        <w:rPr>
          <w:color w:val="0E101A"/>
        </w:rPr>
        <w:lastRenderedPageBreak/>
        <w:t>Lambert, A., Jones, R.P. and Clinton, S., 2021. Employee engagement and the service profit chain in a quick-service restaurant organization. </w:t>
      </w:r>
      <w:r w:rsidRPr="008962E6">
        <w:rPr>
          <w:i/>
          <w:iCs/>
          <w:color w:val="0E101A"/>
        </w:rPr>
        <w:t>Journal of Business Research</w:t>
      </w:r>
      <w:r w:rsidRPr="008962E6">
        <w:rPr>
          <w:color w:val="0E101A"/>
        </w:rPr>
        <w:t>, </w:t>
      </w:r>
      <w:r w:rsidRPr="008962E6">
        <w:rPr>
          <w:i/>
          <w:iCs/>
          <w:color w:val="0E101A"/>
        </w:rPr>
        <w:t>135</w:t>
      </w:r>
      <w:r w:rsidRPr="008962E6">
        <w:rPr>
          <w:color w:val="0E101A"/>
        </w:rPr>
        <w:t>, pp.214-225.</w:t>
      </w:r>
    </w:p>
    <w:p w14:paraId="1BD509B2" w14:textId="77777777" w:rsidR="008962E6" w:rsidRPr="008962E6" w:rsidRDefault="008962E6" w:rsidP="008962E6">
      <w:pPr>
        <w:pStyle w:val="a7"/>
        <w:spacing w:before="0" w:after="0" w:line="360" w:lineRule="auto"/>
        <w:ind w:left="720"/>
        <w:rPr>
          <w:color w:val="0E101A"/>
        </w:rPr>
      </w:pPr>
      <w:r w:rsidRPr="008962E6">
        <w:rPr>
          <w:color w:val="0E101A"/>
        </w:rPr>
        <w:t xml:space="preserve">Proper, K.I. and van </w:t>
      </w:r>
      <w:proofErr w:type="spellStart"/>
      <w:r w:rsidRPr="008962E6">
        <w:rPr>
          <w:color w:val="0E101A"/>
        </w:rPr>
        <w:t>Oostrom</w:t>
      </w:r>
      <w:proofErr w:type="spellEnd"/>
      <w:r w:rsidRPr="008962E6">
        <w:rPr>
          <w:color w:val="0E101A"/>
        </w:rPr>
        <w:t>, S.H., 2019. The effectiveness of workplace health promotion interventions on physical and mental health outcomes–a systematic review of reviews. </w:t>
      </w:r>
      <w:r w:rsidRPr="008962E6">
        <w:rPr>
          <w:i/>
          <w:iCs/>
          <w:color w:val="0E101A"/>
        </w:rPr>
        <w:t>Scandinavian journal of work, environment &amp; health</w:t>
      </w:r>
      <w:r w:rsidRPr="008962E6">
        <w:rPr>
          <w:color w:val="0E101A"/>
        </w:rPr>
        <w:t>, </w:t>
      </w:r>
      <w:r w:rsidRPr="008962E6">
        <w:rPr>
          <w:i/>
          <w:iCs/>
          <w:color w:val="0E101A"/>
        </w:rPr>
        <w:t>45</w:t>
      </w:r>
      <w:r w:rsidRPr="008962E6">
        <w:rPr>
          <w:color w:val="0E101A"/>
        </w:rPr>
        <w:t>(6), pp.546-559.</w:t>
      </w:r>
    </w:p>
    <w:p w14:paraId="56E1AFA1" w14:textId="77777777" w:rsidR="008962E6" w:rsidRPr="008962E6" w:rsidRDefault="008962E6" w:rsidP="008962E6">
      <w:pPr>
        <w:pStyle w:val="a7"/>
        <w:spacing w:before="0" w:after="0" w:line="360" w:lineRule="auto"/>
        <w:ind w:left="720"/>
        <w:rPr>
          <w:color w:val="0E101A"/>
        </w:rPr>
      </w:pPr>
      <w:r w:rsidRPr="008962E6">
        <w:rPr>
          <w:color w:val="0E101A"/>
        </w:rPr>
        <w:t>Stone, R.J., Cox, A. and Gavin, M., 2020. </w:t>
      </w:r>
      <w:r w:rsidRPr="008962E6">
        <w:rPr>
          <w:i/>
          <w:iCs/>
          <w:color w:val="0E101A"/>
        </w:rPr>
        <w:t>Human resource management</w:t>
      </w:r>
      <w:r w:rsidRPr="008962E6">
        <w:rPr>
          <w:color w:val="0E101A"/>
        </w:rPr>
        <w:t>. John Wiley &amp; Sons.</w:t>
      </w:r>
    </w:p>
    <w:p w14:paraId="4D701EC9" w14:textId="77777777" w:rsidR="008962E6" w:rsidRDefault="008962E6">
      <w:pPr>
        <w:pStyle w:val="a7"/>
        <w:spacing w:before="0" w:beforeAutospacing="0" w:after="0" w:afterAutospacing="0" w:line="360" w:lineRule="auto"/>
        <w:rPr>
          <w:color w:val="0E101A"/>
        </w:rPr>
      </w:pPr>
    </w:p>
    <w:p w14:paraId="52932F64" w14:textId="77777777" w:rsidR="008962E6" w:rsidRDefault="008962E6">
      <w:pPr>
        <w:pStyle w:val="a7"/>
        <w:spacing w:before="0" w:beforeAutospacing="0" w:after="0" w:afterAutospacing="0" w:line="360" w:lineRule="auto"/>
        <w:rPr>
          <w:color w:val="0E101A"/>
        </w:rPr>
      </w:pPr>
    </w:p>
    <w:p w14:paraId="27987863" w14:textId="77777777" w:rsidR="008962E6" w:rsidRDefault="008962E6">
      <w:pPr>
        <w:pStyle w:val="a7"/>
        <w:spacing w:before="0" w:beforeAutospacing="0" w:after="0" w:afterAutospacing="0" w:line="360" w:lineRule="auto"/>
        <w:rPr>
          <w:color w:val="0E101A"/>
        </w:rPr>
      </w:pPr>
    </w:p>
    <w:p w14:paraId="3E3ACA40" w14:textId="77777777" w:rsidR="008962E6" w:rsidRDefault="008962E6">
      <w:pPr>
        <w:pStyle w:val="a7"/>
        <w:spacing w:before="0" w:beforeAutospacing="0" w:after="0" w:afterAutospacing="0" w:line="360" w:lineRule="auto"/>
        <w:rPr>
          <w:color w:val="0E101A"/>
        </w:rPr>
      </w:pPr>
    </w:p>
    <w:p w14:paraId="41A0DB82" w14:textId="77777777" w:rsidR="008962E6" w:rsidRDefault="008962E6">
      <w:pPr>
        <w:pStyle w:val="a7"/>
        <w:spacing w:before="0" w:beforeAutospacing="0" w:after="0" w:afterAutospacing="0" w:line="360" w:lineRule="auto"/>
        <w:rPr>
          <w:color w:val="0E101A"/>
        </w:rPr>
      </w:pPr>
    </w:p>
    <w:p w14:paraId="70FCAB1F" w14:textId="77777777" w:rsidR="008962E6" w:rsidRDefault="008962E6">
      <w:pPr>
        <w:pStyle w:val="a7"/>
        <w:spacing w:before="0" w:beforeAutospacing="0" w:after="0" w:afterAutospacing="0" w:line="360" w:lineRule="auto"/>
        <w:rPr>
          <w:color w:val="0E101A"/>
        </w:rPr>
      </w:pPr>
    </w:p>
    <w:p w14:paraId="6137428D" w14:textId="77777777" w:rsidR="008962E6" w:rsidRDefault="008962E6">
      <w:pPr>
        <w:pStyle w:val="a7"/>
        <w:spacing w:before="0" w:beforeAutospacing="0" w:after="0" w:afterAutospacing="0" w:line="360" w:lineRule="auto"/>
        <w:rPr>
          <w:color w:val="0E101A"/>
        </w:rPr>
      </w:pPr>
    </w:p>
    <w:p w14:paraId="600295C4" w14:textId="77777777" w:rsidR="008962E6" w:rsidRDefault="008962E6">
      <w:pPr>
        <w:pStyle w:val="a7"/>
        <w:spacing w:before="0" w:beforeAutospacing="0" w:after="0" w:afterAutospacing="0" w:line="360" w:lineRule="auto"/>
        <w:rPr>
          <w:color w:val="0E101A"/>
        </w:rPr>
      </w:pPr>
    </w:p>
    <w:p w14:paraId="3719192C" w14:textId="77777777" w:rsidR="008962E6" w:rsidRDefault="008962E6">
      <w:pPr>
        <w:pStyle w:val="a7"/>
        <w:spacing w:before="0" w:beforeAutospacing="0" w:after="0" w:afterAutospacing="0" w:line="360" w:lineRule="auto"/>
        <w:rPr>
          <w:color w:val="0E101A"/>
        </w:rPr>
      </w:pPr>
    </w:p>
    <w:p w14:paraId="437A11DA" w14:textId="77777777" w:rsidR="008962E6" w:rsidRDefault="008962E6">
      <w:pPr>
        <w:pStyle w:val="a7"/>
        <w:spacing w:before="0" w:beforeAutospacing="0" w:after="0" w:afterAutospacing="0" w:line="360" w:lineRule="auto"/>
        <w:rPr>
          <w:color w:val="0E101A"/>
        </w:rPr>
      </w:pPr>
    </w:p>
    <w:p w14:paraId="05ED671B" w14:textId="77777777" w:rsidR="008962E6" w:rsidRDefault="008962E6">
      <w:pPr>
        <w:pStyle w:val="a7"/>
        <w:spacing w:before="0" w:beforeAutospacing="0" w:after="0" w:afterAutospacing="0" w:line="360" w:lineRule="auto"/>
        <w:rPr>
          <w:color w:val="0E101A"/>
        </w:rPr>
      </w:pPr>
    </w:p>
    <w:p w14:paraId="34CF4379" w14:textId="77777777" w:rsidR="008962E6" w:rsidRDefault="008962E6">
      <w:pPr>
        <w:pStyle w:val="a7"/>
        <w:spacing w:before="0" w:beforeAutospacing="0" w:after="0" w:afterAutospacing="0" w:line="360" w:lineRule="auto"/>
        <w:rPr>
          <w:color w:val="0E101A"/>
        </w:rPr>
      </w:pPr>
    </w:p>
    <w:p w14:paraId="05CD3A33" w14:textId="77777777" w:rsidR="008962E6" w:rsidRDefault="008962E6">
      <w:pPr>
        <w:pStyle w:val="a7"/>
        <w:spacing w:before="0" w:beforeAutospacing="0" w:after="0" w:afterAutospacing="0" w:line="360" w:lineRule="auto"/>
        <w:rPr>
          <w:color w:val="0E101A"/>
        </w:rPr>
      </w:pPr>
    </w:p>
    <w:p w14:paraId="5030261E" w14:textId="77777777" w:rsidR="008962E6" w:rsidRDefault="008962E6">
      <w:pPr>
        <w:pStyle w:val="a7"/>
        <w:spacing w:before="0" w:beforeAutospacing="0" w:after="0" w:afterAutospacing="0" w:line="360" w:lineRule="auto"/>
        <w:rPr>
          <w:color w:val="0E101A"/>
        </w:rPr>
      </w:pPr>
    </w:p>
    <w:p w14:paraId="61F154D8" w14:textId="77777777" w:rsidR="008962E6" w:rsidRDefault="008962E6">
      <w:pPr>
        <w:pStyle w:val="a7"/>
        <w:spacing w:before="0" w:beforeAutospacing="0" w:after="0" w:afterAutospacing="0" w:line="360" w:lineRule="auto"/>
        <w:rPr>
          <w:color w:val="0E101A"/>
        </w:rPr>
      </w:pPr>
    </w:p>
    <w:p w14:paraId="712F1385" w14:textId="77777777" w:rsidR="008962E6" w:rsidRDefault="008962E6">
      <w:pPr>
        <w:pStyle w:val="a7"/>
        <w:spacing w:before="0" w:beforeAutospacing="0" w:after="0" w:afterAutospacing="0" w:line="360" w:lineRule="auto"/>
        <w:rPr>
          <w:color w:val="0E101A"/>
        </w:rPr>
      </w:pPr>
    </w:p>
    <w:p w14:paraId="23B34BA7" w14:textId="77777777" w:rsidR="008962E6" w:rsidRDefault="008962E6">
      <w:pPr>
        <w:pStyle w:val="a7"/>
        <w:spacing w:before="0" w:beforeAutospacing="0" w:after="0" w:afterAutospacing="0" w:line="360" w:lineRule="auto"/>
        <w:rPr>
          <w:color w:val="0E101A"/>
        </w:rPr>
      </w:pPr>
    </w:p>
    <w:p w14:paraId="6CFDACCF" w14:textId="77777777" w:rsidR="008962E6" w:rsidRDefault="008962E6">
      <w:pPr>
        <w:pStyle w:val="a7"/>
        <w:spacing w:before="0" w:beforeAutospacing="0" w:after="0" w:afterAutospacing="0" w:line="360" w:lineRule="auto"/>
        <w:rPr>
          <w:color w:val="0E101A"/>
        </w:rPr>
      </w:pPr>
    </w:p>
    <w:p w14:paraId="09F44461" w14:textId="77777777" w:rsidR="008962E6" w:rsidRDefault="008962E6">
      <w:pPr>
        <w:pStyle w:val="a7"/>
        <w:spacing w:before="0" w:beforeAutospacing="0" w:after="0" w:afterAutospacing="0" w:line="360" w:lineRule="auto"/>
        <w:rPr>
          <w:color w:val="0E101A"/>
        </w:rPr>
      </w:pPr>
    </w:p>
    <w:p w14:paraId="613D564C" w14:textId="77777777" w:rsidR="008962E6" w:rsidRDefault="008962E6">
      <w:pPr>
        <w:pStyle w:val="a7"/>
        <w:spacing w:before="0" w:beforeAutospacing="0" w:after="0" w:afterAutospacing="0" w:line="360" w:lineRule="auto"/>
        <w:rPr>
          <w:color w:val="0E101A"/>
        </w:rPr>
      </w:pPr>
    </w:p>
    <w:p w14:paraId="5BFC0A45" w14:textId="77777777" w:rsidR="008962E6" w:rsidRDefault="008962E6">
      <w:pPr>
        <w:pStyle w:val="a7"/>
        <w:spacing w:before="0" w:beforeAutospacing="0" w:after="0" w:afterAutospacing="0" w:line="360" w:lineRule="auto"/>
        <w:rPr>
          <w:color w:val="0E101A"/>
        </w:rPr>
      </w:pPr>
    </w:p>
    <w:p w14:paraId="33E17E4D" w14:textId="77777777" w:rsidR="002801E2" w:rsidRDefault="00000000">
      <w:pPr>
        <w:pStyle w:val="a7"/>
        <w:spacing w:before="0" w:beforeAutospacing="0" w:after="0" w:afterAutospacing="0" w:line="360" w:lineRule="auto"/>
        <w:rPr>
          <w:color w:val="0E101A"/>
        </w:rPr>
      </w:pPr>
      <w:r>
        <w:rPr>
          <w:color w:val="0E101A"/>
        </w:rPr>
        <w:lastRenderedPageBreak/>
        <w:t>Hello everyone, we will discuss workplace wellness's importance to your employees today. Focusing on workers' wellbeing has increased output and decreased turnover. We must provide</w:t>
      </w:r>
    </w:p>
    <w:p w14:paraId="6CB726F6" w14:textId="77777777" w:rsidR="002801E2" w:rsidRDefault="00000000">
      <w:pPr>
        <w:pStyle w:val="a7"/>
        <w:spacing w:before="0" w:beforeAutospacing="0" w:after="0" w:afterAutospacing="0" w:line="360" w:lineRule="auto"/>
        <w:rPr>
          <w:color w:val="0E101A"/>
        </w:rPr>
      </w:pPr>
      <w:r>
        <w:rPr>
          <w:color w:val="0E101A"/>
        </w:rPr>
        <w:t>Our HR managers with the tools they need to solve the current gaps and elevate employee welfare to the ranks of organizational priorities. Let us look at the qualities that HR managers need to have to ensure the well-being of their staff.</w:t>
      </w:r>
    </w:p>
    <w:p w14:paraId="495EA726" w14:textId="1E68F95B" w:rsidR="002801E2" w:rsidRDefault="002801E2">
      <w:pPr>
        <w:pStyle w:val="a7"/>
        <w:spacing w:before="0" w:beforeAutospacing="0" w:after="0" w:afterAutospacing="0" w:line="360" w:lineRule="auto"/>
        <w:rPr>
          <w:color w:val="0E101A"/>
        </w:rPr>
      </w:pPr>
    </w:p>
    <w:p w14:paraId="4787A4F5" w14:textId="77777777" w:rsidR="002801E2" w:rsidRDefault="00000000">
      <w:pPr>
        <w:pStyle w:val="a7"/>
        <w:spacing w:before="0" w:beforeAutospacing="0" w:after="0" w:afterAutospacing="0" w:line="360" w:lineRule="auto"/>
        <w:rPr>
          <w:color w:val="0E101A"/>
        </w:rPr>
      </w:pPr>
      <w:r>
        <w:rPr>
          <w:color w:val="0E101A"/>
        </w:rPr>
        <w:t>Human resources managers' ability to effectively communicate with their staff is crucial to</w:t>
      </w:r>
    </w:p>
    <w:p w14:paraId="39D0297D" w14:textId="77777777" w:rsidR="002801E2" w:rsidRDefault="00000000">
      <w:pPr>
        <w:pStyle w:val="a7"/>
        <w:spacing w:before="0" w:beforeAutospacing="0" w:after="0" w:afterAutospacing="0" w:line="360" w:lineRule="auto"/>
        <w:rPr>
          <w:color w:val="0E101A"/>
        </w:rPr>
      </w:pPr>
      <w:r>
        <w:rPr>
          <w:color w:val="0E101A"/>
        </w:rPr>
        <w:t>success. To effectively explain complicated concepts and ideas to numerous stakeholders, they must have excellent communication skills. This involves having a clear and succinct way of describing wellness-related programs, policies, and assistance options. Human resource managers should also be good listeners to comprehend and empathize with their staff members' points of view, worries, and requirements for psychological health and safety. This allows them to build rapport, encourage open communication, and cater wellness initiatives to the needs of their staff. The organization can develop a strategy involving frequent training via workshops and seminars to improve communication abilities. Communication skills, active listening drills, and simulated situations through role-playing are all possible topics for these sessions. It ensures that all parties involved in employee well-being initiatives and issues thoroughly know these by providing HR managers with continual chances to strengthen their communication skills.</w:t>
      </w:r>
    </w:p>
    <w:p w14:paraId="07D3291D" w14:textId="77777777" w:rsidR="008962E6" w:rsidRDefault="008962E6">
      <w:pPr>
        <w:pStyle w:val="a7"/>
        <w:spacing w:before="0" w:beforeAutospacing="0" w:after="0" w:afterAutospacing="0" w:line="360" w:lineRule="auto"/>
        <w:rPr>
          <w:rStyle w:val="a8"/>
          <w:color w:val="0E101A"/>
        </w:rPr>
      </w:pPr>
    </w:p>
    <w:p w14:paraId="74098AEB" w14:textId="3C32E6F5" w:rsidR="002801E2" w:rsidRDefault="00000000">
      <w:pPr>
        <w:pStyle w:val="a7"/>
        <w:spacing w:before="0" w:beforeAutospacing="0" w:after="0" w:afterAutospacing="0" w:line="360" w:lineRule="auto"/>
        <w:rPr>
          <w:color w:val="0E101A"/>
        </w:rPr>
      </w:pPr>
      <w:r>
        <w:rPr>
          <w:color w:val="0E101A"/>
        </w:rPr>
        <w:t>Human resources managers' ability to empathize with their staff members is crucial. It requires empathy, or the capacity to feel and understand what another person is going through. Human resource managers need to understand their staff members perspectives to better serve them. Human resources managers can better understand their staff's needs for personal and professional growth and flourishing through the cultivation of empathy. Workshops and seminars devoted to developing empathy might be offered on a regular basis to help people hone their abilities. Exercises, case studies, and group discussions designed to foster compassion and an appreciation for others' points of view might be incorporated into these gatherings. The well-being of employees can be improved by encouraging HR managers to develop empathy for their staff.</w:t>
      </w:r>
    </w:p>
    <w:p w14:paraId="66A664A5" w14:textId="77777777" w:rsidR="008962E6" w:rsidRDefault="008962E6">
      <w:pPr>
        <w:pStyle w:val="a7"/>
        <w:spacing w:before="0" w:beforeAutospacing="0" w:after="0" w:afterAutospacing="0" w:line="360" w:lineRule="auto"/>
        <w:rPr>
          <w:rStyle w:val="a8"/>
          <w:color w:val="0E101A"/>
        </w:rPr>
      </w:pPr>
    </w:p>
    <w:p w14:paraId="79B4CA79" w14:textId="5429E797" w:rsidR="002801E2" w:rsidRDefault="00000000">
      <w:pPr>
        <w:pStyle w:val="a7"/>
        <w:spacing w:before="0" w:beforeAutospacing="0" w:after="0" w:afterAutospacing="0" w:line="360" w:lineRule="auto"/>
        <w:rPr>
          <w:color w:val="0E101A"/>
        </w:rPr>
      </w:pPr>
      <w:r>
        <w:rPr>
          <w:color w:val="0E101A"/>
        </w:rPr>
        <w:t xml:space="preserve">Human resources managers need excellent problem-solving skills to detect and correct problems that affect workers' satisfaction and productivity. They should be able to assess issues objectively </w:t>
      </w:r>
      <w:r>
        <w:rPr>
          <w:color w:val="0E101A"/>
        </w:rPr>
        <w:lastRenderedPageBreak/>
        <w:t>and come up with creative answers to improve morale at work. Human resources managers with solid problem-solving skills can better meet challenges, triumph over roadblocks, and propel forward-thinking transformation.</w:t>
      </w:r>
    </w:p>
    <w:p w14:paraId="27C887E8" w14:textId="77777777" w:rsidR="002801E2" w:rsidRDefault="00000000">
      <w:pPr>
        <w:pStyle w:val="a7"/>
        <w:spacing w:before="0" w:beforeAutospacing="0" w:after="0" w:afterAutospacing="0" w:line="360" w:lineRule="auto"/>
        <w:rPr>
          <w:color w:val="0E101A"/>
        </w:rPr>
      </w:pPr>
      <w:r>
        <w:rPr>
          <w:color w:val="0E101A"/>
        </w:rPr>
        <w:t>Regular training in the form of workshops and seminars that emphasize the cultivation of creative problem-solving skills can help improve problem-solving abilities. Human resource managers might be prompted to think creatively by participating in exercises designed to help them do just that. Human resource managers are given the tools they need to address any issues in this area adequately.</w:t>
      </w:r>
    </w:p>
    <w:p w14:paraId="1983052A" w14:textId="77777777" w:rsidR="008962E6" w:rsidRDefault="008962E6">
      <w:pPr>
        <w:pStyle w:val="a7"/>
        <w:spacing w:before="0" w:beforeAutospacing="0" w:after="0" w:afterAutospacing="0" w:line="360" w:lineRule="auto"/>
        <w:rPr>
          <w:rStyle w:val="a8"/>
          <w:color w:val="0E101A"/>
        </w:rPr>
      </w:pPr>
    </w:p>
    <w:p w14:paraId="3150EC6E" w14:textId="186FF126" w:rsidR="002801E2" w:rsidRDefault="00000000">
      <w:pPr>
        <w:pStyle w:val="a7"/>
        <w:spacing w:before="0" w:beforeAutospacing="0" w:after="0" w:afterAutospacing="0" w:line="360" w:lineRule="auto"/>
        <w:rPr>
          <w:color w:val="0E101A"/>
        </w:rPr>
      </w:pPr>
      <w:r>
        <w:rPr>
          <w:color w:val="0E101A"/>
        </w:rPr>
        <w:t xml:space="preserve">Initiatives to improve workers' health and happiness can only get off the ground with </w:t>
      </w:r>
      <w:proofErr w:type="gramStart"/>
      <w:r>
        <w:rPr>
          <w:color w:val="0E101A"/>
        </w:rPr>
        <w:t>solid</w:t>
      </w:r>
      <w:proofErr w:type="gramEnd"/>
    </w:p>
    <w:p w14:paraId="088B13D4" w14:textId="77777777" w:rsidR="002801E2" w:rsidRDefault="00000000">
      <w:pPr>
        <w:pStyle w:val="a7"/>
        <w:spacing w:before="0" w:beforeAutospacing="0" w:after="0" w:afterAutospacing="0" w:line="360" w:lineRule="auto"/>
        <w:rPr>
          <w:color w:val="0E101A"/>
        </w:rPr>
      </w:pPr>
      <w:r>
        <w:rPr>
          <w:color w:val="0E101A"/>
        </w:rPr>
        <w:t>leadership. HR managers must demonstrate strong leadership abilities to encourage and persuade their colleagues to make wellbeing a priority and lend their support. They should be able to articulate their desired outcomes, develop a consensus on what constitutes success, and network with relevant parties to secure buy-in. Organizations can help HR managers become better leaders by encouraging them to participate in networking events with other HR experts. These once- or twice-monthly gatherings can promote effective leadership in the context of employee well-being by allowing for the exchange of stories, tips, and ideas. To empower HR managers to effect good change and foster a culture of well-being, we provide them opportunities to learn from prominent leaders in the field.</w:t>
      </w:r>
    </w:p>
    <w:p w14:paraId="438C2BDA" w14:textId="77777777" w:rsidR="008962E6" w:rsidRDefault="008962E6">
      <w:pPr>
        <w:pStyle w:val="a7"/>
        <w:spacing w:before="0" w:beforeAutospacing="0" w:after="0" w:afterAutospacing="0" w:line="360" w:lineRule="auto"/>
        <w:rPr>
          <w:rStyle w:val="a8"/>
          <w:color w:val="0E101A"/>
        </w:rPr>
      </w:pPr>
    </w:p>
    <w:p w14:paraId="47D03214" w14:textId="77777777" w:rsidR="002801E2" w:rsidRDefault="00000000">
      <w:pPr>
        <w:pStyle w:val="a7"/>
        <w:spacing w:before="0" w:beforeAutospacing="0" w:after="0" w:afterAutospacing="0" w:line="360" w:lineRule="auto"/>
        <w:rPr>
          <w:color w:val="0E101A"/>
        </w:rPr>
      </w:pPr>
      <w:r>
        <w:rPr>
          <w:color w:val="0E101A"/>
        </w:rPr>
        <w:t>Human resource managers that can analyze data effectively will be better able to track changes in employee satisfaction and address problems as they arise. They need to be experts at gathering, analyzing, and interpreting information about efforts to improve health. Evidence-based decision-making is made possible, and continual improvement is supported by data analysis of wellness program outcomes. Coaching and direction on how to make the most of data analytic tools, technology, and a global perspective can be provided to HR managers through the HRM capability. This mentoring takes place once a month and potential subjects of discussion include data-gathering strategies, statistical analysis methodologies, and data visualization. By teaching HR professionals how to analyze data, we give them the tools to make data-informed decisions, monitor developments, and push for changes that benefit their staff.</w:t>
      </w:r>
    </w:p>
    <w:p w14:paraId="570B1477" w14:textId="77777777" w:rsidR="008962E6" w:rsidRDefault="008962E6">
      <w:pPr>
        <w:pStyle w:val="a7"/>
        <w:spacing w:before="0" w:beforeAutospacing="0" w:after="0" w:afterAutospacing="0" w:line="360" w:lineRule="auto"/>
        <w:rPr>
          <w:rStyle w:val="a8"/>
          <w:color w:val="0E101A"/>
        </w:rPr>
      </w:pPr>
    </w:p>
    <w:p w14:paraId="304D0A44" w14:textId="737B2A1A" w:rsidR="002801E2" w:rsidRDefault="00000000">
      <w:pPr>
        <w:pStyle w:val="a7"/>
        <w:spacing w:before="0" w:beforeAutospacing="0" w:after="0" w:afterAutospacing="0" w:line="360" w:lineRule="auto"/>
        <w:rPr>
          <w:color w:val="0E101A"/>
        </w:rPr>
      </w:pPr>
      <w:r>
        <w:rPr>
          <w:color w:val="0E101A"/>
        </w:rPr>
        <w:lastRenderedPageBreak/>
        <w:t>The use of technology is crucial in promoting the health and happiness of the workforce.</w:t>
      </w:r>
    </w:p>
    <w:p w14:paraId="168F9970" w14:textId="77777777" w:rsidR="002801E2" w:rsidRDefault="00000000">
      <w:pPr>
        <w:pStyle w:val="a7"/>
        <w:spacing w:before="0" w:beforeAutospacing="0" w:after="0" w:afterAutospacing="0" w:line="360" w:lineRule="auto"/>
        <w:rPr>
          <w:color w:val="0E101A"/>
        </w:rPr>
      </w:pPr>
      <w:r>
        <w:rPr>
          <w:color w:val="0E101A"/>
        </w:rPr>
        <w:t>Human resource managers should be able to use technology to its fullest potential in training, assistance, and performance evaluation. They should know how to use the many digital platforms, tools, and applications to improve the effectiveness of programs aimed at improving employees' health.</w:t>
      </w:r>
    </w:p>
    <w:p w14:paraId="1DFE2326" w14:textId="77777777" w:rsidR="002801E2" w:rsidRDefault="00000000">
      <w:pPr>
        <w:pStyle w:val="a7"/>
        <w:spacing w:before="0" w:beforeAutospacing="0" w:after="0" w:afterAutospacing="0" w:line="360" w:lineRule="auto"/>
        <w:rPr>
          <w:color w:val="0E101A"/>
        </w:rPr>
      </w:pPr>
      <w:r>
        <w:rPr>
          <w:color w:val="0E101A"/>
        </w:rPr>
        <w:t>Human resources managers can obtain coaching and training to improve their technological abilities to use technology better to promote employee well-being. Digital learning platforms, well-being apps, and online resources are all possible themes for these once-a-month meetings. Human resource managers' ability to use digital solutions to expand wellness initiatives' reach, efficiency, and effectiveness is bolstered by the technological knowledge we provide them with.</w:t>
      </w:r>
    </w:p>
    <w:p w14:paraId="6D037BDE" w14:textId="77777777" w:rsidR="008962E6" w:rsidRDefault="008962E6">
      <w:pPr>
        <w:pStyle w:val="a7"/>
        <w:spacing w:before="0" w:beforeAutospacing="0" w:after="0" w:afterAutospacing="0" w:line="360" w:lineRule="auto"/>
        <w:rPr>
          <w:rStyle w:val="a8"/>
          <w:color w:val="0E101A"/>
        </w:rPr>
      </w:pPr>
    </w:p>
    <w:p w14:paraId="1EB59216" w14:textId="46CACC11" w:rsidR="002801E2" w:rsidRDefault="00000000">
      <w:pPr>
        <w:pStyle w:val="a7"/>
        <w:spacing w:before="0" w:beforeAutospacing="0" w:after="0" w:afterAutospacing="0" w:line="360" w:lineRule="auto"/>
        <w:rPr>
          <w:color w:val="0E101A"/>
        </w:rPr>
      </w:pPr>
      <w:r>
        <w:rPr>
          <w:color w:val="0E101A"/>
        </w:rPr>
        <w:t>Before we wrap up, it is necessary to give credit to the sources that have contributed to our knowledge of employee satisfaction and the abilities HR managers need. These sources have helped me better understand why it is so crucial to care for employees' mental health and how to do so effectively. In summary, we must provide our HR managers with a wide range of abilities, including communication, empathy, problem-solving, leadership, data analysis, and technological savvy, to effectively address employee well-being. Our HR managers are given the tools they need to improve the well-being of their staff by investing in their professional growth through training, mentoring, and networking events. Productivity, happiness, and achievement are all boosted as a result and this in the long-run, employees re able to benefit from the skills that the HR have.</w:t>
      </w:r>
    </w:p>
    <w:p w14:paraId="0E006F52" w14:textId="77777777" w:rsidR="002801E2" w:rsidRDefault="002801E2">
      <w:pPr>
        <w:spacing w:line="360" w:lineRule="auto"/>
      </w:pPr>
    </w:p>
    <w:sectPr w:rsidR="002801E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1DA0D" w14:textId="77777777" w:rsidR="00CC6492" w:rsidRDefault="00CC6492">
      <w:pPr>
        <w:spacing w:after="0" w:line="240" w:lineRule="auto"/>
      </w:pPr>
      <w:r>
        <w:separator/>
      </w:r>
    </w:p>
  </w:endnote>
  <w:endnote w:type="continuationSeparator" w:id="0">
    <w:p w14:paraId="613E590B" w14:textId="77777777" w:rsidR="00CC6492" w:rsidRDefault="00CC6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altName w:val="Wingdings 2"/>
    <w:panose1 w:val="05020102010507070707"/>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7B18D" w14:textId="77777777" w:rsidR="00CC6492" w:rsidRDefault="00CC6492">
      <w:pPr>
        <w:spacing w:after="0" w:line="240" w:lineRule="auto"/>
      </w:pPr>
      <w:r>
        <w:separator/>
      </w:r>
    </w:p>
  </w:footnote>
  <w:footnote w:type="continuationSeparator" w:id="0">
    <w:p w14:paraId="2D50CD36" w14:textId="77777777" w:rsidR="00CC6492" w:rsidRDefault="00CC64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01574" w14:textId="77777777" w:rsidR="002801E2" w:rsidRDefault="00000000">
    <w:pPr>
      <w:pStyle w:val="a3"/>
      <w:jc w:val="right"/>
    </w:pPr>
    <w:r>
      <w:fldChar w:fldCharType="begin"/>
    </w:r>
    <w:r>
      <w:instrText xml:space="preserve"> PAGE   \* MERGEFORMAT </w:instrText>
    </w:r>
    <w:r>
      <w:fldChar w:fldCharType="separate"/>
    </w:r>
    <w:r>
      <w:rPr>
        <w:noProof/>
      </w:rPr>
      <w:t>1</w:t>
    </w:r>
    <w:r>
      <w:rPr>
        <w:noProof/>
      </w:rPr>
      <w:fldChar w:fldCharType="end"/>
    </w:r>
  </w:p>
  <w:p w14:paraId="4853AD06" w14:textId="77777777" w:rsidR="002801E2" w:rsidRDefault="002801E2">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DFA8BCD4"/>
    <w:lvl w:ilvl="0" w:tplc="A84CD60C">
      <w:start w:val="1"/>
      <w:numFmt w:val="bullet"/>
      <w:lvlText w:val=""/>
      <w:lvlJc w:val="left"/>
      <w:pPr>
        <w:tabs>
          <w:tab w:val="left" w:pos="720"/>
        </w:tabs>
        <w:ind w:left="720" w:hanging="360"/>
      </w:pPr>
      <w:rPr>
        <w:rFonts w:ascii="Wingdings 2" w:hAnsi="Wingdings 2" w:hint="default"/>
      </w:rPr>
    </w:lvl>
    <w:lvl w:ilvl="1" w:tplc="22A22A52" w:tentative="1">
      <w:start w:val="1"/>
      <w:numFmt w:val="bullet"/>
      <w:lvlText w:val=""/>
      <w:lvlJc w:val="left"/>
      <w:pPr>
        <w:tabs>
          <w:tab w:val="left" w:pos="1440"/>
        </w:tabs>
        <w:ind w:left="1440" w:hanging="360"/>
      </w:pPr>
      <w:rPr>
        <w:rFonts w:ascii="Wingdings 2" w:hAnsi="Wingdings 2" w:hint="default"/>
      </w:rPr>
    </w:lvl>
    <w:lvl w:ilvl="2" w:tplc="18A00072" w:tentative="1">
      <w:start w:val="1"/>
      <w:numFmt w:val="bullet"/>
      <w:lvlText w:val=""/>
      <w:lvlJc w:val="left"/>
      <w:pPr>
        <w:tabs>
          <w:tab w:val="left" w:pos="2160"/>
        </w:tabs>
        <w:ind w:left="2160" w:hanging="360"/>
      </w:pPr>
      <w:rPr>
        <w:rFonts w:ascii="Wingdings 2" w:hAnsi="Wingdings 2" w:hint="default"/>
      </w:rPr>
    </w:lvl>
    <w:lvl w:ilvl="3" w:tplc="6D803820" w:tentative="1">
      <w:start w:val="1"/>
      <w:numFmt w:val="bullet"/>
      <w:lvlText w:val=""/>
      <w:lvlJc w:val="left"/>
      <w:pPr>
        <w:tabs>
          <w:tab w:val="left" w:pos="2880"/>
        </w:tabs>
        <w:ind w:left="2880" w:hanging="360"/>
      </w:pPr>
      <w:rPr>
        <w:rFonts w:ascii="Wingdings 2" w:hAnsi="Wingdings 2" w:hint="default"/>
      </w:rPr>
    </w:lvl>
    <w:lvl w:ilvl="4" w:tplc="73F03936" w:tentative="1">
      <w:start w:val="1"/>
      <w:numFmt w:val="bullet"/>
      <w:lvlText w:val=""/>
      <w:lvlJc w:val="left"/>
      <w:pPr>
        <w:tabs>
          <w:tab w:val="left" w:pos="3600"/>
        </w:tabs>
        <w:ind w:left="3600" w:hanging="360"/>
      </w:pPr>
      <w:rPr>
        <w:rFonts w:ascii="Wingdings 2" w:hAnsi="Wingdings 2" w:hint="default"/>
      </w:rPr>
    </w:lvl>
    <w:lvl w:ilvl="5" w:tplc="608C4C24" w:tentative="1">
      <w:start w:val="1"/>
      <w:numFmt w:val="bullet"/>
      <w:lvlText w:val=""/>
      <w:lvlJc w:val="left"/>
      <w:pPr>
        <w:tabs>
          <w:tab w:val="left" w:pos="4320"/>
        </w:tabs>
        <w:ind w:left="4320" w:hanging="360"/>
      </w:pPr>
      <w:rPr>
        <w:rFonts w:ascii="Wingdings 2" w:hAnsi="Wingdings 2" w:hint="default"/>
      </w:rPr>
    </w:lvl>
    <w:lvl w:ilvl="6" w:tplc="6D18A03C" w:tentative="1">
      <w:start w:val="1"/>
      <w:numFmt w:val="bullet"/>
      <w:lvlText w:val=""/>
      <w:lvlJc w:val="left"/>
      <w:pPr>
        <w:tabs>
          <w:tab w:val="left" w:pos="5040"/>
        </w:tabs>
        <w:ind w:left="5040" w:hanging="360"/>
      </w:pPr>
      <w:rPr>
        <w:rFonts w:ascii="Wingdings 2" w:hAnsi="Wingdings 2" w:hint="default"/>
      </w:rPr>
    </w:lvl>
    <w:lvl w:ilvl="7" w:tplc="D0909F2A" w:tentative="1">
      <w:start w:val="1"/>
      <w:numFmt w:val="bullet"/>
      <w:lvlText w:val=""/>
      <w:lvlJc w:val="left"/>
      <w:pPr>
        <w:tabs>
          <w:tab w:val="left" w:pos="5760"/>
        </w:tabs>
        <w:ind w:left="5760" w:hanging="360"/>
      </w:pPr>
      <w:rPr>
        <w:rFonts w:ascii="Wingdings 2" w:hAnsi="Wingdings 2" w:hint="default"/>
      </w:rPr>
    </w:lvl>
    <w:lvl w:ilvl="8" w:tplc="B63248A8" w:tentative="1">
      <w:start w:val="1"/>
      <w:numFmt w:val="bullet"/>
      <w:lvlText w:val=""/>
      <w:lvlJc w:val="left"/>
      <w:pPr>
        <w:tabs>
          <w:tab w:val="left" w:pos="6480"/>
        </w:tabs>
        <w:ind w:left="6480" w:hanging="360"/>
      </w:pPr>
      <w:rPr>
        <w:rFonts w:ascii="Wingdings 2" w:hAnsi="Wingdings 2" w:hint="default"/>
      </w:rPr>
    </w:lvl>
  </w:abstractNum>
  <w:abstractNum w:abstractNumId="1" w15:restartNumberingAfterBreak="0">
    <w:nsid w:val="446E6068"/>
    <w:multiLevelType w:val="hybridMultilevel"/>
    <w:tmpl w:val="7EEE0F28"/>
    <w:lvl w:ilvl="0" w:tplc="D3F6FCD8">
      <w:start w:val="1"/>
      <w:numFmt w:val="bullet"/>
      <w:lvlText w:val="¡"/>
      <w:lvlJc w:val="left"/>
      <w:pPr>
        <w:tabs>
          <w:tab w:val="num" w:pos="720"/>
        </w:tabs>
        <w:ind w:left="720" w:hanging="360"/>
      </w:pPr>
      <w:rPr>
        <w:rFonts w:ascii="Wingdings 2" w:hAnsi="Wingdings 2" w:hint="default"/>
      </w:rPr>
    </w:lvl>
    <w:lvl w:ilvl="1" w:tplc="AC5CCB12" w:tentative="1">
      <w:start w:val="1"/>
      <w:numFmt w:val="bullet"/>
      <w:lvlText w:val="¡"/>
      <w:lvlJc w:val="left"/>
      <w:pPr>
        <w:tabs>
          <w:tab w:val="num" w:pos="1440"/>
        </w:tabs>
        <w:ind w:left="1440" w:hanging="360"/>
      </w:pPr>
      <w:rPr>
        <w:rFonts w:ascii="Wingdings 2" w:hAnsi="Wingdings 2" w:hint="default"/>
      </w:rPr>
    </w:lvl>
    <w:lvl w:ilvl="2" w:tplc="0E66B8F8" w:tentative="1">
      <w:start w:val="1"/>
      <w:numFmt w:val="bullet"/>
      <w:lvlText w:val="¡"/>
      <w:lvlJc w:val="left"/>
      <w:pPr>
        <w:tabs>
          <w:tab w:val="num" w:pos="2160"/>
        </w:tabs>
        <w:ind w:left="2160" w:hanging="360"/>
      </w:pPr>
      <w:rPr>
        <w:rFonts w:ascii="Wingdings 2" w:hAnsi="Wingdings 2" w:hint="default"/>
      </w:rPr>
    </w:lvl>
    <w:lvl w:ilvl="3" w:tplc="B7FCB026" w:tentative="1">
      <w:start w:val="1"/>
      <w:numFmt w:val="bullet"/>
      <w:lvlText w:val="¡"/>
      <w:lvlJc w:val="left"/>
      <w:pPr>
        <w:tabs>
          <w:tab w:val="num" w:pos="2880"/>
        </w:tabs>
        <w:ind w:left="2880" w:hanging="360"/>
      </w:pPr>
      <w:rPr>
        <w:rFonts w:ascii="Wingdings 2" w:hAnsi="Wingdings 2" w:hint="default"/>
      </w:rPr>
    </w:lvl>
    <w:lvl w:ilvl="4" w:tplc="14D0E3FA" w:tentative="1">
      <w:start w:val="1"/>
      <w:numFmt w:val="bullet"/>
      <w:lvlText w:val="¡"/>
      <w:lvlJc w:val="left"/>
      <w:pPr>
        <w:tabs>
          <w:tab w:val="num" w:pos="3600"/>
        </w:tabs>
        <w:ind w:left="3600" w:hanging="360"/>
      </w:pPr>
      <w:rPr>
        <w:rFonts w:ascii="Wingdings 2" w:hAnsi="Wingdings 2" w:hint="default"/>
      </w:rPr>
    </w:lvl>
    <w:lvl w:ilvl="5" w:tplc="A85ECE96" w:tentative="1">
      <w:start w:val="1"/>
      <w:numFmt w:val="bullet"/>
      <w:lvlText w:val="¡"/>
      <w:lvlJc w:val="left"/>
      <w:pPr>
        <w:tabs>
          <w:tab w:val="num" w:pos="4320"/>
        </w:tabs>
        <w:ind w:left="4320" w:hanging="360"/>
      </w:pPr>
      <w:rPr>
        <w:rFonts w:ascii="Wingdings 2" w:hAnsi="Wingdings 2" w:hint="default"/>
      </w:rPr>
    </w:lvl>
    <w:lvl w:ilvl="6" w:tplc="E1B69576" w:tentative="1">
      <w:start w:val="1"/>
      <w:numFmt w:val="bullet"/>
      <w:lvlText w:val="¡"/>
      <w:lvlJc w:val="left"/>
      <w:pPr>
        <w:tabs>
          <w:tab w:val="num" w:pos="5040"/>
        </w:tabs>
        <w:ind w:left="5040" w:hanging="360"/>
      </w:pPr>
      <w:rPr>
        <w:rFonts w:ascii="Wingdings 2" w:hAnsi="Wingdings 2" w:hint="default"/>
      </w:rPr>
    </w:lvl>
    <w:lvl w:ilvl="7" w:tplc="496E8538" w:tentative="1">
      <w:start w:val="1"/>
      <w:numFmt w:val="bullet"/>
      <w:lvlText w:val="¡"/>
      <w:lvlJc w:val="left"/>
      <w:pPr>
        <w:tabs>
          <w:tab w:val="num" w:pos="5760"/>
        </w:tabs>
        <w:ind w:left="5760" w:hanging="360"/>
      </w:pPr>
      <w:rPr>
        <w:rFonts w:ascii="Wingdings 2" w:hAnsi="Wingdings 2" w:hint="default"/>
      </w:rPr>
    </w:lvl>
    <w:lvl w:ilvl="8" w:tplc="4286785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7414B21"/>
    <w:multiLevelType w:val="hybridMultilevel"/>
    <w:tmpl w:val="73924168"/>
    <w:lvl w:ilvl="0" w:tplc="AFCE1C9C">
      <w:start w:val="1"/>
      <w:numFmt w:val="bullet"/>
      <w:lvlText w:val=""/>
      <w:lvlJc w:val="left"/>
      <w:pPr>
        <w:tabs>
          <w:tab w:val="left" w:pos="720"/>
        </w:tabs>
        <w:ind w:left="720" w:hanging="360"/>
      </w:pPr>
      <w:rPr>
        <w:rFonts w:ascii="Wingdings 2" w:hAnsi="Wingdings 2" w:hint="default"/>
      </w:rPr>
    </w:lvl>
    <w:lvl w:ilvl="1" w:tplc="119E3CA0" w:tentative="1">
      <w:start w:val="1"/>
      <w:numFmt w:val="bullet"/>
      <w:lvlText w:val=""/>
      <w:lvlJc w:val="left"/>
      <w:pPr>
        <w:tabs>
          <w:tab w:val="left" w:pos="1440"/>
        </w:tabs>
        <w:ind w:left="1440" w:hanging="360"/>
      </w:pPr>
      <w:rPr>
        <w:rFonts w:ascii="Wingdings 2" w:hAnsi="Wingdings 2" w:hint="default"/>
      </w:rPr>
    </w:lvl>
    <w:lvl w:ilvl="2" w:tplc="0F72D260" w:tentative="1">
      <w:start w:val="1"/>
      <w:numFmt w:val="bullet"/>
      <w:lvlText w:val=""/>
      <w:lvlJc w:val="left"/>
      <w:pPr>
        <w:tabs>
          <w:tab w:val="left" w:pos="2160"/>
        </w:tabs>
        <w:ind w:left="2160" w:hanging="360"/>
      </w:pPr>
      <w:rPr>
        <w:rFonts w:ascii="Wingdings 2" w:hAnsi="Wingdings 2" w:hint="default"/>
      </w:rPr>
    </w:lvl>
    <w:lvl w:ilvl="3" w:tplc="49F836F6" w:tentative="1">
      <w:start w:val="1"/>
      <w:numFmt w:val="bullet"/>
      <w:lvlText w:val=""/>
      <w:lvlJc w:val="left"/>
      <w:pPr>
        <w:tabs>
          <w:tab w:val="left" w:pos="2880"/>
        </w:tabs>
        <w:ind w:left="2880" w:hanging="360"/>
      </w:pPr>
      <w:rPr>
        <w:rFonts w:ascii="Wingdings 2" w:hAnsi="Wingdings 2" w:hint="default"/>
      </w:rPr>
    </w:lvl>
    <w:lvl w:ilvl="4" w:tplc="F2D6C1B4" w:tentative="1">
      <w:start w:val="1"/>
      <w:numFmt w:val="bullet"/>
      <w:lvlText w:val=""/>
      <w:lvlJc w:val="left"/>
      <w:pPr>
        <w:tabs>
          <w:tab w:val="left" w:pos="3600"/>
        </w:tabs>
        <w:ind w:left="3600" w:hanging="360"/>
      </w:pPr>
      <w:rPr>
        <w:rFonts w:ascii="Wingdings 2" w:hAnsi="Wingdings 2" w:hint="default"/>
      </w:rPr>
    </w:lvl>
    <w:lvl w:ilvl="5" w:tplc="C7243C96" w:tentative="1">
      <w:start w:val="1"/>
      <w:numFmt w:val="bullet"/>
      <w:lvlText w:val=""/>
      <w:lvlJc w:val="left"/>
      <w:pPr>
        <w:tabs>
          <w:tab w:val="left" w:pos="4320"/>
        </w:tabs>
        <w:ind w:left="4320" w:hanging="360"/>
      </w:pPr>
      <w:rPr>
        <w:rFonts w:ascii="Wingdings 2" w:hAnsi="Wingdings 2" w:hint="default"/>
      </w:rPr>
    </w:lvl>
    <w:lvl w:ilvl="6" w:tplc="A4608030" w:tentative="1">
      <w:start w:val="1"/>
      <w:numFmt w:val="bullet"/>
      <w:lvlText w:val=""/>
      <w:lvlJc w:val="left"/>
      <w:pPr>
        <w:tabs>
          <w:tab w:val="left" w:pos="5040"/>
        </w:tabs>
        <w:ind w:left="5040" w:hanging="360"/>
      </w:pPr>
      <w:rPr>
        <w:rFonts w:ascii="Wingdings 2" w:hAnsi="Wingdings 2" w:hint="default"/>
      </w:rPr>
    </w:lvl>
    <w:lvl w:ilvl="7" w:tplc="322AF6C2" w:tentative="1">
      <w:start w:val="1"/>
      <w:numFmt w:val="bullet"/>
      <w:lvlText w:val=""/>
      <w:lvlJc w:val="left"/>
      <w:pPr>
        <w:tabs>
          <w:tab w:val="left" w:pos="5760"/>
        </w:tabs>
        <w:ind w:left="5760" w:hanging="360"/>
      </w:pPr>
      <w:rPr>
        <w:rFonts w:ascii="Wingdings 2" w:hAnsi="Wingdings 2" w:hint="default"/>
      </w:rPr>
    </w:lvl>
    <w:lvl w:ilvl="8" w:tplc="3CE47B9C" w:tentative="1">
      <w:start w:val="1"/>
      <w:numFmt w:val="bullet"/>
      <w:lvlText w:val=""/>
      <w:lvlJc w:val="left"/>
      <w:pPr>
        <w:tabs>
          <w:tab w:val="left" w:pos="6480"/>
        </w:tabs>
        <w:ind w:left="6480" w:hanging="360"/>
      </w:pPr>
      <w:rPr>
        <w:rFonts w:ascii="Wingdings 2" w:hAnsi="Wingdings 2" w:hint="default"/>
      </w:rPr>
    </w:lvl>
  </w:abstractNum>
  <w:num w:numId="1" w16cid:durableId="2093579409">
    <w:abstractNumId w:val="0"/>
  </w:num>
  <w:num w:numId="2" w16cid:durableId="310643668">
    <w:abstractNumId w:val="2"/>
  </w:num>
  <w:num w:numId="3" w16cid:durableId="2048722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01E2"/>
    <w:rsid w:val="00063E00"/>
    <w:rsid w:val="002801E2"/>
    <w:rsid w:val="00673FAE"/>
    <w:rsid w:val="008962E6"/>
    <w:rsid w:val="00A450C7"/>
    <w:rsid w:val="00AC1CE7"/>
    <w:rsid w:val="00CC64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D7A4875"/>
  <w15:docId w15:val="{E941F559-E50D-C64F-B57A-6C730095F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680"/>
        <w:tab w:val="right" w:pos="9360"/>
      </w:tabs>
      <w:spacing w:after="0" w:line="240" w:lineRule="auto"/>
    </w:pPr>
  </w:style>
  <w:style w:type="character" w:customStyle="1" w:styleId="a4">
    <w:name w:val="页眉 字符"/>
    <w:basedOn w:val="a0"/>
    <w:link w:val="a3"/>
    <w:uiPriority w:val="99"/>
  </w:style>
  <w:style w:type="paragraph" w:styleId="a5">
    <w:name w:val="footer"/>
    <w:basedOn w:val="a"/>
    <w:link w:val="a6"/>
    <w:uiPriority w:val="99"/>
    <w:pPr>
      <w:tabs>
        <w:tab w:val="center" w:pos="4680"/>
        <w:tab w:val="right" w:pos="9360"/>
      </w:tabs>
      <w:spacing w:after="0" w:line="240" w:lineRule="auto"/>
    </w:pPr>
  </w:style>
  <w:style w:type="character" w:customStyle="1" w:styleId="a6">
    <w:name w:val="页脚 字符"/>
    <w:basedOn w:val="a0"/>
    <w:link w:val="a5"/>
    <w:uiPriority w:val="99"/>
  </w:style>
  <w:style w:type="paragraph" w:styleId="a7">
    <w:name w:val="Normal (Web)"/>
    <w:basedOn w:val="a"/>
    <w:uiPriority w:val="99"/>
    <w:pPr>
      <w:spacing w:before="100" w:beforeAutospacing="1" w:after="100" w:afterAutospacing="1" w:line="240" w:lineRule="auto"/>
    </w:pPr>
    <w:rPr>
      <w:rFonts w:eastAsia="Times New Roman"/>
    </w:rPr>
  </w:style>
  <w:style w:type="character" w:styleId="a8">
    <w:name w:val="Strong"/>
    <w:basedOn w:val="a0"/>
    <w:uiPriority w:val="22"/>
    <w:qFormat/>
    <w:rPr>
      <w:b/>
      <w:bCs/>
    </w:rPr>
  </w:style>
  <w:style w:type="paragraph" w:styleId="a9">
    <w:name w:val="No Spacing"/>
    <w:uiPriority w:val="1"/>
    <w:qFormat/>
    <w:pPr>
      <w:spacing w:after="0" w:line="240" w:lineRule="auto"/>
    </w:pPr>
  </w:style>
  <w:style w:type="character" w:styleId="aa">
    <w:name w:val="Hyperlink"/>
    <w:basedOn w:val="a0"/>
    <w:uiPriority w:val="99"/>
    <w:semiHidden/>
    <w:unhideWhenUsed/>
    <w:rsid w:val="00673FAE"/>
    <w:rPr>
      <w:color w:val="0000FF"/>
      <w:u w:val="single"/>
    </w:rPr>
  </w:style>
  <w:style w:type="character" w:styleId="ab">
    <w:name w:val="FollowedHyperlink"/>
    <w:basedOn w:val="a0"/>
    <w:uiPriority w:val="99"/>
    <w:semiHidden/>
    <w:unhideWhenUsed/>
    <w:rsid w:val="00673FA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791665">
      <w:bodyDiv w:val="1"/>
      <w:marLeft w:val="0"/>
      <w:marRight w:val="0"/>
      <w:marTop w:val="0"/>
      <w:marBottom w:val="0"/>
      <w:divBdr>
        <w:top w:val="none" w:sz="0" w:space="0" w:color="auto"/>
        <w:left w:val="none" w:sz="0" w:space="0" w:color="auto"/>
        <w:bottom w:val="none" w:sz="0" w:space="0" w:color="auto"/>
        <w:right w:val="none" w:sz="0" w:space="0" w:color="auto"/>
      </w:divBdr>
      <w:divsChild>
        <w:div w:id="314380458">
          <w:marLeft w:val="475"/>
          <w:marRight w:val="0"/>
          <w:marTop w:val="86"/>
          <w:marBottom w:val="120"/>
          <w:divBdr>
            <w:top w:val="none" w:sz="0" w:space="0" w:color="auto"/>
            <w:left w:val="none" w:sz="0" w:space="0" w:color="auto"/>
            <w:bottom w:val="none" w:sz="0" w:space="0" w:color="auto"/>
            <w:right w:val="none" w:sz="0" w:space="0" w:color="auto"/>
          </w:divBdr>
        </w:div>
        <w:div w:id="881206266">
          <w:marLeft w:val="475"/>
          <w:marRight w:val="0"/>
          <w:marTop w:val="86"/>
          <w:marBottom w:val="120"/>
          <w:divBdr>
            <w:top w:val="none" w:sz="0" w:space="0" w:color="auto"/>
            <w:left w:val="none" w:sz="0" w:space="0" w:color="auto"/>
            <w:bottom w:val="none" w:sz="0" w:space="0" w:color="auto"/>
            <w:right w:val="none" w:sz="0" w:space="0" w:color="auto"/>
          </w:divBdr>
        </w:div>
        <w:div w:id="552497633">
          <w:marLeft w:val="475"/>
          <w:marRight w:val="0"/>
          <w:marTop w:val="86"/>
          <w:marBottom w:val="120"/>
          <w:divBdr>
            <w:top w:val="none" w:sz="0" w:space="0" w:color="auto"/>
            <w:left w:val="none" w:sz="0" w:space="0" w:color="auto"/>
            <w:bottom w:val="none" w:sz="0" w:space="0" w:color="auto"/>
            <w:right w:val="none" w:sz="0" w:space="0" w:color="auto"/>
          </w:divBdr>
        </w:div>
        <w:div w:id="1649239168">
          <w:marLeft w:val="475"/>
          <w:marRight w:val="0"/>
          <w:marTop w:val="86"/>
          <w:marBottom w:val="120"/>
          <w:divBdr>
            <w:top w:val="none" w:sz="0" w:space="0" w:color="auto"/>
            <w:left w:val="none" w:sz="0" w:space="0" w:color="auto"/>
            <w:bottom w:val="none" w:sz="0" w:space="0" w:color="auto"/>
            <w:right w:val="none" w:sz="0" w:space="0" w:color="auto"/>
          </w:divBdr>
        </w:div>
        <w:div w:id="1512647628">
          <w:marLeft w:val="475"/>
          <w:marRight w:val="0"/>
          <w:marTop w:val="86"/>
          <w:marBottom w:val="120"/>
          <w:divBdr>
            <w:top w:val="none" w:sz="0" w:space="0" w:color="auto"/>
            <w:left w:val="none" w:sz="0" w:space="0" w:color="auto"/>
            <w:bottom w:val="none" w:sz="0" w:space="0" w:color="auto"/>
            <w:right w:val="none" w:sz="0" w:space="0" w:color="auto"/>
          </w:divBdr>
        </w:div>
        <w:div w:id="174925243">
          <w:marLeft w:val="475"/>
          <w:marRight w:val="0"/>
          <w:marTop w:val="86"/>
          <w:marBottom w:val="120"/>
          <w:divBdr>
            <w:top w:val="none" w:sz="0" w:space="0" w:color="auto"/>
            <w:left w:val="none" w:sz="0" w:space="0" w:color="auto"/>
            <w:bottom w:val="none" w:sz="0" w:space="0" w:color="auto"/>
            <w:right w:val="none" w:sz="0" w:space="0" w:color="auto"/>
          </w:divBdr>
        </w:div>
        <w:div w:id="1717777804">
          <w:marLeft w:val="475"/>
          <w:marRight w:val="0"/>
          <w:marTop w:val="86"/>
          <w:marBottom w:val="120"/>
          <w:divBdr>
            <w:top w:val="none" w:sz="0" w:space="0" w:color="auto"/>
            <w:left w:val="none" w:sz="0" w:space="0" w:color="auto"/>
            <w:bottom w:val="none" w:sz="0" w:space="0" w:color="auto"/>
            <w:right w:val="none" w:sz="0" w:space="0" w:color="auto"/>
          </w:divBdr>
        </w:div>
        <w:div w:id="471481392">
          <w:marLeft w:val="475"/>
          <w:marRight w:val="0"/>
          <w:marTop w:val="86"/>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owtsd-my.sharepoint.com/:v:/r/personal/2232349_student_uwtsd_ac_uk/Documents/HR%20Skills%20Development.mp4?csf=1&amp;web=1&amp;e=OAFS0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1259</Words>
  <Characters>7182</Characters>
  <Application>Microsoft Office Word</Application>
  <DocSecurity>0</DocSecurity>
  <Lines>59</Lines>
  <Paragraphs>16</Paragraphs>
  <ScaleCrop>false</ScaleCrop>
  <Company/>
  <LinksUpToDate>false</LinksUpToDate>
  <CharactersWithSpaces>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Chong Zhao (2232349)</cp:lastModifiedBy>
  <cp:revision>6</cp:revision>
  <dcterms:created xsi:type="dcterms:W3CDTF">2023-07-15T03:10:00Z</dcterms:created>
  <dcterms:modified xsi:type="dcterms:W3CDTF">2023-07-21T13:06:00Z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6cfc55d0b6e04b2f81359093e27fb891</vt:lpwstr>
  </property>
</Properties>
</file>