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320" w:line="240" w:lineRule="auto"/>
        <w:ind w:left="0" w:right="0" w:firstLine="0"/>
        <w:jc w:val="left"/>
        <w:rPr>
          <w:b w:val="1"/>
          <w:bCs w:val="1"/>
          <w:outline w:val="0"/>
          <w:color w:val="1d2025"/>
          <w:sz w:val="48"/>
          <w:szCs w:val="48"/>
          <w:shd w:val="clear" w:color="auto" w:fill="ffffff"/>
          <w:rtl w:val="0"/>
          <w14:textFill>
            <w14:solidFill>
              <w14:srgbClr w14:val="1D2125"/>
            </w14:solidFill>
          </w14:textFill>
        </w:rPr>
      </w:pPr>
      <w:r>
        <w:rPr>
          <w:b w:val="1"/>
          <w:bCs w:val="1"/>
          <w:outline w:val="0"/>
          <w:color w:val="1d2025"/>
          <w:sz w:val="48"/>
          <w:szCs w:val="48"/>
          <w:shd w:val="clear" w:color="auto" w:fill="ffffff"/>
          <w:rtl w:val="0"/>
          <w:lang w:val="en-US"/>
          <w14:textFill>
            <w14:solidFill>
              <w14:srgbClr w14:val="1D2125"/>
            </w14:solidFill>
          </w14:textFill>
        </w:rPr>
        <w:t>What does Sartre mean when he</w:t>
      </w:r>
      <w:r>
        <w:rPr>
          <w:b w:val="1"/>
          <w:bCs w:val="1"/>
          <w:outline w:val="0"/>
          <w:color w:val="1d2025"/>
          <w:sz w:val="48"/>
          <w:szCs w:val="48"/>
          <w:shd w:val="clear" w:color="auto" w:fill="ffffff"/>
          <w:rtl w:val="0"/>
          <w:lang w:val="en-US"/>
          <w14:textFill>
            <w14:solidFill>
              <w14:srgbClr w14:val="1D2125"/>
            </w14:solidFill>
          </w14:textFill>
        </w:rPr>
        <w:t xml:space="preserve"> </w:t>
      </w:r>
      <w:r>
        <w:rPr>
          <w:b w:val="1"/>
          <w:bCs w:val="1"/>
          <w:outline w:val="0"/>
          <w:color w:val="1d2025"/>
          <w:sz w:val="48"/>
          <w:szCs w:val="48"/>
          <w:shd w:val="clear" w:color="auto" w:fill="ffffff"/>
          <w:rtl w:val="0"/>
          <w:lang w:val="fr-FR"/>
          <w14:textFill>
            <w14:solidFill>
              <w14:srgbClr w14:val="1D2125"/>
            </w14:solidFill>
          </w14:textFill>
        </w:rPr>
        <w:t>contends</w:t>
      </w:r>
      <w:r>
        <w:rPr>
          <w:b w:val="1"/>
          <w:bCs w:val="1"/>
          <w:outline w:val="0"/>
          <w:color w:val="1d2025"/>
          <w:sz w:val="48"/>
          <w:szCs w:val="48"/>
          <w:shd w:val="clear" w:color="auto" w:fill="ffffff"/>
          <w:rtl w:val="0"/>
          <w:lang w:val="en-US"/>
          <w14:textFill>
            <w14:solidFill>
              <w14:srgbClr w14:val="1D2125"/>
            </w14:solidFill>
          </w14:textFill>
        </w:rPr>
        <w:t xml:space="preserve"> </w:t>
      </w:r>
      <w:r>
        <w:rPr>
          <w:b w:val="1"/>
          <w:bCs w:val="1"/>
          <w:outline w:val="0"/>
          <w:color w:val="1d2025"/>
          <w:sz w:val="48"/>
          <w:szCs w:val="48"/>
          <w:shd w:val="clear" w:color="auto" w:fill="ffffff"/>
          <w:rtl w:val="0"/>
          <w:lang w:val="en-US"/>
          <w14:textFill>
            <w14:solidFill>
              <w14:srgbClr w14:val="1D2125"/>
            </w14:solidFill>
          </w14:textFill>
        </w:rPr>
        <w:t xml:space="preserve">that humans are </w:t>
      </w:r>
      <w:r>
        <w:rPr>
          <w:b w:val="1"/>
          <w:bCs w:val="1"/>
          <w:outline w:val="0"/>
          <w:color w:val="1d2025"/>
          <w:sz w:val="48"/>
          <w:szCs w:val="48"/>
          <w:shd w:val="clear" w:color="auto" w:fill="ffffff"/>
          <w:rtl w:val="0"/>
          <w:lang w:val="en-US"/>
          <w14:textFill>
            <w14:solidFill>
              <w14:srgbClr w14:val="1D2125"/>
            </w14:solidFill>
          </w14:textFill>
        </w:rPr>
        <w:t>condemned to be free?.</w:t>
      </w:r>
    </w:p>
    <w:p>
      <w:pPr>
        <w:pStyle w:val="Default"/>
        <w:bidi w:val="0"/>
        <w:spacing w:before="0" w:after="320" w:line="240" w:lineRule="auto"/>
        <w:ind w:left="0" w:right="0" w:firstLine="0"/>
        <w:jc w:val="left"/>
        <w:rPr>
          <w:b w:val="1"/>
          <w:bCs w:val="1"/>
          <w:outline w:val="0"/>
          <w:color w:val="1d2025"/>
          <w:sz w:val="48"/>
          <w:szCs w:val="48"/>
          <w:shd w:val="clear" w:color="auto" w:fill="ffffff"/>
          <w:rtl w:val="0"/>
          <w14:textFill>
            <w14:solidFill>
              <w14:srgbClr w14:val="1D2125"/>
            </w14:solidFill>
          </w14:textFill>
        </w:rPr>
      </w:pPr>
    </w:p>
    <w:p>
      <w:pPr>
        <w:pStyle w:val="Default"/>
        <w:bidi w:val="0"/>
        <w:spacing w:before="0" w:after="320" w:line="240" w:lineRule="auto"/>
        <w:ind w:left="0" w:right="0" w:firstLine="0"/>
        <w:jc w:val="left"/>
        <w:rPr>
          <w:b w:val="1"/>
          <w:bCs w:val="1"/>
          <w:outline w:val="0"/>
          <w:color w:val="1d2025"/>
          <w:sz w:val="48"/>
          <w:szCs w:val="48"/>
          <w:shd w:val="clear" w:color="auto" w:fill="ffffff"/>
          <w:rtl w:val="0"/>
          <w14:textFill>
            <w14:solidFill>
              <w14:srgbClr w14:val="1D2125"/>
            </w14:solidFill>
          </w14:textFill>
        </w:rPr>
      </w:pPr>
    </w:p>
    <w:p>
      <w:pPr>
        <w:pStyle w:val="Default"/>
        <w:bidi w:val="0"/>
        <w:spacing w:before="0" w:after="300" w:line="240" w:lineRule="auto"/>
        <w:ind w:left="0" w:right="0" w:firstLine="0"/>
        <w:jc w:val="left"/>
        <w:rPr>
          <w:rFonts w:ascii="Helvetica" w:cs="Helvetica" w:hAnsi="Helvetica" w:eastAsia="Helvetica"/>
          <w:b w:val="1"/>
          <w:bCs w:val="1"/>
          <w:outline w:val="0"/>
          <w:color w:val="181818"/>
          <w:sz w:val="28"/>
          <w:szCs w:val="28"/>
          <w:shd w:val="clear" w:color="auto" w:fill="ffffff"/>
          <w:rtl w:val="0"/>
          <w14:textFill>
            <w14:solidFill>
              <w14:srgbClr w14:val="181818"/>
            </w14:solidFill>
          </w14:textFill>
        </w:rPr>
      </w:pPr>
      <w:r>
        <w:rPr>
          <w:rFonts w:ascii="Helvetica" w:hAnsi="Helvetica" w:hint="default"/>
          <w:b w:val="1"/>
          <w:bCs w:val="1"/>
          <w:outline w:val="0"/>
          <w:color w:val="181818"/>
          <w:sz w:val="28"/>
          <w:szCs w:val="28"/>
          <w:shd w:val="clear" w:color="auto" w:fill="ffffff"/>
          <w:rtl w:val="0"/>
          <w:lang w:val="en-US"/>
          <w14:textFill>
            <w14:solidFill>
              <w14:srgbClr w14:val="181818"/>
            </w14:solidFill>
          </w14:textFill>
        </w:rPr>
        <w:t>“</w:t>
      </w:r>
      <w:r>
        <w:rPr>
          <w:rFonts w:ascii="Helvetica" w:hAnsi="Helvetica"/>
          <w:b w:val="1"/>
          <w:bCs w:val="1"/>
          <w:outline w:val="0"/>
          <w:color w:val="181818"/>
          <w:sz w:val="28"/>
          <w:szCs w:val="28"/>
          <w:shd w:val="clear" w:color="auto" w:fill="ffffff"/>
          <w:rtl w:val="0"/>
          <w:lang w:val="en-US"/>
          <w14:textFill>
            <w14:solidFill>
              <w14:srgbClr w14:val="181818"/>
            </w14:solidFill>
          </w14:textFill>
        </w:rPr>
        <w:t>man is condemned to be free. Condemned, because he did not create himself, in other respect is free; because, once thrown into the world, he is responsible for everything he does. The Existentialist does not believe in the power of passion. He will never agree that a sweeping passion is a ravaging torrent which fatally leads a man to certain acts and is therefore an excuse. He thinks that man is responsible for his passion.</w:t>
      </w:r>
      <w:r>
        <w:rPr>
          <w:rFonts w:ascii="Helvetica" w:hAnsi="Helvetica" w:hint="default"/>
          <w:b w:val="1"/>
          <w:bCs w:val="1"/>
          <w:outline w:val="0"/>
          <w:color w:val="181818"/>
          <w:sz w:val="28"/>
          <w:szCs w:val="28"/>
          <w:shd w:val="clear" w:color="auto" w:fill="ffffff"/>
          <w:rtl w:val="0"/>
          <w14:textFill>
            <w14:solidFill>
              <w14:srgbClr w14:val="181818"/>
            </w14:solidFill>
          </w14:textFill>
        </w:rPr>
        <w:t xml:space="preserve">” </w:t>
      </w:r>
      <w:r>
        <w:rPr>
          <w:rFonts w:ascii="Helvetica" w:hAnsi="Helvetica"/>
          <w:b w:val="1"/>
          <w:bCs w:val="1"/>
          <w:outline w:val="0"/>
          <w:color w:val="181818"/>
          <w:sz w:val="28"/>
          <w:szCs w:val="28"/>
          <w:shd w:val="clear" w:color="auto" w:fill="ffffff"/>
          <w:rtl w:val="0"/>
          <w:lang w:val="en-US"/>
          <w14:textFill>
            <w14:solidFill>
              <w14:srgbClr w14:val="181818"/>
            </w14:solidFill>
          </w14:textFill>
        </w:rPr>
        <w:t>(Sartre,1984,p.186).</w:t>
      </w:r>
    </w:p>
    <w:p>
      <w:pPr>
        <w:pStyle w:val="Default"/>
        <w:bidi w:val="0"/>
        <w:spacing w:before="0" w:after="300" w:line="240" w:lineRule="auto"/>
        <w:ind w:left="0" w:right="0" w:firstLine="0"/>
        <w:jc w:val="left"/>
        <w:rPr>
          <w:rFonts w:ascii="Helvetica" w:cs="Helvetica" w:hAnsi="Helvetica" w:eastAsia="Helvetica"/>
          <w:outline w:val="0"/>
          <w:color w:val="181818"/>
          <w:sz w:val="28"/>
          <w:szCs w:val="28"/>
          <w:shd w:val="clear" w:color="auto" w:fill="ffffff"/>
          <w:rtl w:val="0"/>
          <w14:textFill>
            <w14:solidFill>
              <w14:srgbClr w14:val="181818"/>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In this essay I shall be taking a deeper look into what my understanding is, when Sartre stated that we are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condemned to be free ( Sartre,1984,p.186),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a deliberate oxymoron bringing out what he believes to be a great height of responsibility accompanying human freedom</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(Warburton,1996,p.5) and to critically access his theory. How are we condemned and what is freedom. We are the one responsible for our destiny, thus our life is what we make of it. It is worth noting that Sartre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s early view on freedom has been of concern to many scholars, including Gabriel Marcel, Merleau-Ponty and Albert Camus (Santoni,2008,p.785). </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In 1945 Sartre proclaimed that existentialism was humanism - a brave , new Godless world</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(Kirkpatrick,2017,p.2).We know that Sartre was an atheist, which could be because of the awful atrocities that he witnessed for himself, whilst serving with the French army during World War Two. This experience lead him to dismiss the existence of a God completely. Sartre did however previously describe in Being and Nothingness, that he had had a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mystic crisis</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in his teens ( Kirkpatrick,2017,p.3). Sartre however refers to a view of an absence of God as opposed to a view of God</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s non existence(Kirkpatrick,2017,p.3). Again later in Being and Nothingness Sartre would also go on to "refer to God as an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old flame</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and to atheism as a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cruel, long term business</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(Kirkpatrick,2017,p.3).  Of course there are many who wholly believe in God, which then gives some people an excuse for the actions they may take, but in turn this would also take away their freedom. People would have had to decide in the first instance if they were going to follow God and his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rules and ways</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but this in turn would still make them responsible for this initial decision, to follow God. Sartre says that surly it is far better to be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condemned to be free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than to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condemned to be Gods puppet</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 Sartre,1984,p.186). Sartre also echoed the view of Nietzsche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s  that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God is dead</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This of course did not mean that Nietzsche ever believed that there was a living God, but more that, at that time, in the late nineteenth century God was no longer justifiable belief. To have faith in God , Sartre felt was a way that human beings, avoided responsibility and freedom.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Faith in God is bad faith</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(Kirkpatrick, 2017,p.4).</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For Sartre along with other existentialist we know that freedom is very much a central concept. We see Sartre state and argue that humans have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radical freedom</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The American philosopher,  Skinner in his book Beyond Freedom, stated that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Freedom is simply an illusion</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and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if we were free we would not be subject to the laws of science nor would our actions be determined by these laws</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(Hartenberg,1972,p.353 ).Skinner goes on to argue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that our traditional concepts of freedom and dignity must be sharply revised</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(Hartenberg,1972,p.353). Most existentialists emphasise the importance of freedom ,as a prerequisite for living and Sartre himself fully appreciated this importance, if a human was to lead an authentic life. This radical freedom allows us to make choices, which in turn will go on to shape our own existence. Therefore there is no use in us using the phrases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I can</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t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or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I must</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if ,as Sartre says we and us alone are totally responsible for our actions. </w:t>
      </w:r>
      <w:r>
        <w:rPr>
          <w:outline w:val="0"/>
          <w:color w:val="1d2025"/>
          <w:sz w:val="32"/>
          <w:szCs w:val="32"/>
          <w:shd w:val="clear" w:color="auto" w:fill="ffffff"/>
          <w:rtl w:val="0"/>
          <w:lang w:val="en-US"/>
          <w14:textFill>
            <w14:solidFill>
              <w14:srgbClr w14:val="1D2125"/>
            </w14:solidFill>
          </w14:textFill>
        </w:rPr>
        <w:t xml:space="preserve">I </w:t>
      </w:r>
      <w:r>
        <w:rPr>
          <w:outline w:val="0"/>
          <w:color w:val="1d2025"/>
          <w:sz w:val="32"/>
          <w:szCs w:val="32"/>
          <w:shd w:val="clear" w:color="auto" w:fill="ffffff"/>
          <w:rtl w:val="0"/>
          <w:lang w:val="en-US"/>
          <w14:textFill>
            <w14:solidFill>
              <w14:srgbClr w14:val="1D2125"/>
            </w14:solidFill>
          </w14:textFill>
        </w:rPr>
        <w:t>therefore understand</w:t>
      </w:r>
      <w:r>
        <w:rPr>
          <w:outline w:val="0"/>
          <w:color w:val="1d2025"/>
          <w:sz w:val="32"/>
          <w:szCs w:val="32"/>
          <w:shd w:val="clear" w:color="auto" w:fill="ffffff"/>
          <w:rtl w:val="0"/>
          <w:lang w:val="en-US"/>
          <w14:textFill>
            <w14:solidFill>
              <w14:srgbClr w14:val="1D2125"/>
            </w14:solidFill>
          </w14:textFill>
        </w:rPr>
        <w:t xml:space="preserve"> from this</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that Sartre means that we are not determined by a pre-defined essence and or indeed by any external factors.</w:t>
      </w:r>
      <w:r>
        <w:rPr>
          <w:outline w:val="0"/>
          <w:color w:val="1d2025"/>
          <w:sz w:val="32"/>
          <w:szCs w:val="32"/>
          <w:shd w:val="clear" w:color="auto" w:fill="ffffff"/>
          <w:rtl w:val="0"/>
          <w:lang w:val="en-US"/>
          <w14:textFill>
            <w14:solidFill>
              <w14:srgbClr w14:val="1D2125"/>
            </w14:solidFill>
          </w14:textFill>
        </w:rPr>
        <w:t xml:space="preserve"> He is using the main Existentialist view of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existence preceded essence</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and that there is no pre-existing concept of man. Therefore if existence actually does come before essence, then there will be no determinism and therefore man is really free. Of course this theory of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existence before essence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is only applicable, if the individual does not believe in God ( again this fits in with the fact that existentialist do not believe in God), if however one does believe in God, then they would believe that God created humans and their essence would have been determined along with everything else in the whole of the universe, perhaps God just wants us to believe that we are free, therefore we make choices solely based on our experiences and interpretations. We find though that when we are forced to face a responsibility, then religion is an answer that we often turn to and perhaps an answer that we can portion some blame to.</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Sartre believes that from the moment we enter the world , we are and must be completely responsible for all our actions. Can we really say that a newborn child has complete responsibility, I feel that we are not able to say this. A newborn child, in a way,I feel , is less able to make a choice, than say some animals are. If we refer to the Utilitarian Philosopher Peter Singer, he stated that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There are humans who quite clearly are below the level of awareness, self consciousness, intelligence, and sentience, of many non-humans. I am thinking of humans with severe and irreparable brain damage, and also human infants</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Singer,1977,p.160). This I agree with, so would argue against Sartre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s theory that from being born into the world, we and only us are completely responsible for our actions. A newborn needs complete care , so therefore someone or others are making those decisions and choices.</w:t>
      </w:r>
      <w:r>
        <w:rPr>
          <w:outline w:val="0"/>
          <w:color w:val="1d2025"/>
          <w:sz w:val="32"/>
          <w:szCs w:val="32"/>
          <w:shd w:val="clear" w:color="auto" w:fill="ffffff"/>
          <w:rtl w:val="0"/>
          <w:lang w:val="en-US"/>
          <w14:textFill>
            <w14:solidFill>
              <w14:srgbClr w14:val="1D2125"/>
            </w14:solidFill>
          </w14:textFill>
        </w:rPr>
        <w:t>The choices and decisions continues until the child is able to communicate and further</w:t>
      </w:r>
      <w:r>
        <w:rPr>
          <w:outline w:val="0"/>
          <w:color w:val="1d2025"/>
          <w:sz w:val="32"/>
          <w:szCs w:val="32"/>
          <w:shd w:val="clear" w:color="auto" w:fill="ffffff"/>
          <w:rtl w:val="0"/>
          <w:lang w:val="en-US"/>
          <w14:textFill>
            <w14:solidFill>
              <w14:srgbClr w14:val="1D2125"/>
            </w14:solidFill>
          </w14:textFill>
        </w:rPr>
        <w:t>. Sartre did acknowledge that we had no choice who are parents were when we were born and the fact that we will one day die,</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but Sartre believes that we are totally responsible for the emotions we choose and how we feel and to deny this would in his option be bad faith (Warburton,1996,p.5). Sartre continues in Being and Nothingness and says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not only am I responsible for everything that I am , but also when choosing any particular action I not only commit myself to it but am choosing as a legislator deciding the whole of mankind</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Sartre,1969,p.30). Therefore any choice that he was to make was then committing the whole of mankind to that choice. When we look at Immanuel Kant</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s concept of universalisability, in which he thought that if something was morally correct for one, then it was morally correct for all, we can see a connection with Sartre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s views and beliefs.Also, ultimately many of us will often think of others when we look to make choices for ourself, we consider the effect our actions will have on others around us and further afield.</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Sartre does however go on to state, that the freedom we have also comes with a burden. Sartre refers to this burden as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condemnation</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meaning that we are totally responsible for our own actions which create our own meanings and values. This burden can weigh heavy on us and cause us to be anxious, not only taking responsibility, but also any consequences that will come from our decisions and actions. Therefore we are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condemned</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to make our own essence through the choices we make. These choices act a challenge to ourselves and how we understand our existence and what future choices we go onto make. Sartre says that when we turn to others for help and advice, we are making a decision for ourself, due to the fact that we would already know what advice they would give and therefore that is why we have chosen that particular being. This is I feel has many correct elements in it, we often know the manner of advice certain friends would give. The responsibility of asking for help and advice is a difficult one, the responsibility of self determination is difficult to accept , as many of us will look to blame others in some part , if not fully for a certain situation or event occurring. We are forced to investigate ourselves and only make choices that are from our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life</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 xml:space="preserve">experiences and interpretations. Sartre goes on to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define the act of blame and non- responsibility as bad faith or self deception, and is just betrayal of one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s self</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 Sartre,1984,p.187). Sartre claims that we as individuals always have a choice, but if we choice not to make a choice, then are we still responsible , for what is, our lack of choice.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Thus we are condemned to be free insofar as no matter what actions we choose to perform or not perform, we are free to do so</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(Kleist, 2013,p.342).</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Sartre states that even a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slave in chains is as free as his master</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(Sartre, 1984,p.703). How can this be true, the name slave itself, shows that they are owned by another individual and are not free in the very basic term. Yet when we look further in Being and Nothingness,Sartre says that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there is no privileged situation</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.in which the given would crush beneath its weight the freedom which constitutes it is such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and that conversely there is no situation in which for-itself would be more free  than in others</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(Kleist,2013,p.343).  So even though Sartre is acknowledging that facticity puts pressures on an individual , he feels that that pressure is never too much that it could or would take away the possibility that someone can transcend to a given situation. Sartre believes that the slave can therefore be as free as the master,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insofar as the slave (like the master)is able to put forth many meanings on his situation(Kleist,2013,p.343). I would still question Sartre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s understanding of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Freedom</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compared to many of us. Sartre says that </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Freedom is the human being putting his past out of play by secreting his own nothingness, and I am not determined by my past free choices, actions, characteristics, psychological sates, habits and so on</w:t>
      </w:r>
      <w:r>
        <w:rPr>
          <w:outline w:val="0"/>
          <w:color w:val="1d2025"/>
          <w:sz w:val="32"/>
          <w:szCs w:val="32"/>
          <w:shd w:val="clear" w:color="auto" w:fill="ffffff"/>
          <w:rtl w:val="0"/>
          <w:lang w:val="en-US"/>
          <w14:textFill>
            <w14:solidFill>
              <w14:srgbClr w14:val="1D2125"/>
            </w14:solidFill>
          </w14:textFill>
        </w:rPr>
        <w:t xml:space="preserve">” </w:t>
      </w:r>
      <w:r>
        <w:rPr>
          <w:outline w:val="0"/>
          <w:color w:val="1d2025"/>
          <w:sz w:val="32"/>
          <w:szCs w:val="32"/>
          <w:shd w:val="clear" w:color="auto" w:fill="ffffff"/>
          <w:rtl w:val="0"/>
          <w:lang w:val="en-US"/>
          <w14:textFill>
            <w14:solidFill>
              <w14:srgbClr w14:val="1D2125"/>
            </w14:solidFill>
          </w14:textFill>
        </w:rPr>
        <w:t>(Santoni,2008,p.787), however does our past not define us in many areas and ways of how we live our lives.</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We are the one responsible for our destiny, thus our life is what we make of it, but who are we to be able to decide what is immoral or moral. To be conscious of something is to relate to it in the real world rather to some representation in your head.</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Sartre says that we never asked for this life or this freedom, but we are still held accountable for our choices and these choices end up shaping what we become in life. We are however not free in the choice of actually having choices. Our lives do not come with a pre planned script or user manual.We may not have a  predetermined character which makes us be who we are, who you are comes from what we do, but I do feel that genetics play a major part of who we are and to some extend who we are destined to be. The argument of genetics and their importance in humanity, is I feel an extremely valid one. Genetics not only determine all our physical aspects of us , but also our behavioural aspects. So are we actually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free to choose</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I feel that there are aspects of our lives that are pre determined for us, we do not choose our eye, skin or true hair colour and in turn these aspects take away some of our responsibilities , as these actions are already determined for us even before we enter the world.</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r>
        <w:rPr>
          <w:outline w:val="0"/>
          <w:color w:val="1d2025"/>
          <w:sz w:val="32"/>
          <w:szCs w:val="32"/>
          <w:shd w:val="clear" w:color="auto" w:fill="ffffff"/>
          <w:rtl w:val="0"/>
          <w:lang w:val="en-US"/>
          <w14:textFill>
            <w14:solidFill>
              <w14:srgbClr w14:val="1D2125"/>
            </w14:solidFill>
          </w14:textFill>
        </w:rPr>
        <w:t xml:space="preserve">Traditionally we all understand freedom as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good, great, wonderful</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xml:space="preserve">, but Sartre is describing freedom instead as a burden.Do we need alternatively to understand that Sartre is in fact seeing this freedom, as instead a curse, a negative as opposed to a positive. We are forced to make decisions and some decisions can cause excess anguish and despair, but perhaps the </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freedom</w:t>
      </w:r>
      <w:r>
        <w:rPr>
          <w:outline w:val="0"/>
          <w:color w:val="1d2025"/>
          <w:sz w:val="32"/>
          <w:szCs w:val="32"/>
          <w:shd w:val="clear" w:color="auto" w:fill="ffffff"/>
          <w:rtl w:val="0"/>
          <w:lang w:val="en-US"/>
          <w14:textFill>
            <w14:solidFill>
              <w14:srgbClr w14:val="1D2125"/>
            </w14:solidFill>
          </w14:textFill>
        </w:rPr>
        <w:t>”</w:t>
      </w:r>
      <w:r>
        <w:rPr>
          <w:outline w:val="0"/>
          <w:color w:val="1d2025"/>
          <w:sz w:val="32"/>
          <w:szCs w:val="32"/>
          <w:shd w:val="clear" w:color="auto" w:fill="ffffff"/>
          <w:rtl w:val="0"/>
          <w:lang w:val="en-US"/>
          <w14:textFill>
            <w14:solidFill>
              <w14:srgbClr w14:val="1D2125"/>
            </w14:solidFill>
          </w14:textFill>
        </w:rPr>
        <w:t>, is that we are able to have some, but not all the input to how we live our lives and the behaviour that we show to others.We can not blame others for our actions and what we become. We all have a choices of some degree, with some of us able to make more choices for ourselves than others. Ultimately the choices we have available to ourselves very much depend on the world we are born into and the surroundings that we find ourselves in. We should strive and encourage all to always reach our highest possible achievements.</w:t>
      </w: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i w:val="1"/>
          <w:iCs w:val="1"/>
          <w:rtl w:val="0"/>
          <w:lang w:val="en-US"/>
        </w:rPr>
        <w:t>A student</w:t>
      </w:r>
      <w:r>
        <w:rPr>
          <w:rFonts w:ascii="Times Roman" w:hAnsi="Times Roman" w:hint="default"/>
          <w:i w:val="1"/>
          <w:iCs w:val="1"/>
          <w:rtl w:val="1"/>
        </w:rPr>
        <w:t>’</w:t>
      </w:r>
      <w:r>
        <w:rPr>
          <w:rFonts w:ascii="Times Roman" w:hAnsi="Times Roman"/>
          <w:i w:val="1"/>
          <w:iCs w:val="1"/>
          <w:rtl w:val="0"/>
          <w:lang w:val="fr-FR"/>
        </w:rPr>
        <w:t>s guide to Jean-Paul Sartre</w:t>
      </w:r>
      <w:r>
        <w:rPr>
          <w:rFonts w:ascii="Times Roman" w:hAnsi="Times Roman" w:hint="default"/>
          <w:i w:val="1"/>
          <w:iCs w:val="1"/>
          <w:rtl w:val="1"/>
        </w:rPr>
        <w:t>’</w:t>
      </w:r>
      <w:r>
        <w:rPr>
          <w:rFonts w:ascii="Times Roman" w:hAnsi="Times Roman"/>
          <w:i w:val="1"/>
          <w:iCs w:val="1"/>
          <w:rtl w:val="0"/>
        </w:rPr>
        <w:t>s Existentialism and Humanism | Issue 15 | Philosophy Now</w:t>
      </w:r>
      <w:r>
        <w:rPr>
          <w:rFonts w:ascii="Times Roman" w:hAnsi="Times Roman"/>
          <w:rtl w:val="0"/>
          <w:lang w:val="en-US"/>
        </w:rPr>
        <w:t xml:space="preserve"> ([no date]).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"https://philosophynow.org/issues/15/A_students_guide_to_Jean-Paul_Sartres_Existentialism_and_Humanism"</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fr-FR"/>
        </w:rPr>
        <w:t>https://philosophynow.org/issues/15/A_students_guide_to_Jean-Paul_Sartres_Existentialism_and_Humanism</w:t>
      </w:r>
      <w:r>
        <w:rPr>
          <w:rFonts w:ascii="Times Roman" w:cs="Times Roman" w:hAnsi="Times Roman" w:eastAsia="Times Roman"/>
          <w:rtl w:val="0"/>
        </w:rPr>
        <w:fldChar w:fldCharType="end" w:fldLock="0"/>
      </w:r>
      <w:r>
        <w:rPr>
          <w:rFonts w:ascii="Times Roman" w:hAnsi="Times Roman"/>
          <w:rtl w:val="0"/>
          <w:lang w:val="en-US"/>
        </w:rPr>
        <w:t xml:space="preserve"> (Accessed: 10 February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Akinbode, E. (2023) </w:t>
      </w:r>
      <w:r>
        <w:rPr>
          <w:rFonts w:ascii="Times Roman" w:hAnsi="Times Roman" w:hint="default"/>
          <w:rtl w:val="1"/>
        </w:rPr>
        <w:t>‘</w:t>
      </w:r>
      <w:r>
        <w:rPr>
          <w:rFonts w:ascii="Times Roman" w:hAnsi="Times Roman"/>
          <w:rtl w:val="0"/>
          <w:lang w:val="fr-FR"/>
        </w:rPr>
        <w:t>Jean-Paul Sartre</w:t>
      </w:r>
      <w:r>
        <w:rPr>
          <w:rFonts w:ascii="Times Roman" w:hAnsi="Times Roman" w:hint="default"/>
          <w:rtl w:val="1"/>
        </w:rPr>
        <w:t>’</w:t>
      </w:r>
      <w:r>
        <w:rPr>
          <w:rFonts w:ascii="Times Roman" w:hAnsi="Times Roman"/>
          <w:rtl w:val="0"/>
          <w:lang w:val="en-US"/>
        </w:rPr>
        <w:t>s Existential Freedom: A Critical Analysis</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International Journal of European Studies</w:t>
      </w:r>
      <w:r>
        <w:rPr>
          <w:rFonts w:ascii="Times Roman" w:hAnsi="Times Roman"/>
          <w:rtl w:val="0"/>
          <w:lang w:val="en-US"/>
        </w:rPr>
        <w:t xml:space="preserve"> .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"http://www.sciencepublishinggroup.com/journal/paperinfo?journalid=520&amp;doi=10.11648/j.ijes.20230701.13"</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http://www.sciencepublishinggroup.com/journal/paperinfo?journalid=520&amp;doi=10.11648/j.ijes.20230701.13</w:t>
      </w:r>
      <w:r>
        <w:rPr>
          <w:rFonts w:ascii="Times Roman" w:cs="Times Roman" w:hAnsi="Times Roman" w:eastAsia="Times Roman"/>
          <w:rtl w:val="0"/>
        </w:rPr>
        <w:fldChar w:fldCharType="end" w:fldLock="0"/>
      </w:r>
      <w:r>
        <w:rPr>
          <w:rFonts w:ascii="Times Roman" w:hAnsi="Times Roman"/>
          <w:rtl w:val="0"/>
          <w:lang w:val="en-US"/>
        </w:rPr>
        <w:t xml:space="preserve"> (Accessed: 6 February 2024).</w:t>
      </w:r>
    </w:p>
    <w:p>
      <w:pPr>
        <w:pStyle w:val="Default"/>
        <w:bidi w:val="0"/>
        <w:spacing w:before="0" w:line="240" w:lineRule="auto"/>
        <w:ind w:left="0" w:right="0" w:firstLine="0"/>
        <w:jc w:val="left"/>
        <w:rPr>
          <w:rStyle w:val="None"/>
          <w:rFonts w:ascii="Times Roman" w:cs="Times Roman" w:hAnsi="Times Roman" w:eastAsia="Times Roman"/>
          <w:outline w:val="0"/>
          <w:color w:val="000000"/>
          <w:u w:val="none"/>
          <w:rtl w:val="0"/>
          <w14:textFill>
            <w14:solidFill>
              <w14:srgbClr w14:val="000000"/>
            </w14:solidFill>
          </w14:textFill>
        </w:rPr>
      </w:pPr>
      <w:r>
        <w:rPr>
          <w:rStyle w:val="None"/>
          <w:rFonts w:ascii="Times Roman" w:hAnsi="Times Roman"/>
          <w:i w:val="1"/>
          <w:iCs w:val="1"/>
          <w:outline w:val="0"/>
          <w:color w:val="000000"/>
          <w:u w:val="none"/>
          <w:rtl w:val="0"/>
          <w:lang w:val="en-US"/>
          <w14:textFill>
            <w14:solidFill>
              <w14:srgbClr w14:val="000000"/>
            </w14:solidFill>
          </w14:textFill>
        </w:rPr>
        <w:t>Beyond Freedom and Dignity</w:t>
      </w:r>
      <w:r>
        <w:rPr>
          <w:rStyle w:val="None"/>
          <w:rFonts w:ascii="Times Roman" w:hAnsi="Times Roman"/>
          <w:outline w:val="0"/>
          <w:color w:val="000000"/>
          <w:u w:val="none"/>
          <w:rtl w:val="0"/>
          <w:lang w:val="en-US"/>
          <w14:textFill>
            <w14:solidFill>
              <w14:srgbClr w14:val="000000"/>
            </w14:solidFill>
          </w14:textFill>
        </w:rPr>
        <w:t xml:space="preserve"> ([no date]). Available at: </w:t>
      </w:r>
      <w:r>
        <w:rPr>
          <w:rStyle w:val="Hyperlink.1"/>
          <w:rFonts w:ascii="Times Roman" w:cs="Times Roman" w:hAnsi="Times Roman" w:eastAsia="Times Roman"/>
          <w:outline w:val="0"/>
          <w:color w:val="0000ee"/>
          <w:u w:val="single"/>
          <w:rtl w:val="0"/>
          <w14:textFill>
            <w14:solidFill>
              <w14:srgbClr w14:val="0000EE"/>
            </w14:solidFill>
          </w14:textFill>
        </w:rPr>
        <w:fldChar w:fldCharType="begin" w:fldLock="0"/>
      </w:r>
      <w:r>
        <w:rPr>
          <w:rStyle w:val="Hyperlink.1"/>
          <w:rFonts w:ascii="Times Roman" w:cs="Times Roman" w:hAnsi="Times Roman" w:eastAsia="Times Roman"/>
          <w:outline w:val="0"/>
          <w:color w:val="0000ee"/>
          <w:u w:val="single"/>
          <w:rtl w:val="0"/>
          <w14:textFill>
            <w14:solidFill>
              <w14:srgbClr w14:val="0000EE"/>
            </w14:solidFill>
          </w14:textFill>
        </w:rPr>
        <w:instrText xml:space="preserve"> HYPERLINK "https://www.goodreads.com/book/show/55987.Beyond_Freedom_and_Dignity"</w:instrText>
      </w:r>
      <w:r>
        <w:rPr>
          <w:rStyle w:val="Hyperlink.1"/>
          <w:rFonts w:ascii="Times Roman" w:cs="Times Roman" w:hAnsi="Times Roman" w:eastAsia="Times Roman"/>
          <w:outline w:val="0"/>
          <w:color w:val="0000ee"/>
          <w:u w:val="single"/>
          <w:rtl w:val="0"/>
          <w14:textFill>
            <w14:solidFill>
              <w14:srgbClr w14:val="0000EE"/>
            </w14:solidFill>
          </w14:textFill>
        </w:rPr>
        <w:fldChar w:fldCharType="separate" w:fldLock="0"/>
      </w:r>
      <w:r>
        <w:rPr>
          <w:rStyle w:val="Hyperlink.1"/>
          <w:rFonts w:ascii="Times Roman" w:hAnsi="Times Roman"/>
          <w:outline w:val="0"/>
          <w:color w:val="0000ee"/>
          <w:u w:val="single"/>
          <w:rtl w:val="0"/>
          <w:lang w:val="en-US"/>
          <w14:textFill>
            <w14:solidFill>
              <w14:srgbClr w14:val="0000EE"/>
            </w14:solidFill>
          </w14:textFill>
        </w:rPr>
        <w:t>https://www.goodreads.com/book/show/55987.Beyond_Freedom_and_Dignity</w:t>
      </w:r>
      <w:r>
        <w:rPr>
          <w:rFonts w:ascii="Times Roman" w:cs="Times Roman" w:hAnsi="Times Roman" w:eastAsia="Times Roman"/>
          <w:outline w:val="0"/>
          <w:color w:val="0000ee"/>
          <w:u w:val="single"/>
          <w:rtl w:val="0"/>
          <w14:textFill>
            <w14:solidFill>
              <w14:srgbClr w14:val="0000EE"/>
            </w14:solidFill>
          </w14:textFill>
        </w:rPr>
        <w:fldChar w:fldCharType="end" w:fldLock="0"/>
      </w:r>
      <w:r>
        <w:rPr>
          <w:rStyle w:val="None"/>
          <w:rFonts w:ascii="Times Roman" w:hAnsi="Times Roman"/>
          <w:outline w:val="0"/>
          <w:color w:val="000000"/>
          <w:u w:val="none"/>
          <w:rtl w:val="0"/>
          <w:lang w:val="en-US"/>
          <w14:textFill>
            <w14:solidFill>
              <w14:srgbClr w14:val="000000"/>
            </w14:solidFill>
          </w14:textFill>
        </w:rPr>
        <w:t xml:space="preserve"> (Accessed: 7 February 2024).</w:t>
      </w:r>
    </w:p>
    <w:p>
      <w:pPr>
        <w:pStyle w:val="Default"/>
        <w:bidi w:val="0"/>
        <w:spacing w:before="0" w:line="240" w:lineRule="auto"/>
        <w:ind w:left="0" w:right="0" w:firstLine="0"/>
        <w:jc w:val="left"/>
        <w:rPr>
          <w:rStyle w:val="None"/>
          <w:rFonts w:ascii="Times Roman" w:cs="Times Roman" w:hAnsi="Times Roman" w:eastAsia="Times Roman"/>
          <w:i w:val="0"/>
          <w:iCs w:val="0"/>
          <w:rtl w:val="0"/>
        </w:rPr>
      </w:pPr>
      <w:r>
        <w:rPr>
          <w:rStyle w:val="None"/>
          <w:rFonts w:ascii="Times Roman" w:hAnsi="Times Roman"/>
          <w:i w:val="0"/>
          <w:iCs w:val="0"/>
          <w:rtl w:val="0"/>
        </w:rPr>
        <w:t xml:space="preserve">Flew, A. (1972) </w:t>
      </w:r>
      <w:r>
        <w:rPr>
          <w:rStyle w:val="None"/>
          <w:rFonts w:ascii="Times Roman" w:hAnsi="Times Roman" w:hint="default"/>
          <w:i w:val="0"/>
          <w:iCs w:val="0"/>
          <w:rtl w:val="1"/>
        </w:rPr>
        <w:t>‘</w:t>
      </w:r>
      <w:r>
        <w:rPr>
          <w:rStyle w:val="None"/>
          <w:rFonts w:ascii="Times Roman" w:hAnsi="Times Roman"/>
          <w:i w:val="0"/>
          <w:iCs w:val="0"/>
          <w:rtl w:val="0"/>
          <w:lang w:val="en-US"/>
        </w:rPr>
        <w:t>Review of Beyond Freedom and Dignity</w:t>
      </w:r>
      <w:r>
        <w:rPr>
          <w:rStyle w:val="None"/>
          <w:rFonts w:ascii="Times Roman" w:hAnsi="Times Roman" w:hint="default"/>
          <w:i w:val="0"/>
          <w:iCs w:val="0"/>
          <w:rtl w:val="1"/>
        </w:rPr>
        <w:t>’</w:t>
      </w:r>
      <w:r>
        <w:rPr>
          <w:rStyle w:val="None"/>
          <w:rFonts w:ascii="Times Roman" w:hAnsi="Times Roman"/>
          <w:i w:val="0"/>
          <w:iCs w:val="0"/>
          <w:rtl w:val="0"/>
        </w:rPr>
        <w:t xml:space="preserve">. </w:t>
      </w:r>
      <w:r>
        <w:rPr>
          <w:rFonts w:ascii="Times Roman" w:hAnsi="Times Roman"/>
          <w:i w:val="1"/>
          <w:iCs w:val="1"/>
          <w:rtl w:val="0"/>
          <w:lang w:val="en-US"/>
        </w:rPr>
        <w:t>The Journal of Educational Thought (JET) / Revue de la Pens</w:t>
      </w:r>
      <w:r>
        <w:rPr>
          <w:rFonts w:ascii="Times Roman" w:hAnsi="Times Roman" w:hint="default"/>
          <w:i w:val="1"/>
          <w:iCs w:val="1"/>
          <w:rtl w:val="0"/>
          <w:lang w:val="fr-FR"/>
        </w:rPr>
        <w:t>é</w:t>
      </w:r>
      <w:r>
        <w:rPr>
          <w:rFonts w:ascii="Times Roman" w:hAnsi="Times Roman"/>
          <w:i w:val="1"/>
          <w:iCs w:val="1"/>
          <w:rtl w:val="0"/>
        </w:rPr>
        <w:t xml:space="preserve">e </w:t>
      </w:r>
      <w:r>
        <w:rPr>
          <w:rFonts w:ascii="Times Roman" w:hAnsi="Times Roman" w:hint="default"/>
          <w:i w:val="1"/>
          <w:iCs w:val="1"/>
          <w:rtl w:val="0"/>
          <w:lang w:val="fr-FR"/>
        </w:rPr>
        <w:t>É</w:t>
      </w:r>
      <w:r>
        <w:rPr>
          <w:rFonts w:ascii="Times Roman" w:hAnsi="Times Roman"/>
          <w:i w:val="1"/>
          <w:iCs w:val="1"/>
          <w:rtl w:val="0"/>
          <w:lang w:val="fr-FR"/>
        </w:rPr>
        <w:t>ducative</w:t>
      </w:r>
      <w:r>
        <w:rPr>
          <w:rStyle w:val="None"/>
          <w:rFonts w:ascii="Times Roman" w:hAnsi="Times Roman"/>
          <w:i w:val="0"/>
          <w:iCs w:val="0"/>
          <w:rtl w:val="0"/>
        </w:rPr>
        <w:t xml:space="preserve"> 6(2), pp. 123</w:t>
      </w:r>
      <w:r>
        <w:rPr>
          <w:rStyle w:val="None"/>
          <w:rFonts w:ascii="Times Roman" w:hAnsi="Times Roman" w:hint="default"/>
          <w:i w:val="0"/>
          <w:iCs w:val="0"/>
          <w:rtl w:val="0"/>
        </w:rPr>
        <w:t>–</w:t>
      </w:r>
      <w:r>
        <w:rPr>
          <w:rStyle w:val="None"/>
          <w:rFonts w:ascii="Times Roman" w:hAnsi="Times Roman"/>
          <w:i w:val="0"/>
          <w:iCs w:val="0"/>
          <w:rtl w:val="0"/>
        </w:rPr>
        <w:t>127.</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Francis, L.P. and Norman, R. (1978a) </w:t>
      </w:r>
      <w:r>
        <w:rPr>
          <w:rFonts w:ascii="Times Roman" w:hAnsi="Times Roman" w:hint="default"/>
          <w:rtl w:val="1"/>
        </w:rPr>
        <w:t>‘</w:t>
      </w:r>
      <w:r>
        <w:rPr>
          <w:rFonts w:ascii="Times Roman" w:hAnsi="Times Roman"/>
          <w:rtl w:val="0"/>
          <w:lang w:val="en-US"/>
        </w:rPr>
        <w:t>Some Animals Are More Equal than Others</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fr-FR"/>
        </w:rPr>
        <w:t>Philosophy</w:t>
      </w:r>
      <w:r>
        <w:rPr>
          <w:rFonts w:ascii="Times Roman" w:hAnsi="Times Roman"/>
          <w:rtl w:val="0"/>
        </w:rPr>
        <w:t xml:space="preserve"> 53(206), pp. 507</w:t>
      </w:r>
      <w:r>
        <w:rPr>
          <w:rFonts w:ascii="Times Roman" w:hAnsi="Times Roman" w:hint="default"/>
          <w:rtl w:val="0"/>
        </w:rPr>
        <w:t>–</w:t>
      </w:r>
      <w:r>
        <w:rPr>
          <w:rFonts w:ascii="Times Roman" w:hAnsi="Times Roman"/>
          <w:rtl w:val="0"/>
        </w:rPr>
        <w:t>527.</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Francis, L.P. and Norman, R. (1978b) </w:t>
      </w:r>
      <w:r>
        <w:rPr>
          <w:rFonts w:ascii="Times Roman" w:hAnsi="Times Roman" w:hint="default"/>
          <w:rtl w:val="1"/>
        </w:rPr>
        <w:t>‘</w:t>
      </w:r>
      <w:r>
        <w:rPr>
          <w:rFonts w:ascii="Times Roman" w:hAnsi="Times Roman"/>
          <w:rtl w:val="0"/>
          <w:lang w:val="en-US"/>
        </w:rPr>
        <w:t>Some Animals Are More Equal than Others</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fr-FR"/>
        </w:rPr>
        <w:t>Philosophy</w:t>
      </w:r>
      <w:r>
        <w:rPr>
          <w:rFonts w:ascii="Times Roman" w:hAnsi="Times Roman"/>
          <w:rtl w:val="0"/>
        </w:rPr>
        <w:t xml:space="preserve"> 53(206), pp. 507</w:t>
      </w:r>
      <w:r>
        <w:rPr>
          <w:rFonts w:ascii="Times Roman" w:hAnsi="Times Roman" w:hint="default"/>
          <w:rtl w:val="0"/>
        </w:rPr>
        <w:t>–</w:t>
      </w:r>
      <w:r>
        <w:rPr>
          <w:rFonts w:ascii="Times Roman" w:hAnsi="Times Roman"/>
          <w:rtl w:val="0"/>
        </w:rPr>
        <w:t>527.</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Hartenberg, S.J. (1972) </w:t>
      </w:r>
      <w:r>
        <w:rPr>
          <w:rFonts w:ascii="Times Roman" w:hAnsi="Times Roman" w:hint="default"/>
          <w:rtl w:val="1"/>
        </w:rPr>
        <w:t>‘</w:t>
      </w:r>
      <w:r>
        <w:rPr>
          <w:rFonts w:ascii="Times Roman" w:hAnsi="Times Roman"/>
          <w:rtl w:val="0"/>
          <w:lang w:val="en-US"/>
        </w:rPr>
        <w:t>Review of Beyond Freedom and Dignity</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Ethics</w:t>
      </w:r>
      <w:r>
        <w:rPr>
          <w:rFonts w:ascii="Times Roman" w:hAnsi="Times Roman"/>
          <w:rtl w:val="0"/>
        </w:rPr>
        <w:t xml:space="preserve"> 82(4), pp. 353</w:t>
      </w:r>
      <w:r>
        <w:rPr>
          <w:rFonts w:ascii="Times Roman" w:hAnsi="Times Roman" w:hint="default"/>
          <w:rtl w:val="0"/>
        </w:rPr>
        <w:t>–</w:t>
      </w:r>
      <w:r>
        <w:rPr>
          <w:rFonts w:ascii="Times Roman" w:hAnsi="Times Roman"/>
          <w:rtl w:val="0"/>
        </w:rPr>
        <w:t>355.</w:t>
      </w:r>
    </w:p>
    <w:p>
      <w:pPr>
        <w:pStyle w:val="Default"/>
        <w:bidi w:val="0"/>
        <w:spacing w:before="0" w:line="240" w:lineRule="auto"/>
        <w:ind w:left="0" w:right="0" w:firstLine="0"/>
        <w:jc w:val="left"/>
        <w:rPr>
          <w:rFonts w:ascii="Times Roman" w:cs="Times Roman" w:hAnsi="Times Roman" w:eastAsia="Times Roman"/>
          <w:rtl w:val="0"/>
        </w:rPr>
      </w:pPr>
      <w:r>
        <w:rPr>
          <w:rStyle w:val="None"/>
          <w:rFonts w:ascii="Times Roman" w:hAnsi="Times Roman"/>
          <w:i w:val="1"/>
          <w:iCs w:val="1"/>
          <w:rtl w:val="0"/>
          <w:lang w:val="en-US"/>
        </w:rPr>
        <w:t>Human all too human</w:t>
      </w:r>
      <w:r>
        <w:rPr>
          <w:rStyle w:val="None"/>
          <w:rFonts w:ascii="Times Roman" w:hAnsi="Times Roman" w:hint="default"/>
          <w:i w:val="1"/>
          <w:iCs w:val="1"/>
          <w:rtl w:val="0"/>
        </w:rPr>
        <w:t xml:space="preserve">  </w:t>
      </w:r>
      <w:r>
        <w:rPr>
          <w:rStyle w:val="None"/>
          <w:rFonts w:ascii="Times Roman" w:hAnsi="Times Roman"/>
          <w:i w:val="1"/>
          <w:iCs w:val="1"/>
          <w:rtl w:val="0"/>
          <w:lang w:val="de-DE"/>
        </w:rPr>
        <w:t>Sartre</w:t>
      </w:r>
      <w:r>
        <w:rPr>
          <w:rFonts w:ascii="Times Roman" w:hAnsi="Times Roman"/>
          <w:rtl w:val="0"/>
          <w:lang w:val="en-US"/>
        </w:rPr>
        <w:t xml:space="preserve"> (2020).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"https://www.youtube.com/watch?v=J6RrERp8-_4"</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https://www.youtube.com/watch?v=J6RrERp8-_4</w:t>
      </w:r>
      <w:r>
        <w:rPr>
          <w:rFonts w:ascii="Times Roman" w:cs="Times Roman" w:hAnsi="Times Roman" w:eastAsia="Times Roman"/>
          <w:rtl w:val="0"/>
        </w:rPr>
        <w:fldChar w:fldCharType="end" w:fldLock="0"/>
      </w:r>
      <w:r>
        <w:rPr>
          <w:rFonts w:ascii="Times Roman" w:hAnsi="Times Roman"/>
          <w:rtl w:val="0"/>
          <w:lang w:val="en-US"/>
        </w:rPr>
        <w:t xml:space="preserve"> (Accessed: 6 February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Kleist, C. (2013) </w:t>
      </w:r>
      <w:r>
        <w:rPr>
          <w:rFonts w:ascii="Times Roman" w:hAnsi="Times Roman" w:hint="default"/>
          <w:rtl w:val="1"/>
        </w:rPr>
        <w:t>‘</w:t>
      </w:r>
      <w:r>
        <w:rPr>
          <w:rFonts w:ascii="Times Roman" w:hAnsi="Times Roman"/>
          <w:rtl w:val="0"/>
          <w:lang w:val="en-US"/>
        </w:rPr>
        <w:t>Using Sartre</w:t>
      </w:r>
      <w:r>
        <w:rPr>
          <w:rFonts w:ascii="Times Roman" w:hAnsi="Times Roman" w:hint="default"/>
          <w:rtl w:val="1"/>
        </w:rPr>
        <w:t>’</w:t>
      </w:r>
      <w:r>
        <w:rPr>
          <w:rFonts w:ascii="Times Roman" w:hAnsi="Times Roman"/>
          <w:rtl w:val="0"/>
          <w:lang w:val="en-US"/>
        </w:rPr>
        <w:t>s Critique of Dialectical Reason for Managerial Decision-Making</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Journal of Business Ethics</w:t>
      </w:r>
      <w:r>
        <w:rPr>
          <w:rFonts w:ascii="Times Roman" w:hAnsi="Times Roman"/>
          <w:rtl w:val="0"/>
        </w:rPr>
        <w:t xml:space="preserve"> 112(2), pp. 341</w:t>
      </w:r>
      <w:r>
        <w:rPr>
          <w:rFonts w:ascii="Times Roman" w:hAnsi="Times Roman" w:hint="default"/>
          <w:rtl w:val="0"/>
        </w:rPr>
        <w:t>–</w:t>
      </w:r>
      <w:r>
        <w:rPr>
          <w:rFonts w:ascii="Times Roman" w:hAnsi="Times Roman"/>
          <w:rtl w:val="0"/>
        </w:rPr>
        <w:t xml:space="preserve">352. doi: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"https://doi.org/10.1007/s10551-012-1266-x"</w:instrText>
      </w:r>
      <w:r>
        <w:rPr>
          <w:rStyle w:val="Hyperlink.0"/>
          <w:rFonts w:ascii="Times Roman" w:cs="Times Roman" w:hAnsi="Times Roman" w:eastAsia="Times Roman"/>
          <w:rtl w:val="0"/>
        </w:rPr>
        <w:fldChar w:fldCharType="separate" w:fldLock="0"/>
      </w:r>
      <w:r>
        <w:rPr>
          <w:rStyle w:val="Hyperlink.0"/>
          <w:rFonts w:ascii="Times Roman" w:hAnsi="Times Roman"/>
          <w:rtl w:val="0"/>
        </w:rPr>
        <w:t>10.1007/s10551-012-1266-x</w:t>
      </w:r>
      <w:r>
        <w:rPr>
          <w:rFonts w:ascii="Times Roman" w:cs="Times Roman" w:hAnsi="Times Roman" w:eastAsia="Times Roman"/>
          <w:rtl w:val="0"/>
        </w:rPr>
        <w:fldChar w:fldCharType="end" w:fldLock="0"/>
      </w:r>
      <w:r>
        <w:rPr>
          <w:rFonts w:ascii="Times Roman" w:hAnsi="Times Roman"/>
          <w:rtl w:val="0"/>
        </w:rPr>
        <w:t>.</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Kov</w:t>
      </w:r>
      <w:r>
        <w:rPr>
          <w:rFonts w:ascii="Times Roman" w:hAnsi="Times Roman" w:hint="default"/>
          <w:rtl w:val="0"/>
        </w:rPr>
        <w:t>á</w:t>
      </w:r>
      <w:r>
        <w:rPr>
          <w:rFonts w:ascii="Times Roman" w:hAnsi="Times Roman"/>
          <w:rtl w:val="0"/>
        </w:rPr>
        <w:t xml:space="preserve">cs, A.B. (2006) </w:t>
      </w:r>
      <w:r>
        <w:rPr>
          <w:rFonts w:ascii="Times Roman" w:hAnsi="Times Roman" w:hint="default"/>
          <w:rtl w:val="1"/>
        </w:rPr>
        <w:t>‘</w:t>
      </w:r>
      <w:r>
        <w:rPr>
          <w:rFonts w:ascii="Times Roman" w:hAnsi="Times Roman"/>
          <w:rtl w:val="0"/>
          <w:lang w:val="en-US"/>
        </w:rPr>
        <w:t>Sartre, the Philosophy of Nothingness, and the Modern Melodrama</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The Journal of Aesthetics and Art Criticism</w:t>
      </w:r>
      <w:r>
        <w:rPr>
          <w:rFonts w:ascii="Times Roman" w:hAnsi="Times Roman"/>
          <w:rtl w:val="0"/>
        </w:rPr>
        <w:t xml:space="preserve"> 64(1), pp. 135</w:t>
      </w:r>
      <w:r>
        <w:rPr>
          <w:rFonts w:ascii="Times Roman" w:hAnsi="Times Roman" w:hint="default"/>
          <w:rtl w:val="0"/>
        </w:rPr>
        <w:t>–</w:t>
      </w:r>
      <w:r>
        <w:rPr>
          <w:rFonts w:ascii="Times Roman" w:hAnsi="Times Roman"/>
          <w:rtl w:val="0"/>
        </w:rPr>
        <w:t>145.</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Landau, I. (2012) </w:t>
      </w:r>
      <w:r>
        <w:rPr>
          <w:rFonts w:ascii="Times Roman" w:hAnsi="Times Roman" w:hint="default"/>
          <w:rtl w:val="1"/>
        </w:rPr>
        <w:t>‘</w:t>
      </w:r>
      <w:r>
        <w:rPr>
          <w:rFonts w:ascii="Times Roman" w:hAnsi="Times Roman"/>
          <w:rtl w:val="0"/>
          <w:lang w:val="en-US"/>
        </w:rPr>
        <w:t>Foundationless Freedom and Meaninglessness of Life in Sartre</w:t>
      </w:r>
      <w:r>
        <w:rPr>
          <w:rFonts w:ascii="Times Roman" w:hAnsi="Times Roman" w:hint="default"/>
          <w:rtl w:val="1"/>
        </w:rPr>
        <w:t>’</w:t>
      </w:r>
      <w:r>
        <w:rPr>
          <w:rFonts w:ascii="Times Roman" w:hAnsi="Times Roman"/>
          <w:rtl w:val="0"/>
        </w:rPr>
        <w:t xml:space="preserve">s </w:t>
      </w:r>
      <w:r>
        <w:rPr>
          <w:rFonts w:ascii="Times Roman" w:hAnsi="Times Roman" w:hint="default"/>
          <w:rtl w:val="1"/>
          <w:lang w:val="ar-SA" w:bidi="ar-SA"/>
        </w:rPr>
        <w:t>“</w:t>
      </w:r>
      <w:r>
        <w:rPr>
          <w:rFonts w:ascii="Times Roman" w:hAnsi="Times Roman"/>
          <w:rtl w:val="0"/>
          <w:lang w:val="en-US"/>
        </w:rPr>
        <w:t>Being and Nothingness</w:t>
      </w:r>
      <w:r>
        <w:rPr>
          <w:rFonts w:ascii="Times Roman" w:hAnsi="Times Roman" w:hint="default"/>
          <w:rtl w:val="0"/>
        </w:rPr>
        <w:t>”’</w:t>
      </w:r>
      <w:r>
        <w:rPr>
          <w:rFonts w:ascii="Times Roman" w:hAnsi="Times Roman"/>
          <w:rtl w:val="0"/>
        </w:rPr>
        <w:t xml:space="preserve">. </w:t>
      </w:r>
      <w:r>
        <w:rPr>
          <w:rStyle w:val="None"/>
          <w:rFonts w:ascii="Times Roman" w:hAnsi="Times Roman"/>
          <w:i w:val="1"/>
          <w:iCs w:val="1"/>
          <w:rtl w:val="0"/>
          <w:lang w:val="de-DE"/>
        </w:rPr>
        <w:t>Sartre Studies International</w:t>
      </w:r>
      <w:r>
        <w:rPr>
          <w:rFonts w:ascii="Times Roman" w:hAnsi="Times Roman"/>
          <w:rtl w:val="0"/>
        </w:rPr>
        <w:t xml:space="preserve"> 18(1), pp. 1</w:t>
      </w:r>
      <w:r>
        <w:rPr>
          <w:rFonts w:ascii="Times Roman" w:hAnsi="Times Roman" w:hint="default"/>
          <w:rtl w:val="0"/>
        </w:rPr>
        <w:t>–</w:t>
      </w:r>
      <w:r>
        <w:rPr>
          <w:rFonts w:ascii="Times Roman" w:hAnsi="Times Roman"/>
          <w:rtl w:val="0"/>
        </w:rPr>
        <w:t>8.</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it-IT"/>
        </w:rPr>
        <w:t xml:space="preserve">Lowrie, W. (1950) </w:t>
      </w:r>
      <w:r>
        <w:rPr>
          <w:rFonts w:ascii="Times Roman" w:hAnsi="Times Roman" w:hint="default"/>
          <w:rtl w:val="1"/>
        </w:rPr>
        <w:t>‘“</w:t>
      </w:r>
      <w:r>
        <w:rPr>
          <w:rFonts w:ascii="Times Roman" w:hAnsi="Times Roman"/>
          <w:rtl w:val="0"/>
          <w:lang w:val="pt-PT"/>
        </w:rPr>
        <w:t>Existence</w:t>
      </w:r>
      <w:r>
        <w:rPr>
          <w:rFonts w:ascii="Times Roman" w:hAnsi="Times Roman" w:hint="default"/>
          <w:rtl w:val="0"/>
        </w:rPr>
        <w:t xml:space="preserve">” </w:t>
      </w:r>
      <w:r>
        <w:rPr>
          <w:rFonts w:ascii="Times Roman" w:hAnsi="Times Roman"/>
          <w:rtl w:val="0"/>
          <w:lang w:val="da-DK"/>
        </w:rPr>
        <w:t>as Understood by Kierkegaard and/or Sartre</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The Sewanee Review</w:t>
      </w:r>
      <w:r>
        <w:rPr>
          <w:rFonts w:ascii="Times Roman" w:hAnsi="Times Roman"/>
          <w:rtl w:val="0"/>
        </w:rPr>
        <w:t xml:space="preserve"> 58(3), pp. 379</w:t>
      </w:r>
      <w:r>
        <w:rPr>
          <w:rFonts w:ascii="Times Roman" w:hAnsi="Times Roman" w:hint="default"/>
          <w:rtl w:val="0"/>
        </w:rPr>
        <w:t>–</w:t>
      </w:r>
      <w:r>
        <w:rPr>
          <w:rFonts w:ascii="Times Roman" w:hAnsi="Times Roman"/>
          <w:rtl w:val="0"/>
        </w:rPr>
        <w:t>401.</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Reynolds, J. and Renaudie, P.-J. (2022) </w:t>
      </w:r>
      <w:r>
        <w:rPr>
          <w:rFonts w:ascii="Times Roman" w:hAnsi="Times Roman" w:hint="default"/>
          <w:rtl w:val="1"/>
        </w:rPr>
        <w:t>‘</w:t>
      </w:r>
      <w:r>
        <w:rPr>
          <w:rFonts w:ascii="Times Roman" w:hAnsi="Times Roman"/>
          <w:rtl w:val="0"/>
          <w:lang w:val="fr-FR"/>
        </w:rPr>
        <w:t>Jean-Paul Sartre</w:t>
      </w:r>
      <w:r>
        <w:rPr>
          <w:rFonts w:ascii="Times Roman" w:hAnsi="Times Roman" w:hint="default"/>
          <w:rtl w:val="1"/>
        </w:rPr>
        <w:t>’</w:t>
      </w:r>
      <w:r>
        <w:rPr>
          <w:rFonts w:ascii="Times Roman" w:hAnsi="Times Roman"/>
          <w:rtl w:val="0"/>
          <w:lang w:val="en-US"/>
        </w:rPr>
        <w:t xml:space="preserve">.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"https://plato.stanford.edu/Entries/sartre/"</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https://plato.stanford.edu/Entries/sartre/</w:t>
      </w:r>
      <w:r>
        <w:rPr>
          <w:rFonts w:ascii="Times Roman" w:cs="Times Roman" w:hAnsi="Times Roman" w:eastAsia="Times Roman"/>
          <w:rtl w:val="0"/>
        </w:rPr>
        <w:fldChar w:fldCharType="end" w:fldLock="0"/>
      </w:r>
      <w:r>
        <w:rPr>
          <w:rFonts w:ascii="Times Roman" w:hAnsi="Times Roman"/>
          <w:rtl w:val="0"/>
          <w:lang w:val="en-US"/>
        </w:rPr>
        <w:t xml:space="preserve"> (Accessed: 6 February 2024).</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Santoni, R.E. (2008) </w:t>
      </w:r>
      <w:r>
        <w:rPr>
          <w:rFonts w:ascii="Times Roman" w:hAnsi="Times Roman" w:hint="default"/>
          <w:rtl w:val="1"/>
        </w:rPr>
        <w:t>‘</w:t>
      </w:r>
      <w:r>
        <w:rPr>
          <w:rFonts w:ascii="Times Roman" w:hAnsi="Times Roman"/>
          <w:rtl w:val="0"/>
        </w:rPr>
        <w:t>Camus on Sartre</w:t>
      </w:r>
      <w:r>
        <w:rPr>
          <w:rFonts w:ascii="Times Roman" w:hAnsi="Times Roman" w:hint="default"/>
          <w:rtl w:val="1"/>
        </w:rPr>
        <w:t>’</w:t>
      </w:r>
      <w:r>
        <w:rPr>
          <w:rFonts w:ascii="Times Roman" w:hAnsi="Times Roman"/>
          <w:rtl w:val="0"/>
        </w:rPr>
        <w:t xml:space="preserve">s </w:t>
      </w:r>
      <w:r>
        <w:rPr>
          <w:rFonts w:ascii="Times Roman" w:hAnsi="Times Roman" w:hint="default"/>
          <w:rtl w:val="1"/>
          <w:lang w:val="ar-SA" w:bidi="ar-SA"/>
        </w:rPr>
        <w:t>“</w:t>
      </w:r>
      <w:r>
        <w:rPr>
          <w:rFonts w:ascii="Times Roman" w:hAnsi="Times Roman"/>
          <w:rtl w:val="0"/>
          <w:lang w:val="nl-NL"/>
        </w:rPr>
        <w:t>Freedom</w:t>
      </w:r>
      <w:r>
        <w:rPr>
          <w:rFonts w:ascii="Times Roman" w:hAnsi="Times Roman" w:hint="default"/>
          <w:rtl w:val="0"/>
        </w:rPr>
        <w:t>”</w:t>
      </w:r>
      <w:r>
        <w:rPr>
          <w:rFonts w:ascii="Times Roman" w:hAnsi="Times Roman"/>
          <w:rtl w:val="0"/>
          <w:lang w:val="en-US"/>
        </w:rPr>
        <w:t xml:space="preserve">: Another </w:t>
      </w:r>
      <w:r>
        <w:rPr>
          <w:rFonts w:ascii="Times Roman" w:hAnsi="Times Roman" w:hint="default"/>
          <w:rtl w:val="1"/>
          <w:lang w:val="ar-SA" w:bidi="ar-SA"/>
        </w:rPr>
        <w:t>“</w:t>
      </w:r>
      <w:r>
        <w:rPr>
          <w:rFonts w:ascii="Times Roman" w:hAnsi="Times Roman"/>
          <w:rtl w:val="0"/>
          <w:lang w:val="en-US"/>
        </w:rPr>
        <w:t>Misunderstanding</w:t>
      </w:r>
      <w:r>
        <w:rPr>
          <w:rFonts w:ascii="Times Roman" w:hAnsi="Times Roman" w:hint="default"/>
          <w:rtl w:val="0"/>
        </w:rPr>
        <w:t>”’</w:t>
      </w:r>
      <w:r>
        <w:rPr>
          <w:rFonts w:ascii="Times Roman" w:hAnsi="Times Roman"/>
          <w:rtl w:val="0"/>
        </w:rPr>
        <w:t xml:space="preserve">. </w:t>
      </w:r>
      <w:r>
        <w:rPr>
          <w:rStyle w:val="None"/>
          <w:rFonts w:ascii="Times Roman" w:hAnsi="Times Roman"/>
          <w:i w:val="1"/>
          <w:iCs w:val="1"/>
          <w:rtl w:val="0"/>
          <w:lang w:val="en-US"/>
        </w:rPr>
        <w:t>The Review of Metaphysics</w:t>
      </w:r>
      <w:r>
        <w:rPr>
          <w:rFonts w:ascii="Times Roman" w:hAnsi="Times Roman"/>
          <w:rtl w:val="0"/>
        </w:rPr>
        <w:t xml:space="preserve"> 61(4), pp. 785</w:t>
      </w:r>
      <w:r>
        <w:rPr>
          <w:rFonts w:ascii="Times Roman" w:hAnsi="Times Roman" w:hint="default"/>
          <w:rtl w:val="0"/>
        </w:rPr>
        <w:t>–</w:t>
      </w:r>
      <w:r>
        <w:rPr>
          <w:rFonts w:ascii="Times Roman" w:hAnsi="Times Roman"/>
          <w:rtl w:val="0"/>
        </w:rPr>
        <w:t>813.</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hint="default"/>
          <w:rtl w:val="1"/>
        </w:rPr>
        <w:t>‘</w:t>
      </w:r>
      <w:r>
        <w:rPr>
          <w:rFonts w:ascii="Times Roman" w:hAnsi="Times Roman"/>
          <w:rtl w:val="0"/>
          <w:lang w:val="en-US"/>
        </w:rPr>
        <w:t>Sartre Does God</w:t>
      </w:r>
      <w:r>
        <w:rPr>
          <w:rFonts w:ascii="Times Roman" w:hAnsi="Times Roman" w:hint="default"/>
          <w:rtl w:val="1"/>
        </w:rPr>
        <w:t>’</w:t>
      </w:r>
      <w:r>
        <w:rPr>
          <w:rFonts w:ascii="Times Roman" w:hAnsi="Times Roman"/>
          <w:rtl w:val="0"/>
        </w:rPr>
        <w:t xml:space="preserve">. (2017) </w:t>
      </w:r>
      <w:r>
        <w:rPr>
          <w:rStyle w:val="None"/>
          <w:rFonts w:ascii="Times Roman" w:hAnsi="Times Roman"/>
          <w:i w:val="1"/>
          <w:iCs w:val="1"/>
          <w:rtl w:val="0"/>
          <w:lang w:val="en-US"/>
        </w:rPr>
        <w:t>Forum for Philosophy</w:t>
      </w:r>
      <w:r>
        <w:rPr>
          <w:rFonts w:ascii="Times Roman" w:hAnsi="Times Roman"/>
          <w:rtl w:val="0"/>
          <w:lang w:val="en-US"/>
        </w:rPr>
        <w:t xml:space="preserve"> 7 August. Available at: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"https://blogs.lse.ac.uk/theforum/sartre-does-god/"</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https://blogs.lse.ac.uk/theforum/sartre-does-god/</w:t>
      </w:r>
      <w:r>
        <w:rPr>
          <w:rFonts w:ascii="Times Roman" w:cs="Times Roman" w:hAnsi="Times Roman" w:eastAsia="Times Roman"/>
          <w:rtl w:val="0"/>
        </w:rPr>
        <w:fldChar w:fldCharType="end" w:fldLock="0"/>
      </w:r>
      <w:r>
        <w:rPr>
          <w:rFonts w:ascii="Times Roman" w:hAnsi="Times Roman"/>
          <w:rtl w:val="0"/>
          <w:lang w:val="en-US"/>
        </w:rPr>
        <w:t xml:space="preserve"> (Accessed: 10 February 2024).</w:t>
      </w:r>
    </w:p>
    <w:p>
      <w:pPr>
        <w:pStyle w:val="Default"/>
        <w:bidi w:val="0"/>
        <w:spacing w:before="0" w:line="240" w:lineRule="auto"/>
        <w:ind w:left="0" w:right="0" w:firstLine="0"/>
        <w:jc w:val="left"/>
        <w:rPr>
          <w:rStyle w:val="None"/>
          <w:rFonts w:ascii="Times Roman" w:cs="Times Roman" w:hAnsi="Times Roman" w:eastAsia="Times Roman"/>
          <w:i w:val="0"/>
          <w:iCs w:val="0"/>
          <w:rtl w:val="0"/>
        </w:rPr>
      </w:pPr>
      <w:r>
        <w:rPr>
          <w:rStyle w:val="None"/>
          <w:rFonts w:ascii="Times Roman" w:hAnsi="Times Roman"/>
          <w:i w:val="0"/>
          <w:iCs w:val="0"/>
          <w:rtl w:val="0"/>
        </w:rPr>
        <w:t xml:space="preserve">Sartre, J.-P. (1957) </w:t>
      </w:r>
      <w:r>
        <w:rPr>
          <w:rFonts w:ascii="Times Roman" w:hAnsi="Times Roman"/>
          <w:i w:val="1"/>
          <w:iCs w:val="1"/>
          <w:rtl w:val="0"/>
          <w:lang w:val="en-US"/>
        </w:rPr>
        <w:t>The Humanism of Existentialism</w:t>
      </w:r>
      <w:r>
        <w:rPr>
          <w:rStyle w:val="None"/>
          <w:rFonts w:ascii="Times Roman" w:hAnsi="Times Roman"/>
          <w:i w:val="0"/>
          <w:iCs w:val="0"/>
          <w:rtl w:val="0"/>
        </w:rPr>
        <w:t>.</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lang w:val="en-US"/>
        </w:rPr>
        <w:t xml:space="preserve">Sheridan-Smith, A., Ree, J. and Jameson, F. ([no date]) </w:t>
      </w:r>
      <w:r>
        <w:rPr>
          <w:rFonts w:ascii="Times Roman" w:hAnsi="Times Roman" w:hint="default"/>
          <w:rtl w:val="1"/>
        </w:rPr>
        <w:t>‘</w:t>
      </w:r>
      <w:r>
        <w:rPr>
          <w:rFonts w:ascii="Times Roman" w:hAnsi="Times Roman"/>
          <w:rtl w:val="0"/>
          <w:lang w:val="en-US"/>
        </w:rPr>
        <w:t>Theory of Practical Ensembles</w:t>
      </w:r>
      <w:r>
        <w:rPr>
          <w:rFonts w:ascii="Times Roman" w:hAnsi="Times Roman" w:hint="default"/>
          <w:rtl w:val="1"/>
        </w:rPr>
        <w:t>’</w:t>
      </w:r>
      <w:r>
        <w:rPr>
          <w:rFonts w:ascii="Times Roman" w:hAnsi="Times Roman"/>
          <w:rtl w:val="0"/>
        </w:rPr>
        <w:t>.</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Singer, P. (1977) </w:t>
      </w:r>
      <w:r>
        <w:rPr>
          <w:rStyle w:val="None"/>
          <w:rFonts w:ascii="Times Roman" w:hAnsi="Times Roman"/>
          <w:i w:val="1"/>
          <w:iCs w:val="1"/>
          <w:rtl w:val="0"/>
          <w:lang w:val="en-US"/>
        </w:rPr>
        <w:t>Animal Liberation</w:t>
      </w:r>
      <w:r>
        <w:rPr>
          <w:rFonts w:ascii="Times Roman" w:hAnsi="Times Roman"/>
          <w:rtl w:val="0"/>
        </w:rPr>
        <w:t>.</w:t>
      </w:r>
    </w:p>
    <w:p>
      <w:pPr>
        <w:pStyle w:val="Default"/>
        <w:bidi w:val="0"/>
        <w:spacing w:before="0" w:line="240" w:lineRule="auto"/>
        <w:ind w:left="0" w:right="0" w:firstLine="0"/>
        <w:jc w:val="left"/>
        <w:rPr>
          <w:rFonts w:ascii="Times Roman" w:cs="Times Roman" w:hAnsi="Times Roman" w:eastAsia="Times Roman"/>
          <w:rtl w:val="0"/>
        </w:rPr>
      </w:pPr>
      <w:r>
        <w:rPr>
          <w:rFonts w:ascii="Times Roman" w:hAnsi="Times Roman"/>
          <w:rtl w:val="0"/>
        </w:rPr>
        <w:t xml:space="preserve">Wreszin, M. (1961) </w:t>
      </w:r>
      <w:r>
        <w:rPr>
          <w:rFonts w:ascii="Times Roman" w:hAnsi="Times Roman" w:hint="default"/>
          <w:rtl w:val="1"/>
        </w:rPr>
        <w:t>‘</w:t>
      </w:r>
      <w:r>
        <w:rPr>
          <w:rFonts w:ascii="Times Roman" w:hAnsi="Times Roman"/>
          <w:rtl w:val="0"/>
          <w:lang w:val="fr-FR"/>
        </w:rPr>
        <w:t>Jean-Paul Sartre: Philosopher as Dramatist</w:t>
      </w:r>
      <w:r>
        <w:rPr>
          <w:rFonts w:ascii="Times Roman" w:hAnsi="Times Roman" w:hint="default"/>
          <w:rtl w:val="1"/>
        </w:rPr>
        <w:t>’</w:t>
      </w:r>
      <w:r>
        <w:rPr>
          <w:rFonts w:ascii="Times Roman" w:hAnsi="Times Roman"/>
          <w:rtl w:val="0"/>
        </w:rPr>
        <w:t xml:space="preserve">. </w:t>
      </w:r>
      <w:r>
        <w:rPr>
          <w:rStyle w:val="None"/>
          <w:rFonts w:ascii="Times Roman" w:hAnsi="Times Roman"/>
          <w:i w:val="1"/>
          <w:iCs w:val="1"/>
          <w:rtl w:val="0"/>
          <w:lang w:val="en-US"/>
        </w:rPr>
        <w:t>The Tulane Drama Review</w:t>
      </w:r>
      <w:r>
        <w:rPr>
          <w:rFonts w:ascii="Times Roman" w:hAnsi="Times Roman"/>
          <w:rtl w:val="0"/>
        </w:rPr>
        <w:t xml:space="preserve"> 5(3), pp. 34</w:t>
      </w:r>
      <w:r>
        <w:rPr>
          <w:rFonts w:ascii="Times Roman" w:hAnsi="Times Roman" w:hint="default"/>
          <w:rtl w:val="0"/>
        </w:rPr>
        <w:t>–</w:t>
      </w:r>
      <w:r>
        <w:rPr>
          <w:rFonts w:ascii="Times Roman" w:hAnsi="Times Roman"/>
          <w:rtl w:val="0"/>
        </w:rPr>
        <w:t xml:space="preserve">57. doi: </w:t>
      </w: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"https://doi.org/10.2307/1124661"</w:instrText>
      </w:r>
      <w:r>
        <w:rPr>
          <w:rStyle w:val="Hyperlink.0"/>
          <w:rFonts w:ascii="Times Roman" w:cs="Times Roman" w:hAnsi="Times Roman" w:eastAsia="Times Roman"/>
          <w:rtl w:val="0"/>
        </w:rPr>
        <w:fldChar w:fldCharType="separate" w:fldLock="0"/>
      </w:r>
      <w:r>
        <w:rPr>
          <w:rStyle w:val="Hyperlink.0"/>
          <w:rFonts w:ascii="Times Roman" w:hAnsi="Times Roman"/>
          <w:rtl w:val="0"/>
        </w:rPr>
        <w:t>10.2307/1124661</w:t>
      </w:r>
      <w:r>
        <w:rPr>
          <w:rFonts w:ascii="Times Roman" w:cs="Times Roman" w:hAnsi="Times Roman" w:eastAsia="Times Roman"/>
          <w:rtl w:val="0"/>
        </w:rPr>
        <w:fldChar w:fldCharType="end" w:fldLock="0"/>
      </w:r>
      <w:r>
        <w:rPr>
          <w:rFonts w:ascii="Times Roman" w:hAnsi="Times Roman"/>
          <w:rtl w:val="0"/>
        </w:rPr>
        <w: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320" w:line="240" w:lineRule="auto"/>
        <w:ind w:left="0" w:right="0" w:firstLine="0"/>
        <w:jc w:val="left"/>
        <w:rPr>
          <w:outline w:val="0"/>
          <w:color w:val="1d2025"/>
          <w:sz w:val="32"/>
          <w:szCs w:val="32"/>
          <w:shd w:val="clear" w:color="auto" w:fill="ffffff"/>
          <w:rtl w:val="0"/>
          <w14:textFill>
            <w14:solidFill>
              <w14:srgbClr w14:val="1D2125"/>
            </w14:solidFill>
          </w14:textFill>
        </w:rPr>
      </w:pPr>
    </w:p>
    <w:p>
      <w:pPr>
        <w:pStyle w:val="Default"/>
        <w:bidi w:val="0"/>
        <w:spacing w:before="0" w:after="320" w:line="240" w:lineRule="auto"/>
        <w:ind w:left="0" w:right="0" w:firstLine="0"/>
        <w:jc w:val="left"/>
        <w:rPr>
          <w:outline w:val="0"/>
          <w:color w:val="1d2025"/>
          <w:sz w:val="48"/>
          <w:szCs w:val="48"/>
          <w:shd w:val="clear" w:color="auto" w:fill="ffffff"/>
          <w:rtl w:val="0"/>
          <w14:textFill>
            <w14:solidFill>
              <w14:srgbClr w14:val="1D2125"/>
            </w14:solidFill>
          </w14:textFill>
        </w:rPr>
      </w:pPr>
    </w:p>
    <w:p>
      <w:pPr>
        <w:pStyle w:val="Default"/>
        <w:bidi w:val="0"/>
        <w:spacing w:before="0" w:after="320" w:line="240" w:lineRule="auto"/>
        <w:ind w:left="0" w:right="0" w:firstLine="0"/>
        <w:jc w:val="left"/>
        <w:rPr>
          <w:rtl w:val="0"/>
        </w:rPr>
      </w:pPr>
      <w:r>
        <w:rPr>
          <w:outline w:val="0"/>
          <w:color w:val="1d2025"/>
          <w:sz w:val="48"/>
          <w:szCs w:val="48"/>
          <w:shd w:val="clear" w:color="auto" w:fill="ffffff"/>
          <w:rtl w:val="0"/>
          <w14:textFill>
            <w14:solidFill>
              <w14:srgbClr w14:val="1D2125"/>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ee"/>
      <w:u w:val="single"/>
      <w14:textFill>
        <w14:solidFill>
          <w14:srgbClr w14:val="0000EE"/>
        </w14:solidFill>
      </w14:textFill>
    </w:rPr>
  </w:style>
  <w:style w:type="character" w:styleId="Hyperlink.1">
    <w:name w:val="Hyperlink.1"/>
    <w:basedOn w:val="Hyperlink"/>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