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FDCA7" w14:textId="77777777" w:rsidR="00514969" w:rsidRDefault="00514969" w:rsidP="00514969">
      <w:r>
        <w:rPr>
          <w:noProof/>
        </w:rPr>
        <w:drawing>
          <wp:inline distT="0" distB="0" distL="0" distR="0" wp14:anchorId="18B34F56" wp14:editId="318425D5">
            <wp:extent cx="5715000" cy="1935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935480"/>
                    </a:xfrm>
                    <a:prstGeom prst="rect">
                      <a:avLst/>
                    </a:prstGeom>
                    <a:noFill/>
                  </pic:spPr>
                </pic:pic>
              </a:graphicData>
            </a:graphic>
          </wp:inline>
        </w:drawing>
      </w:r>
    </w:p>
    <w:p w14:paraId="3690FC63" w14:textId="77777777" w:rsidR="00514969" w:rsidRDefault="00514969" w:rsidP="00514969"/>
    <w:p w14:paraId="732F3668" w14:textId="77777777" w:rsidR="00514969" w:rsidRDefault="00514969" w:rsidP="00514969"/>
    <w:p w14:paraId="754728D1" w14:textId="77777777" w:rsidR="00514969" w:rsidRPr="00D557C5" w:rsidRDefault="00514969" w:rsidP="00514969">
      <w:pPr>
        <w:jc w:val="center"/>
        <w:rPr>
          <w:rFonts w:cs="Arial"/>
          <w:b/>
          <w:bCs/>
          <w:sz w:val="52"/>
          <w:szCs w:val="52"/>
        </w:rPr>
      </w:pPr>
      <w:r w:rsidRPr="00D557C5">
        <w:rPr>
          <w:b/>
          <w:bCs/>
          <w:sz w:val="52"/>
          <w:szCs w:val="52"/>
        </w:rPr>
        <w:t>BA(Hons) Business Management</w:t>
      </w:r>
    </w:p>
    <w:p w14:paraId="45F5CFA3" w14:textId="77777777" w:rsidR="00514969" w:rsidRDefault="00514969" w:rsidP="00514969">
      <w:pPr>
        <w:spacing w:line="600" w:lineRule="auto"/>
        <w:rPr>
          <w:rFonts w:cs="Arial"/>
          <w:i w:val="0"/>
          <w:iCs/>
        </w:rPr>
      </w:pPr>
    </w:p>
    <w:p w14:paraId="022B87D8" w14:textId="77777777" w:rsidR="00514969" w:rsidRPr="008F4215" w:rsidRDefault="00514969" w:rsidP="00514969">
      <w:pPr>
        <w:spacing w:line="600" w:lineRule="auto"/>
        <w:rPr>
          <w:rFonts w:cs="Arial"/>
          <w:b/>
          <w:bCs/>
          <w:i w:val="0"/>
          <w:iCs/>
        </w:rPr>
      </w:pPr>
      <w:r w:rsidRPr="008F4215">
        <w:rPr>
          <w:rFonts w:cs="Arial"/>
          <w:b/>
          <w:bCs/>
          <w:iCs/>
        </w:rPr>
        <w:t>Student Name:</w:t>
      </w:r>
      <w:r>
        <w:rPr>
          <w:rFonts w:cs="Arial"/>
          <w:b/>
          <w:bCs/>
          <w:iCs/>
        </w:rPr>
        <w:t xml:space="preserve"> </w:t>
      </w:r>
      <w:r w:rsidRPr="00863122">
        <w:rPr>
          <w:rFonts w:cs="Arial"/>
          <w:iCs/>
        </w:rPr>
        <w:t>Liliya Radoslavova Radeve</w:t>
      </w:r>
    </w:p>
    <w:p w14:paraId="5B0724F6" w14:textId="77777777" w:rsidR="00514969" w:rsidRPr="00863122" w:rsidRDefault="00514969" w:rsidP="00514969">
      <w:pPr>
        <w:spacing w:line="600" w:lineRule="auto"/>
        <w:rPr>
          <w:rFonts w:cs="Arial"/>
          <w:i w:val="0"/>
          <w:iCs/>
        </w:rPr>
      </w:pPr>
      <w:r w:rsidRPr="008F4215">
        <w:rPr>
          <w:rFonts w:cs="Arial"/>
          <w:b/>
          <w:bCs/>
          <w:iCs/>
        </w:rPr>
        <w:t>Student Number:</w:t>
      </w:r>
      <w:r>
        <w:rPr>
          <w:rFonts w:cs="Arial"/>
          <w:b/>
          <w:bCs/>
          <w:iCs/>
        </w:rPr>
        <w:t xml:space="preserve"> </w:t>
      </w:r>
      <w:r>
        <w:rPr>
          <w:rFonts w:cs="Arial"/>
          <w:iCs/>
        </w:rPr>
        <w:t>2418897</w:t>
      </w:r>
    </w:p>
    <w:p w14:paraId="3C21D3C0" w14:textId="147D1303" w:rsidR="00514969" w:rsidRPr="00F37B62" w:rsidRDefault="00514969" w:rsidP="00514969">
      <w:pPr>
        <w:spacing w:line="600" w:lineRule="auto"/>
        <w:rPr>
          <w:rFonts w:cs="Arial"/>
          <w:i w:val="0"/>
          <w:iCs/>
        </w:rPr>
      </w:pPr>
      <w:r w:rsidRPr="19DF5ED4">
        <w:rPr>
          <w:rFonts w:cs="Arial"/>
          <w:b/>
          <w:bCs/>
          <w:iCs/>
        </w:rPr>
        <w:t>Course Name:</w:t>
      </w:r>
      <w:r w:rsidRPr="19DF5ED4">
        <w:rPr>
          <w:rFonts w:cs="Arial"/>
          <w:iCs/>
        </w:rPr>
        <w:t xml:space="preserve"> </w:t>
      </w:r>
      <w:r w:rsidR="00F62E23" w:rsidRPr="00F62E23">
        <w:rPr>
          <w:rFonts w:cs="Arial"/>
          <w:iCs/>
        </w:rPr>
        <w:t>Management Accounting for Managers (LCBB5010_LON)</w:t>
      </w:r>
    </w:p>
    <w:p w14:paraId="78C54A2F" w14:textId="607E1F33" w:rsidR="00514969" w:rsidRPr="00F37B62" w:rsidRDefault="00514969" w:rsidP="00514969">
      <w:pPr>
        <w:spacing w:line="600" w:lineRule="auto"/>
        <w:rPr>
          <w:rFonts w:cs="Arial"/>
          <w:i w:val="0"/>
          <w:iCs/>
        </w:rPr>
      </w:pPr>
      <w:r w:rsidRPr="008F4215">
        <w:rPr>
          <w:rFonts w:cs="Arial"/>
          <w:b/>
          <w:bCs/>
          <w:iCs/>
        </w:rPr>
        <w:t xml:space="preserve">Lecturer Name: </w:t>
      </w:r>
      <w:r w:rsidR="001B09BD" w:rsidRPr="001B09BD">
        <w:rPr>
          <w:rFonts w:cs="Arial"/>
          <w:iCs/>
        </w:rPr>
        <w:t>Zainab Atta</w:t>
      </w:r>
    </w:p>
    <w:p w14:paraId="43BBDA52" w14:textId="7D49A365" w:rsidR="00514969" w:rsidRDefault="00514969" w:rsidP="00514969">
      <w:pPr>
        <w:spacing w:line="600" w:lineRule="auto"/>
        <w:rPr>
          <w:rFonts w:cs="Arial"/>
          <w:b/>
          <w:bCs/>
          <w:i w:val="0"/>
          <w:iCs/>
        </w:rPr>
      </w:pPr>
      <w:r w:rsidRPr="19DF5ED4">
        <w:rPr>
          <w:rFonts w:cs="Arial"/>
          <w:b/>
          <w:bCs/>
          <w:iCs/>
        </w:rPr>
        <w:t>Session</w:t>
      </w:r>
      <w:r w:rsidRPr="19DF5ED4">
        <w:rPr>
          <w:rFonts w:cs="Arial"/>
          <w:iCs/>
        </w:rPr>
        <w:t>:</w:t>
      </w:r>
      <w:r>
        <w:rPr>
          <w:rFonts w:cs="Arial"/>
          <w:iCs/>
        </w:rPr>
        <w:t xml:space="preserve"> </w:t>
      </w:r>
      <w:r w:rsidRPr="001B09BD">
        <w:rPr>
          <w:rFonts w:cs="Arial"/>
          <w:iCs/>
        </w:rPr>
        <w:t>June 202</w:t>
      </w:r>
      <w:r w:rsidR="001B09BD" w:rsidRPr="001B09BD">
        <w:rPr>
          <w:rFonts w:cs="Arial"/>
          <w:i w:val="0"/>
          <w:iCs/>
        </w:rPr>
        <w:t>6</w:t>
      </w:r>
      <w:r w:rsidRPr="001B09BD">
        <w:rPr>
          <w:rFonts w:cs="Arial"/>
          <w:iCs/>
        </w:rPr>
        <w:t xml:space="preserve"> Term</w:t>
      </w:r>
      <w:r w:rsidRPr="19DF5ED4">
        <w:rPr>
          <w:rFonts w:cs="Arial"/>
          <w:b/>
          <w:bCs/>
          <w:iCs/>
        </w:rPr>
        <w:t xml:space="preserve"> </w:t>
      </w:r>
    </w:p>
    <w:p w14:paraId="0A634EAA" w14:textId="77777777" w:rsidR="00514969" w:rsidRDefault="00514969" w:rsidP="00514969">
      <w:pPr>
        <w:spacing w:line="600" w:lineRule="auto"/>
        <w:rPr>
          <w:rFonts w:cs="Arial"/>
          <w:b/>
          <w:bCs/>
          <w:i w:val="0"/>
          <w:iCs/>
        </w:rPr>
      </w:pPr>
    </w:p>
    <w:p w14:paraId="238F4105" w14:textId="77777777" w:rsidR="00514969" w:rsidRDefault="00514969" w:rsidP="00514969">
      <w:pPr>
        <w:spacing w:line="600" w:lineRule="auto"/>
        <w:rPr>
          <w:rFonts w:cs="Arial"/>
          <w:b/>
          <w:bCs/>
          <w:i w:val="0"/>
          <w:iCs/>
        </w:rPr>
      </w:pPr>
    </w:p>
    <w:p w14:paraId="74EC58E5" w14:textId="1E430000" w:rsidR="00E4213F" w:rsidRDefault="00E4213F" w:rsidP="00E4213F">
      <w:pPr>
        <w:tabs>
          <w:tab w:val="left" w:pos="5088"/>
        </w:tabs>
        <w:spacing w:line="600" w:lineRule="auto"/>
        <w:rPr>
          <w:rFonts w:cs="Arial"/>
          <w:b/>
          <w:bCs/>
          <w:i w:val="0"/>
          <w:iCs/>
        </w:rPr>
      </w:pPr>
      <w:r>
        <w:rPr>
          <w:rFonts w:cs="Arial"/>
          <w:b/>
          <w:bCs/>
          <w:i w:val="0"/>
          <w:iCs/>
        </w:rPr>
        <w:tab/>
      </w:r>
    </w:p>
    <w:p w14:paraId="0B63C0F7" w14:textId="77777777" w:rsidR="00E4213F" w:rsidRDefault="00E4213F">
      <w:pPr>
        <w:spacing w:after="160" w:line="278" w:lineRule="auto"/>
        <w:jc w:val="left"/>
        <w:rPr>
          <w:rFonts w:cs="Arial"/>
          <w:b/>
          <w:bCs/>
          <w:i w:val="0"/>
          <w:iCs/>
        </w:rPr>
      </w:pPr>
      <w:r>
        <w:rPr>
          <w:rFonts w:cs="Arial"/>
          <w:b/>
          <w:bCs/>
          <w:i w:val="0"/>
          <w:iCs/>
        </w:rPr>
        <w:br w:type="page"/>
      </w:r>
    </w:p>
    <w:p w14:paraId="20079223" w14:textId="77777777" w:rsidR="00E4213F" w:rsidRDefault="00E4213F" w:rsidP="00E4213F">
      <w:pPr>
        <w:tabs>
          <w:tab w:val="left" w:pos="5088"/>
        </w:tabs>
        <w:rPr>
          <w:rFonts w:cs="Arial"/>
        </w:rPr>
      </w:pPr>
    </w:p>
    <w:p w14:paraId="45045830" w14:textId="77777777" w:rsidR="00E4213F" w:rsidRDefault="00E4213F" w:rsidP="00E4213F">
      <w:pPr>
        <w:tabs>
          <w:tab w:val="left" w:pos="5088"/>
        </w:tabs>
        <w:rPr>
          <w:rFonts w:cs="Arial"/>
        </w:rPr>
      </w:pPr>
    </w:p>
    <w:sdt>
      <w:sdtPr>
        <w:rPr>
          <w:rFonts w:ascii="Arial" w:eastAsiaTheme="minorHAnsi" w:hAnsi="Arial" w:cstheme="minorBidi"/>
          <w:i/>
          <w:color w:val="auto"/>
          <w:kern w:val="2"/>
          <w:sz w:val="24"/>
          <w:szCs w:val="24"/>
          <w:lang w:val="en-GB"/>
          <w14:ligatures w14:val="standardContextual"/>
        </w:rPr>
        <w:id w:val="-191146475"/>
        <w:docPartObj>
          <w:docPartGallery w:val="Table of Contents"/>
          <w:docPartUnique/>
        </w:docPartObj>
      </w:sdtPr>
      <w:sdtEndPr>
        <w:rPr>
          <w:b/>
          <w:bCs/>
          <w:noProof/>
        </w:rPr>
      </w:sdtEndPr>
      <w:sdtContent>
        <w:p w14:paraId="2172A51E" w14:textId="4854DA7A" w:rsidR="00E4213F" w:rsidRPr="00E4213F" w:rsidRDefault="00E4213F">
          <w:pPr>
            <w:pStyle w:val="TOCHeading"/>
            <w:rPr>
              <w:rStyle w:val="Heading1Char"/>
            </w:rPr>
          </w:pPr>
          <w:r w:rsidRPr="00E4213F">
            <w:rPr>
              <w:rStyle w:val="Heading1Char"/>
            </w:rPr>
            <w:t>Table of Contents</w:t>
          </w:r>
        </w:p>
        <w:p w14:paraId="65EBF1B5" w14:textId="1458BFBA" w:rsidR="00E4213F" w:rsidRDefault="00E4213F">
          <w:pPr>
            <w:pStyle w:val="TOC1"/>
            <w:tabs>
              <w:tab w:val="right" w:leader="dot" w:pos="9016"/>
            </w:tabs>
            <w:rPr>
              <w:noProof/>
            </w:rPr>
          </w:pPr>
          <w:r>
            <w:fldChar w:fldCharType="begin"/>
          </w:r>
          <w:r>
            <w:instrText xml:space="preserve"> TOC \o "1-3" \h \z \u </w:instrText>
          </w:r>
          <w:r>
            <w:fldChar w:fldCharType="separate"/>
          </w:r>
          <w:hyperlink w:anchor="_Toc235214089" w:history="1">
            <w:r w:rsidRPr="007E40DE">
              <w:rPr>
                <w:rStyle w:val="Hyperlink"/>
                <w:noProof/>
              </w:rPr>
              <w:t>1. Introduction</w:t>
            </w:r>
            <w:r>
              <w:rPr>
                <w:noProof/>
                <w:webHidden/>
              </w:rPr>
              <w:tab/>
            </w:r>
            <w:r>
              <w:rPr>
                <w:noProof/>
                <w:webHidden/>
              </w:rPr>
              <w:fldChar w:fldCharType="begin"/>
            </w:r>
            <w:r>
              <w:rPr>
                <w:noProof/>
                <w:webHidden/>
              </w:rPr>
              <w:instrText xml:space="preserve"> PAGEREF _Toc235214089 \h </w:instrText>
            </w:r>
            <w:r>
              <w:rPr>
                <w:noProof/>
                <w:webHidden/>
              </w:rPr>
            </w:r>
            <w:r>
              <w:rPr>
                <w:noProof/>
                <w:webHidden/>
              </w:rPr>
              <w:fldChar w:fldCharType="separate"/>
            </w:r>
            <w:r>
              <w:rPr>
                <w:noProof/>
                <w:webHidden/>
              </w:rPr>
              <w:t>1</w:t>
            </w:r>
            <w:r>
              <w:rPr>
                <w:noProof/>
                <w:webHidden/>
              </w:rPr>
              <w:fldChar w:fldCharType="end"/>
            </w:r>
          </w:hyperlink>
        </w:p>
        <w:p w14:paraId="27A49727" w14:textId="000C87FD" w:rsidR="00E4213F" w:rsidRDefault="00E4213F">
          <w:pPr>
            <w:pStyle w:val="TOC1"/>
            <w:tabs>
              <w:tab w:val="right" w:leader="dot" w:pos="9016"/>
            </w:tabs>
            <w:rPr>
              <w:noProof/>
            </w:rPr>
          </w:pPr>
          <w:hyperlink w:anchor="_Toc235214090" w:history="1">
            <w:r w:rsidRPr="007E40DE">
              <w:rPr>
                <w:rStyle w:val="Hyperlink"/>
                <w:noProof/>
              </w:rPr>
              <w:t>2. Cost Analysis and Business Model</w:t>
            </w:r>
            <w:r>
              <w:rPr>
                <w:noProof/>
                <w:webHidden/>
              </w:rPr>
              <w:tab/>
            </w:r>
            <w:r>
              <w:rPr>
                <w:noProof/>
                <w:webHidden/>
              </w:rPr>
              <w:fldChar w:fldCharType="begin"/>
            </w:r>
            <w:r>
              <w:rPr>
                <w:noProof/>
                <w:webHidden/>
              </w:rPr>
              <w:instrText xml:space="preserve"> PAGEREF _Toc235214090 \h </w:instrText>
            </w:r>
            <w:r>
              <w:rPr>
                <w:noProof/>
                <w:webHidden/>
              </w:rPr>
            </w:r>
            <w:r>
              <w:rPr>
                <w:noProof/>
                <w:webHidden/>
              </w:rPr>
              <w:fldChar w:fldCharType="separate"/>
            </w:r>
            <w:r>
              <w:rPr>
                <w:noProof/>
                <w:webHidden/>
              </w:rPr>
              <w:t>1</w:t>
            </w:r>
            <w:r>
              <w:rPr>
                <w:noProof/>
                <w:webHidden/>
              </w:rPr>
              <w:fldChar w:fldCharType="end"/>
            </w:r>
          </w:hyperlink>
        </w:p>
        <w:p w14:paraId="70478A4F" w14:textId="043EF945" w:rsidR="00E4213F" w:rsidRDefault="00E4213F">
          <w:pPr>
            <w:pStyle w:val="TOC2"/>
            <w:tabs>
              <w:tab w:val="right" w:leader="dot" w:pos="9016"/>
            </w:tabs>
            <w:rPr>
              <w:noProof/>
            </w:rPr>
          </w:pPr>
          <w:hyperlink w:anchor="_Toc235214091" w:history="1">
            <w:r w:rsidRPr="007E40DE">
              <w:rPr>
                <w:rStyle w:val="Hyperlink"/>
                <w:noProof/>
              </w:rPr>
              <w:t>2.1 Revenue Model</w:t>
            </w:r>
            <w:r>
              <w:rPr>
                <w:noProof/>
                <w:webHidden/>
              </w:rPr>
              <w:tab/>
            </w:r>
            <w:r>
              <w:rPr>
                <w:noProof/>
                <w:webHidden/>
              </w:rPr>
              <w:fldChar w:fldCharType="begin"/>
            </w:r>
            <w:r>
              <w:rPr>
                <w:noProof/>
                <w:webHidden/>
              </w:rPr>
              <w:instrText xml:space="preserve"> PAGEREF _Toc235214091 \h </w:instrText>
            </w:r>
            <w:r>
              <w:rPr>
                <w:noProof/>
                <w:webHidden/>
              </w:rPr>
            </w:r>
            <w:r>
              <w:rPr>
                <w:noProof/>
                <w:webHidden/>
              </w:rPr>
              <w:fldChar w:fldCharType="separate"/>
            </w:r>
            <w:r>
              <w:rPr>
                <w:noProof/>
                <w:webHidden/>
              </w:rPr>
              <w:t>1</w:t>
            </w:r>
            <w:r>
              <w:rPr>
                <w:noProof/>
                <w:webHidden/>
              </w:rPr>
              <w:fldChar w:fldCharType="end"/>
            </w:r>
          </w:hyperlink>
        </w:p>
        <w:p w14:paraId="0391DC0F" w14:textId="76E418F1" w:rsidR="00E4213F" w:rsidRDefault="00E4213F">
          <w:pPr>
            <w:pStyle w:val="TOC2"/>
            <w:tabs>
              <w:tab w:val="right" w:leader="dot" w:pos="9016"/>
            </w:tabs>
            <w:rPr>
              <w:noProof/>
            </w:rPr>
          </w:pPr>
          <w:hyperlink w:anchor="_Toc235214092" w:history="1">
            <w:r w:rsidRPr="007E40DE">
              <w:rPr>
                <w:rStyle w:val="Hyperlink"/>
                <w:noProof/>
              </w:rPr>
              <w:t>2.2 Cost Structure</w:t>
            </w:r>
            <w:r>
              <w:rPr>
                <w:noProof/>
                <w:webHidden/>
              </w:rPr>
              <w:tab/>
            </w:r>
            <w:r>
              <w:rPr>
                <w:noProof/>
                <w:webHidden/>
              </w:rPr>
              <w:fldChar w:fldCharType="begin"/>
            </w:r>
            <w:r>
              <w:rPr>
                <w:noProof/>
                <w:webHidden/>
              </w:rPr>
              <w:instrText xml:space="preserve"> PAGEREF _Toc235214092 \h </w:instrText>
            </w:r>
            <w:r>
              <w:rPr>
                <w:noProof/>
                <w:webHidden/>
              </w:rPr>
            </w:r>
            <w:r>
              <w:rPr>
                <w:noProof/>
                <w:webHidden/>
              </w:rPr>
              <w:fldChar w:fldCharType="separate"/>
            </w:r>
            <w:r>
              <w:rPr>
                <w:noProof/>
                <w:webHidden/>
              </w:rPr>
              <w:t>2</w:t>
            </w:r>
            <w:r>
              <w:rPr>
                <w:noProof/>
                <w:webHidden/>
              </w:rPr>
              <w:fldChar w:fldCharType="end"/>
            </w:r>
          </w:hyperlink>
        </w:p>
        <w:p w14:paraId="0DB3D989" w14:textId="6DA818A6" w:rsidR="00E4213F" w:rsidRDefault="00E4213F">
          <w:pPr>
            <w:pStyle w:val="TOC1"/>
            <w:tabs>
              <w:tab w:val="right" w:leader="dot" w:pos="9016"/>
            </w:tabs>
            <w:rPr>
              <w:noProof/>
            </w:rPr>
          </w:pPr>
          <w:hyperlink w:anchor="_Toc235214093" w:history="1">
            <w:r w:rsidRPr="007E40DE">
              <w:rPr>
                <w:rStyle w:val="Hyperlink"/>
                <w:noProof/>
              </w:rPr>
              <w:t>3. Budgeting and Financial Planning</w:t>
            </w:r>
            <w:r>
              <w:rPr>
                <w:noProof/>
                <w:webHidden/>
              </w:rPr>
              <w:tab/>
            </w:r>
            <w:r>
              <w:rPr>
                <w:noProof/>
                <w:webHidden/>
              </w:rPr>
              <w:fldChar w:fldCharType="begin"/>
            </w:r>
            <w:r>
              <w:rPr>
                <w:noProof/>
                <w:webHidden/>
              </w:rPr>
              <w:instrText xml:space="preserve"> PAGEREF _Toc235214093 \h </w:instrText>
            </w:r>
            <w:r>
              <w:rPr>
                <w:noProof/>
                <w:webHidden/>
              </w:rPr>
            </w:r>
            <w:r>
              <w:rPr>
                <w:noProof/>
                <w:webHidden/>
              </w:rPr>
              <w:fldChar w:fldCharType="separate"/>
            </w:r>
            <w:r>
              <w:rPr>
                <w:noProof/>
                <w:webHidden/>
              </w:rPr>
              <w:t>3</w:t>
            </w:r>
            <w:r>
              <w:rPr>
                <w:noProof/>
                <w:webHidden/>
              </w:rPr>
              <w:fldChar w:fldCharType="end"/>
            </w:r>
          </w:hyperlink>
        </w:p>
        <w:p w14:paraId="47AD0515" w14:textId="31E9A425" w:rsidR="00E4213F" w:rsidRDefault="00E4213F">
          <w:pPr>
            <w:pStyle w:val="TOC2"/>
            <w:tabs>
              <w:tab w:val="right" w:leader="dot" w:pos="9016"/>
            </w:tabs>
            <w:rPr>
              <w:noProof/>
            </w:rPr>
          </w:pPr>
          <w:hyperlink w:anchor="_Toc235214094" w:history="1">
            <w:r w:rsidRPr="007E40DE">
              <w:rPr>
                <w:rStyle w:val="Hyperlink"/>
                <w:noProof/>
              </w:rPr>
              <w:t>3.1 Budgeting as a Strategic Management Tool</w:t>
            </w:r>
            <w:r>
              <w:rPr>
                <w:noProof/>
                <w:webHidden/>
              </w:rPr>
              <w:tab/>
            </w:r>
            <w:r>
              <w:rPr>
                <w:noProof/>
                <w:webHidden/>
              </w:rPr>
              <w:fldChar w:fldCharType="begin"/>
            </w:r>
            <w:r>
              <w:rPr>
                <w:noProof/>
                <w:webHidden/>
              </w:rPr>
              <w:instrText xml:space="preserve"> PAGEREF _Toc235214094 \h </w:instrText>
            </w:r>
            <w:r>
              <w:rPr>
                <w:noProof/>
                <w:webHidden/>
              </w:rPr>
            </w:r>
            <w:r>
              <w:rPr>
                <w:noProof/>
                <w:webHidden/>
              </w:rPr>
              <w:fldChar w:fldCharType="separate"/>
            </w:r>
            <w:r>
              <w:rPr>
                <w:noProof/>
                <w:webHidden/>
              </w:rPr>
              <w:t>3</w:t>
            </w:r>
            <w:r>
              <w:rPr>
                <w:noProof/>
                <w:webHidden/>
              </w:rPr>
              <w:fldChar w:fldCharType="end"/>
            </w:r>
          </w:hyperlink>
        </w:p>
        <w:p w14:paraId="53A8C5D4" w14:textId="33FCCB57" w:rsidR="00E4213F" w:rsidRDefault="00E4213F">
          <w:pPr>
            <w:pStyle w:val="TOC2"/>
            <w:tabs>
              <w:tab w:val="right" w:leader="dot" w:pos="9016"/>
            </w:tabs>
            <w:rPr>
              <w:noProof/>
            </w:rPr>
          </w:pPr>
          <w:hyperlink w:anchor="_Toc235214095" w:history="1">
            <w:r w:rsidRPr="007E40DE">
              <w:rPr>
                <w:rStyle w:val="Hyperlink"/>
                <w:noProof/>
              </w:rPr>
              <w:t>3.2 Operating Expenses and Financial Planning</w:t>
            </w:r>
            <w:r>
              <w:rPr>
                <w:noProof/>
                <w:webHidden/>
              </w:rPr>
              <w:tab/>
            </w:r>
            <w:r>
              <w:rPr>
                <w:noProof/>
                <w:webHidden/>
              </w:rPr>
              <w:fldChar w:fldCharType="begin"/>
            </w:r>
            <w:r>
              <w:rPr>
                <w:noProof/>
                <w:webHidden/>
              </w:rPr>
              <w:instrText xml:space="preserve"> PAGEREF _Toc235214095 \h </w:instrText>
            </w:r>
            <w:r>
              <w:rPr>
                <w:noProof/>
                <w:webHidden/>
              </w:rPr>
            </w:r>
            <w:r>
              <w:rPr>
                <w:noProof/>
                <w:webHidden/>
              </w:rPr>
              <w:fldChar w:fldCharType="separate"/>
            </w:r>
            <w:r>
              <w:rPr>
                <w:noProof/>
                <w:webHidden/>
              </w:rPr>
              <w:t>4</w:t>
            </w:r>
            <w:r>
              <w:rPr>
                <w:noProof/>
                <w:webHidden/>
              </w:rPr>
              <w:fldChar w:fldCharType="end"/>
            </w:r>
          </w:hyperlink>
        </w:p>
        <w:p w14:paraId="0CBA2FA2" w14:textId="33A30050" w:rsidR="00E4213F" w:rsidRDefault="00E4213F">
          <w:pPr>
            <w:pStyle w:val="TOC1"/>
            <w:tabs>
              <w:tab w:val="right" w:leader="dot" w:pos="9016"/>
            </w:tabs>
            <w:rPr>
              <w:noProof/>
            </w:rPr>
          </w:pPr>
          <w:hyperlink w:anchor="_Toc235214096" w:history="1">
            <w:r w:rsidRPr="007E40DE">
              <w:rPr>
                <w:rStyle w:val="Hyperlink"/>
                <w:noProof/>
              </w:rPr>
              <w:t>4. Performance Measurement and Decision-Making</w:t>
            </w:r>
            <w:r>
              <w:rPr>
                <w:noProof/>
                <w:webHidden/>
              </w:rPr>
              <w:tab/>
            </w:r>
            <w:r>
              <w:rPr>
                <w:noProof/>
                <w:webHidden/>
              </w:rPr>
              <w:fldChar w:fldCharType="begin"/>
            </w:r>
            <w:r>
              <w:rPr>
                <w:noProof/>
                <w:webHidden/>
              </w:rPr>
              <w:instrText xml:space="preserve"> PAGEREF _Toc235214096 \h </w:instrText>
            </w:r>
            <w:r>
              <w:rPr>
                <w:noProof/>
                <w:webHidden/>
              </w:rPr>
            </w:r>
            <w:r>
              <w:rPr>
                <w:noProof/>
                <w:webHidden/>
              </w:rPr>
              <w:fldChar w:fldCharType="separate"/>
            </w:r>
            <w:r>
              <w:rPr>
                <w:noProof/>
                <w:webHidden/>
              </w:rPr>
              <w:t>4</w:t>
            </w:r>
            <w:r>
              <w:rPr>
                <w:noProof/>
                <w:webHidden/>
              </w:rPr>
              <w:fldChar w:fldCharType="end"/>
            </w:r>
          </w:hyperlink>
        </w:p>
        <w:p w14:paraId="5DC2169E" w14:textId="012E590C" w:rsidR="00E4213F" w:rsidRDefault="00E4213F">
          <w:pPr>
            <w:pStyle w:val="TOC2"/>
            <w:tabs>
              <w:tab w:val="right" w:leader="dot" w:pos="9016"/>
            </w:tabs>
            <w:rPr>
              <w:noProof/>
            </w:rPr>
          </w:pPr>
          <w:hyperlink w:anchor="_Toc235214097" w:history="1">
            <w:r w:rsidRPr="007E40DE">
              <w:rPr>
                <w:rStyle w:val="Hyperlink"/>
                <w:noProof/>
              </w:rPr>
              <w:t>4.1 Measuring Strategic Performance</w:t>
            </w:r>
            <w:r>
              <w:rPr>
                <w:noProof/>
                <w:webHidden/>
              </w:rPr>
              <w:tab/>
            </w:r>
            <w:r>
              <w:rPr>
                <w:noProof/>
                <w:webHidden/>
              </w:rPr>
              <w:fldChar w:fldCharType="begin"/>
            </w:r>
            <w:r>
              <w:rPr>
                <w:noProof/>
                <w:webHidden/>
              </w:rPr>
              <w:instrText xml:space="preserve"> PAGEREF _Toc235214097 \h </w:instrText>
            </w:r>
            <w:r>
              <w:rPr>
                <w:noProof/>
                <w:webHidden/>
              </w:rPr>
            </w:r>
            <w:r>
              <w:rPr>
                <w:noProof/>
                <w:webHidden/>
              </w:rPr>
              <w:fldChar w:fldCharType="separate"/>
            </w:r>
            <w:r>
              <w:rPr>
                <w:noProof/>
                <w:webHidden/>
              </w:rPr>
              <w:t>4</w:t>
            </w:r>
            <w:r>
              <w:rPr>
                <w:noProof/>
                <w:webHidden/>
              </w:rPr>
              <w:fldChar w:fldCharType="end"/>
            </w:r>
          </w:hyperlink>
        </w:p>
        <w:p w14:paraId="79EA9126" w14:textId="22DCA1FC" w:rsidR="00E4213F" w:rsidRDefault="00E4213F">
          <w:pPr>
            <w:pStyle w:val="TOC2"/>
            <w:tabs>
              <w:tab w:val="right" w:leader="dot" w:pos="9016"/>
            </w:tabs>
            <w:rPr>
              <w:noProof/>
            </w:rPr>
          </w:pPr>
          <w:hyperlink w:anchor="_Toc235214098" w:history="1">
            <w:r w:rsidRPr="007E40DE">
              <w:rPr>
                <w:rStyle w:val="Hyperlink"/>
                <w:noProof/>
              </w:rPr>
              <w:t>4.2 Strategic Decisions Supported by Financial and Non-Financial KPIs</w:t>
            </w:r>
            <w:r>
              <w:rPr>
                <w:noProof/>
                <w:webHidden/>
              </w:rPr>
              <w:tab/>
            </w:r>
            <w:r>
              <w:rPr>
                <w:noProof/>
                <w:webHidden/>
              </w:rPr>
              <w:fldChar w:fldCharType="begin"/>
            </w:r>
            <w:r>
              <w:rPr>
                <w:noProof/>
                <w:webHidden/>
              </w:rPr>
              <w:instrText xml:space="preserve"> PAGEREF _Toc235214098 \h </w:instrText>
            </w:r>
            <w:r>
              <w:rPr>
                <w:noProof/>
                <w:webHidden/>
              </w:rPr>
            </w:r>
            <w:r>
              <w:rPr>
                <w:noProof/>
                <w:webHidden/>
              </w:rPr>
              <w:fldChar w:fldCharType="separate"/>
            </w:r>
            <w:r>
              <w:rPr>
                <w:noProof/>
                <w:webHidden/>
              </w:rPr>
              <w:t>5</w:t>
            </w:r>
            <w:r>
              <w:rPr>
                <w:noProof/>
                <w:webHidden/>
              </w:rPr>
              <w:fldChar w:fldCharType="end"/>
            </w:r>
          </w:hyperlink>
        </w:p>
        <w:p w14:paraId="36CF5245" w14:textId="5F998882" w:rsidR="00E4213F" w:rsidRDefault="00E4213F">
          <w:pPr>
            <w:pStyle w:val="TOC1"/>
            <w:tabs>
              <w:tab w:val="right" w:leader="dot" w:pos="9016"/>
            </w:tabs>
            <w:rPr>
              <w:noProof/>
            </w:rPr>
          </w:pPr>
          <w:hyperlink w:anchor="_Toc235214099" w:history="1">
            <w:r w:rsidRPr="007E40DE">
              <w:rPr>
                <w:rStyle w:val="Hyperlink"/>
                <w:noProof/>
              </w:rPr>
              <w:t>5. Sustainability and Ethical Considerations</w:t>
            </w:r>
            <w:r>
              <w:rPr>
                <w:noProof/>
                <w:webHidden/>
              </w:rPr>
              <w:tab/>
            </w:r>
            <w:r>
              <w:rPr>
                <w:noProof/>
                <w:webHidden/>
              </w:rPr>
              <w:fldChar w:fldCharType="begin"/>
            </w:r>
            <w:r>
              <w:rPr>
                <w:noProof/>
                <w:webHidden/>
              </w:rPr>
              <w:instrText xml:space="preserve"> PAGEREF _Toc235214099 \h </w:instrText>
            </w:r>
            <w:r>
              <w:rPr>
                <w:noProof/>
                <w:webHidden/>
              </w:rPr>
            </w:r>
            <w:r>
              <w:rPr>
                <w:noProof/>
                <w:webHidden/>
              </w:rPr>
              <w:fldChar w:fldCharType="separate"/>
            </w:r>
            <w:r>
              <w:rPr>
                <w:noProof/>
                <w:webHidden/>
              </w:rPr>
              <w:t>6</w:t>
            </w:r>
            <w:r>
              <w:rPr>
                <w:noProof/>
                <w:webHidden/>
              </w:rPr>
              <w:fldChar w:fldCharType="end"/>
            </w:r>
          </w:hyperlink>
        </w:p>
        <w:p w14:paraId="4A93F775" w14:textId="25571038" w:rsidR="00E4213F" w:rsidRDefault="00E4213F">
          <w:pPr>
            <w:pStyle w:val="TOC2"/>
            <w:tabs>
              <w:tab w:val="right" w:leader="dot" w:pos="9016"/>
            </w:tabs>
            <w:rPr>
              <w:noProof/>
            </w:rPr>
          </w:pPr>
          <w:hyperlink w:anchor="_Toc235214100" w:history="1">
            <w:r w:rsidRPr="007E40DE">
              <w:rPr>
                <w:rStyle w:val="Hyperlink"/>
                <w:noProof/>
              </w:rPr>
              <w:t>5.1 Sustainability, Ethics and Long-Term Value</w:t>
            </w:r>
            <w:r>
              <w:rPr>
                <w:noProof/>
                <w:webHidden/>
              </w:rPr>
              <w:tab/>
            </w:r>
            <w:r>
              <w:rPr>
                <w:noProof/>
                <w:webHidden/>
              </w:rPr>
              <w:fldChar w:fldCharType="begin"/>
            </w:r>
            <w:r>
              <w:rPr>
                <w:noProof/>
                <w:webHidden/>
              </w:rPr>
              <w:instrText xml:space="preserve"> PAGEREF _Toc235214100 \h </w:instrText>
            </w:r>
            <w:r>
              <w:rPr>
                <w:noProof/>
                <w:webHidden/>
              </w:rPr>
            </w:r>
            <w:r>
              <w:rPr>
                <w:noProof/>
                <w:webHidden/>
              </w:rPr>
              <w:fldChar w:fldCharType="separate"/>
            </w:r>
            <w:r>
              <w:rPr>
                <w:noProof/>
                <w:webHidden/>
              </w:rPr>
              <w:t>6</w:t>
            </w:r>
            <w:r>
              <w:rPr>
                <w:noProof/>
                <w:webHidden/>
              </w:rPr>
              <w:fldChar w:fldCharType="end"/>
            </w:r>
          </w:hyperlink>
        </w:p>
        <w:p w14:paraId="29892DE7" w14:textId="1C82086B" w:rsidR="00E4213F" w:rsidRDefault="00E4213F">
          <w:pPr>
            <w:pStyle w:val="TOC2"/>
            <w:tabs>
              <w:tab w:val="right" w:leader="dot" w:pos="9016"/>
            </w:tabs>
            <w:rPr>
              <w:noProof/>
            </w:rPr>
          </w:pPr>
          <w:hyperlink w:anchor="_Toc235214101" w:history="1">
            <w:r w:rsidRPr="007E40DE">
              <w:rPr>
                <w:rStyle w:val="Hyperlink"/>
                <w:noProof/>
              </w:rPr>
              <w:t>5.2 Ethical Decision-Making and Sustainable Performance</w:t>
            </w:r>
            <w:r>
              <w:rPr>
                <w:noProof/>
                <w:webHidden/>
              </w:rPr>
              <w:tab/>
            </w:r>
            <w:r>
              <w:rPr>
                <w:noProof/>
                <w:webHidden/>
              </w:rPr>
              <w:fldChar w:fldCharType="begin"/>
            </w:r>
            <w:r>
              <w:rPr>
                <w:noProof/>
                <w:webHidden/>
              </w:rPr>
              <w:instrText xml:space="preserve"> PAGEREF _Toc235214101 \h </w:instrText>
            </w:r>
            <w:r>
              <w:rPr>
                <w:noProof/>
                <w:webHidden/>
              </w:rPr>
            </w:r>
            <w:r>
              <w:rPr>
                <w:noProof/>
                <w:webHidden/>
              </w:rPr>
              <w:fldChar w:fldCharType="separate"/>
            </w:r>
            <w:r>
              <w:rPr>
                <w:noProof/>
                <w:webHidden/>
              </w:rPr>
              <w:t>7</w:t>
            </w:r>
            <w:r>
              <w:rPr>
                <w:noProof/>
                <w:webHidden/>
              </w:rPr>
              <w:fldChar w:fldCharType="end"/>
            </w:r>
          </w:hyperlink>
        </w:p>
        <w:p w14:paraId="0EB2CE10" w14:textId="15B7365F" w:rsidR="00E4213F" w:rsidRDefault="00E4213F">
          <w:pPr>
            <w:pStyle w:val="TOC1"/>
            <w:tabs>
              <w:tab w:val="right" w:leader="dot" w:pos="9016"/>
            </w:tabs>
            <w:rPr>
              <w:noProof/>
            </w:rPr>
          </w:pPr>
          <w:hyperlink w:anchor="_Toc235214102" w:history="1">
            <w:r w:rsidRPr="007E40DE">
              <w:rPr>
                <w:rStyle w:val="Hyperlink"/>
                <w:noProof/>
              </w:rPr>
              <w:t>6. Conclusion and Recommendations</w:t>
            </w:r>
            <w:r>
              <w:rPr>
                <w:noProof/>
                <w:webHidden/>
              </w:rPr>
              <w:tab/>
            </w:r>
            <w:r>
              <w:rPr>
                <w:noProof/>
                <w:webHidden/>
              </w:rPr>
              <w:fldChar w:fldCharType="begin"/>
            </w:r>
            <w:r>
              <w:rPr>
                <w:noProof/>
                <w:webHidden/>
              </w:rPr>
              <w:instrText xml:space="preserve"> PAGEREF _Toc235214102 \h </w:instrText>
            </w:r>
            <w:r>
              <w:rPr>
                <w:noProof/>
                <w:webHidden/>
              </w:rPr>
            </w:r>
            <w:r>
              <w:rPr>
                <w:noProof/>
                <w:webHidden/>
              </w:rPr>
              <w:fldChar w:fldCharType="separate"/>
            </w:r>
            <w:r>
              <w:rPr>
                <w:noProof/>
                <w:webHidden/>
              </w:rPr>
              <w:t>8</w:t>
            </w:r>
            <w:r>
              <w:rPr>
                <w:noProof/>
                <w:webHidden/>
              </w:rPr>
              <w:fldChar w:fldCharType="end"/>
            </w:r>
          </w:hyperlink>
        </w:p>
        <w:p w14:paraId="7C97F8CD" w14:textId="115D2459" w:rsidR="00E4213F" w:rsidRDefault="00E4213F">
          <w:pPr>
            <w:pStyle w:val="TOC2"/>
            <w:tabs>
              <w:tab w:val="right" w:leader="dot" w:pos="9016"/>
            </w:tabs>
            <w:rPr>
              <w:noProof/>
            </w:rPr>
          </w:pPr>
          <w:hyperlink w:anchor="_Toc235214103" w:history="1">
            <w:r w:rsidRPr="007E40DE">
              <w:rPr>
                <w:rStyle w:val="Hyperlink"/>
                <w:noProof/>
              </w:rPr>
              <w:t>6.1 Recommendations</w:t>
            </w:r>
            <w:r>
              <w:rPr>
                <w:noProof/>
                <w:webHidden/>
              </w:rPr>
              <w:tab/>
            </w:r>
            <w:r>
              <w:rPr>
                <w:noProof/>
                <w:webHidden/>
              </w:rPr>
              <w:fldChar w:fldCharType="begin"/>
            </w:r>
            <w:r>
              <w:rPr>
                <w:noProof/>
                <w:webHidden/>
              </w:rPr>
              <w:instrText xml:space="preserve"> PAGEREF _Toc235214103 \h </w:instrText>
            </w:r>
            <w:r>
              <w:rPr>
                <w:noProof/>
                <w:webHidden/>
              </w:rPr>
            </w:r>
            <w:r>
              <w:rPr>
                <w:noProof/>
                <w:webHidden/>
              </w:rPr>
              <w:fldChar w:fldCharType="separate"/>
            </w:r>
            <w:r>
              <w:rPr>
                <w:noProof/>
                <w:webHidden/>
              </w:rPr>
              <w:t>8</w:t>
            </w:r>
            <w:r>
              <w:rPr>
                <w:noProof/>
                <w:webHidden/>
              </w:rPr>
              <w:fldChar w:fldCharType="end"/>
            </w:r>
          </w:hyperlink>
        </w:p>
        <w:p w14:paraId="6D30CB21" w14:textId="1236852D" w:rsidR="00E4213F" w:rsidRDefault="00E4213F">
          <w:pPr>
            <w:pStyle w:val="TOC2"/>
            <w:tabs>
              <w:tab w:val="right" w:leader="dot" w:pos="9016"/>
            </w:tabs>
            <w:rPr>
              <w:noProof/>
            </w:rPr>
          </w:pPr>
          <w:hyperlink w:anchor="_Toc235214104" w:history="1">
            <w:r w:rsidRPr="007E40DE">
              <w:rPr>
                <w:rStyle w:val="Hyperlink"/>
                <w:noProof/>
              </w:rPr>
              <w:t>6.2 Conclusion</w:t>
            </w:r>
            <w:r>
              <w:rPr>
                <w:noProof/>
                <w:webHidden/>
              </w:rPr>
              <w:tab/>
            </w:r>
            <w:r>
              <w:rPr>
                <w:noProof/>
                <w:webHidden/>
              </w:rPr>
              <w:fldChar w:fldCharType="begin"/>
            </w:r>
            <w:r>
              <w:rPr>
                <w:noProof/>
                <w:webHidden/>
              </w:rPr>
              <w:instrText xml:space="preserve"> PAGEREF _Toc235214104 \h </w:instrText>
            </w:r>
            <w:r>
              <w:rPr>
                <w:noProof/>
                <w:webHidden/>
              </w:rPr>
            </w:r>
            <w:r>
              <w:rPr>
                <w:noProof/>
                <w:webHidden/>
              </w:rPr>
              <w:fldChar w:fldCharType="separate"/>
            </w:r>
            <w:r>
              <w:rPr>
                <w:noProof/>
                <w:webHidden/>
              </w:rPr>
              <w:t>8</w:t>
            </w:r>
            <w:r>
              <w:rPr>
                <w:noProof/>
                <w:webHidden/>
              </w:rPr>
              <w:fldChar w:fldCharType="end"/>
            </w:r>
          </w:hyperlink>
        </w:p>
        <w:p w14:paraId="03ED982B" w14:textId="1E43B055" w:rsidR="00E4213F" w:rsidRDefault="00E4213F">
          <w:pPr>
            <w:pStyle w:val="TOC1"/>
            <w:tabs>
              <w:tab w:val="right" w:leader="dot" w:pos="9016"/>
            </w:tabs>
            <w:rPr>
              <w:noProof/>
            </w:rPr>
          </w:pPr>
          <w:hyperlink w:anchor="_Toc235214105" w:history="1">
            <w:r w:rsidRPr="007E40DE">
              <w:rPr>
                <w:rStyle w:val="Hyperlink"/>
                <w:noProof/>
              </w:rPr>
              <w:t>Reference List</w:t>
            </w:r>
            <w:r>
              <w:rPr>
                <w:noProof/>
                <w:webHidden/>
              </w:rPr>
              <w:tab/>
            </w:r>
            <w:r>
              <w:rPr>
                <w:noProof/>
                <w:webHidden/>
              </w:rPr>
              <w:fldChar w:fldCharType="begin"/>
            </w:r>
            <w:r>
              <w:rPr>
                <w:noProof/>
                <w:webHidden/>
              </w:rPr>
              <w:instrText xml:space="preserve"> PAGEREF _Toc235214105 \h </w:instrText>
            </w:r>
            <w:r>
              <w:rPr>
                <w:noProof/>
                <w:webHidden/>
              </w:rPr>
            </w:r>
            <w:r>
              <w:rPr>
                <w:noProof/>
                <w:webHidden/>
              </w:rPr>
              <w:fldChar w:fldCharType="separate"/>
            </w:r>
            <w:r>
              <w:rPr>
                <w:noProof/>
                <w:webHidden/>
              </w:rPr>
              <w:t>9</w:t>
            </w:r>
            <w:r>
              <w:rPr>
                <w:noProof/>
                <w:webHidden/>
              </w:rPr>
              <w:fldChar w:fldCharType="end"/>
            </w:r>
          </w:hyperlink>
        </w:p>
        <w:p w14:paraId="46353728" w14:textId="25D06F91" w:rsidR="00E4213F" w:rsidRDefault="00E4213F">
          <w:r>
            <w:rPr>
              <w:b/>
              <w:bCs/>
              <w:noProof/>
            </w:rPr>
            <w:fldChar w:fldCharType="end"/>
          </w:r>
        </w:p>
      </w:sdtContent>
    </w:sdt>
    <w:p w14:paraId="0CB6C26E" w14:textId="5D7DFA9E" w:rsidR="00E4213F" w:rsidRPr="00E4213F" w:rsidRDefault="00E4213F" w:rsidP="00E4213F">
      <w:pPr>
        <w:tabs>
          <w:tab w:val="left" w:pos="5088"/>
        </w:tabs>
        <w:rPr>
          <w:rFonts w:cs="Arial"/>
        </w:rPr>
        <w:sectPr w:rsidR="00E4213F" w:rsidRPr="00E4213F" w:rsidSect="00E45FFE">
          <w:footerReference w:type="default" r:id="rId8"/>
          <w:pgSz w:w="11906" w:h="16838"/>
          <w:pgMar w:top="1440" w:right="1440" w:bottom="1440" w:left="1440" w:header="708" w:footer="708" w:gutter="0"/>
          <w:pgNumType w:start="1"/>
          <w:cols w:space="708"/>
          <w:docGrid w:linePitch="360"/>
        </w:sectPr>
      </w:pPr>
      <w:r>
        <w:rPr>
          <w:rFonts w:cs="Arial"/>
        </w:rPr>
        <w:tab/>
      </w:r>
    </w:p>
    <w:p w14:paraId="1F974FFA" w14:textId="77777777" w:rsidR="00514969" w:rsidRPr="00F37B62" w:rsidRDefault="00514969" w:rsidP="00514969">
      <w:pPr>
        <w:spacing w:line="600" w:lineRule="auto"/>
        <w:rPr>
          <w:rFonts w:cs="Arial"/>
          <w:b/>
          <w:bCs/>
          <w:i w:val="0"/>
          <w:iCs/>
        </w:rPr>
      </w:pPr>
    </w:p>
    <w:p w14:paraId="14C80734" w14:textId="78A4C226" w:rsidR="000313C8" w:rsidRDefault="000313C8" w:rsidP="000313C8">
      <w:pPr>
        <w:pStyle w:val="Heading1"/>
      </w:pPr>
      <w:bookmarkStart w:id="0" w:name="_Toc235214089"/>
      <w:r>
        <w:t>1. Introduction</w:t>
      </w:r>
      <w:bookmarkEnd w:id="0"/>
      <w:r>
        <w:t xml:space="preserve"> </w:t>
      </w:r>
    </w:p>
    <w:p w14:paraId="7B2419DA" w14:textId="36FFC436" w:rsidR="00AC7F48" w:rsidRDefault="000313C8" w:rsidP="000313C8">
      <w:r>
        <w:t>In today's banking industry, competitive advantage depends not only on financial performance but also on the quality of strategic decision-making. Barclays PLC, one of the United Kingdom's largest banking and financial services groups and a constituent of the FTSE 100 Index, demonstrates how management accounting supports those decisions within a complex and highly regulated business environment. Operating across retail banking, investment banking, wealth management and consumer finance, Barclays serves more than 48 million customers worldwide. In 2025, the Group reported total income of £29.1 billion, profit before tax of £9.1 billion and a Return on Tangible Equity (RoTE) of 11.3%, reflecting improved profitability alongside continued investment in digital transformation, operational resilience and shareholder value (Barclays PLC, 2025). Within this context, management accounting provides managers with the information required to allocate resources, evaluate performance, manage risk and support long-term strategic objectives (Seal and Rohde, 2018; Atrill and McLaney, 2024; Chartered Institute of Management Accountants (CIMA), 2023). Accordingly, this report evaluates how management accounting influences Barclays' strategic decision-making through cost analysis, budgeting, performance measurement and sustainability before presenting evidence-based recommendations for future improvement.</w:t>
      </w:r>
    </w:p>
    <w:p w14:paraId="0AA10F46" w14:textId="77777777" w:rsidR="00DC532E" w:rsidRDefault="00DC532E" w:rsidP="000313C8"/>
    <w:p w14:paraId="797A6146" w14:textId="77777777" w:rsidR="00DC532E" w:rsidRDefault="00DC532E" w:rsidP="002A0E0B">
      <w:pPr>
        <w:pStyle w:val="Heading1"/>
      </w:pPr>
      <w:bookmarkStart w:id="1" w:name="_Toc235214090"/>
      <w:r>
        <w:t>2. Cost Analysis and Business Model</w:t>
      </w:r>
      <w:bookmarkEnd w:id="1"/>
      <w:r>
        <w:t xml:space="preserve"> </w:t>
      </w:r>
    </w:p>
    <w:p w14:paraId="66F2B370" w14:textId="77777777" w:rsidR="00DC532E" w:rsidRDefault="00DC532E" w:rsidP="002A0E0B">
      <w:pPr>
        <w:pStyle w:val="Heading2"/>
      </w:pPr>
      <w:bookmarkStart w:id="2" w:name="_Toc235214091"/>
      <w:r>
        <w:t>2.1 Revenue Model</w:t>
      </w:r>
      <w:bookmarkEnd w:id="2"/>
    </w:p>
    <w:p w14:paraId="07DAB704" w14:textId="77777777" w:rsidR="00DC532E" w:rsidRDefault="00DC532E" w:rsidP="00404E6E">
      <w:r>
        <w:t>Barclays' diversified revenue model represents a deliberate strategic decision rather than simply the characteristic of a large international bank. During 2025, the Group generated income from Barclays UK, the Investment Bank, Private Bank, Wealth Management, and the US Consumer Bank, reducing dependence on any single market while strengthening financial resilience (Barclays PLC, 2025). The Investment Bank remained the largest contributor, generating approximately £13.0 billion of income, followed by Barclays UK with around £8.3 billion. These figures are significant not because of their size, but because they require management to determine whether each business division generates sufficient returns to justify the capital, resources and regulatory commitments invested. Management accounting, therefore, evaluates profitability alongside risk-adjusted returns, capital utilisation and long-term value creation rather than focusing on revenue growth alone (Seal and Rohde, 2018; Drury, 2021; Atrill and McLaney, 2024; IFAC, 2023). Comparing 2024 with 2025 indicates that Barclays continued to prioritise disciplined capital allocation while maintaining a balanced business portfolio. What if interest rates declined or customer borrowing slowed? Scenario planning and management accounting information would enable executives to reassess lending, pricing and investment priorities before financial performance deteriorated, supporting proactive rather than reactive decision-making (CIMA, 2023; Kaplan and Atkinson, 2019).</w:t>
      </w:r>
    </w:p>
    <w:p w14:paraId="435EA2D7" w14:textId="77777777" w:rsidR="00404E6E" w:rsidRDefault="00404E6E" w:rsidP="00404E6E"/>
    <w:p w14:paraId="256DDB7D" w14:textId="028A218E" w:rsidR="002F5127" w:rsidRPr="002F5127" w:rsidRDefault="00DC532E" w:rsidP="002F5127">
      <w:pPr>
        <w:pStyle w:val="Heading2"/>
      </w:pPr>
      <w:bookmarkStart w:id="3" w:name="_Toc235214092"/>
      <w:r>
        <w:t>2.2 Cost Structure</w:t>
      </w:r>
      <w:bookmarkEnd w:id="3"/>
    </w:p>
    <w:p w14:paraId="17E7C731" w14:textId="35BDCB01" w:rsidR="00DC532E" w:rsidRDefault="00DC532E" w:rsidP="002F5127">
      <w:r>
        <w:t>Cost behaviour within Barclays is considerably more complex than the traditional distinction between fixed and variable costs.</w:t>
      </w:r>
      <w:r w:rsidR="00C4507B">
        <w:t xml:space="preserve"> </w:t>
      </w:r>
      <w:r w:rsidR="00C4507B" w:rsidRPr="00C4507B">
        <w:t>Fixed costs are expenses that remain relatively constant regardless of business activity, such as employee salaries, regulatory compliance and core technology infrastructure. In contrast, variable costs fluctuate with operational activity and include transaction processing, payment processing, customer acquisition and performance-related incentives (Drury, 2021; Atrill and McLaney, 2024).</w:t>
      </w:r>
      <w:r>
        <w:t xml:space="preserve"> Employee remuneration, regulatory compliance and core technology infrastructure remain relatively fixed, whereas transaction processing, customer acquisition and performance-related incentives vary according to business activity (Atrill and McLaney, 2024). However, Barclays' continued investment during 2025 in artificial intelligence, cloud technology, cyber-security and digital banking demonstrates that many strategic expenditures cannot be assessed using accounting classifications alone (Barclays PLC, 2025). Although these investments increased operating costs in the short term, management expected them to improve efficiency, strengthen operational resilience and reduce future servicing costs. The central management question, therefore, becomes whether today's expenditure creates tomorrow's competitive advantage. What if Barclays had focused solely on reducing operating costs to improve annual profits? Short-term profitability may have increased, but weaker innovation, reduced cyber resilience, and declining customer experience could ultimately have damaged long-term shareholder value. Management accounting supports decisions that optimise, not simply minimise costs, by balancing financial discipline with strategic investment, consistent with contemporary strategic management accounting principles (IFAC, 2023; Drury, 2021). This provides the foundation for the </w:t>
      </w:r>
      <w:r w:rsidR="00CB487B">
        <w:t xml:space="preserve">discussion of budgeting and financial planning </w:t>
      </w:r>
      <w:r>
        <w:t>in the following section.</w:t>
      </w:r>
    </w:p>
    <w:p w14:paraId="166FF357" w14:textId="77777777" w:rsidR="00CB487B" w:rsidRDefault="00CB487B" w:rsidP="002F5127"/>
    <w:p w14:paraId="2C079FAE" w14:textId="1363B2D9" w:rsidR="002E017B" w:rsidRDefault="002E017B" w:rsidP="002E017B">
      <w:pPr>
        <w:pStyle w:val="Heading1"/>
      </w:pPr>
      <w:bookmarkStart w:id="4" w:name="_Toc235214093"/>
      <w:r>
        <w:t>3. Budgeting and Financial Planning</w:t>
      </w:r>
      <w:bookmarkEnd w:id="4"/>
      <w:r>
        <w:t xml:space="preserve"> </w:t>
      </w:r>
    </w:p>
    <w:p w14:paraId="3B85AE07" w14:textId="77777777" w:rsidR="002E017B" w:rsidRDefault="002E017B" w:rsidP="002E017B">
      <w:pPr>
        <w:pStyle w:val="Heading2"/>
      </w:pPr>
      <w:bookmarkStart w:id="5" w:name="_Toc235214094"/>
      <w:r>
        <w:t>3.1 Budgeting as a Strategic Management Tool</w:t>
      </w:r>
      <w:bookmarkEnd w:id="5"/>
    </w:p>
    <w:p w14:paraId="127217E4" w14:textId="77777777" w:rsidR="002E017B" w:rsidRDefault="002E017B" w:rsidP="00E2373E">
      <w:r>
        <w:t>Budgeting at Barclays is far more than an annual financial exercise; it is a mechanism for translating strategic priorities into measurable actions. Throughout 2025, management continued delivering the Group's three-year strategy by directing resources towards digital transformation, artificial intelligence, operational simplification and customer experience while maintaining disciplined capital management (Barclays PLC, 2025). The value of the budget lies not in limiting expenditure but in ensuring that financial resources are invested where they are expected to generate the greatest long-term return. Compared with 2024, Barclays placed greater emphasis on balancing investment with efficiency, demonstrating that sustainable profitability depends on informed resource allocation rather than cost reduction alone. Management accounting supports this process through forecasting, variance analysis and scenario planning, enabling managers to respond quickly to changing interest rates, customer behaviour and regulatory developments before they materially affect performance (Seal and Rohde, 2018; Drury, 2021; Atrill and McLaney, 2024). This forward-looking approach is consistent with guidance from IFAC (2023), which emphasises that effective budgeting should support strategic decision-making rather than merely control expenditure. Similarly, Horngren et al. (2021) argue that budgets are most valuable when they align operational activities with long-term organisational objectives. Budgeting becomes a forward-looking decision-support tool rather than a record of historical spending.</w:t>
      </w:r>
    </w:p>
    <w:p w14:paraId="3E0B3509" w14:textId="77777777" w:rsidR="002E017B" w:rsidRDefault="002E017B" w:rsidP="00922AB2">
      <w:pPr>
        <w:pStyle w:val="Heading2"/>
      </w:pPr>
      <w:bookmarkStart w:id="6" w:name="_Toc235214095"/>
      <w:r>
        <w:t>3.2 Operating Expenses and Financial Planning</w:t>
      </w:r>
      <w:bookmarkEnd w:id="6"/>
    </w:p>
    <w:p w14:paraId="4EFE5E61" w14:textId="108C8301" w:rsidR="002E017B" w:rsidRDefault="002E017B" w:rsidP="00E744E1">
      <w:r>
        <w:t xml:space="preserve">Barclays' operating expenditure during 2025 reflected deliberate strategic choices rather than uncontrolled cost growth. The Group continued investing in cloud infrastructure, cyber-security, AI-enabled services and the integration of Tesco Bank while pursuing operational efficiencies across the business (Barclays PLC, 2025). Although operating expenses increased, management expected these investments to strengthen productivity, improve resilience and reduce future servicing costs. </w:t>
      </w:r>
      <w:r w:rsidR="00922AB2" w:rsidRPr="00922AB2">
        <w:t>In addition, external macroeconomic factors, including persistent inflation, higher interest rates and increased regulatory expectations during 2025, contributed to higher operating costs across the banking sector, requiring Barclays to balance cost control with continued strategic investment (Barclays PLC, 2025).</w:t>
      </w:r>
      <w:r w:rsidR="00922AB2">
        <w:t xml:space="preserve"> </w:t>
      </w:r>
      <w:r>
        <w:t>The more important question is therefore not whether expenditure increased, but whether it created sustainable value. What if Barclays had pursued aggressive cost reductions instead of investing in technology? Short-term profits might have improved, yet weaker innovation, slower digital development and greater operational risk could have undermined long-term competitiveness. Management accounting provides the framework for evaluating these trade-offs by combining financial evidence with strategic objectives, ensuring that today's spending decisions support tomorrow's performance (Kaplan and Atkinson, 2019; CIMA, 2023). Atrill and McLaney (2024) further note that effective financial planning requires managers to balance cost control with investments that generate future value, while Horngren et al. (2021) emphasise that planning and performance evaluation should operate as an integrated process. This relationship between planning, investment and performance naturally leads to the evaluation of financial and non-financial indicators discussed in the following section.</w:t>
      </w:r>
    </w:p>
    <w:p w14:paraId="7E5163BF" w14:textId="77777777" w:rsidR="00B85254" w:rsidRDefault="00B85254" w:rsidP="00B85254"/>
    <w:p w14:paraId="442EDAA6" w14:textId="47C2F1A3" w:rsidR="00B85254" w:rsidRDefault="00B85254" w:rsidP="00B85254">
      <w:pPr>
        <w:pStyle w:val="Heading1"/>
      </w:pPr>
      <w:r>
        <w:t xml:space="preserve"> </w:t>
      </w:r>
      <w:bookmarkStart w:id="7" w:name="_Toc235214096"/>
      <w:r>
        <w:t>4. Performance Measurement and Decision-Making</w:t>
      </w:r>
      <w:bookmarkEnd w:id="7"/>
      <w:r>
        <w:t xml:space="preserve"> </w:t>
      </w:r>
    </w:p>
    <w:p w14:paraId="5486EFBD" w14:textId="77777777" w:rsidR="00B85254" w:rsidRDefault="00B85254" w:rsidP="00B85254">
      <w:pPr>
        <w:pStyle w:val="Heading2"/>
      </w:pPr>
      <w:bookmarkStart w:id="8" w:name="_Toc235214097"/>
      <w:r>
        <w:t>4.1 Measuring Strategic Performance</w:t>
      </w:r>
      <w:bookmarkEnd w:id="8"/>
    </w:p>
    <w:p w14:paraId="57A812E8" w14:textId="5264F617" w:rsidR="00B85254" w:rsidRDefault="00B85254" w:rsidP="00B85254">
      <w:r>
        <w:t>Performance measurement enables Barclays to evaluate whether strategic decisions are delivering sustainable value rather than simply reporting financial outcomes. During 2025, the Group improved its Return on Tangible Equity from 10.5% to 11.3%, increased profit before tax to £9.1 billion and strengthened earnings per share, demonstrating that profitability improved despite continued investment in technology and business transformation (Barclays PLC, 2025). Management also monitored the cost-to-income ratio, the CET1 capital ratio and tangible net asset value to assess efficiency, financial resilience and capital strength. However, these financial indicators represented only part of the evaluation. Growth in digital customer adoption, operational resilience, customer experience and organisational capability provided additional evidence that investment in artificial intelligence, cloud infrastructure and service innovation was supporting Barclays' long-term strategy. This integrated approach closely reflects the Balanced Scorecard, where financial performance is interpreted alongside customer, internal process and organisational learning measures to provide a broader understanding of organisational success (Kaplan and Atkinson, 2019; Seal and Rohde, 2018). Kaplan and Norton (1996) argue that organisations achieve stronger strategic alignment when non-financial indicators complement financial measures, while Neely (2007) similarly emphasises that effective performance measurement requires a balanced set of indicators linked directly to organisational strategy. IFAC (2023) also recognises integrated performance measurement as a key component of effective strategic management.</w:t>
      </w:r>
    </w:p>
    <w:p w14:paraId="13827609" w14:textId="77777777" w:rsidR="00C63187" w:rsidRDefault="00C63187" w:rsidP="00B85254"/>
    <w:p w14:paraId="65EA21AD" w14:textId="77777777" w:rsidR="00B85254" w:rsidRDefault="00B85254" w:rsidP="00B85254">
      <w:pPr>
        <w:pStyle w:val="Heading2"/>
      </w:pPr>
      <w:bookmarkStart w:id="9" w:name="_Toc235214098"/>
      <w:r>
        <w:t>4.2 Strategic Decisions Supported by Financial and Non-Financial KPIs</w:t>
      </w:r>
      <w:bookmarkEnd w:id="9"/>
    </w:p>
    <w:p w14:paraId="621ACA0E" w14:textId="10555B14" w:rsidR="00B85254" w:rsidRDefault="00B85254" w:rsidP="00686051">
      <w:r>
        <w:t xml:space="preserve">Performance information directly influenced Barclays' strategic decisions throughout 2025. Continued investment in artificial intelligence, cyber-security, digital banking and the integration of Tesco Bank increased operating expenditure, yet management viewed these initiatives as investments in future capability rather than short-term costs (Barclays PLC, 2025). The evidence supported that judgment: stronger profitability, improved capital strength and greater operational efficiency indicated that disciplined investment and financial control were working together. </w:t>
      </w:r>
      <w:r w:rsidRPr="00B85254">
        <w:t>These performance indicators provided management with evidence to continue investing in digital transformation, complete the Tesco Bank integration and strengthen operational resilience rather than pursuing aggressive cost-cutting measures, reflecting a strategy focused on sustainable long-term growth.</w:t>
      </w:r>
      <w:r>
        <w:t xml:space="preserve"> Equally important, non-financial measures demonstrated that customer expectations, digital engagement and operational resilience continued to improve, reinforcing confidence in the Group's long-term direction. What if management had focused exclusively on improving Return on Tangible Equity by reducing investment in technology or customer services? Annual profits might have increased temporarily, but weaker innovation, declining customer confidence and higher operational risk could ultimately have reduced shareholder value. Consequently, effective performance measurement is not about achieving individual targets but about interpreting financial and non-financial evidence collectively to support informed strategic decisions. Management accounting enables Barclays to balance immediate financial performance with sustainable long-term value creation (CIMA, 2023; Drury, 2021). This holistic approach is consistent with Kaplan and Norton (1996), who argue that long-term competitive advantage depends upon balancing financial outcomes with customer value, internal processes and organisational learning. Likewise, IFAC (2023) highlights that performance information should support continuous strategic decision-making rather than simply monitor historical results.</w:t>
      </w:r>
    </w:p>
    <w:p w14:paraId="65A96854" w14:textId="77777777" w:rsidR="00686051" w:rsidRDefault="00686051" w:rsidP="00686051"/>
    <w:p w14:paraId="0729EE6C" w14:textId="76C8EC6D" w:rsidR="00686051" w:rsidRDefault="00686051" w:rsidP="00686051">
      <w:pPr>
        <w:pStyle w:val="Heading1"/>
      </w:pPr>
      <w:bookmarkStart w:id="10" w:name="_Toc235214099"/>
      <w:r>
        <w:t>5. Sustainability and Ethical Considerations</w:t>
      </w:r>
      <w:bookmarkEnd w:id="10"/>
      <w:r>
        <w:t xml:space="preserve"> </w:t>
      </w:r>
    </w:p>
    <w:p w14:paraId="6EAC527D" w14:textId="77777777" w:rsidR="00686051" w:rsidRDefault="00686051" w:rsidP="00686051">
      <w:pPr>
        <w:pStyle w:val="Heading2"/>
      </w:pPr>
      <w:bookmarkStart w:id="11" w:name="_Toc235214100"/>
      <w:r>
        <w:t>5.1 Sustainability, Ethics and Long-Term Value</w:t>
      </w:r>
      <w:bookmarkEnd w:id="11"/>
    </w:p>
    <w:p w14:paraId="63E57A85" w14:textId="77777777" w:rsidR="00686051" w:rsidRDefault="00686051" w:rsidP="00686051">
      <w:r>
        <w:t>For Barclays, sustainability has become an integral element of strategic decision-making rather than a separate corporate responsibility initiative. As the banking sector faces increasing regulatory expectations, climate-related risks and changing stakeholder priorities, management must evaluate business decisions using both financial and non-financial information. During 2025, Barclays continued to expand sustainable and transition finance, strengthen climate-related reporting, invest in digital capability and reinforce financial crime and cyber-security controls, reflecting its commitment to resilient long-term growth (Barclays PLC, 2025). These initiatives required significant resources, yet management judged that the expected benefits extended beyond immediate financial returns. The more important question is whether today's investment reduces future risk, strengthens customer confidence and protects the organisation's long-term competitive position. Management accounting supports this evaluation by comparing projected benefits with the resources committed and by assessing whether strategic objectives remain aligned with shareholder expectations, regulatory requirements and operational resilience (Seal and Rohde, 2018; Drury, 2021). This perspective is consistent with IFAC (2023), which recognises sustainability as an integral part of long-term value creation, while the IFRS Foundation (2023) highlights that high-quality sustainability disclosures improve organisational transparency and support better investment decisions. ICAEW (2024) further emphasises that integrating sustainability into management processes strengthens organisational resilience and strategic performance.</w:t>
      </w:r>
    </w:p>
    <w:p w14:paraId="04DC0AA5" w14:textId="77777777" w:rsidR="00421FBC" w:rsidRDefault="00421FBC" w:rsidP="00686051"/>
    <w:p w14:paraId="759A3CEB" w14:textId="77777777" w:rsidR="00686051" w:rsidRDefault="00686051" w:rsidP="00686051">
      <w:pPr>
        <w:pStyle w:val="Heading2"/>
      </w:pPr>
      <w:bookmarkStart w:id="12" w:name="_Toc235214101"/>
      <w:r>
        <w:t>5.2 Ethical Decision-Making and Sustainable Performance</w:t>
      </w:r>
      <w:bookmarkEnd w:id="12"/>
    </w:p>
    <w:p w14:paraId="39200632" w14:textId="5BA94A10" w:rsidR="00686051" w:rsidRDefault="00686051" w:rsidP="00686051">
      <w:r>
        <w:t xml:space="preserve">Ethical decision-making is equally important because trust represents one of Barclays' most valuable strategic assets. A decision that improves short-term profitability but weakens governance, customer confidence or regulatory compliance is unlikely to create sustainable shareholder value. Compared with previous years, Barclays placed greater emphasis during 2025 on responsible growth by combining financial performance with stronger governance, operational resilience and long-term stakeholder value (Barclays PLC, 2025). What if management focused exclusively on maximising annual profit by reducing investment in compliance, cyber-security or climate-related initiatives? Although reported earnings could improve temporarily, the organisation would face greater regulatory exposure, reputational damage and operational risk, ultimately undermining future performance. Management accounting extends beyond measuring costs and profits; it provides a framework for balancing commercial objectives with environmental, social and governance priorities so that strategic decisions remain financially sound, ethically responsible and sustainable over time (CIMA, 2023; Kaplan and Atkinson, 2019). </w:t>
      </w:r>
      <w:r w:rsidR="00227616" w:rsidRPr="00227616">
        <w:t>Ethical considerations also influence pricing decisions, as Barclays must ensure that interest rates, lending charges and customer fees remain commercially sustainable while remaining transparent, fair and compliant with regulatory expectations.</w:t>
      </w:r>
      <w:r w:rsidR="00227616">
        <w:t xml:space="preserve"> </w:t>
      </w:r>
      <w:r>
        <w:t>IFAC (2023) similarly argues that ethical governance and sustainable resource allocation are fundamental to effective management accounting, while ICAEW (2024) notes that responsible decision-making improves stakeholder confidence and supports long-term organisational success.</w:t>
      </w:r>
    </w:p>
    <w:p w14:paraId="37C55595" w14:textId="1C9A8BB3" w:rsidR="00686051" w:rsidRDefault="00686051" w:rsidP="00686051">
      <w:r>
        <w:t xml:space="preserve"> </w:t>
      </w:r>
    </w:p>
    <w:p w14:paraId="55D55D2B" w14:textId="38C65D9E" w:rsidR="00B85254" w:rsidRDefault="00B85254" w:rsidP="00686051">
      <w:r>
        <w:t xml:space="preserve"> </w:t>
      </w:r>
    </w:p>
    <w:p w14:paraId="56C46B4D" w14:textId="0F778D5A" w:rsidR="00CB487B" w:rsidRDefault="002E017B" w:rsidP="00E744E1">
      <w:r>
        <w:t xml:space="preserve"> </w:t>
      </w:r>
    </w:p>
    <w:p w14:paraId="57FE4D87" w14:textId="31D167D0" w:rsidR="00DC532E" w:rsidRDefault="00DC532E" w:rsidP="00E744E1">
      <w:r>
        <w:t xml:space="preserve"> </w:t>
      </w:r>
    </w:p>
    <w:p w14:paraId="66E8CC0B" w14:textId="77777777" w:rsidR="00486F47" w:rsidRDefault="00486F47" w:rsidP="000313C8"/>
    <w:p w14:paraId="7824B617" w14:textId="77777777" w:rsidR="00486F47" w:rsidRDefault="00486F47" w:rsidP="000313C8"/>
    <w:p w14:paraId="0732F103" w14:textId="77777777" w:rsidR="00421FBC" w:rsidRDefault="00421FBC" w:rsidP="00421FBC">
      <w:pPr>
        <w:pStyle w:val="Heading1"/>
      </w:pPr>
      <w:bookmarkStart w:id="13" w:name="_Toc235214102"/>
      <w:r>
        <w:t>6. Conclusion and Recommendations</w:t>
      </w:r>
      <w:bookmarkEnd w:id="13"/>
    </w:p>
    <w:p w14:paraId="4854AC4C" w14:textId="77777777" w:rsidR="00421FBC" w:rsidRPr="00421FBC" w:rsidRDefault="00421FBC" w:rsidP="00421FBC">
      <w:pPr>
        <w:pStyle w:val="Heading2"/>
      </w:pPr>
      <w:bookmarkStart w:id="14" w:name="_Toc235214103"/>
      <w:r w:rsidRPr="00421FBC">
        <w:t>6.1 Recommendations</w:t>
      </w:r>
      <w:bookmarkEnd w:id="14"/>
    </w:p>
    <w:p w14:paraId="7362BFE4" w14:textId="2136F286" w:rsidR="00421FBC" w:rsidRDefault="00421FBC" w:rsidP="00421FBC">
      <w:r>
        <w:t>Based on the findings of this report, Barclays should continue strengthening its management accounting practices to support sustainable long-term performance. First, the Group should expand the use of artificial intelligence, predictive analytics and real-time dashboards to improve forecasting, scenario planning and resource allocation (IFAC, 2023). Second, Barclays should integrate environmental, social and governance (ESG) measures with financial KPIs to support balanced strategic decision-making and sustainable value creation (Atrill and McLaney, 2024). Finally, management should further develop dynamic budgeting by regularly reviewing macroeconomic conditions, regulatory changes and customer behaviour, enabling faster responses to emerging risks while maintaining financial discipline (Seal and Rohde, 2018).</w:t>
      </w:r>
    </w:p>
    <w:p w14:paraId="073171EE" w14:textId="77777777" w:rsidR="00421FBC" w:rsidRDefault="00421FBC" w:rsidP="00421FBC"/>
    <w:p w14:paraId="2E687754" w14:textId="77777777" w:rsidR="00421FBC" w:rsidRPr="00421FBC" w:rsidRDefault="00421FBC" w:rsidP="00421FBC">
      <w:pPr>
        <w:pStyle w:val="Heading2"/>
      </w:pPr>
      <w:bookmarkStart w:id="15" w:name="_Toc235214104"/>
      <w:r w:rsidRPr="00421FBC">
        <w:t>6.2 Conclusion</w:t>
      </w:r>
      <w:bookmarkEnd w:id="15"/>
    </w:p>
    <w:p w14:paraId="17221330" w14:textId="78B6A1C3" w:rsidR="00486F47" w:rsidRDefault="00421FBC" w:rsidP="00421FBC">
      <w:r>
        <w:t>This report concludes that management accounting plays a strategic role within Barclays by supporting budgeting, cost management, performance measurement and sustainability initiatives. Evidence from the 2025 Annual Report demonstrates that effective management accounting enables better resource allocation, stronger operational resilience and sustainable long-term value creation. Consequently, integrating financial and non-financial information will remain essential for maintaining competitiveness and supporting informed strategic decision-making in a rapidly changing banking environment.</w:t>
      </w:r>
    </w:p>
    <w:p w14:paraId="47B8A5C5" w14:textId="77777777" w:rsidR="008A717B" w:rsidRDefault="008A717B" w:rsidP="00421FBC"/>
    <w:p w14:paraId="032897A5" w14:textId="77777777" w:rsidR="008A717B" w:rsidRDefault="008A717B" w:rsidP="00421FBC"/>
    <w:p w14:paraId="1EB91F84" w14:textId="77777777" w:rsidR="008A717B" w:rsidRDefault="008A717B" w:rsidP="00421FBC"/>
    <w:p w14:paraId="38258891" w14:textId="77777777" w:rsidR="008A717B" w:rsidRDefault="008A717B" w:rsidP="00421FBC"/>
    <w:p w14:paraId="5CC73745" w14:textId="77777777" w:rsidR="008A717B" w:rsidRDefault="008A717B" w:rsidP="00421FBC"/>
    <w:p w14:paraId="78798066" w14:textId="77777777" w:rsidR="008A717B" w:rsidRPr="008A717B" w:rsidRDefault="008A717B" w:rsidP="008A717B">
      <w:pPr>
        <w:pStyle w:val="Heading1"/>
      </w:pPr>
      <w:bookmarkStart w:id="16" w:name="_Toc235214105"/>
      <w:r w:rsidRPr="008A717B">
        <w:t>Reference List</w:t>
      </w:r>
      <w:bookmarkEnd w:id="16"/>
    </w:p>
    <w:p w14:paraId="0F19EA2E" w14:textId="77777777" w:rsidR="00FA7772" w:rsidRPr="00FA7772" w:rsidRDefault="00FA7772" w:rsidP="00FA7772">
      <w:pPr>
        <w:spacing w:after="0"/>
        <w:ind w:hanging="720"/>
        <w:jc w:val="left"/>
        <w:rPr>
          <w:iCs/>
        </w:rPr>
      </w:pPr>
      <w:r w:rsidRPr="00FA7772">
        <w:rPr>
          <w:iCs/>
        </w:rPr>
        <w:t>Atrill, P. and McLaney, E. (2024) Management Accounting for Decision Makers. 10th edn. Harlow: Pearson.</w:t>
      </w:r>
    </w:p>
    <w:p w14:paraId="70398E92" w14:textId="58219D56" w:rsidR="00FA7772" w:rsidRPr="00FA7772" w:rsidRDefault="00FA7772" w:rsidP="000A3115">
      <w:pPr>
        <w:spacing w:after="0"/>
        <w:ind w:hanging="720"/>
        <w:jc w:val="left"/>
        <w:rPr>
          <w:iCs/>
        </w:rPr>
      </w:pPr>
      <w:r w:rsidRPr="00FA7772">
        <w:rPr>
          <w:iCs/>
        </w:rPr>
        <w:t xml:space="preserve">Barclays PLC (2025) Annual Report 2025. London: Barclays PLC. Available </w:t>
      </w:r>
      <w:r w:rsidR="000A3115">
        <w:rPr>
          <w:iCs/>
        </w:rPr>
        <w:t xml:space="preserve">at: </w:t>
      </w:r>
      <w:hyperlink r:id="rId9" w:history="1">
        <w:r w:rsidR="00090655" w:rsidRPr="00090655">
          <w:rPr>
            <w:rStyle w:val="Hyperlink"/>
            <w:iCs/>
          </w:rPr>
          <w:t>Barclays Annual Reports</w:t>
        </w:r>
      </w:hyperlink>
      <w:r w:rsidR="00090655">
        <w:rPr>
          <w:iCs/>
        </w:rPr>
        <w:t xml:space="preserve"> </w:t>
      </w:r>
      <w:r w:rsidRPr="00FA7772">
        <w:rPr>
          <w:iCs/>
        </w:rPr>
        <w:t>(Accessed: 15 July 2026).</w:t>
      </w:r>
    </w:p>
    <w:p w14:paraId="6B1F6927" w14:textId="0B639E0B" w:rsidR="00FA7772" w:rsidRPr="00FA7772" w:rsidRDefault="00FA7772" w:rsidP="00FA7772">
      <w:pPr>
        <w:spacing w:after="0"/>
        <w:ind w:hanging="720"/>
        <w:jc w:val="left"/>
        <w:rPr>
          <w:iCs/>
        </w:rPr>
      </w:pPr>
      <w:r w:rsidRPr="00FA7772">
        <w:rPr>
          <w:iCs/>
        </w:rPr>
        <w:t xml:space="preserve">Chartered Institute of Management Accountants (CIMA) (2023) Global Management Accounting Principles. London: CIMA. Available at: </w:t>
      </w:r>
      <w:hyperlink r:id="rId10" w:history="1">
        <w:r w:rsidR="00C173F9" w:rsidRPr="00C173F9">
          <w:rPr>
            <w:rStyle w:val="Hyperlink"/>
            <w:iCs/>
          </w:rPr>
          <w:t>AICPA &amp; CIMA Official Website</w:t>
        </w:r>
      </w:hyperlink>
      <w:r w:rsidR="000A3115">
        <w:rPr>
          <w:iCs/>
        </w:rPr>
        <w:t xml:space="preserve"> </w:t>
      </w:r>
      <w:r w:rsidRPr="00FA7772">
        <w:rPr>
          <w:iCs/>
        </w:rPr>
        <w:t xml:space="preserve"> (Accessed: 12 July 2026).</w:t>
      </w:r>
    </w:p>
    <w:p w14:paraId="2F11EF96" w14:textId="77777777" w:rsidR="00FA7772" w:rsidRPr="00FA7772" w:rsidRDefault="00FA7772" w:rsidP="00FA7772">
      <w:pPr>
        <w:spacing w:after="0"/>
        <w:ind w:hanging="720"/>
        <w:jc w:val="left"/>
        <w:rPr>
          <w:iCs/>
        </w:rPr>
      </w:pPr>
      <w:r w:rsidRPr="00FA7772">
        <w:rPr>
          <w:iCs/>
        </w:rPr>
        <w:t>Drury, C. (2021) Management and Cost Accounting. 11th edn. Andover: Cengage Learning.</w:t>
      </w:r>
    </w:p>
    <w:p w14:paraId="5E210F0E" w14:textId="77777777" w:rsidR="00FA7772" w:rsidRPr="00FA7772" w:rsidRDefault="00FA7772" w:rsidP="00FA7772">
      <w:pPr>
        <w:spacing w:after="0"/>
        <w:ind w:hanging="720"/>
        <w:jc w:val="left"/>
        <w:rPr>
          <w:iCs/>
        </w:rPr>
      </w:pPr>
      <w:r w:rsidRPr="00FA7772">
        <w:rPr>
          <w:iCs/>
        </w:rPr>
        <w:t>Horngren, C.T., Datar, S.M. and Rajan, M.V. (2021) Cost Accounting: A Managerial Emphasis. Harlow: Pearson.</w:t>
      </w:r>
    </w:p>
    <w:p w14:paraId="354B6374" w14:textId="5CC107C9" w:rsidR="00FA7772" w:rsidRPr="00FA7772" w:rsidRDefault="00FA7772" w:rsidP="00FA7772">
      <w:pPr>
        <w:spacing w:after="0"/>
        <w:ind w:hanging="720"/>
        <w:jc w:val="left"/>
        <w:rPr>
          <w:iCs/>
        </w:rPr>
      </w:pPr>
      <w:r w:rsidRPr="00FA7772">
        <w:rPr>
          <w:iCs/>
        </w:rPr>
        <w:t xml:space="preserve">IFRS Foundation (2023) IFRS Sustainability Disclosure Standards. London: IFRS Foundation. Available at: </w:t>
      </w:r>
      <w:hyperlink r:id="rId11" w:history="1">
        <w:r w:rsidR="0016034B" w:rsidRPr="0016034B">
          <w:rPr>
            <w:rStyle w:val="Hyperlink"/>
            <w:iCs/>
          </w:rPr>
          <w:t>IFRS Sustainability Standards</w:t>
        </w:r>
      </w:hyperlink>
      <w:r w:rsidRPr="00FA7772">
        <w:rPr>
          <w:iCs/>
        </w:rPr>
        <w:t xml:space="preserve"> (Accessed: 10 July 2026).</w:t>
      </w:r>
    </w:p>
    <w:p w14:paraId="28332B0A" w14:textId="691DD83A" w:rsidR="00FA7772" w:rsidRPr="00FA7772" w:rsidRDefault="00FA7772" w:rsidP="00FA7772">
      <w:pPr>
        <w:spacing w:after="0"/>
        <w:ind w:hanging="720"/>
        <w:jc w:val="left"/>
        <w:rPr>
          <w:iCs/>
        </w:rPr>
      </w:pPr>
      <w:r w:rsidRPr="00FA7772">
        <w:rPr>
          <w:iCs/>
        </w:rPr>
        <w:t>Institute of Chartered Accountants in England and Wales (ICAEW) (2024) Sustainability and Business Guidance. London: ICAEW. Available at</w:t>
      </w:r>
      <w:r w:rsidR="003A2648">
        <w:rPr>
          <w:iCs/>
        </w:rPr>
        <w:t xml:space="preserve">: </w:t>
      </w:r>
      <w:hyperlink r:id="rId12" w:history="1">
        <w:r w:rsidR="003A2648" w:rsidRPr="003A2648">
          <w:rPr>
            <w:rStyle w:val="Hyperlink"/>
            <w:iCs/>
          </w:rPr>
          <w:t>ICAEW Official Website</w:t>
        </w:r>
      </w:hyperlink>
      <w:r w:rsidRPr="00FA7772">
        <w:rPr>
          <w:iCs/>
        </w:rPr>
        <w:t xml:space="preserve"> (Accessed: 13 July 2026).</w:t>
      </w:r>
    </w:p>
    <w:p w14:paraId="4E06E690" w14:textId="4BCAC8E2" w:rsidR="00FA7772" w:rsidRPr="00FA7772" w:rsidRDefault="00FA7772" w:rsidP="00FA7772">
      <w:pPr>
        <w:spacing w:after="0"/>
        <w:ind w:hanging="720"/>
        <w:jc w:val="left"/>
        <w:rPr>
          <w:iCs/>
        </w:rPr>
      </w:pPr>
      <w:r w:rsidRPr="00FA7772">
        <w:rPr>
          <w:iCs/>
        </w:rPr>
        <w:t>International Federation of Accountants (IFAC) (2023) International Good Practice Guidance: Management Accounting. New York: IFAC. Available at</w:t>
      </w:r>
      <w:hyperlink r:id="rId13" w:history="1">
        <w:r w:rsidRPr="003A2648">
          <w:rPr>
            <w:rStyle w:val="Hyperlink"/>
            <w:iCs/>
          </w:rPr>
          <w:t xml:space="preserve"> </w:t>
        </w:r>
        <w:r w:rsidR="003A2648" w:rsidRPr="003A2648">
          <w:rPr>
            <w:rStyle w:val="Hyperlink"/>
            <w:iCs/>
          </w:rPr>
          <w:t>IFAC Official Website</w:t>
        </w:r>
      </w:hyperlink>
      <w:r w:rsidRPr="00FA7772">
        <w:rPr>
          <w:iCs/>
        </w:rPr>
        <w:t xml:space="preserve"> (Accessed: 11 July 2026).</w:t>
      </w:r>
    </w:p>
    <w:p w14:paraId="79C80A89" w14:textId="77777777" w:rsidR="00FA7772" w:rsidRPr="00FA7772" w:rsidRDefault="00FA7772" w:rsidP="00FA7772">
      <w:pPr>
        <w:spacing w:after="0"/>
        <w:ind w:hanging="720"/>
        <w:jc w:val="left"/>
        <w:rPr>
          <w:iCs/>
        </w:rPr>
      </w:pPr>
      <w:r w:rsidRPr="00FA7772">
        <w:rPr>
          <w:iCs/>
        </w:rPr>
        <w:t>Kaplan, R.S. and Atkinson, A.A. (2019) Advanced Management Accounting. 3rd edn. Harlow: Pearson.</w:t>
      </w:r>
    </w:p>
    <w:p w14:paraId="0A491D03" w14:textId="77777777" w:rsidR="00FA7772" w:rsidRPr="00FA7772" w:rsidRDefault="00FA7772" w:rsidP="00FA7772">
      <w:pPr>
        <w:spacing w:after="0"/>
        <w:ind w:hanging="720"/>
        <w:jc w:val="left"/>
        <w:rPr>
          <w:iCs/>
        </w:rPr>
      </w:pPr>
      <w:r w:rsidRPr="00FA7772">
        <w:rPr>
          <w:iCs/>
        </w:rPr>
        <w:t>Kaplan, R.S. and Norton, D.P. (1996) The Balanced Scorecard: Translating Strategy into Action. Boston: Harvard Business School Press.</w:t>
      </w:r>
    </w:p>
    <w:p w14:paraId="31EABDA7" w14:textId="77777777" w:rsidR="00FA7772" w:rsidRPr="00FA7772" w:rsidRDefault="00FA7772" w:rsidP="00FA7772">
      <w:pPr>
        <w:spacing w:after="0"/>
        <w:ind w:hanging="720"/>
        <w:jc w:val="left"/>
        <w:rPr>
          <w:iCs/>
        </w:rPr>
      </w:pPr>
      <w:r w:rsidRPr="00FA7772">
        <w:rPr>
          <w:iCs/>
        </w:rPr>
        <w:t>Neely, A. (2007) Business Performance Measurement: Unifying Theory and Integrating Practice. 2nd edn. Cambridge: Cambridge University Press.</w:t>
      </w:r>
    </w:p>
    <w:p w14:paraId="157A870A" w14:textId="77777777" w:rsidR="00FA7772" w:rsidRPr="00FA7772" w:rsidRDefault="00FA7772" w:rsidP="00FA7772">
      <w:pPr>
        <w:spacing w:after="0"/>
        <w:ind w:hanging="720"/>
        <w:jc w:val="left"/>
        <w:rPr>
          <w:iCs/>
        </w:rPr>
      </w:pPr>
      <w:r w:rsidRPr="00FA7772">
        <w:rPr>
          <w:iCs/>
        </w:rPr>
        <w:t>Seal, W. and Rohde, C. (2018) Management Accounting. 6th edn. London: McGraw-Hill Education.</w:t>
      </w:r>
    </w:p>
    <w:p w14:paraId="592010AF" w14:textId="77777777" w:rsidR="008A717B" w:rsidRPr="00837B8E" w:rsidRDefault="008A717B" w:rsidP="0066713F">
      <w:pPr>
        <w:spacing w:after="0"/>
        <w:ind w:hanging="720"/>
        <w:jc w:val="left"/>
        <w:rPr>
          <w:iCs/>
        </w:rPr>
      </w:pPr>
    </w:p>
    <w:sectPr w:rsidR="008A717B" w:rsidRPr="00837B8E" w:rsidSect="00E45FFE">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87086" w14:textId="77777777" w:rsidR="00313D19" w:rsidRDefault="00313D19" w:rsidP="007229C9">
      <w:pPr>
        <w:spacing w:after="0" w:line="240" w:lineRule="auto"/>
      </w:pPr>
      <w:r>
        <w:separator/>
      </w:r>
    </w:p>
  </w:endnote>
  <w:endnote w:type="continuationSeparator" w:id="0">
    <w:p w14:paraId="6646DB62" w14:textId="77777777" w:rsidR="00313D19" w:rsidRDefault="00313D19" w:rsidP="00722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3250127"/>
      <w:docPartObj>
        <w:docPartGallery w:val="Page Numbers (Bottom of Page)"/>
        <w:docPartUnique/>
      </w:docPartObj>
    </w:sdtPr>
    <w:sdtEndPr>
      <w:rPr>
        <w:noProof/>
      </w:rPr>
    </w:sdtEndPr>
    <w:sdtContent>
      <w:p w14:paraId="514B5BB3" w14:textId="77777777" w:rsidR="00E4213F" w:rsidRDefault="00E4213F">
        <w:pPr>
          <w:pStyle w:val="Footer"/>
          <w:jc w:val="center"/>
        </w:pPr>
      </w:p>
      <w:p w14:paraId="1326180A" w14:textId="1AFC04A8" w:rsidR="00E45FFE" w:rsidRDefault="00614AEF">
        <w:pPr>
          <w:pStyle w:val="Footer"/>
          <w:jc w:val="center"/>
        </w:pPr>
      </w:p>
    </w:sdtContent>
  </w:sdt>
  <w:p w14:paraId="23CD177B" w14:textId="2537407B" w:rsidR="00E45FFE" w:rsidRDefault="003D701A" w:rsidP="003D701A">
    <w:pPr>
      <w:pStyle w:val="Footer"/>
      <w:tabs>
        <w:tab w:val="clear" w:pos="4513"/>
        <w:tab w:val="clear" w:pos="9026"/>
        <w:tab w:val="left" w:pos="3456"/>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824233"/>
      <w:docPartObj>
        <w:docPartGallery w:val="Page Numbers (Bottom of Page)"/>
        <w:docPartUnique/>
      </w:docPartObj>
    </w:sdtPr>
    <w:sdtEndPr>
      <w:rPr>
        <w:noProof/>
        <w:sz w:val="20"/>
        <w:szCs w:val="20"/>
      </w:rPr>
    </w:sdtEndPr>
    <w:sdtContent>
      <w:p w14:paraId="6D04DFEF" w14:textId="77777777" w:rsidR="003D701A" w:rsidRPr="00E4213F" w:rsidRDefault="003D701A">
        <w:pPr>
          <w:pStyle w:val="Footer"/>
          <w:jc w:val="center"/>
          <w:rPr>
            <w:sz w:val="20"/>
            <w:szCs w:val="20"/>
          </w:rPr>
        </w:pPr>
        <w:r w:rsidRPr="00E4213F">
          <w:rPr>
            <w:sz w:val="20"/>
            <w:szCs w:val="20"/>
          </w:rPr>
          <w:fldChar w:fldCharType="begin"/>
        </w:r>
        <w:r w:rsidRPr="00E4213F">
          <w:rPr>
            <w:sz w:val="20"/>
            <w:szCs w:val="20"/>
          </w:rPr>
          <w:instrText xml:space="preserve"> PAGE   \* MERGEFORMAT </w:instrText>
        </w:r>
        <w:r w:rsidRPr="00E4213F">
          <w:rPr>
            <w:sz w:val="20"/>
            <w:szCs w:val="20"/>
          </w:rPr>
          <w:fldChar w:fldCharType="separate"/>
        </w:r>
        <w:r w:rsidRPr="00E4213F">
          <w:rPr>
            <w:noProof/>
            <w:sz w:val="20"/>
            <w:szCs w:val="20"/>
          </w:rPr>
          <w:t>2</w:t>
        </w:r>
        <w:r w:rsidRPr="00E4213F">
          <w:rPr>
            <w:noProof/>
            <w:sz w:val="20"/>
            <w:szCs w:val="20"/>
          </w:rPr>
          <w:fldChar w:fldCharType="end"/>
        </w:r>
      </w:p>
    </w:sdtContent>
  </w:sdt>
  <w:p w14:paraId="6F0FBAB3" w14:textId="77777777" w:rsidR="003D701A" w:rsidRDefault="003D701A" w:rsidP="003D701A">
    <w:pPr>
      <w:pStyle w:val="Footer"/>
      <w:tabs>
        <w:tab w:val="clear" w:pos="4513"/>
        <w:tab w:val="clear" w:pos="9026"/>
        <w:tab w:val="left" w:pos="345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E773B" w14:textId="77777777" w:rsidR="00313D19" w:rsidRDefault="00313D19" w:rsidP="007229C9">
      <w:pPr>
        <w:spacing w:after="0" w:line="240" w:lineRule="auto"/>
      </w:pPr>
      <w:r>
        <w:separator/>
      </w:r>
    </w:p>
  </w:footnote>
  <w:footnote w:type="continuationSeparator" w:id="0">
    <w:p w14:paraId="5E0997EB" w14:textId="77777777" w:rsidR="00313D19" w:rsidRDefault="00313D19" w:rsidP="007229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BB6"/>
    <w:rsid w:val="00003BB6"/>
    <w:rsid w:val="000313C8"/>
    <w:rsid w:val="00031AEF"/>
    <w:rsid w:val="000405F6"/>
    <w:rsid w:val="00090655"/>
    <w:rsid w:val="000A3115"/>
    <w:rsid w:val="000C3612"/>
    <w:rsid w:val="000C38A3"/>
    <w:rsid w:val="00100F75"/>
    <w:rsid w:val="00107B6D"/>
    <w:rsid w:val="00151207"/>
    <w:rsid w:val="0016034B"/>
    <w:rsid w:val="001B09BD"/>
    <w:rsid w:val="00227616"/>
    <w:rsid w:val="002A0E0B"/>
    <w:rsid w:val="002E017B"/>
    <w:rsid w:val="002F5127"/>
    <w:rsid w:val="00313D19"/>
    <w:rsid w:val="00314333"/>
    <w:rsid w:val="00380D7D"/>
    <w:rsid w:val="003A2648"/>
    <w:rsid w:val="003D701A"/>
    <w:rsid w:val="00404E6E"/>
    <w:rsid w:val="00421FBC"/>
    <w:rsid w:val="0048650F"/>
    <w:rsid w:val="00486F47"/>
    <w:rsid w:val="00514969"/>
    <w:rsid w:val="00614AEF"/>
    <w:rsid w:val="0066713F"/>
    <w:rsid w:val="00686051"/>
    <w:rsid w:val="006C439A"/>
    <w:rsid w:val="007229C9"/>
    <w:rsid w:val="00777388"/>
    <w:rsid w:val="00782606"/>
    <w:rsid w:val="00837B8E"/>
    <w:rsid w:val="008A717B"/>
    <w:rsid w:val="009049C1"/>
    <w:rsid w:val="00922AB2"/>
    <w:rsid w:val="00975ABB"/>
    <w:rsid w:val="00AC7F48"/>
    <w:rsid w:val="00B24265"/>
    <w:rsid w:val="00B53926"/>
    <w:rsid w:val="00B85254"/>
    <w:rsid w:val="00C173F9"/>
    <w:rsid w:val="00C4507B"/>
    <w:rsid w:val="00C63187"/>
    <w:rsid w:val="00CB487B"/>
    <w:rsid w:val="00CB4BF7"/>
    <w:rsid w:val="00DB1DDF"/>
    <w:rsid w:val="00DC4916"/>
    <w:rsid w:val="00DC532E"/>
    <w:rsid w:val="00E2373E"/>
    <w:rsid w:val="00E4213F"/>
    <w:rsid w:val="00E45FFE"/>
    <w:rsid w:val="00E52F1D"/>
    <w:rsid w:val="00E651E5"/>
    <w:rsid w:val="00E744E1"/>
    <w:rsid w:val="00F215FE"/>
    <w:rsid w:val="00F62E23"/>
    <w:rsid w:val="00FA7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72F5A"/>
  <w15:chartTrackingRefBased/>
  <w15:docId w15:val="{FABDCEA8-8AFA-4D7C-9C52-1B88C9C1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50F"/>
    <w:pPr>
      <w:spacing w:after="120" w:line="360" w:lineRule="auto"/>
      <w:jc w:val="both"/>
    </w:pPr>
  </w:style>
  <w:style w:type="paragraph" w:styleId="Heading1">
    <w:name w:val="heading 1"/>
    <w:basedOn w:val="Normal"/>
    <w:next w:val="Normal"/>
    <w:link w:val="Heading1Char"/>
    <w:uiPriority w:val="9"/>
    <w:qFormat/>
    <w:rsid w:val="009049C1"/>
    <w:pPr>
      <w:keepNext/>
      <w:keepLines/>
      <w:spacing w:before="360" w:after="80"/>
      <w:outlineLvl w:val="0"/>
    </w:pPr>
    <w:rPr>
      <w:rFonts w:eastAsiaTheme="majorEastAsia" w:cstheme="majorBidi"/>
      <w:b/>
      <w:color w:val="45B0E1" w:themeColor="accent1" w:themeTint="99"/>
      <w:sz w:val="28"/>
      <w:szCs w:val="40"/>
    </w:rPr>
  </w:style>
  <w:style w:type="paragraph" w:styleId="Heading2">
    <w:name w:val="heading 2"/>
    <w:basedOn w:val="Normal"/>
    <w:next w:val="Normal"/>
    <w:link w:val="Heading2Char"/>
    <w:uiPriority w:val="9"/>
    <w:unhideWhenUsed/>
    <w:qFormat/>
    <w:rsid w:val="009049C1"/>
    <w:pPr>
      <w:keepNext/>
      <w:keepLines/>
      <w:spacing w:before="160" w:after="80"/>
      <w:outlineLvl w:val="1"/>
    </w:pPr>
    <w:rPr>
      <w:rFonts w:eastAsiaTheme="majorEastAsia" w:cstheme="majorBidi"/>
      <w:b/>
      <w:color w:val="4C94D8" w:themeColor="text2" w:themeTint="80"/>
      <w:szCs w:val="32"/>
    </w:rPr>
  </w:style>
  <w:style w:type="paragraph" w:styleId="Heading3">
    <w:name w:val="heading 3"/>
    <w:basedOn w:val="Normal"/>
    <w:next w:val="Normal"/>
    <w:link w:val="Heading3Char"/>
    <w:uiPriority w:val="9"/>
    <w:semiHidden/>
    <w:unhideWhenUsed/>
    <w:qFormat/>
    <w:rsid w:val="00003BB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3BB6"/>
    <w:pPr>
      <w:keepNext/>
      <w:keepLines/>
      <w:spacing w:before="80" w:after="40"/>
      <w:outlineLvl w:val="3"/>
    </w:pPr>
    <w:rPr>
      <w:rFonts w:asciiTheme="minorHAnsi" w:eastAsiaTheme="majorEastAsia" w:hAnsiTheme="minorHAnsi" w:cstheme="majorBidi"/>
      <w:i w:val="0"/>
      <w:iCs/>
      <w:color w:val="0F4761" w:themeColor="accent1" w:themeShade="BF"/>
    </w:rPr>
  </w:style>
  <w:style w:type="paragraph" w:styleId="Heading5">
    <w:name w:val="heading 5"/>
    <w:basedOn w:val="Normal"/>
    <w:next w:val="Normal"/>
    <w:link w:val="Heading5Char"/>
    <w:uiPriority w:val="9"/>
    <w:semiHidden/>
    <w:unhideWhenUsed/>
    <w:qFormat/>
    <w:rsid w:val="00003BB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03BB6"/>
    <w:pPr>
      <w:keepNext/>
      <w:keepLines/>
      <w:spacing w:before="40" w:after="0"/>
      <w:outlineLvl w:val="5"/>
    </w:pPr>
    <w:rPr>
      <w:rFonts w:asciiTheme="minorHAnsi" w:eastAsiaTheme="majorEastAsia" w:hAnsiTheme="minorHAnsi" w:cstheme="majorBidi"/>
      <w:i w:val="0"/>
      <w:iCs/>
      <w:color w:val="595959" w:themeColor="text1" w:themeTint="A6"/>
    </w:rPr>
  </w:style>
  <w:style w:type="paragraph" w:styleId="Heading7">
    <w:name w:val="heading 7"/>
    <w:basedOn w:val="Normal"/>
    <w:next w:val="Normal"/>
    <w:link w:val="Heading7Char"/>
    <w:uiPriority w:val="9"/>
    <w:semiHidden/>
    <w:unhideWhenUsed/>
    <w:qFormat/>
    <w:rsid w:val="00003BB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03BB6"/>
    <w:pPr>
      <w:keepNext/>
      <w:keepLines/>
      <w:spacing w:after="0"/>
      <w:outlineLvl w:val="7"/>
    </w:pPr>
    <w:rPr>
      <w:rFonts w:asciiTheme="minorHAnsi" w:eastAsiaTheme="majorEastAsia" w:hAnsiTheme="minorHAnsi" w:cstheme="majorBidi"/>
      <w:i w:val="0"/>
      <w:iCs/>
      <w:color w:val="272727" w:themeColor="text1" w:themeTint="D8"/>
    </w:rPr>
  </w:style>
  <w:style w:type="paragraph" w:styleId="Heading9">
    <w:name w:val="heading 9"/>
    <w:basedOn w:val="Normal"/>
    <w:next w:val="Normal"/>
    <w:link w:val="Heading9Char"/>
    <w:uiPriority w:val="9"/>
    <w:semiHidden/>
    <w:unhideWhenUsed/>
    <w:qFormat/>
    <w:rsid w:val="00003BB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References"/>
    <w:uiPriority w:val="1"/>
    <w:qFormat/>
    <w:rsid w:val="00CB4BF7"/>
    <w:pPr>
      <w:spacing w:before="120" w:after="240" w:line="360" w:lineRule="auto"/>
      <w:ind w:left="720" w:hanging="720"/>
      <w:jc w:val="both"/>
    </w:pPr>
    <w:rPr>
      <w:rFonts w:ascii="Times New Roman" w:hAnsi="Times New Roman"/>
    </w:rPr>
  </w:style>
  <w:style w:type="character" w:customStyle="1" w:styleId="Heading1Char">
    <w:name w:val="Heading 1 Char"/>
    <w:basedOn w:val="DefaultParagraphFont"/>
    <w:link w:val="Heading1"/>
    <w:uiPriority w:val="9"/>
    <w:rsid w:val="009049C1"/>
    <w:rPr>
      <w:rFonts w:ascii="Arial" w:eastAsiaTheme="majorEastAsia" w:hAnsi="Arial" w:cstheme="majorBidi"/>
      <w:b/>
      <w:color w:val="45B0E1" w:themeColor="accent1" w:themeTint="99"/>
      <w:sz w:val="28"/>
      <w:szCs w:val="40"/>
    </w:rPr>
  </w:style>
  <w:style w:type="character" w:customStyle="1" w:styleId="Heading2Char">
    <w:name w:val="Heading 2 Char"/>
    <w:basedOn w:val="DefaultParagraphFont"/>
    <w:link w:val="Heading2"/>
    <w:uiPriority w:val="9"/>
    <w:rsid w:val="009049C1"/>
    <w:rPr>
      <w:rFonts w:ascii="Arial" w:eastAsiaTheme="majorEastAsia" w:hAnsi="Arial" w:cstheme="majorBidi"/>
      <w:b/>
      <w:color w:val="4C94D8" w:themeColor="text2" w:themeTint="80"/>
      <w:szCs w:val="32"/>
    </w:rPr>
  </w:style>
  <w:style w:type="character" w:customStyle="1" w:styleId="Heading3Char">
    <w:name w:val="Heading 3 Char"/>
    <w:basedOn w:val="DefaultParagraphFont"/>
    <w:link w:val="Heading3"/>
    <w:uiPriority w:val="9"/>
    <w:semiHidden/>
    <w:rsid w:val="00003B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3BB6"/>
    <w:rPr>
      <w:rFonts w:eastAsiaTheme="majorEastAsia" w:cstheme="majorBidi"/>
      <w:i w:val="0"/>
      <w:iCs/>
      <w:color w:val="0F4761" w:themeColor="accent1" w:themeShade="BF"/>
    </w:rPr>
  </w:style>
  <w:style w:type="character" w:customStyle="1" w:styleId="Heading5Char">
    <w:name w:val="Heading 5 Char"/>
    <w:basedOn w:val="DefaultParagraphFont"/>
    <w:link w:val="Heading5"/>
    <w:uiPriority w:val="9"/>
    <w:semiHidden/>
    <w:rsid w:val="00003B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3BB6"/>
    <w:rPr>
      <w:rFonts w:eastAsiaTheme="majorEastAsia" w:cstheme="majorBidi"/>
      <w:i w:val="0"/>
      <w:iCs/>
      <w:color w:val="595959" w:themeColor="text1" w:themeTint="A6"/>
    </w:rPr>
  </w:style>
  <w:style w:type="character" w:customStyle="1" w:styleId="Heading7Char">
    <w:name w:val="Heading 7 Char"/>
    <w:basedOn w:val="DefaultParagraphFont"/>
    <w:link w:val="Heading7"/>
    <w:uiPriority w:val="9"/>
    <w:semiHidden/>
    <w:rsid w:val="00003B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3BB6"/>
    <w:rPr>
      <w:rFonts w:eastAsiaTheme="majorEastAsia" w:cstheme="majorBidi"/>
      <w:i w:val="0"/>
      <w:iCs/>
      <w:color w:val="272727" w:themeColor="text1" w:themeTint="D8"/>
    </w:rPr>
  </w:style>
  <w:style w:type="character" w:customStyle="1" w:styleId="Heading9Char">
    <w:name w:val="Heading 9 Char"/>
    <w:basedOn w:val="DefaultParagraphFont"/>
    <w:link w:val="Heading9"/>
    <w:uiPriority w:val="9"/>
    <w:semiHidden/>
    <w:rsid w:val="00003BB6"/>
    <w:rPr>
      <w:rFonts w:eastAsiaTheme="majorEastAsia" w:cstheme="majorBidi"/>
      <w:color w:val="272727" w:themeColor="text1" w:themeTint="D8"/>
    </w:rPr>
  </w:style>
  <w:style w:type="paragraph" w:styleId="Title">
    <w:name w:val="Title"/>
    <w:basedOn w:val="Normal"/>
    <w:next w:val="Normal"/>
    <w:link w:val="TitleChar"/>
    <w:uiPriority w:val="10"/>
    <w:qFormat/>
    <w:rsid w:val="00003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B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BB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B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BB6"/>
    <w:pPr>
      <w:spacing w:before="160"/>
      <w:jc w:val="center"/>
    </w:pPr>
    <w:rPr>
      <w:i w:val="0"/>
      <w:iCs/>
      <w:color w:val="404040" w:themeColor="text1" w:themeTint="BF"/>
    </w:rPr>
  </w:style>
  <w:style w:type="character" w:customStyle="1" w:styleId="QuoteChar">
    <w:name w:val="Quote Char"/>
    <w:basedOn w:val="DefaultParagraphFont"/>
    <w:link w:val="Quote"/>
    <w:uiPriority w:val="29"/>
    <w:rsid w:val="00003BB6"/>
    <w:rPr>
      <w:rFonts w:ascii="Times New Roman" w:hAnsi="Times New Roman"/>
      <w:i w:val="0"/>
      <w:iCs/>
      <w:color w:val="404040" w:themeColor="text1" w:themeTint="BF"/>
    </w:rPr>
  </w:style>
  <w:style w:type="paragraph" w:styleId="ListParagraph">
    <w:name w:val="List Paragraph"/>
    <w:basedOn w:val="Normal"/>
    <w:uiPriority w:val="34"/>
    <w:qFormat/>
    <w:rsid w:val="00003BB6"/>
    <w:pPr>
      <w:ind w:left="720"/>
      <w:contextualSpacing/>
    </w:pPr>
  </w:style>
  <w:style w:type="character" w:styleId="IntenseEmphasis">
    <w:name w:val="Intense Emphasis"/>
    <w:basedOn w:val="DefaultParagraphFont"/>
    <w:uiPriority w:val="21"/>
    <w:qFormat/>
    <w:rsid w:val="00003BB6"/>
    <w:rPr>
      <w:i w:val="0"/>
      <w:iCs/>
      <w:color w:val="0F4761" w:themeColor="accent1" w:themeShade="BF"/>
    </w:rPr>
  </w:style>
  <w:style w:type="paragraph" w:styleId="IntenseQuote">
    <w:name w:val="Intense Quote"/>
    <w:basedOn w:val="Normal"/>
    <w:next w:val="Normal"/>
    <w:link w:val="IntenseQuoteChar"/>
    <w:uiPriority w:val="30"/>
    <w:qFormat/>
    <w:rsid w:val="00003BB6"/>
    <w:pPr>
      <w:pBdr>
        <w:top w:val="single" w:sz="4" w:space="10" w:color="0F4761" w:themeColor="accent1" w:themeShade="BF"/>
        <w:bottom w:val="single" w:sz="4" w:space="10" w:color="0F4761" w:themeColor="accent1" w:themeShade="BF"/>
      </w:pBdr>
      <w:spacing w:before="360" w:after="360"/>
      <w:ind w:left="864" w:right="864"/>
      <w:jc w:val="center"/>
    </w:pPr>
    <w:rPr>
      <w:i w:val="0"/>
      <w:iCs/>
      <w:color w:val="0F4761" w:themeColor="accent1" w:themeShade="BF"/>
    </w:rPr>
  </w:style>
  <w:style w:type="character" w:customStyle="1" w:styleId="IntenseQuoteChar">
    <w:name w:val="Intense Quote Char"/>
    <w:basedOn w:val="DefaultParagraphFont"/>
    <w:link w:val="IntenseQuote"/>
    <w:uiPriority w:val="30"/>
    <w:rsid w:val="00003BB6"/>
    <w:rPr>
      <w:rFonts w:ascii="Times New Roman" w:hAnsi="Times New Roman"/>
      <w:i w:val="0"/>
      <w:iCs/>
      <w:color w:val="0F4761" w:themeColor="accent1" w:themeShade="BF"/>
    </w:rPr>
  </w:style>
  <w:style w:type="character" w:styleId="IntenseReference">
    <w:name w:val="Intense Reference"/>
    <w:basedOn w:val="DefaultParagraphFont"/>
    <w:uiPriority w:val="32"/>
    <w:qFormat/>
    <w:rsid w:val="00003BB6"/>
    <w:rPr>
      <w:b/>
      <w:bCs/>
      <w:smallCaps/>
      <w:color w:val="0F4761" w:themeColor="accent1" w:themeShade="BF"/>
      <w:spacing w:val="5"/>
    </w:rPr>
  </w:style>
  <w:style w:type="character" w:styleId="Hyperlink">
    <w:name w:val="Hyperlink"/>
    <w:basedOn w:val="DefaultParagraphFont"/>
    <w:uiPriority w:val="99"/>
    <w:unhideWhenUsed/>
    <w:rsid w:val="00FA7772"/>
    <w:rPr>
      <w:color w:val="467886" w:themeColor="hyperlink"/>
      <w:u w:val="single"/>
    </w:rPr>
  </w:style>
  <w:style w:type="character" w:styleId="UnresolvedMention">
    <w:name w:val="Unresolved Mention"/>
    <w:basedOn w:val="DefaultParagraphFont"/>
    <w:uiPriority w:val="99"/>
    <w:semiHidden/>
    <w:unhideWhenUsed/>
    <w:rsid w:val="00FA7772"/>
    <w:rPr>
      <w:color w:val="605E5C"/>
      <w:shd w:val="clear" w:color="auto" w:fill="E1DFDD"/>
    </w:rPr>
  </w:style>
  <w:style w:type="paragraph" w:styleId="Header">
    <w:name w:val="header"/>
    <w:basedOn w:val="Normal"/>
    <w:link w:val="HeaderChar"/>
    <w:uiPriority w:val="99"/>
    <w:unhideWhenUsed/>
    <w:rsid w:val="007229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9C9"/>
  </w:style>
  <w:style w:type="paragraph" w:styleId="Footer">
    <w:name w:val="footer"/>
    <w:basedOn w:val="Normal"/>
    <w:link w:val="FooterChar"/>
    <w:uiPriority w:val="99"/>
    <w:unhideWhenUsed/>
    <w:rsid w:val="00722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9C9"/>
  </w:style>
  <w:style w:type="paragraph" w:styleId="TOCHeading">
    <w:name w:val="TOC Heading"/>
    <w:basedOn w:val="Heading1"/>
    <w:next w:val="Normal"/>
    <w:uiPriority w:val="39"/>
    <w:unhideWhenUsed/>
    <w:qFormat/>
    <w:rsid w:val="00E4213F"/>
    <w:pPr>
      <w:spacing w:before="240" w:after="0" w:line="259" w:lineRule="auto"/>
      <w:jc w:val="left"/>
      <w:outlineLvl w:val="9"/>
    </w:pPr>
    <w:rPr>
      <w:rFonts w:asciiTheme="majorHAnsi" w:hAnsiTheme="majorHAnsi"/>
      <w:b w:val="0"/>
      <w:i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E4213F"/>
    <w:pPr>
      <w:spacing w:after="100"/>
    </w:pPr>
  </w:style>
  <w:style w:type="paragraph" w:styleId="TOC2">
    <w:name w:val="toc 2"/>
    <w:basedOn w:val="Normal"/>
    <w:next w:val="Normal"/>
    <w:autoRedefine/>
    <w:uiPriority w:val="39"/>
    <w:unhideWhenUsed/>
    <w:rsid w:val="00E421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www.ifac.org/"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icaew.com/"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ifrs.org/issued-standards/ifrs-sustainability-standards-navigator/"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aicpa-cima.com/home" TargetMode="External" /><Relationship Id="rId4" Type="http://schemas.openxmlformats.org/officeDocument/2006/relationships/webSettings" Target="webSettings.xml" /><Relationship Id="rId9" Type="http://schemas.openxmlformats.org/officeDocument/2006/relationships/hyperlink" Target="https://home.barclays/content/dam/home-barclays/documents/investor-relations/reports-and-events/annual-reports/2025/Barclays-PLC-Annual-Report-2025.pdf" TargetMode="Externa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A8FBE-4FB0-42AA-BA14-58A4D1C63C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Liliya Radoslavova Radeva (2418897)</dc:creator>
  <cp:keywords/>
  <dc:description/>
  <cp:lastModifiedBy>liliyaradeva7@gmail.com</cp:lastModifiedBy>
  <cp:revision>2</cp:revision>
  <dcterms:created xsi:type="dcterms:W3CDTF">2026-07-17T20:01:00Z</dcterms:created>
  <dcterms:modified xsi:type="dcterms:W3CDTF">2026-07-17T20:01:00Z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05be7f68-ef79-45e0-bbf6-af3177815fd6</vt:lpwstr>
  </property>
</Properties>
</file>