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DAF29" w14:textId="77777777" w:rsidR="00077DEA" w:rsidRDefault="00077DEA">
      <w:pPr>
        <w:pStyle w:val="p1"/>
      </w:pPr>
      <w:r>
        <w:rPr>
          <w:rStyle w:val="s1"/>
        </w:rPr>
        <w:t>Name:</w:t>
      </w:r>
      <w:r>
        <w:rPr>
          <w:rStyle w:val="s2"/>
        </w:rPr>
        <w:t xml:space="preserve"> Nasreen Khalid maani</w:t>
      </w:r>
      <w:r>
        <w:rPr>
          <w:rStyle w:val="apple-converted-space"/>
          <w:rFonts w:ascii="UICTFontTextStyleBody" w:hAnsi="UICTFontTextStyleBody"/>
        </w:rPr>
        <w:t> </w:t>
      </w:r>
    </w:p>
    <w:p w14:paraId="375597BB" w14:textId="77777777" w:rsidR="00077DEA" w:rsidRDefault="00077DEA">
      <w:pPr>
        <w:pStyle w:val="p1"/>
      </w:pPr>
      <w:r>
        <w:rPr>
          <w:rStyle w:val="s1"/>
        </w:rPr>
        <w:t xml:space="preserve">Student Number: </w:t>
      </w:r>
      <w:r>
        <w:rPr>
          <w:rStyle w:val="s2"/>
        </w:rPr>
        <w:t>2528579</w:t>
      </w:r>
    </w:p>
    <w:p w14:paraId="69AAA09F" w14:textId="77777777" w:rsidR="00077DEA" w:rsidRDefault="00077DEA">
      <w:pPr>
        <w:pStyle w:val="p1"/>
      </w:pPr>
      <w:r>
        <w:rPr>
          <w:rStyle w:val="s1"/>
        </w:rPr>
        <w:t>Module Code: LCHS4001</w:t>
      </w:r>
      <w:r>
        <w:rPr>
          <w:rStyle w:val="apple-converted-space"/>
          <w:rFonts w:ascii="UICTFontTextStyleEmphasizedBody" w:hAnsi="UICTFontTextStyleEmphasizedBody"/>
          <w:b/>
          <w:bCs/>
        </w:rPr>
        <w:t> </w:t>
      </w:r>
    </w:p>
    <w:p w14:paraId="51E0DCBC" w14:textId="77777777" w:rsidR="00077DEA" w:rsidRDefault="00077DEA">
      <w:pPr>
        <w:pStyle w:val="p1"/>
      </w:pPr>
      <w:r>
        <w:rPr>
          <w:rStyle w:val="s1"/>
        </w:rPr>
        <w:t>Lecturer’s Name:</w:t>
      </w:r>
      <w:r>
        <w:rPr>
          <w:rStyle w:val="s2"/>
        </w:rPr>
        <w:t xml:space="preserve"> Charissa brain</w:t>
      </w:r>
      <w:r>
        <w:rPr>
          <w:rStyle w:val="apple-converted-space"/>
          <w:rFonts w:ascii="UICTFontTextStyleBody" w:hAnsi="UICTFontTextStyleBody"/>
        </w:rPr>
        <w:t> </w:t>
      </w:r>
    </w:p>
    <w:p w14:paraId="3A81047E" w14:textId="77777777" w:rsidR="00077DEA" w:rsidRDefault="00077DEA">
      <w:pPr>
        <w:pStyle w:val="p1"/>
      </w:pPr>
      <w:r>
        <w:rPr>
          <w:rStyle w:val="s1"/>
        </w:rPr>
        <w:t>Assignment Title:</w:t>
      </w:r>
      <w:r>
        <w:rPr>
          <w:rStyle w:val="s2"/>
        </w:rPr>
        <w:t xml:space="preserve"> Task 3: Professional Role Report – Child Practitioner</w:t>
      </w:r>
    </w:p>
    <w:p w14:paraId="02963AB5" w14:textId="77777777" w:rsidR="00077DEA" w:rsidRDefault="00077DEA">
      <w:pPr>
        <w:pStyle w:val="p2"/>
      </w:pPr>
    </w:p>
    <w:p w14:paraId="5856D891" w14:textId="77777777" w:rsidR="00077DEA" w:rsidRDefault="00077DEA">
      <w:pPr>
        <w:pStyle w:val="p1"/>
      </w:pPr>
      <w:r>
        <w:rPr>
          <w:rStyle w:val="s1"/>
        </w:rPr>
        <w:t>1. Introduction</w:t>
      </w:r>
    </w:p>
    <w:p w14:paraId="16BF0FF7" w14:textId="563F1E49" w:rsidR="00077DEA" w:rsidRDefault="00077DEA">
      <w:pPr>
        <w:pStyle w:val="p1"/>
      </w:pPr>
      <w:r>
        <w:rPr>
          <w:rStyle w:val="s2"/>
        </w:rPr>
        <w:t>The health and social care sector relies heavily on specialised roles to support vulnerable populations, particularly children in their formative years. This report examines the role of the Child Practitioner, a position central to early years development and child welfare. By following academic conventions, this report will describe the primary duties of the role, analyse three essential skills required for effective practice, and propose strategies for continuous improvement. As noted by Bruce (2020), the quality of early years intervention is a primary determinant of long-term educational and social success.</w:t>
      </w:r>
    </w:p>
    <w:p w14:paraId="3AD446AE" w14:textId="77777777" w:rsidR="00077DEA" w:rsidRDefault="00077DEA">
      <w:pPr>
        <w:pStyle w:val="p2"/>
      </w:pPr>
    </w:p>
    <w:p w14:paraId="7CA853C7" w14:textId="77777777" w:rsidR="00077DEA" w:rsidRDefault="00077DEA">
      <w:pPr>
        <w:pStyle w:val="p1"/>
      </w:pPr>
      <w:r>
        <w:rPr>
          <w:rStyle w:val="s1"/>
        </w:rPr>
        <w:t>2. The Role of the Child Practitioner</w:t>
      </w:r>
    </w:p>
    <w:p w14:paraId="60A2FFF0" w14:textId="517697AC" w:rsidR="00077DEA" w:rsidRDefault="00077DEA">
      <w:pPr>
        <w:pStyle w:val="p1"/>
      </w:pPr>
      <w:r>
        <w:rPr>
          <w:rStyle w:val="s2"/>
        </w:rPr>
        <w:t>A Child Practitioner operates within nurseries, community centres, or residential settings, focusing on the holistic development of children. Their primary responsibility is to create a safe, stimulating environment that meets the physical, emotional, and educational needs of those in their care.</w:t>
      </w:r>
    </w:p>
    <w:p w14:paraId="684183C2" w14:textId="43DEA69A" w:rsidR="00077DEA" w:rsidRDefault="00077DEA">
      <w:pPr>
        <w:pStyle w:val="p1"/>
      </w:pPr>
      <w:r>
        <w:rPr>
          <w:rStyle w:val="s2"/>
        </w:rPr>
        <w:t>Daily duties include planning and implementing activities aligned with the Early Years Foundation Stage (EYFS) framework. For example, a practitioner might design a "sensory play" session to help toddlers develop fine motor skills. Furthermore, the role involves meticulous record-keeping. Practitioners must document milestones and behavioural changes, which are essential for early intervention if a developmental delay is suspected (Department for Education, 2024). Another core responsibility is acting as a liaison between the setting and the parents, ensuring a consistent approach to the child's upbringing and wellbeing.</w:t>
      </w:r>
    </w:p>
    <w:p w14:paraId="3468A70F" w14:textId="77777777" w:rsidR="00077DEA" w:rsidRDefault="00077DEA">
      <w:pPr>
        <w:pStyle w:val="p2"/>
      </w:pPr>
    </w:p>
    <w:p w14:paraId="2DDDAE69" w14:textId="77777777" w:rsidR="00077DEA" w:rsidRDefault="00077DEA">
      <w:pPr>
        <w:pStyle w:val="p1"/>
      </w:pPr>
      <w:r>
        <w:rPr>
          <w:rStyle w:val="s1"/>
        </w:rPr>
        <w:t>3. Essential Skills for the Role</w:t>
      </w:r>
    </w:p>
    <w:p w14:paraId="2C78C252" w14:textId="77777777" w:rsidR="00077DEA" w:rsidRDefault="00077DEA">
      <w:pPr>
        <w:pStyle w:val="p1"/>
      </w:pPr>
      <w:r>
        <w:rPr>
          <w:rStyle w:val="s1"/>
        </w:rPr>
        <w:t>3.1 Effective Communication</w:t>
      </w:r>
    </w:p>
    <w:p w14:paraId="2FC384E7" w14:textId="77777777" w:rsidR="00077DEA" w:rsidRDefault="00077DEA">
      <w:pPr>
        <w:pStyle w:val="p1"/>
      </w:pPr>
      <w:r>
        <w:rPr>
          <w:rStyle w:val="s2"/>
        </w:rPr>
        <w:t>Communication is arguably the most critical skill for a Child Practitioner. It involves not only speaking but also the ability to interpret non-verbal cues from children who may not yet be verbal. According to Walker (2022), effective communication builds the "secure base" necessary for a child to feel safe enough to explore their environment.•</w:t>
      </w:r>
      <w:r>
        <w:rPr>
          <w:rStyle w:val="apple-converted-space"/>
          <w:rFonts w:ascii="UICTFontTextStyleBody" w:hAnsi="UICTFontTextStyleBody"/>
        </w:rPr>
        <w:t> </w:t>
      </w:r>
    </w:p>
    <w:p w14:paraId="7ACE65D6" w14:textId="77777777" w:rsidR="00077DEA" w:rsidRDefault="00077DEA">
      <w:pPr>
        <w:pStyle w:val="p1"/>
      </w:pPr>
      <w:r>
        <w:rPr>
          <w:rStyle w:val="s1"/>
        </w:rPr>
        <w:t>Role-Specific Example:</w:t>
      </w:r>
      <w:r>
        <w:rPr>
          <w:rStyle w:val="s2"/>
        </w:rPr>
        <w:t xml:space="preserve"> When a child is distressed because a parent has left, the practitioner uses "active listening" and soothing verbal reinforcement to validate the child's feelings, helping them transition into the day’s activities.</w:t>
      </w:r>
    </w:p>
    <w:p w14:paraId="5B25AD5D" w14:textId="77777777" w:rsidR="00077DEA" w:rsidRDefault="00077DEA">
      <w:pPr>
        <w:pStyle w:val="p2"/>
      </w:pPr>
    </w:p>
    <w:p w14:paraId="4F78B4E8" w14:textId="77777777" w:rsidR="00077DEA" w:rsidRDefault="00077DEA">
      <w:pPr>
        <w:pStyle w:val="p1"/>
      </w:pPr>
      <w:r>
        <w:rPr>
          <w:rStyle w:val="s1"/>
        </w:rPr>
        <w:t>3.2 Emotional Intelligence and Resilience</w:t>
      </w:r>
    </w:p>
    <w:p w14:paraId="64C1063D" w14:textId="005B634D" w:rsidR="00077DEA" w:rsidRDefault="00077DEA">
      <w:pPr>
        <w:pStyle w:val="p1"/>
      </w:pPr>
      <w:r>
        <w:rPr>
          <w:rStyle w:val="s2"/>
        </w:rPr>
        <w:t xml:space="preserve">Working with children is emotionally demanding. Emotional intelligence allows a practitioner to recognise their own stress triggers and manage them so they remain a calm presence for the children. This is supported by the theory of "Reflective Practice," which suggests that professionals must analyse their emotional responses to improve future performance (Bolton and </w:t>
      </w:r>
      <w:proofErr w:type="spellStart"/>
      <w:r>
        <w:rPr>
          <w:rStyle w:val="s2"/>
        </w:rPr>
        <w:t>Delderfield</w:t>
      </w:r>
      <w:proofErr w:type="spellEnd"/>
      <w:r>
        <w:rPr>
          <w:rStyle w:val="s2"/>
        </w:rPr>
        <w:t>, 2018).</w:t>
      </w:r>
    </w:p>
    <w:p w14:paraId="5C1949D2" w14:textId="77777777" w:rsidR="00077DEA" w:rsidRDefault="00077DEA">
      <w:pPr>
        <w:pStyle w:val="p1"/>
      </w:pPr>
      <w:r>
        <w:rPr>
          <w:rStyle w:val="s2"/>
        </w:rPr>
        <w:t xml:space="preserve">• </w:t>
      </w:r>
      <w:r>
        <w:rPr>
          <w:rStyle w:val="s1"/>
        </w:rPr>
        <w:t>Role-Specific Example:</w:t>
      </w:r>
      <w:r>
        <w:rPr>
          <w:rStyle w:val="s2"/>
        </w:rPr>
        <w:t xml:space="preserve"> During a period of high-conflict play between two children, a practitioner must remain neutral and patient, using the situation as a "teachable moment" for conflict resolution rather than reacting with frustration.</w:t>
      </w:r>
    </w:p>
    <w:p w14:paraId="5131DA33" w14:textId="77777777" w:rsidR="00077DEA" w:rsidRDefault="00077DEA">
      <w:pPr>
        <w:pStyle w:val="p1"/>
      </w:pPr>
      <w:r>
        <w:rPr>
          <w:rStyle w:val="s1"/>
        </w:rPr>
        <w:t>3.3 Safeguarding and Observation Skills</w:t>
      </w:r>
    </w:p>
    <w:p w14:paraId="008CB95D" w14:textId="77777777" w:rsidR="00077DEA" w:rsidRDefault="00077DEA">
      <w:pPr>
        <w:pStyle w:val="p1"/>
      </w:pPr>
      <w:r>
        <w:rPr>
          <w:rStyle w:val="s2"/>
        </w:rPr>
        <w:t>The ability to observe and identify risks is a legal requirement. Practitioners must be skilled in "professional curiosity"—the capacity to look past the obvious to ensure a child is not at risk of harm. This skill is essential because practitioners are often the first point of contact for children experiencing neglect (Cottrell, 2019).</w:t>
      </w:r>
    </w:p>
    <w:p w14:paraId="31AFC84D" w14:textId="77777777" w:rsidR="00077DEA" w:rsidRDefault="00077DEA">
      <w:pPr>
        <w:pStyle w:val="p1"/>
      </w:pPr>
      <w:r>
        <w:rPr>
          <w:rStyle w:val="s2"/>
        </w:rPr>
        <w:t xml:space="preserve">• </w:t>
      </w:r>
      <w:r>
        <w:rPr>
          <w:rStyle w:val="s1"/>
        </w:rPr>
        <w:t>Role-Specific Example:</w:t>
      </w:r>
      <w:r>
        <w:rPr>
          <w:rStyle w:val="s2"/>
        </w:rPr>
        <w:t xml:space="preserve"> If a child consistently arrives at a setting appearing unwashed or withdrawn, the practitioner must use their observation skills to document these patterns accurately and report them to the Designated Safeguarding Lead (DSL) in accordance with local legislation.</w:t>
      </w:r>
    </w:p>
    <w:p w14:paraId="3FA40F8F" w14:textId="77777777" w:rsidR="00077DEA" w:rsidRDefault="00077DEA">
      <w:pPr>
        <w:pStyle w:val="p2"/>
      </w:pPr>
    </w:p>
    <w:p w14:paraId="13F5C146" w14:textId="77777777" w:rsidR="00077DEA" w:rsidRDefault="00077DEA">
      <w:pPr>
        <w:pStyle w:val="p1"/>
      </w:pPr>
      <w:r>
        <w:rPr>
          <w:rStyle w:val="s1"/>
        </w:rPr>
        <w:t>4. Strategies for Professional Development</w:t>
      </w:r>
    </w:p>
    <w:p w14:paraId="56044DE8" w14:textId="77777777" w:rsidR="00077DEA" w:rsidRDefault="00077DEA">
      <w:pPr>
        <w:pStyle w:val="p1"/>
      </w:pPr>
      <w:r>
        <w:rPr>
          <w:rStyle w:val="s2"/>
        </w:rPr>
        <w:t xml:space="preserve">To improve </w:t>
      </w:r>
      <w:r>
        <w:rPr>
          <w:rStyle w:val="s1"/>
        </w:rPr>
        <w:t>Communication</w:t>
      </w:r>
      <w:r>
        <w:rPr>
          <w:rStyle w:val="s2"/>
        </w:rPr>
        <w:t xml:space="preserve">, a practitioner should engage in </w:t>
      </w:r>
      <w:r>
        <w:rPr>
          <w:rStyle w:val="s1"/>
        </w:rPr>
        <w:t>Shadowing and Peer Feedback</w:t>
      </w:r>
      <w:r>
        <w:rPr>
          <w:rStyle w:val="s2"/>
        </w:rPr>
        <w:t>. By observing a senior practitioner lead a parent-teacher consultation, the junior practitioner can learn how to deliver sensitive information about a child's progress. Research by Thompson (2021) suggests that peer-to-peer observation fosters a collaborative learning culture that directly improves service delivery.</w:t>
      </w:r>
    </w:p>
    <w:p w14:paraId="7E2D8EF3" w14:textId="77777777" w:rsidR="00077DEA" w:rsidRDefault="00077DEA">
      <w:pPr>
        <w:pStyle w:val="p1"/>
      </w:pPr>
      <w:r>
        <w:rPr>
          <w:rStyle w:val="s2"/>
        </w:rPr>
        <w:t xml:space="preserve">To develop </w:t>
      </w:r>
      <w:r>
        <w:rPr>
          <w:rStyle w:val="s1"/>
        </w:rPr>
        <w:t>Emotional Intelligence</w:t>
      </w:r>
      <w:r>
        <w:rPr>
          <w:rStyle w:val="s2"/>
        </w:rPr>
        <w:t xml:space="preserve">, the implementation of </w:t>
      </w:r>
      <w:r>
        <w:rPr>
          <w:rStyle w:val="s1"/>
        </w:rPr>
        <w:t>Reflective Journaling</w:t>
      </w:r>
      <w:r>
        <w:rPr>
          <w:rStyle w:val="s2"/>
        </w:rPr>
        <w:t xml:space="preserve"> is recommended. Spending fifteen minutes at the end of each shift documenting a "critical incident"—such as a difficult interaction with a child—allows the practitioner to deconstruct the event. This strategy helps in identifying emotional patterns and developing better coping mechanisms for future high-stress scenarios (Bolton and </w:t>
      </w:r>
      <w:proofErr w:type="spellStart"/>
      <w:r>
        <w:rPr>
          <w:rStyle w:val="s2"/>
        </w:rPr>
        <w:t>Delderfield</w:t>
      </w:r>
      <w:proofErr w:type="spellEnd"/>
      <w:r>
        <w:rPr>
          <w:rStyle w:val="s2"/>
        </w:rPr>
        <w:t>, 2018).</w:t>
      </w:r>
    </w:p>
    <w:p w14:paraId="34D20008" w14:textId="77777777" w:rsidR="00077DEA" w:rsidRDefault="00077DEA">
      <w:pPr>
        <w:pStyle w:val="p1"/>
      </w:pPr>
      <w:r>
        <w:rPr>
          <w:rStyle w:val="s2"/>
        </w:rPr>
        <w:t xml:space="preserve">Finally, to enhance </w:t>
      </w:r>
      <w:r>
        <w:rPr>
          <w:rStyle w:val="s1"/>
        </w:rPr>
        <w:t>Safeguarding Skills</w:t>
      </w:r>
      <w:r>
        <w:rPr>
          <w:rStyle w:val="s2"/>
        </w:rPr>
        <w:t xml:space="preserve">, the practitioner should undertake </w:t>
      </w:r>
      <w:r>
        <w:rPr>
          <w:rStyle w:val="s1"/>
        </w:rPr>
        <w:t>Formal Certification</w:t>
      </w:r>
      <w:r>
        <w:rPr>
          <w:rStyle w:val="s2"/>
        </w:rPr>
        <w:t xml:space="preserve"> (Level 3 Safeguarding). While basic training is often mandatory, advanced courses provide deeper insights into the legalities of the Children Act 2004. Staying updated with the latest government guidance ensures that the practitioner’s knowledge remains current and that they can act decisively when a child’s safety is at stake.</w:t>
      </w:r>
    </w:p>
    <w:p w14:paraId="77580134" w14:textId="77777777" w:rsidR="00077DEA" w:rsidRDefault="00077DEA">
      <w:pPr>
        <w:pStyle w:val="p2"/>
      </w:pPr>
    </w:p>
    <w:p w14:paraId="063320FB" w14:textId="77777777" w:rsidR="00077DEA" w:rsidRDefault="00077DEA">
      <w:pPr>
        <w:pStyle w:val="p1"/>
      </w:pPr>
      <w:r>
        <w:rPr>
          <w:rStyle w:val="s1"/>
        </w:rPr>
        <w:t>5. Conclusion</w:t>
      </w:r>
    </w:p>
    <w:p w14:paraId="7284DEAC" w14:textId="77777777" w:rsidR="00077DEA" w:rsidRDefault="00077DEA">
      <w:pPr>
        <w:pStyle w:val="p1"/>
      </w:pPr>
      <w:r>
        <w:rPr>
          <w:rStyle w:val="s2"/>
        </w:rPr>
        <w:t>The role of the Child Practitioner is multifaceted, requiring a balance of educational planning, emotional support, and vigilant safeguarding. As evidenced in this report, skills such as communication, emotional intelligence, and observation are not static; they must be nurtured through deliberate strategies like reflective practice and continuous training. By maintaining high standards of professional development, Child Practitioners ensure that the health and social care sector continues to provide a robust foundation for the next generation.</w:t>
      </w:r>
    </w:p>
    <w:p w14:paraId="6E5F741A" w14:textId="77777777" w:rsidR="00077DEA" w:rsidRDefault="00077DEA">
      <w:pPr>
        <w:pStyle w:val="p2"/>
      </w:pPr>
    </w:p>
    <w:p w14:paraId="5EF600CE" w14:textId="77777777" w:rsidR="00077DEA" w:rsidRDefault="00077DEA">
      <w:pPr>
        <w:pStyle w:val="p1"/>
      </w:pPr>
      <w:r>
        <w:rPr>
          <w:rStyle w:val="s1"/>
        </w:rPr>
        <w:t>6. Reference List (Harvard Style)</w:t>
      </w:r>
    </w:p>
    <w:p w14:paraId="1E89C650" w14:textId="77777777" w:rsidR="00077DEA" w:rsidRDefault="00077DEA">
      <w:pPr>
        <w:pStyle w:val="p1"/>
      </w:pPr>
      <w:r>
        <w:rPr>
          <w:rStyle w:val="s2"/>
        </w:rPr>
        <w:t xml:space="preserve">• </w:t>
      </w:r>
      <w:r>
        <w:rPr>
          <w:rStyle w:val="s1"/>
        </w:rPr>
        <w:t xml:space="preserve">Bolton, G. and </w:t>
      </w:r>
      <w:proofErr w:type="spellStart"/>
      <w:r>
        <w:rPr>
          <w:rStyle w:val="s1"/>
        </w:rPr>
        <w:t>Delderfield</w:t>
      </w:r>
      <w:proofErr w:type="spellEnd"/>
      <w:r>
        <w:rPr>
          <w:rStyle w:val="s1"/>
        </w:rPr>
        <w:t>, R. (2018)</w:t>
      </w:r>
      <w:r>
        <w:rPr>
          <w:rStyle w:val="s2"/>
        </w:rPr>
        <w:t xml:space="preserve"> Reflective Practice: Writing and Professional Development. 5th </w:t>
      </w:r>
      <w:proofErr w:type="spellStart"/>
      <w:r>
        <w:rPr>
          <w:rStyle w:val="s2"/>
        </w:rPr>
        <w:t>edn</w:t>
      </w:r>
      <w:proofErr w:type="spellEnd"/>
      <w:r>
        <w:rPr>
          <w:rStyle w:val="s2"/>
        </w:rPr>
        <w:t>. London: SAGE.</w:t>
      </w:r>
    </w:p>
    <w:p w14:paraId="2689BEFC" w14:textId="77777777" w:rsidR="00077DEA" w:rsidRDefault="00077DEA">
      <w:pPr>
        <w:pStyle w:val="p1"/>
      </w:pPr>
      <w:r>
        <w:rPr>
          <w:rStyle w:val="s2"/>
        </w:rPr>
        <w:t xml:space="preserve">• </w:t>
      </w:r>
      <w:r>
        <w:rPr>
          <w:rStyle w:val="s1"/>
        </w:rPr>
        <w:t>Bruce, T. (2020)</w:t>
      </w:r>
      <w:r>
        <w:rPr>
          <w:rStyle w:val="s2"/>
        </w:rPr>
        <w:t xml:space="preserve"> Early Childhood Education. 5th </w:t>
      </w:r>
      <w:proofErr w:type="spellStart"/>
      <w:r>
        <w:rPr>
          <w:rStyle w:val="s2"/>
        </w:rPr>
        <w:t>edn</w:t>
      </w:r>
      <w:proofErr w:type="spellEnd"/>
      <w:r>
        <w:rPr>
          <w:rStyle w:val="s2"/>
        </w:rPr>
        <w:t xml:space="preserve">. London: </w:t>
      </w:r>
      <w:proofErr w:type="spellStart"/>
      <w:r>
        <w:rPr>
          <w:rStyle w:val="s2"/>
        </w:rPr>
        <w:t>Hodder</w:t>
      </w:r>
      <w:proofErr w:type="spellEnd"/>
      <w:r>
        <w:rPr>
          <w:rStyle w:val="s2"/>
        </w:rPr>
        <w:t xml:space="preserve"> Education.</w:t>
      </w:r>
    </w:p>
    <w:p w14:paraId="0D708DCF" w14:textId="77777777" w:rsidR="00077DEA" w:rsidRDefault="00077DEA">
      <w:pPr>
        <w:pStyle w:val="p1"/>
      </w:pPr>
      <w:r>
        <w:rPr>
          <w:rStyle w:val="s2"/>
        </w:rPr>
        <w:t xml:space="preserve">• </w:t>
      </w:r>
      <w:r>
        <w:rPr>
          <w:rStyle w:val="s1"/>
        </w:rPr>
        <w:t>Cottrell, S. (2019)</w:t>
      </w:r>
      <w:r>
        <w:rPr>
          <w:rStyle w:val="s2"/>
        </w:rPr>
        <w:t xml:space="preserve"> The Study Skills Handbook. 5th </w:t>
      </w:r>
      <w:proofErr w:type="spellStart"/>
      <w:r>
        <w:rPr>
          <w:rStyle w:val="s2"/>
        </w:rPr>
        <w:t>edn</w:t>
      </w:r>
      <w:proofErr w:type="spellEnd"/>
      <w:r>
        <w:rPr>
          <w:rStyle w:val="s2"/>
        </w:rPr>
        <w:t>. London: Red Globe Press.</w:t>
      </w:r>
    </w:p>
    <w:p w14:paraId="31FD03E2" w14:textId="77777777" w:rsidR="00077DEA" w:rsidRDefault="00077DEA">
      <w:pPr>
        <w:pStyle w:val="p1"/>
      </w:pPr>
      <w:r>
        <w:rPr>
          <w:rStyle w:val="s2"/>
        </w:rPr>
        <w:t xml:space="preserve">• </w:t>
      </w:r>
      <w:r>
        <w:rPr>
          <w:rStyle w:val="s1"/>
        </w:rPr>
        <w:t>Department for Education (2024)</w:t>
      </w:r>
      <w:r>
        <w:rPr>
          <w:rStyle w:val="s2"/>
        </w:rPr>
        <w:t xml:space="preserve"> Statutory framework for the early years foundation stage. Available at: https://www.gov.uk (Accessed: 27 March 2026).</w:t>
      </w:r>
    </w:p>
    <w:p w14:paraId="528ACC18" w14:textId="77777777" w:rsidR="00077DEA" w:rsidRDefault="00077DEA">
      <w:pPr>
        <w:pStyle w:val="p1"/>
      </w:pPr>
      <w:r>
        <w:rPr>
          <w:rStyle w:val="s2"/>
        </w:rPr>
        <w:t xml:space="preserve">• </w:t>
      </w:r>
      <w:r>
        <w:rPr>
          <w:rStyle w:val="s1"/>
        </w:rPr>
        <w:t>Thompson, N. (2021)</w:t>
      </w:r>
      <w:r>
        <w:rPr>
          <w:rStyle w:val="s2"/>
        </w:rPr>
        <w:t xml:space="preserve"> Effective Communication: A Guide for the People Professions. 3rd </w:t>
      </w:r>
      <w:proofErr w:type="spellStart"/>
      <w:r>
        <w:rPr>
          <w:rStyle w:val="s2"/>
        </w:rPr>
        <w:t>edn</w:t>
      </w:r>
      <w:proofErr w:type="spellEnd"/>
      <w:r>
        <w:rPr>
          <w:rStyle w:val="s2"/>
        </w:rPr>
        <w:t xml:space="preserve">. London: </w:t>
      </w:r>
      <w:proofErr w:type="spellStart"/>
      <w:r>
        <w:rPr>
          <w:rStyle w:val="s2"/>
        </w:rPr>
        <w:t>Palgrave</w:t>
      </w:r>
      <w:proofErr w:type="spellEnd"/>
      <w:r>
        <w:rPr>
          <w:rStyle w:val="s2"/>
        </w:rPr>
        <w:t xml:space="preserve"> Macmillan.</w:t>
      </w:r>
    </w:p>
    <w:p w14:paraId="31C48A23" w14:textId="77777777" w:rsidR="00077DEA" w:rsidRDefault="00077DEA">
      <w:pPr>
        <w:pStyle w:val="p1"/>
      </w:pPr>
      <w:r>
        <w:rPr>
          <w:rStyle w:val="s2"/>
        </w:rPr>
        <w:t xml:space="preserve">• </w:t>
      </w:r>
      <w:r>
        <w:rPr>
          <w:rStyle w:val="s1"/>
        </w:rPr>
        <w:t>Walker, J. (2022)</w:t>
      </w:r>
      <w:r>
        <w:rPr>
          <w:rStyle w:val="s2"/>
        </w:rPr>
        <w:t xml:space="preserve"> Safeguarding Children and Young People. London: Pearson.</w:t>
      </w:r>
    </w:p>
    <w:p w14:paraId="56536C81" w14:textId="77777777" w:rsidR="00077DEA" w:rsidRDefault="00077DEA"/>
    <w:sectPr w:rsidR="00077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DEA"/>
    <w:rsid w:val="00033F0A"/>
    <w:rsid w:val="00077DEA"/>
    <w:rsid w:val="005B2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FB8974"/>
  <w15:chartTrackingRefBased/>
  <w15:docId w15:val="{170B72E6-33B2-A240-8321-847019567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DE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77DE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7D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77D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77D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77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DE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77DE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77D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77D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77D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77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DEA"/>
    <w:rPr>
      <w:rFonts w:eastAsiaTheme="majorEastAsia" w:cstheme="majorBidi"/>
      <w:color w:val="272727" w:themeColor="text1" w:themeTint="D8"/>
    </w:rPr>
  </w:style>
  <w:style w:type="paragraph" w:styleId="Title">
    <w:name w:val="Title"/>
    <w:basedOn w:val="Normal"/>
    <w:next w:val="Normal"/>
    <w:link w:val="TitleChar"/>
    <w:uiPriority w:val="10"/>
    <w:qFormat/>
    <w:rsid w:val="00077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DEA"/>
    <w:pPr>
      <w:spacing w:before="160"/>
      <w:jc w:val="center"/>
    </w:pPr>
    <w:rPr>
      <w:i/>
      <w:iCs/>
      <w:color w:val="404040" w:themeColor="text1" w:themeTint="BF"/>
    </w:rPr>
  </w:style>
  <w:style w:type="character" w:customStyle="1" w:styleId="QuoteChar">
    <w:name w:val="Quote Char"/>
    <w:basedOn w:val="DefaultParagraphFont"/>
    <w:link w:val="Quote"/>
    <w:uiPriority w:val="29"/>
    <w:rsid w:val="00077DEA"/>
    <w:rPr>
      <w:i/>
      <w:iCs/>
      <w:color w:val="404040" w:themeColor="text1" w:themeTint="BF"/>
    </w:rPr>
  </w:style>
  <w:style w:type="paragraph" w:styleId="ListParagraph">
    <w:name w:val="List Paragraph"/>
    <w:basedOn w:val="Normal"/>
    <w:uiPriority w:val="34"/>
    <w:qFormat/>
    <w:rsid w:val="00077DEA"/>
    <w:pPr>
      <w:ind w:left="720"/>
      <w:contextualSpacing/>
    </w:pPr>
  </w:style>
  <w:style w:type="character" w:styleId="IntenseEmphasis">
    <w:name w:val="Intense Emphasis"/>
    <w:basedOn w:val="DefaultParagraphFont"/>
    <w:uiPriority w:val="21"/>
    <w:qFormat/>
    <w:rsid w:val="00077DEA"/>
    <w:rPr>
      <w:i/>
      <w:iCs/>
      <w:color w:val="2F5496" w:themeColor="accent1" w:themeShade="BF"/>
    </w:rPr>
  </w:style>
  <w:style w:type="paragraph" w:styleId="IntenseQuote">
    <w:name w:val="Intense Quote"/>
    <w:basedOn w:val="Normal"/>
    <w:next w:val="Normal"/>
    <w:link w:val="IntenseQuoteChar"/>
    <w:uiPriority w:val="30"/>
    <w:qFormat/>
    <w:rsid w:val="00077D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7DEA"/>
    <w:rPr>
      <w:i/>
      <w:iCs/>
      <w:color w:val="2F5496" w:themeColor="accent1" w:themeShade="BF"/>
    </w:rPr>
  </w:style>
  <w:style w:type="character" w:styleId="IntenseReference">
    <w:name w:val="Intense Reference"/>
    <w:basedOn w:val="DefaultParagraphFont"/>
    <w:uiPriority w:val="32"/>
    <w:qFormat/>
    <w:rsid w:val="00077DEA"/>
    <w:rPr>
      <w:b/>
      <w:bCs/>
      <w:smallCaps/>
      <w:color w:val="2F5496" w:themeColor="accent1" w:themeShade="BF"/>
      <w:spacing w:val="5"/>
    </w:rPr>
  </w:style>
  <w:style w:type="paragraph" w:customStyle="1" w:styleId="p1">
    <w:name w:val="p1"/>
    <w:basedOn w:val="Normal"/>
    <w:rsid w:val="00077DEA"/>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077DEA"/>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077DEA"/>
    <w:rPr>
      <w:rFonts w:ascii="UICTFontTextStyleEmphasizedBody" w:hAnsi="UICTFontTextStyleEmphasizedBody" w:hint="default"/>
      <w:b/>
      <w:bCs/>
      <w:i w:val="0"/>
      <w:iCs w:val="0"/>
      <w:sz w:val="26"/>
      <w:szCs w:val="26"/>
    </w:rPr>
  </w:style>
  <w:style w:type="character" w:customStyle="1" w:styleId="s2">
    <w:name w:val="s2"/>
    <w:basedOn w:val="DefaultParagraphFont"/>
    <w:rsid w:val="00077DEA"/>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077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942</Words>
  <Characters>5371</Characters>
  <Application>Microsoft Office Word</Application>
  <DocSecurity>0</DocSecurity>
  <Lines>44</Lines>
  <Paragraphs>12</Paragraphs>
  <ScaleCrop>false</ScaleCrop>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maaninasreen139@gmail.com</dc:creator>
  <cp:keywords/>
  <dc:description/>
  <cp:lastModifiedBy>maaninasreen139@gmail.com</cp:lastModifiedBy>
  <cp:revision>2</cp:revision>
  <dcterms:created xsi:type="dcterms:W3CDTF">2026-04-17T01:09:00Z</dcterms:created>
  <dcterms:modified xsi:type="dcterms:W3CDTF">2026-04-17T01:09:00Z</dcterms:modified>
</cp:coreProperties>
</file>