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35D95" w14:textId="77777777" w:rsidR="0002354E" w:rsidRDefault="00000000">
      <w:pPr>
        <w:jc w:val="center"/>
      </w:pPr>
      <w:r>
        <w:rPr>
          <w:b/>
          <w:sz w:val="30"/>
        </w:rPr>
        <w:t>PLACE | Common Assessment Criteria</w:t>
      </w:r>
    </w:p>
    <w:p w14:paraId="0475D50F" w14:textId="75C1CE20" w:rsidR="0002354E" w:rsidRDefault="0002354E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46"/>
        <w:gridCol w:w="1915"/>
        <w:gridCol w:w="1915"/>
        <w:gridCol w:w="1915"/>
        <w:gridCol w:w="1915"/>
        <w:gridCol w:w="1915"/>
        <w:gridCol w:w="1915"/>
        <w:gridCol w:w="1915"/>
      </w:tblGrid>
      <w:tr w:rsidR="0002354E" w14:paraId="7038597F" w14:textId="77777777">
        <w:trPr>
          <w:cantSplit/>
          <w:tblHeader/>
        </w:trPr>
        <w:tc>
          <w:tcPr>
            <w:tcW w:w="2246" w:type="dxa"/>
            <w:shd w:val="clear" w:color="auto" w:fill="DCE8F5"/>
          </w:tcPr>
          <w:p w14:paraId="377B46AA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Category / weighting</w:t>
            </w:r>
          </w:p>
        </w:tc>
        <w:tc>
          <w:tcPr>
            <w:tcW w:w="1915" w:type="dxa"/>
            <w:shd w:val="clear" w:color="auto" w:fill="DCE8F5"/>
          </w:tcPr>
          <w:p w14:paraId="0F52B3AA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FAIL</w:t>
            </w:r>
            <w:r w:rsidRPr="00CE32C1">
              <w:rPr>
                <w:b/>
                <w:sz w:val="20"/>
                <w:szCs w:val="20"/>
              </w:rPr>
              <w:br/>
              <w:t>0–29%</w:t>
            </w:r>
          </w:p>
        </w:tc>
        <w:tc>
          <w:tcPr>
            <w:tcW w:w="1915" w:type="dxa"/>
            <w:shd w:val="clear" w:color="auto" w:fill="DCE8F5"/>
          </w:tcPr>
          <w:p w14:paraId="72C3344E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MARGINAL FAIL</w:t>
            </w:r>
            <w:r w:rsidRPr="00CE32C1">
              <w:rPr>
                <w:b/>
                <w:sz w:val="20"/>
                <w:szCs w:val="20"/>
              </w:rPr>
              <w:br/>
              <w:t>30–39%</w:t>
            </w:r>
          </w:p>
        </w:tc>
        <w:tc>
          <w:tcPr>
            <w:tcW w:w="1915" w:type="dxa"/>
            <w:shd w:val="clear" w:color="auto" w:fill="DCE8F5"/>
          </w:tcPr>
          <w:p w14:paraId="45BA9357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SATISFACTORY</w:t>
            </w:r>
            <w:r w:rsidRPr="00CE32C1">
              <w:rPr>
                <w:b/>
                <w:sz w:val="20"/>
                <w:szCs w:val="20"/>
              </w:rPr>
              <w:br/>
              <w:t>40–49%</w:t>
            </w:r>
          </w:p>
        </w:tc>
        <w:tc>
          <w:tcPr>
            <w:tcW w:w="1915" w:type="dxa"/>
            <w:shd w:val="clear" w:color="auto" w:fill="DCE8F5"/>
          </w:tcPr>
          <w:p w14:paraId="21B345F3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GOOD</w:t>
            </w:r>
            <w:r w:rsidRPr="00CE32C1">
              <w:rPr>
                <w:b/>
                <w:sz w:val="20"/>
                <w:szCs w:val="20"/>
              </w:rPr>
              <w:br/>
              <w:t>50–59%</w:t>
            </w:r>
          </w:p>
        </w:tc>
        <w:tc>
          <w:tcPr>
            <w:tcW w:w="1915" w:type="dxa"/>
            <w:shd w:val="clear" w:color="auto" w:fill="DCE8F5"/>
          </w:tcPr>
          <w:p w14:paraId="758F50D8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VERY GOOD</w:t>
            </w:r>
            <w:r w:rsidRPr="00CE32C1">
              <w:rPr>
                <w:b/>
                <w:sz w:val="20"/>
                <w:szCs w:val="20"/>
              </w:rPr>
              <w:br/>
              <w:t>60–69%</w:t>
            </w:r>
          </w:p>
        </w:tc>
        <w:tc>
          <w:tcPr>
            <w:tcW w:w="1915" w:type="dxa"/>
            <w:shd w:val="clear" w:color="auto" w:fill="DCE8F5"/>
          </w:tcPr>
          <w:p w14:paraId="161D58F2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EXCELLENT</w:t>
            </w:r>
            <w:r w:rsidRPr="00CE32C1">
              <w:rPr>
                <w:b/>
                <w:sz w:val="20"/>
                <w:szCs w:val="20"/>
              </w:rPr>
              <w:br/>
              <w:t>70–84%</w:t>
            </w:r>
          </w:p>
        </w:tc>
        <w:tc>
          <w:tcPr>
            <w:tcW w:w="1915" w:type="dxa"/>
            <w:shd w:val="clear" w:color="auto" w:fill="DCE8F5"/>
          </w:tcPr>
          <w:p w14:paraId="7EE9F3BB" w14:textId="77777777" w:rsidR="0002354E" w:rsidRPr="00CE32C1" w:rsidRDefault="00000000">
            <w:pPr>
              <w:spacing w:before="20" w:after="20" w:line="245" w:lineRule="auto"/>
              <w:jc w:val="center"/>
              <w:rPr>
                <w:sz w:val="20"/>
                <w:szCs w:val="20"/>
              </w:rPr>
            </w:pPr>
            <w:r w:rsidRPr="00CE32C1">
              <w:rPr>
                <w:b/>
                <w:sz w:val="20"/>
                <w:szCs w:val="20"/>
              </w:rPr>
              <w:t>EXCEPTIONAL</w:t>
            </w:r>
            <w:r w:rsidRPr="00CE32C1">
              <w:rPr>
                <w:b/>
                <w:sz w:val="20"/>
                <w:szCs w:val="20"/>
              </w:rPr>
              <w:br/>
              <w:t>85–100%</w:t>
            </w:r>
          </w:p>
        </w:tc>
      </w:tr>
      <w:tr w:rsidR="0002354E" w14:paraId="44E43E22" w14:textId="77777777">
        <w:trPr>
          <w:cantSplit/>
        </w:trPr>
        <w:tc>
          <w:tcPr>
            <w:tcW w:w="2246" w:type="dxa"/>
            <w:shd w:val="clear" w:color="auto" w:fill="EFF3F7"/>
          </w:tcPr>
          <w:p w14:paraId="153137A9" w14:textId="77777777" w:rsidR="000A113D" w:rsidRDefault="00000000">
            <w:pPr>
              <w:spacing w:before="20" w:after="20" w:line="245" w:lineRule="auto"/>
              <w:rPr>
                <w:b/>
                <w:sz w:val="20"/>
                <w:szCs w:val="20"/>
              </w:rPr>
            </w:pPr>
            <w:r w:rsidRPr="000A113D">
              <w:rPr>
                <w:b/>
                <w:sz w:val="20"/>
                <w:szCs w:val="20"/>
              </w:rPr>
              <w:t>2. Knowledge and Understanding Skills</w:t>
            </w:r>
          </w:p>
          <w:p w14:paraId="3CCE540C" w14:textId="50097097" w:rsidR="0002354E" w:rsidRPr="000A113D" w:rsidRDefault="00000000">
            <w:pPr>
              <w:spacing w:before="20" w:after="20" w:line="245" w:lineRule="auto"/>
              <w:rPr>
                <w:sz w:val="24"/>
                <w:szCs w:val="24"/>
              </w:rPr>
            </w:pPr>
            <w:r w:rsidRPr="000A113D">
              <w:rPr>
                <w:b/>
                <w:sz w:val="20"/>
                <w:szCs w:val="20"/>
              </w:rPr>
              <w:br/>
            </w:r>
            <w:r w:rsidRPr="000A113D">
              <w:rPr>
                <w:b/>
                <w:sz w:val="24"/>
                <w:szCs w:val="24"/>
              </w:rPr>
              <w:t>30%</w:t>
            </w:r>
          </w:p>
        </w:tc>
        <w:tc>
          <w:tcPr>
            <w:tcW w:w="1915" w:type="dxa"/>
          </w:tcPr>
          <w:p w14:paraId="527B3463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Little understanding of the theme of PLACE, relevant concepts or the processes used in the submitted work.</w:t>
            </w:r>
          </w:p>
        </w:tc>
        <w:tc>
          <w:tcPr>
            <w:tcW w:w="1915" w:type="dxa"/>
          </w:tcPr>
          <w:p w14:paraId="5B95A69C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Limited understanding of relevant concepts and processes, with significant gaps in explaining or contextualising the work.</w:t>
            </w:r>
          </w:p>
        </w:tc>
        <w:tc>
          <w:tcPr>
            <w:tcW w:w="1915" w:type="dxa"/>
          </w:tcPr>
          <w:p w14:paraId="1725970D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Basic understanding of PLACE-related ideas, research and processes, evidenced in the submitted work.</w:t>
            </w:r>
          </w:p>
        </w:tc>
        <w:tc>
          <w:tcPr>
            <w:tcW w:w="1915" w:type="dxa"/>
          </w:tcPr>
          <w:p w14:paraId="1820822D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Sound understanding of relevant concepts and processes, demonstrated through research, practical decisions and supporting evidence.</w:t>
            </w:r>
          </w:p>
        </w:tc>
        <w:tc>
          <w:tcPr>
            <w:tcW w:w="1915" w:type="dxa"/>
          </w:tcPr>
          <w:p w14:paraId="322EB185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Very good understanding of concepts and contexts, clearly demonstrated through the development and explanation of work.</w:t>
            </w:r>
          </w:p>
        </w:tc>
        <w:tc>
          <w:tcPr>
            <w:tcW w:w="1915" w:type="dxa"/>
          </w:tcPr>
          <w:p w14:paraId="445D057F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Strong understanding of relevant concepts and contexts, evidenced through thoughtful research and well-supported creative decisions.</w:t>
            </w:r>
          </w:p>
        </w:tc>
        <w:tc>
          <w:tcPr>
            <w:tcW w:w="1915" w:type="dxa"/>
          </w:tcPr>
          <w:p w14:paraId="3FA8AC3C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Exceptional insight into relevant concepts, contexts and processes, communicated clearly through the submitted body of work.</w:t>
            </w:r>
          </w:p>
        </w:tc>
      </w:tr>
      <w:tr w:rsidR="0002354E" w14:paraId="265DCA79" w14:textId="77777777">
        <w:trPr>
          <w:cantSplit/>
        </w:trPr>
        <w:tc>
          <w:tcPr>
            <w:tcW w:w="2246" w:type="dxa"/>
            <w:shd w:val="clear" w:color="auto" w:fill="EFF3F7"/>
          </w:tcPr>
          <w:p w14:paraId="20580BB8" w14:textId="77777777" w:rsidR="000A113D" w:rsidRDefault="00000000">
            <w:pPr>
              <w:spacing w:before="20" w:after="20" w:line="245" w:lineRule="auto"/>
              <w:rPr>
                <w:b/>
                <w:sz w:val="20"/>
                <w:szCs w:val="20"/>
              </w:rPr>
            </w:pPr>
            <w:r w:rsidRPr="000A113D">
              <w:rPr>
                <w:b/>
                <w:sz w:val="20"/>
                <w:szCs w:val="20"/>
              </w:rPr>
              <w:t>4. Practical Application Skills</w:t>
            </w:r>
          </w:p>
          <w:p w14:paraId="03306B02" w14:textId="1C3109F7" w:rsidR="0002354E" w:rsidRPr="000A113D" w:rsidRDefault="00000000">
            <w:pPr>
              <w:spacing w:before="20" w:after="20" w:line="245" w:lineRule="auto"/>
              <w:rPr>
                <w:sz w:val="24"/>
                <w:szCs w:val="24"/>
              </w:rPr>
            </w:pPr>
            <w:r w:rsidRPr="000A113D">
              <w:rPr>
                <w:b/>
                <w:sz w:val="20"/>
                <w:szCs w:val="20"/>
              </w:rPr>
              <w:br/>
            </w:r>
            <w:r w:rsidRPr="000A113D">
              <w:rPr>
                <w:b/>
                <w:sz w:val="24"/>
                <w:szCs w:val="24"/>
              </w:rPr>
              <w:t>30%</w:t>
            </w:r>
          </w:p>
        </w:tc>
        <w:tc>
          <w:tcPr>
            <w:tcW w:w="1915" w:type="dxa"/>
          </w:tcPr>
          <w:p w14:paraId="7385D83B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Little evidence of practical exploration, development or completed work suitable for submission.</w:t>
            </w:r>
          </w:p>
        </w:tc>
        <w:tc>
          <w:tcPr>
            <w:tcW w:w="1915" w:type="dxa"/>
          </w:tcPr>
          <w:p w14:paraId="70C54B97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Limited practical experimentation or development; submitted outcomes and supporting evidence are substantially incomplete.</w:t>
            </w:r>
          </w:p>
        </w:tc>
        <w:tc>
          <w:tcPr>
            <w:tcW w:w="1915" w:type="dxa"/>
          </w:tcPr>
          <w:p w14:paraId="5BF1CFDF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Basic application of materials and processes, with some experimentation and evidence of developing work.</w:t>
            </w:r>
          </w:p>
        </w:tc>
        <w:tc>
          <w:tcPr>
            <w:tcW w:w="1915" w:type="dxa"/>
          </w:tcPr>
          <w:p w14:paraId="66C08D21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Competent application of materials and processes, with clear experimentation, development and appropriate completed work.</w:t>
            </w:r>
          </w:p>
        </w:tc>
        <w:tc>
          <w:tcPr>
            <w:tcW w:w="1915" w:type="dxa"/>
          </w:tcPr>
          <w:p w14:paraId="03F31325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Confident and considered practical exploration, with effective development and well-presented outcomes.</w:t>
            </w:r>
          </w:p>
        </w:tc>
        <w:tc>
          <w:tcPr>
            <w:tcW w:w="1915" w:type="dxa"/>
          </w:tcPr>
          <w:p w14:paraId="1F3211FD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Skilled, purposeful experimentation and refinement, supported by clear evidence of process and resolved outcomes.</w:t>
            </w:r>
          </w:p>
        </w:tc>
        <w:tc>
          <w:tcPr>
            <w:tcW w:w="1915" w:type="dxa"/>
          </w:tcPr>
          <w:p w14:paraId="5EE8DC71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Inventive and highly accomplished practical work, with sustained development, thoughtful refinement and comprehensive evidence of process.</w:t>
            </w:r>
          </w:p>
        </w:tc>
      </w:tr>
      <w:tr w:rsidR="0002354E" w14:paraId="70FAA4DB" w14:textId="77777777">
        <w:trPr>
          <w:cantSplit/>
        </w:trPr>
        <w:tc>
          <w:tcPr>
            <w:tcW w:w="2246" w:type="dxa"/>
            <w:shd w:val="clear" w:color="auto" w:fill="EFF3F7"/>
          </w:tcPr>
          <w:p w14:paraId="0F9752DC" w14:textId="77777777" w:rsidR="000A113D" w:rsidRDefault="00000000">
            <w:pPr>
              <w:spacing w:before="20" w:after="20" w:line="245" w:lineRule="auto"/>
              <w:rPr>
                <w:b/>
                <w:sz w:val="20"/>
                <w:szCs w:val="20"/>
              </w:rPr>
            </w:pPr>
            <w:r w:rsidRPr="000A113D">
              <w:rPr>
                <w:b/>
                <w:sz w:val="20"/>
                <w:szCs w:val="20"/>
              </w:rPr>
              <w:t>5. Transferable Skills for Life and Professional Practice</w:t>
            </w:r>
          </w:p>
          <w:p w14:paraId="772D3B40" w14:textId="6CC65427" w:rsidR="0002354E" w:rsidRPr="000A113D" w:rsidRDefault="00000000">
            <w:pPr>
              <w:spacing w:before="20" w:after="20" w:line="245" w:lineRule="auto"/>
              <w:rPr>
                <w:sz w:val="24"/>
                <w:szCs w:val="24"/>
              </w:rPr>
            </w:pPr>
            <w:r w:rsidRPr="000A113D">
              <w:rPr>
                <w:b/>
                <w:sz w:val="20"/>
                <w:szCs w:val="20"/>
              </w:rPr>
              <w:br/>
            </w:r>
            <w:r w:rsidRPr="000A113D">
              <w:rPr>
                <w:b/>
                <w:sz w:val="24"/>
                <w:szCs w:val="24"/>
              </w:rPr>
              <w:t>40%</w:t>
            </w:r>
          </w:p>
        </w:tc>
        <w:tc>
          <w:tcPr>
            <w:tcW w:w="1915" w:type="dxa"/>
          </w:tcPr>
          <w:p w14:paraId="1D470867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Submission requirements are largely unmet; Adobe Portfolio, blog and supporting portfolio evidence are missing or difficult to access.</w:t>
            </w:r>
          </w:p>
        </w:tc>
        <w:tc>
          <w:tcPr>
            <w:tcW w:w="1915" w:type="dxa"/>
          </w:tcPr>
          <w:p w14:paraId="491A1E86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Submission is substantially incomplete or disorganised; Adobe Portfolio and supporting documentation contain significant gaps.</w:t>
            </w:r>
          </w:p>
        </w:tc>
        <w:tc>
          <w:tcPr>
            <w:tcW w:w="1915" w:type="dxa"/>
          </w:tcPr>
          <w:p w14:paraId="0A11E2FC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Basic Adobe Portfolio and supporting documentation are provided, with some appropriate work selected and submission requirements broadly addressed.</w:t>
            </w:r>
          </w:p>
        </w:tc>
        <w:tc>
          <w:tcPr>
            <w:tcW w:w="1915" w:type="dxa"/>
          </w:tcPr>
          <w:p w14:paraId="6B3D8B07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Adobe Portfolio is accessible and clearly organised; relevant work, process evidence and supporting documentation are presented in line with submission requirements.</w:t>
            </w:r>
          </w:p>
        </w:tc>
        <w:tc>
          <w:tcPr>
            <w:tcW w:w="1915" w:type="dxa"/>
          </w:tcPr>
          <w:p w14:paraId="330B6F33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Well-organised Adobe Portfolio and supporting records show thoughtful selection, clear documentation and consistent attention to submission requirements.</w:t>
            </w:r>
          </w:p>
        </w:tc>
        <w:tc>
          <w:tcPr>
            <w:tcW w:w="1915" w:type="dxa"/>
          </w:tcPr>
          <w:p w14:paraId="58B5C17B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Highly effective selection, organisation and presentation of required work across Adobe Portfolio, blog and physical evidence; the submission is coherent, accessible and complete.</w:t>
            </w:r>
          </w:p>
        </w:tc>
        <w:tc>
          <w:tcPr>
            <w:tcW w:w="1915" w:type="dxa"/>
          </w:tcPr>
          <w:p w14:paraId="4FCC703D" w14:textId="77777777" w:rsidR="0002354E" w:rsidRPr="00CE32C1" w:rsidRDefault="00000000">
            <w:pPr>
              <w:spacing w:before="20" w:after="20" w:line="245" w:lineRule="auto"/>
              <w:rPr>
                <w:sz w:val="20"/>
                <w:szCs w:val="20"/>
              </w:rPr>
            </w:pPr>
            <w:r w:rsidRPr="00CE32C1">
              <w:rPr>
                <w:sz w:val="20"/>
                <w:szCs w:val="20"/>
              </w:rPr>
              <w:t>Exceptionally clear, comprehensive and professional presentation of all required work; Adobe Portfolio and supporting evidence are carefully curated, accessible and consistently organised.</w:t>
            </w:r>
          </w:p>
        </w:tc>
      </w:tr>
    </w:tbl>
    <w:p w14:paraId="618EB436" w14:textId="204BBF04" w:rsidR="0002354E" w:rsidRDefault="0002354E"/>
    <w:sectPr w:rsidR="0002354E" w:rsidSect="00034616">
      <w:pgSz w:w="16834" w:h="11909" w:orient="landscape"/>
      <w:pgMar w:top="691" w:right="547" w:bottom="648" w:left="5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7477870">
    <w:abstractNumId w:val="8"/>
  </w:num>
  <w:num w:numId="2" w16cid:durableId="1773086184">
    <w:abstractNumId w:val="6"/>
  </w:num>
  <w:num w:numId="3" w16cid:durableId="546264329">
    <w:abstractNumId w:val="5"/>
  </w:num>
  <w:num w:numId="4" w16cid:durableId="1045063471">
    <w:abstractNumId w:val="4"/>
  </w:num>
  <w:num w:numId="5" w16cid:durableId="76487942">
    <w:abstractNumId w:val="7"/>
  </w:num>
  <w:num w:numId="6" w16cid:durableId="617839769">
    <w:abstractNumId w:val="3"/>
  </w:num>
  <w:num w:numId="7" w16cid:durableId="779027212">
    <w:abstractNumId w:val="2"/>
  </w:num>
  <w:num w:numId="8" w16cid:durableId="1255017325">
    <w:abstractNumId w:val="1"/>
  </w:num>
  <w:num w:numId="9" w16cid:durableId="380831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354E"/>
    <w:rsid w:val="00034616"/>
    <w:rsid w:val="0006063C"/>
    <w:rsid w:val="000A113D"/>
    <w:rsid w:val="0015074B"/>
    <w:rsid w:val="0029639D"/>
    <w:rsid w:val="00326F90"/>
    <w:rsid w:val="007C3FD7"/>
    <w:rsid w:val="00A35057"/>
    <w:rsid w:val="00AA1D8D"/>
    <w:rsid w:val="00B20C11"/>
    <w:rsid w:val="00B47730"/>
    <w:rsid w:val="00CB0664"/>
    <w:rsid w:val="00CE32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1F7F7D4-60F0-4191-BFB9-B173E1AC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anthony arrowsmith</cp:lastModifiedBy>
  <cp:revision>4</cp:revision>
  <dcterms:created xsi:type="dcterms:W3CDTF">2013-12-23T23:15:00Z</dcterms:created>
  <dcterms:modified xsi:type="dcterms:W3CDTF">2026-10-16T09:09:00Z</dcterms:modified>
  <cp:category/>
</cp:coreProperties>
</file>