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27E1F" w14:textId="380BCA6E" w:rsidR="00BE2107" w:rsidRPr="003D60D2" w:rsidRDefault="00BE2107" w:rsidP="00BE210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3D60D2">
        <w:rPr>
          <w:rFonts w:ascii="Times New Roman" w:eastAsia="Times New Roman" w:hAnsi="Times New Roman" w:cs="Times New Roman"/>
          <w:b/>
          <w:bCs/>
          <w:kern w:val="36"/>
          <w:sz w:val="48"/>
          <w:szCs w:val="48"/>
          <w:lang w:eastAsia="en-GB"/>
          <w14:ligatures w14:val="none"/>
        </w:rPr>
        <w:t xml:space="preserve">                      </w:t>
      </w:r>
      <w:r w:rsidR="003D60D2" w:rsidRPr="003D60D2">
        <w:rPr>
          <w:rFonts w:ascii="Times New Roman" w:eastAsia="Times New Roman" w:hAnsi="Times New Roman" w:cs="Times New Roman"/>
          <w:b/>
          <w:bCs/>
          <w:kern w:val="36"/>
          <w:sz w:val="48"/>
          <w:szCs w:val="48"/>
          <w:lang w:eastAsia="en-GB"/>
          <w14:ligatures w14:val="none"/>
        </w:rPr>
        <w:t>Pavlina Balazova</w:t>
      </w:r>
      <w:r w:rsidRPr="003D60D2">
        <w:rPr>
          <w:rFonts w:ascii="Times New Roman" w:eastAsia="Times New Roman" w:hAnsi="Times New Roman" w:cs="Times New Roman"/>
          <w:b/>
          <w:bCs/>
          <w:kern w:val="36"/>
          <w:sz w:val="48"/>
          <w:szCs w:val="48"/>
          <w:lang w:eastAsia="en-GB"/>
          <w14:ligatures w14:val="none"/>
        </w:rPr>
        <w:t xml:space="preserve"> </w:t>
      </w:r>
    </w:p>
    <w:p w14:paraId="52F2906B" w14:textId="3A69CE2A" w:rsidR="00BE2107" w:rsidRPr="003D60D2" w:rsidRDefault="00BE2107" w:rsidP="00BE2107">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3D60D2">
        <w:rPr>
          <w:rFonts w:ascii="Times New Roman" w:eastAsia="Times New Roman" w:hAnsi="Times New Roman" w:cs="Times New Roman"/>
          <w:b/>
          <w:bCs/>
          <w:kern w:val="36"/>
          <w:sz w:val="48"/>
          <w:szCs w:val="48"/>
          <w:lang w:eastAsia="en-GB"/>
          <w14:ligatures w14:val="none"/>
        </w:rPr>
        <w:t>Introduction to Hebrew Bible</w:t>
      </w:r>
    </w:p>
    <w:p w14:paraId="54BB0CB4" w14:textId="77777777" w:rsidR="00BE2107" w:rsidRPr="003D60D2" w:rsidRDefault="00BE2107" w:rsidP="00BE210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981AB29" w14:textId="3E3D6791" w:rsidR="00BE2107" w:rsidRPr="003D60D2" w:rsidRDefault="00BE2107" w:rsidP="00BE2107">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862E66">
        <w:rPr>
          <w:rFonts w:ascii="Times New Roman" w:eastAsia="Times New Roman" w:hAnsi="Times New Roman" w:cs="Times New Roman"/>
          <w:b/>
          <w:bCs/>
          <w:kern w:val="36"/>
          <w:sz w:val="48"/>
          <w:szCs w:val="48"/>
          <w:lang w:eastAsia="en-GB"/>
          <w14:ligatures w14:val="none"/>
        </w:rPr>
        <w:t>Assessment One</w:t>
      </w:r>
    </w:p>
    <w:p w14:paraId="2BD3ECF3" w14:textId="0434D6E7" w:rsidR="00BE2107" w:rsidRPr="00862E66" w:rsidRDefault="00BE2107" w:rsidP="00BE2107">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862E66">
        <w:rPr>
          <w:rFonts w:ascii="Times New Roman" w:eastAsia="Times New Roman" w:hAnsi="Times New Roman" w:cs="Times New Roman"/>
          <w:b/>
          <w:bCs/>
          <w:kern w:val="36"/>
          <w:sz w:val="48"/>
          <w:szCs w:val="48"/>
          <w:lang w:eastAsia="en-GB"/>
          <w14:ligatures w14:val="none"/>
        </w:rPr>
        <w:t>Poster Report on the Role of the Hebrew Bible in Judaism</w:t>
      </w:r>
    </w:p>
    <w:p w14:paraId="41D14CB1" w14:textId="77777777" w:rsidR="00B722AA" w:rsidRDefault="00B722AA" w:rsidP="00BE2107"/>
    <w:p w14:paraId="718CA3B4" w14:textId="77777777" w:rsidR="00BE2107" w:rsidRDefault="00BE2107" w:rsidP="00BE2107"/>
    <w:p w14:paraId="7F8792CA" w14:textId="77777777" w:rsidR="00BE2107" w:rsidRDefault="00BE2107" w:rsidP="00BE2107"/>
    <w:p w14:paraId="1FD25E5D" w14:textId="56085D5C" w:rsidR="00BE2107" w:rsidRPr="003D60D2" w:rsidRDefault="00BE2107" w:rsidP="00BE2107">
      <w:pPr>
        <w:pStyle w:val="Normlnweb"/>
        <w:rPr>
          <w:sz w:val="28"/>
          <w:szCs w:val="28"/>
        </w:rPr>
      </w:pPr>
      <w:r w:rsidRPr="003D60D2">
        <w:rPr>
          <w:b/>
          <w:bCs/>
          <w:sz w:val="28"/>
          <w:szCs w:val="28"/>
        </w:rPr>
        <w:t>Introduction</w:t>
      </w:r>
      <w:r w:rsidRPr="003D60D2">
        <w:rPr>
          <w:sz w:val="28"/>
          <w:szCs w:val="28"/>
        </w:rPr>
        <w:t xml:space="preserve"> </w:t>
      </w:r>
    </w:p>
    <w:p w14:paraId="647AD94B" w14:textId="77777777" w:rsidR="00BE2107" w:rsidRPr="003D60D2" w:rsidRDefault="00BE2107" w:rsidP="00BE2107">
      <w:pPr>
        <w:pStyle w:val="Normlnweb"/>
        <w:rPr>
          <w:sz w:val="28"/>
          <w:szCs w:val="28"/>
        </w:rPr>
      </w:pPr>
      <w:r w:rsidRPr="003D60D2">
        <w:rPr>
          <w:sz w:val="28"/>
          <w:szCs w:val="28"/>
        </w:rPr>
        <w:t>The Tanakh (Hebrew Bible, Torah) serves as the canonical sacred scripture of Judaism, with the monotheistic rabbis developing new variants of the older religious tradition. The Tanakh (Pentateuch), Nevi’im (Prophets), and Ketuvim (Writings) represent an act of divine revelation, a historical account, and a moral compass for Jewish communities throughout the world. This article examines the importance of the Hebrew Bible or TaNaKh within the Jewish faith, with respect to its function as a source of covenant identity, worship, law, and ethics. It draws upon both primary literature (the Bible) and secondary literature (scholarly works) to illustrate how the Tanakh codifies Jewish life. In this poster, the focus and imagery are captured through critical verse. This study makes the case that the Hebrew Bible is more than a religious text—that it is a powerful force for bringing together Jewish theology, practice, and community for generations, and that it remains a relevant presence in everything from daily prayers to legal traditions. Through a multifaceted exploration of its functions, this essay demonstrates the lasting centrality of the Tanakh in Judaism.</w:t>
      </w:r>
    </w:p>
    <w:p w14:paraId="434A5774" w14:textId="5209B913" w:rsidR="009A04CA" w:rsidRPr="003D60D2" w:rsidRDefault="009A04CA" w:rsidP="009A04CA">
      <w:pPr>
        <w:pStyle w:val="Normlnweb"/>
        <w:rPr>
          <w:b/>
          <w:bCs/>
          <w:sz w:val="28"/>
          <w:szCs w:val="28"/>
        </w:rPr>
      </w:pPr>
      <w:r w:rsidRPr="003D60D2">
        <w:rPr>
          <w:b/>
          <w:bCs/>
          <w:sz w:val="28"/>
          <w:szCs w:val="28"/>
        </w:rPr>
        <w:t xml:space="preserve">Analysis of the Hebrew Bible’s Function </w:t>
      </w:r>
    </w:p>
    <w:p w14:paraId="1609E79E" w14:textId="063B407A" w:rsidR="009A04CA" w:rsidRPr="003D60D2" w:rsidRDefault="009A04CA" w:rsidP="009A04CA">
      <w:pPr>
        <w:pStyle w:val="Normlnweb"/>
        <w:rPr>
          <w:sz w:val="28"/>
          <w:szCs w:val="28"/>
        </w:rPr>
      </w:pPr>
      <w:r w:rsidRPr="003D60D2">
        <w:rPr>
          <w:sz w:val="28"/>
          <w:szCs w:val="28"/>
        </w:rPr>
        <w:t xml:space="preserve">The Tanakh is the ancient sacred text of the Jewish religion, the first of the three parts of the Hebrew Bible, held common in both Judaism and Christianity. A total of 24 books, it is a tripartite structure: Torah (Instruction), Nevi’im (Prophets), and Ketuvim (Writings). The first five books (known as the Torah) are accorded the greatest authority and are considered to have been revealed </w:t>
      </w:r>
      <w:r w:rsidRPr="003D60D2">
        <w:rPr>
          <w:sz w:val="28"/>
          <w:szCs w:val="28"/>
        </w:rPr>
        <w:lastRenderedPageBreak/>
        <w:t xml:space="preserve">rather than written by God himself to Moses on Mount Sinai. It includes the central covenant between God and Israel, that Israel is to be a “treasured possession” to God (Exodus 19:5–6) </w:t>
      </w:r>
      <w:r w:rsidR="003D60D2" w:rsidRPr="003D60D2">
        <w:rPr>
          <w:sz w:val="28"/>
          <w:szCs w:val="28"/>
        </w:rPr>
        <w:t>if</w:t>
      </w:r>
      <w:r w:rsidRPr="003D60D2">
        <w:rPr>
          <w:sz w:val="28"/>
          <w:szCs w:val="28"/>
        </w:rPr>
        <w:t xml:space="preserve"> it obeys His commandments. This covenant is the theological basis of Jewish peoplehood and communal obligation.</w:t>
      </w:r>
    </w:p>
    <w:p w14:paraId="15075026" w14:textId="6925E272" w:rsidR="009A04CA" w:rsidRPr="003D60D2" w:rsidRDefault="009A04CA" w:rsidP="009A04CA">
      <w:pPr>
        <w:pStyle w:val="Normlnweb"/>
        <w:rPr>
          <w:sz w:val="28"/>
          <w:szCs w:val="28"/>
        </w:rPr>
      </w:pPr>
      <w:r w:rsidRPr="003D60D2">
        <w:rPr>
          <w:sz w:val="28"/>
          <w:szCs w:val="28"/>
        </w:rPr>
        <w:t xml:space="preserve">The Torah comprises legal, ethical, and ritual stipulations and was developed as early as c. 1500 BCE (traditional dating) by the Israelites, initially partially orally and partially in writing. The Ten Commandments, including the Shema and Golden Rule, follow the framework of commands that require future explanation. So </w:t>
      </w:r>
      <w:r w:rsidR="003D60D2" w:rsidRPr="003D60D2">
        <w:rPr>
          <w:sz w:val="28"/>
          <w:szCs w:val="28"/>
        </w:rPr>
        <w:t>also,</w:t>
      </w:r>
      <w:r w:rsidRPr="003D60D2">
        <w:rPr>
          <w:sz w:val="28"/>
          <w:szCs w:val="28"/>
        </w:rPr>
        <w:t xml:space="preserve"> these commandments are a kind of microcosm of the mitzvot that order the life of the Jew every day, in terms of what we ourselves may do in our own bodies, but also </w:t>
      </w:r>
      <w:r w:rsidR="003D60D2" w:rsidRPr="003D60D2">
        <w:rPr>
          <w:sz w:val="28"/>
          <w:szCs w:val="28"/>
        </w:rPr>
        <w:t>about</w:t>
      </w:r>
      <w:r w:rsidRPr="003D60D2">
        <w:rPr>
          <w:sz w:val="28"/>
          <w:szCs w:val="28"/>
        </w:rPr>
        <w:t xml:space="preserve"> the culture in which we live.</w:t>
      </w:r>
    </w:p>
    <w:p w14:paraId="549A7AAD" w14:textId="0CBAE0C3" w:rsidR="009A04CA" w:rsidRPr="003D60D2" w:rsidRDefault="009A04CA" w:rsidP="009A04CA">
      <w:pPr>
        <w:pStyle w:val="Normlnweb"/>
        <w:rPr>
          <w:sz w:val="28"/>
          <w:szCs w:val="28"/>
        </w:rPr>
      </w:pPr>
      <w:r w:rsidRPr="003D60D2">
        <w:rPr>
          <w:sz w:val="28"/>
          <w:szCs w:val="28"/>
        </w:rPr>
        <w:t xml:space="preserve">Jewish Theology: The Shema </w:t>
      </w:r>
      <w:r w:rsidR="003D60D2" w:rsidRPr="003D60D2">
        <w:rPr>
          <w:sz w:val="28"/>
          <w:szCs w:val="28"/>
        </w:rPr>
        <w:t>the</w:t>
      </w:r>
      <w:r w:rsidRPr="003D60D2">
        <w:rPr>
          <w:sz w:val="28"/>
          <w:szCs w:val="28"/>
        </w:rPr>
        <w:t xml:space="preserve"> Shema (Deuteronomy 6:4–5</w:t>
      </w:r>
      <w:r w:rsidR="003D60D2" w:rsidRPr="003D60D2">
        <w:rPr>
          <w:sz w:val="28"/>
          <w:szCs w:val="28"/>
        </w:rPr>
        <w:t>—” Hear</w:t>
      </w:r>
      <w:r w:rsidRPr="003D60D2">
        <w:rPr>
          <w:sz w:val="28"/>
          <w:szCs w:val="28"/>
        </w:rPr>
        <w:t>, O Israel: The Lord our God, the Lord is one”) is the most basic expression of Jewish monotheism and the Jewish faith in God. It is read daily, included in Jewish prayer services, inscribed on the outer part of a mezuzah scroll and sometimes worn in the tefillin. The Shema is a reminder that the Hebrew Bible is a text, yes, but it is also a life that is lived — a body in which humans live and grow and where rituals are performed daily, and the text is given down through the generations.</w:t>
      </w:r>
    </w:p>
    <w:p w14:paraId="45611384" w14:textId="77777777" w:rsidR="009A04CA" w:rsidRPr="003D60D2" w:rsidRDefault="009A04CA" w:rsidP="009A04CA">
      <w:pPr>
        <w:pStyle w:val="Normlnweb"/>
        <w:rPr>
          <w:sz w:val="28"/>
          <w:szCs w:val="28"/>
        </w:rPr>
      </w:pPr>
      <w:r w:rsidRPr="003D60D2">
        <w:rPr>
          <w:sz w:val="28"/>
          <w:szCs w:val="28"/>
        </w:rPr>
        <w:t>The Tanakh also supports and helps shape moral and spiritual conduct. In Psalm 119:105, it is written, “Your word is a lamp for my feet,” meaning that the Bible is a guide for our journey. This verse serves as the foundation for the Jewish principle of Talmud Torah, and studying and interpreting Torah is a lifelong obligation. This intellectual pursuit evolved into Talmudic studies, which connected the Written Torah to the Oral Torah (subsequently written in the Mishnah and Talmud) as a cornerstone of Jewish law.</w:t>
      </w:r>
    </w:p>
    <w:p w14:paraId="38369289" w14:textId="77777777" w:rsidR="009A04CA" w:rsidRPr="003D60D2" w:rsidRDefault="009A04CA" w:rsidP="009A04CA">
      <w:pPr>
        <w:pStyle w:val="Normlnweb"/>
        <w:rPr>
          <w:sz w:val="28"/>
          <w:szCs w:val="28"/>
        </w:rPr>
      </w:pPr>
      <w:r w:rsidRPr="003D60D2">
        <w:rPr>
          <w:sz w:val="28"/>
          <w:szCs w:val="28"/>
        </w:rPr>
        <w:t>The Nevi’im and Ketuvim, though less blinded by law, give form to Jewish ethics and social values. Prophetic literature such as Isaiah 58:6–7 calls for justice and care for the oppressed, while the narratives of history, for instance the Exodus—in which people collectively remember their liberation/deliverance by God—serve as memorials of liberation and divine deliverance, and as celebrations that the participants are obligated to recall annually. Stories like these create social resiliency, hope and life, even in exile and persecution.</w:t>
      </w:r>
    </w:p>
    <w:p w14:paraId="0FE174B6" w14:textId="784D4379" w:rsidR="009A04CA" w:rsidRPr="003D60D2" w:rsidRDefault="009A04CA" w:rsidP="009A04CA">
      <w:pPr>
        <w:pStyle w:val="Normlnweb"/>
        <w:rPr>
          <w:b/>
          <w:bCs/>
          <w:sz w:val="28"/>
          <w:szCs w:val="28"/>
        </w:rPr>
      </w:pPr>
      <w:r w:rsidRPr="003D60D2">
        <w:rPr>
          <w:b/>
          <w:bCs/>
          <w:sz w:val="28"/>
          <w:szCs w:val="28"/>
        </w:rPr>
        <w:t xml:space="preserve">Significance in Judaism </w:t>
      </w:r>
    </w:p>
    <w:p w14:paraId="574722FD" w14:textId="77777777" w:rsidR="009A04CA" w:rsidRPr="003D60D2" w:rsidRDefault="009A04CA" w:rsidP="009A04CA">
      <w:pPr>
        <w:pStyle w:val="Normlnweb"/>
        <w:rPr>
          <w:sz w:val="28"/>
          <w:szCs w:val="28"/>
        </w:rPr>
      </w:pPr>
      <w:r w:rsidRPr="003D60D2">
        <w:rPr>
          <w:sz w:val="28"/>
          <w:szCs w:val="28"/>
        </w:rPr>
        <w:t xml:space="preserve">Value The Hebrew Bible (Tanakh) is the “Bible” of the Jewish people, making up the theological, legal, ethical, and liturgical framework of Jewish life. It is infinitely more than a historical document; it is a living document that moulds </w:t>
      </w:r>
      <w:r w:rsidRPr="003D60D2">
        <w:rPr>
          <w:sz w:val="28"/>
          <w:szCs w:val="28"/>
        </w:rPr>
        <w:lastRenderedPageBreak/>
        <w:t>Jewish identity, life and thought. Its centrality is its manifold nature as a divine covenant, focus of worship, legal constitution, and moral guide.</w:t>
      </w:r>
    </w:p>
    <w:p w14:paraId="5F161894" w14:textId="0CD77660" w:rsidR="009A04CA" w:rsidRPr="003D60D2" w:rsidRDefault="009A04CA" w:rsidP="009A04CA">
      <w:pPr>
        <w:pStyle w:val="Normlnweb"/>
        <w:rPr>
          <w:sz w:val="28"/>
          <w:szCs w:val="28"/>
        </w:rPr>
      </w:pPr>
      <w:r w:rsidRPr="003D60D2">
        <w:rPr>
          <w:sz w:val="28"/>
          <w:szCs w:val="28"/>
        </w:rPr>
        <w:t xml:space="preserve">Covenant, a fundamental characteristic of the Tanakh, is the idea of a contract or agreement between God and the Children of Israel. This is summed up in Exodus 19:5–6 when God says, “if you will obey my voice, and keep my covenant, you shall be my own possession… a holy nation.” This covenant defines the Jews as a people chosen by God to continue a divine mission. It also depicts Judaism as a communal faith, uniting Jews across time and space through common laws, practices, and obligations. As Norman Cohen explains in The Way </w:t>
      </w:r>
      <w:r w:rsidR="003D60D2" w:rsidRPr="003D60D2">
        <w:rPr>
          <w:sz w:val="28"/>
          <w:szCs w:val="28"/>
        </w:rPr>
        <w:t>into</w:t>
      </w:r>
      <w:r w:rsidRPr="003D60D2">
        <w:rPr>
          <w:sz w:val="28"/>
          <w:szCs w:val="28"/>
        </w:rPr>
        <w:t xml:space="preserve"> Torah (2000), the Torah’s covenantal structure “delineates Jewish mission,” imbuing it with the gift of privilege and the demand of responsibility.</w:t>
      </w:r>
    </w:p>
    <w:p w14:paraId="6DB9C958" w14:textId="2FE5B9EE" w:rsidR="009A04CA" w:rsidRPr="003D60D2" w:rsidRDefault="009A04CA" w:rsidP="009A04CA">
      <w:pPr>
        <w:pStyle w:val="Normlnweb"/>
        <w:rPr>
          <w:sz w:val="28"/>
          <w:szCs w:val="28"/>
        </w:rPr>
      </w:pPr>
      <w:r w:rsidRPr="003D60D2">
        <w:rPr>
          <w:sz w:val="28"/>
          <w:szCs w:val="28"/>
        </w:rPr>
        <w:t xml:space="preserve">The Tanakh is also important to Jewish worship. Its effect can be found in daily prayers, weekly readings in the synagogue, and on the annual holidays. The Shema (Deuteronomy 6:4–5) expressing the oneness of God and the obligation to love God is recited twice daily and is among the most recognisable of the Jewish statements of monotheism. Torah portions (known as parshiyot) are read aloud on a weekly basis in a cycle that </w:t>
      </w:r>
      <w:r w:rsidR="003D60D2" w:rsidRPr="003D60D2">
        <w:rPr>
          <w:sz w:val="28"/>
          <w:szCs w:val="28"/>
        </w:rPr>
        <w:t>dates to</w:t>
      </w:r>
      <w:r w:rsidRPr="003D60D2">
        <w:rPr>
          <w:sz w:val="28"/>
          <w:szCs w:val="28"/>
        </w:rPr>
        <w:t xml:space="preserve"> antiquity—a ritual explained on resources such as My Jewish Learning. Psalms also compose various elements of the liturgy, </w:t>
      </w:r>
      <w:r w:rsidR="003D60D2" w:rsidRPr="003D60D2">
        <w:rPr>
          <w:sz w:val="28"/>
          <w:szCs w:val="28"/>
        </w:rPr>
        <w:t>particularly</w:t>
      </w:r>
      <w:r w:rsidRPr="003D60D2">
        <w:rPr>
          <w:sz w:val="28"/>
          <w:szCs w:val="28"/>
        </w:rPr>
        <w:t xml:space="preserve"> a praise-filled segment of the service, the Hallel, recited on festivals. For the big ones, like Passover, the biblical texts (in this case, Ex 12) are at the root of the holiday, so that you're not just reading, but celebrating, the text.</w:t>
      </w:r>
    </w:p>
    <w:p w14:paraId="0B6E1E2C" w14:textId="6B632F38" w:rsidR="009A04CA" w:rsidRPr="003D60D2" w:rsidRDefault="009A04CA" w:rsidP="009A04CA">
      <w:pPr>
        <w:pStyle w:val="Normlnweb"/>
        <w:rPr>
          <w:sz w:val="28"/>
          <w:szCs w:val="28"/>
        </w:rPr>
      </w:pPr>
      <w:r w:rsidRPr="003D60D2">
        <w:rPr>
          <w:sz w:val="28"/>
          <w:szCs w:val="28"/>
        </w:rPr>
        <w:t xml:space="preserve">Regarding law, the Tanakh is the primary source of Jewish law. The 613 commandments drawn from the Torah cover the gamut of Jewish life, from ritual purity and diet (e.g., Leviticus 11) to interpersonal ethics (“Love your neighbour as yourself” – Leviticus 19:18). Biblical commandments. The oral has been developed in Mishnah and </w:t>
      </w:r>
      <w:r w:rsidR="003D60D2" w:rsidRPr="003D60D2">
        <w:rPr>
          <w:sz w:val="28"/>
          <w:szCs w:val="28"/>
        </w:rPr>
        <w:t>Talmud,</w:t>
      </w:r>
      <w:r w:rsidRPr="003D60D2">
        <w:rPr>
          <w:sz w:val="28"/>
          <w:szCs w:val="28"/>
        </w:rPr>
        <w:t xml:space="preserve"> respectively. As in the example above, the basic laws on divorce are given in Deuteronomy 24:1–4 and are read broadly by rabbinic authorities. There are some differences in the approach to this set of laws between the different Jewish denominations— Orthodox, Conservative and Reform —but in all of them the biblical text is the solid grounding, and the living authority, of law, that is to say, the Bible is the legal authority which, although flexible, can alter an original reading without revocation of the original wording.</w:t>
      </w:r>
    </w:p>
    <w:p w14:paraId="1A88325D" w14:textId="52BCD29F" w:rsidR="009A04CA" w:rsidRPr="003D60D2" w:rsidRDefault="009A04CA" w:rsidP="009A04CA">
      <w:pPr>
        <w:pStyle w:val="Normlnweb"/>
        <w:rPr>
          <w:sz w:val="28"/>
          <w:szCs w:val="28"/>
        </w:rPr>
      </w:pPr>
      <w:r w:rsidRPr="003D60D2">
        <w:rPr>
          <w:sz w:val="28"/>
          <w:szCs w:val="28"/>
        </w:rPr>
        <w:t>Ethically, the Tanakh is full of deep moral instruction. Psalm 119:105 says, “Your word is a lamp for my feet,” this speaks of Scripture as directing one’s personal and corporate behaviour. Nowhere are messages of justice, compassion, and humility more common than in the prophetic literature. Micah 6:8</w:t>
      </w:r>
      <w:r w:rsidR="003D60D2" w:rsidRPr="003D60D2">
        <w:rPr>
          <w:sz w:val="28"/>
          <w:szCs w:val="28"/>
        </w:rPr>
        <w:t>— “</w:t>
      </w:r>
      <w:r w:rsidRPr="003D60D2">
        <w:rPr>
          <w:sz w:val="28"/>
          <w:szCs w:val="28"/>
        </w:rPr>
        <w:t xml:space="preserve">He has told you, O man, what is good. To act justly and to love mercy and to walk humbly with your God” — serves as a touchstone for contemporary </w:t>
      </w:r>
      <w:r w:rsidRPr="003D60D2">
        <w:rPr>
          <w:sz w:val="28"/>
          <w:szCs w:val="28"/>
        </w:rPr>
        <w:lastRenderedPageBreak/>
        <w:t>Jewish values. This moral vision exercises an enduring impact in modern movements like Tikkun Olam (repairing the world), for example, whose concerns include social justice, the pursuit of peace, humanitarian intervention, and environmental stewardship. The Tanakh’s stories likewise invite continuous ethical thought: the tale of the binding of Yitzchak (Genesis 22), for instance, challenges us to what obedience involves, what it means to have, and whether we can even endure, faith, the subject of divine testing—questions teased out for centuries in midrashic readings.</w:t>
      </w:r>
    </w:p>
    <w:p w14:paraId="7600CBFC" w14:textId="077C91E1" w:rsidR="009A04CA" w:rsidRPr="003D60D2" w:rsidRDefault="009A04CA" w:rsidP="009A04CA">
      <w:pPr>
        <w:pStyle w:val="Normlnweb"/>
        <w:rPr>
          <w:sz w:val="28"/>
          <w:szCs w:val="28"/>
        </w:rPr>
      </w:pPr>
      <w:r w:rsidRPr="003D60D2">
        <w:rPr>
          <w:sz w:val="28"/>
          <w:szCs w:val="28"/>
        </w:rPr>
        <w:t xml:space="preserve">As the cornerstone of the Jewish religion, the Tanakh is said to have been studied, discussed, internally debated, and received updates over its 3,000-year history. Some of the language and structures of the book manifest ancient patriarchal norms, such as male-centred genealogies and laws that elevate male authority. But </w:t>
      </w:r>
      <w:r w:rsidR="003D60D2" w:rsidRPr="003D60D2">
        <w:rPr>
          <w:sz w:val="28"/>
          <w:szCs w:val="28"/>
        </w:rPr>
        <w:t>feminists’</w:t>
      </w:r>
      <w:r w:rsidRPr="003D60D2">
        <w:rPr>
          <w:sz w:val="28"/>
          <w:szCs w:val="28"/>
        </w:rPr>
        <w:t xml:space="preserve"> interpreters like Tikva Frymer-Kensky (in Studies in Bible and Feminist Criticism, 2006) have read female biblical characters as active protagonists with theological import. Indeed, there are hermeneutics, particularly among liberal Jewish religious movements, in the interpretation of so-called traditional readings and present social mores (such as LGBTQ+ inclusion and gender equality). For example, in Reform Judaism, the ever-changing meaning of sacred texts is understood and practice, which demonstrates the Tanakh’s flexibility.</w:t>
      </w:r>
    </w:p>
    <w:p w14:paraId="4BD66136" w14:textId="50F525B3" w:rsidR="009A04CA" w:rsidRPr="003D60D2" w:rsidRDefault="009A04CA" w:rsidP="009A04CA">
      <w:pPr>
        <w:pStyle w:val="Normlnweb"/>
        <w:rPr>
          <w:b/>
          <w:bCs/>
          <w:sz w:val="28"/>
          <w:szCs w:val="28"/>
        </w:rPr>
      </w:pPr>
      <w:r w:rsidRPr="003D60D2">
        <w:rPr>
          <w:b/>
          <w:bCs/>
          <w:sz w:val="28"/>
          <w:szCs w:val="28"/>
        </w:rPr>
        <w:t xml:space="preserve">Relevance to the Poster </w:t>
      </w:r>
    </w:p>
    <w:p w14:paraId="7A5C447B" w14:textId="06B09F61" w:rsidR="009A04CA" w:rsidRPr="003D60D2" w:rsidRDefault="009A04CA" w:rsidP="009A04CA">
      <w:pPr>
        <w:pStyle w:val="Normlnweb"/>
        <w:rPr>
          <w:sz w:val="28"/>
          <w:szCs w:val="28"/>
        </w:rPr>
      </w:pPr>
      <w:r w:rsidRPr="003D60D2">
        <w:rPr>
          <w:sz w:val="28"/>
          <w:szCs w:val="28"/>
        </w:rPr>
        <w:t xml:space="preserve">The post visually symbolises the place of the Hebrew Bible in Judaism, in parallel to the themes of this report. The Torah scroll picture represents the Tanakh’s divine will and authority, and its place in worship and in legal matters. Citations affirming biblical quotations from Deuteronomy 6:4–5 for covenant, Exodus 19:5–6 for monotheism, and Psalm 119:105 for guidance corroborate the analysis of the report. The parchment background is a nod to tradition, and the My Jewish Learning quote emphasises the scholarship-filled pages on the Tanakh’s impact. </w:t>
      </w:r>
    </w:p>
    <w:p w14:paraId="2EB35EC1" w14:textId="67B4305F" w:rsidR="009A04CA" w:rsidRPr="003D60D2" w:rsidRDefault="009A04CA" w:rsidP="009A04CA">
      <w:pPr>
        <w:pStyle w:val="Normlnweb"/>
        <w:rPr>
          <w:b/>
          <w:bCs/>
          <w:sz w:val="28"/>
          <w:szCs w:val="28"/>
        </w:rPr>
      </w:pPr>
      <w:r w:rsidRPr="003D60D2">
        <w:rPr>
          <w:b/>
          <w:bCs/>
          <w:sz w:val="28"/>
          <w:szCs w:val="28"/>
        </w:rPr>
        <w:t xml:space="preserve">Conclusion </w:t>
      </w:r>
    </w:p>
    <w:p w14:paraId="3246DDB8" w14:textId="48A2A305" w:rsidR="009A04CA" w:rsidRPr="003D60D2" w:rsidRDefault="009A04CA" w:rsidP="009A04CA">
      <w:pPr>
        <w:pStyle w:val="Normlnweb"/>
        <w:rPr>
          <w:sz w:val="28"/>
          <w:szCs w:val="28"/>
        </w:rPr>
      </w:pPr>
      <w:r w:rsidRPr="003D60D2">
        <w:rPr>
          <w:sz w:val="28"/>
          <w:szCs w:val="28"/>
        </w:rPr>
        <w:t xml:space="preserve">The Hebrew Bible plays a central role in Judaism, standing as a source of law and moral teaching as well as a historical record of the Israelites people. It establishes Jewish identity in the Sinai covenant, structures worship via texts such as the Shema, forms the basis of halakha, and provides a framework for moral life. Its theological complexity is clear in primary sources such as Exodus 19 and Deuteronomy 6, and its timelessness is evident in secondary sources such as Cohen and My Jewish Learning. </w:t>
      </w:r>
      <w:r w:rsidR="003D60D2" w:rsidRPr="003D60D2">
        <w:rPr>
          <w:sz w:val="28"/>
          <w:szCs w:val="28"/>
        </w:rPr>
        <w:t>Both</w:t>
      </w:r>
      <w:r w:rsidRPr="003D60D2">
        <w:rPr>
          <w:sz w:val="28"/>
          <w:szCs w:val="28"/>
        </w:rPr>
        <w:t xml:space="preserve"> themes are repeated in the poster with imagery and quotes. During tensions, such as its patriarchal readings, the Tanakh’s fluidity makes it a living text in different Jewish traditions. The analysis remains a sacred doing as it nurtures oneness and dialogue. Future </w:t>
      </w:r>
      <w:r w:rsidRPr="003D60D2">
        <w:rPr>
          <w:sz w:val="28"/>
          <w:szCs w:val="28"/>
        </w:rPr>
        <w:lastRenderedPageBreak/>
        <w:t>explorations could consider how the Tanakh describes Jewish reactions to today’s challenges, cementing its status as a “book of life”.</w:t>
      </w:r>
    </w:p>
    <w:p w14:paraId="030E91FC" w14:textId="77777777" w:rsidR="003D60D2" w:rsidRPr="003D60D2" w:rsidRDefault="003D60D2" w:rsidP="009A04CA">
      <w:pPr>
        <w:pStyle w:val="Normlnweb"/>
        <w:rPr>
          <w:sz w:val="28"/>
          <w:szCs w:val="28"/>
        </w:rPr>
      </w:pPr>
    </w:p>
    <w:p w14:paraId="2E2870F3" w14:textId="77777777" w:rsidR="003D60D2" w:rsidRPr="00862E66" w:rsidRDefault="003D60D2" w:rsidP="003D60D2">
      <w:pPr>
        <w:spacing w:before="100" w:beforeAutospacing="1" w:after="100" w:afterAutospacing="1" w:line="240" w:lineRule="auto"/>
        <w:outlineLvl w:val="3"/>
        <w:rPr>
          <w:rFonts w:ascii="Times New Roman" w:eastAsia="Times New Roman" w:hAnsi="Times New Roman" w:cs="Times New Roman"/>
          <w:b/>
          <w:bCs/>
          <w:kern w:val="0"/>
          <w:sz w:val="28"/>
          <w:szCs w:val="28"/>
          <w:lang w:eastAsia="en-GB"/>
          <w14:ligatures w14:val="none"/>
        </w:rPr>
      </w:pPr>
      <w:r w:rsidRPr="00862E66">
        <w:rPr>
          <w:rFonts w:ascii="Times New Roman" w:eastAsia="Times New Roman" w:hAnsi="Times New Roman" w:cs="Times New Roman"/>
          <w:b/>
          <w:bCs/>
          <w:kern w:val="0"/>
          <w:sz w:val="28"/>
          <w:szCs w:val="28"/>
          <w:lang w:eastAsia="en-GB"/>
          <w14:ligatures w14:val="none"/>
        </w:rPr>
        <w:t>References</w:t>
      </w:r>
    </w:p>
    <w:p w14:paraId="6081D518" w14:textId="77777777" w:rsidR="003D60D2" w:rsidRPr="00862E66" w:rsidRDefault="003D60D2" w:rsidP="003D60D2">
      <w:pPr>
        <w:numPr>
          <w:ilvl w:val="0"/>
          <w:numId w:val="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62E66">
        <w:rPr>
          <w:rFonts w:ascii="Times New Roman" w:eastAsia="Times New Roman" w:hAnsi="Times New Roman" w:cs="Times New Roman"/>
          <w:kern w:val="0"/>
          <w:sz w:val="28"/>
          <w:szCs w:val="28"/>
          <w:lang w:eastAsia="en-GB"/>
          <w14:ligatures w14:val="none"/>
        </w:rPr>
        <w:t>Holy Bible, New International Version. Zondervan, 2011.</w:t>
      </w:r>
    </w:p>
    <w:p w14:paraId="6FD8EA1C" w14:textId="2A99316C" w:rsidR="003D60D2" w:rsidRPr="00862E66" w:rsidRDefault="003D60D2" w:rsidP="003D60D2">
      <w:pPr>
        <w:numPr>
          <w:ilvl w:val="0"/>
          <w:numId w:val="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62E66">
        <w:rPr>
          <w:rFonts w:ascii="Times New Roman" w:eastAsia="Times New Roman" w:hAnsi="Times New Roman" w:cs="Times New Roman"/>
          <w:kern w:val="0"/>
          <w:sz w:val="28"/>
          <w:szCs w:val="28"/>
          <w:lang w:eastAsia="en-GB"/>
          <w14:ligatures w14:val="none"/>
        </w:rPr>
        <w:t xml:space="preserve">Cohen, Norman. </w:t>
      </w:r>
      <w:r w:rsidRPr="00862E66">
        <w:rPr>
          <w:rFonts w:ascii="Times New Roman" w:eastAsia="Times New Roman" w:hAnsi="Times New Roman" w:cs="Times New Roman"/>
          <w:i/>
          <w:iCs/>
          <w:kern w:val="0"/>
          <w:sz w:val="28"/>
          <w:szCs w:val="28"/>
          <w:lang w:eastAsia="en-GB"/>
          <w14:ligatures w14:val="none"/>
        </w:rPr>
        <w:t xml:space="preserve">The Way </w:t>
      </w:r>
      <w:r w:rsidRPr="003D60D2">
        <w:rPr>
          <w:rFonts w:ascii="Times New Roman" w:eastAsia="Times New Roman" w:hAnsi="Times New Roman" w:cs="Times New Roman"/>
          <w:i/>
          <w:iCs/>
          <w:kern w:val="0"/>
          <w:sz w:val="28"/>
          <w:szCs w:val="28"/>
          <w:lang w:eastAsia="en-GB"/>
          <w14:ligatures w14:val="none"/>
        </w:rPr>
        <w:t>into</w:t>
      </w:r>
      <w:r w:rsidRPr="00862E66">
        <w:rPr>
          <w:rFonts w:ascii="Times New Roman" w:eastAsia="Times New Roman" w:hAnsi="Times New Roman" w:cs="Times New Roman"/>
          <w:i/>
          <w:iCs/>
          <w:kern w:val="0"/>
          <w:sz w:val="28"/>
          <w:szCs w:val="28"/>
          <w:lang w:eastAsia="en-GB"/>
          <w14:ligatures w14:val="none"/>
        </w:rPr>
        <w:t xml:space="preserve"> Torah</w:t>
      </w:r>
      <w:r w:rsidRPr="00862E66">
        <w:rPr>
          <w:rFonts w:ascii="Times New Roman" w:eastAsia="Times New Roman" w:hAnsi="Times New Roman" w:cs="Times New Roman"/>
          <w:kern w:val="0"/>
          <w:sz w:val="28"/>
          <w:szCs w:val="28"/>
          <w:lang w:eastAsia="en-GB"/>
          <w14:ligatures w14:val="none"/>
        </w:rPr>
        <w:t>. Jewish Lights Publishing, 2000.</w:t>
      </w:r>
    </w:p>
    <w:p w14:paraId="6F9A1FB1" w14:textId="77777777" w:rsidR="003D60D2" w:rsidRPr="00862E66" w:rsidRDefault="003D60D2" w:rsidP="003D60D2">
      <w:pPr>
        <w:numPr>
          <w:ilvl w:val="0"/>
          <w:numId w:val="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62E66">
        <w:rPr>
          <w:rFonts w:ascii="Times New Roman" w:eastAsia="Times New Roman" w:hAnsi="Times New Roman" w:cs="Times New Roman"/>
          <w:kern w:val="0"/>
          <w:sz w:val="28"/>
          <w:szCs w:val="28"/>
          <w:lang w:eastAsia="en-GB"/>
          <w14:ligatures w14:val="none"/>
        </w:rPr>
        <w:t xml:space="preserve">Frymer-Kensky, Tikva. </w:t>
      </w:r>
      <w:r w:rsidRPr="00862E66">
        <w:rPr>
          <w:rFonts w:ascii="Times New Roman" w:eastAsia="Times New Roman" w:hAnsi="Times New Roman" w:cs="Times New Roman"/>
          <w:i/>
          <w:iCs/>
          <w:kern w:val="0"/>
          <w:sz w:val="28"/>
          <w:szCs w:val="28"/>
          <w:lang w:eastAsia="en-GB"/>
          <w14:ligatures w14:val="none"/>
        </w:rPr>
        <w:t>Studies in Bible and Feminist Criticism</w:t>
      </w:r>
      <w:r w:rsidRPr="00862E66">
        <w:rPr>
          <w:rFonts w:ascii="Times New Roman" w:eastAsia="Times New Roman" w:hAnsi="Times New Roman" w:cs="Times New Roman"/>
          <w:kern w:val="0"/>
          <w:sz w:val="28"/>
          <w:szCs w:val="28"/>
          <w:lang w:eastAsia="en-GB"/>
          <w14:ligatures w14:val="none"/>
        </w:rPr>
        <w:t>. Jewish Publication Society, 2006.</w:t>
      </w:r>
    </w:p>
    <w:p w14:paraId="06BEBC52" w14:textId="77777777" w:rsidR="003D60D2" w:rsidRPr="00862E66" w:rsidRDefault="003D60D2" w:rsidP="003D60D2">
      <w:pPr>
        <w:numPr>
          <w:ilvl w:val="0"/>
          <w:numId w:val="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62E66">
        <w:rPr>
          <w:rFonts w:ascii="Times New Roman" w:eastAsia="Times New Roman" w:hAnsi="Times New Roman" w:cs="Times New Roman"/>
          <w:kern w:val="0"/>
          <w:sz w:val="28"/>
          <w:szCs w:val="28"/>
          <w:lang w:eastAsia="en-GB"/>
          <w14:ligatures w14:val="none"/>
        </w:rPr>
        <w:t xml:space="preserve">“The Tanakh: The Hebrew Bible.” </w:t>
      </w:r>
      <w:r w:rsidRPr="00862E66">
        <w:rPr>
          <w:rFonts w:ascii="Times New Roman" w:eastAsia="Times New Roman" w:hAnsi="Times New Roman" w:cs="Times New Roman"/>
          <w:i/>
          <w:iCs/>
          <w:kern w:val="0"/>
          <w:sz w:val="28"/>
          <w:szCs w:val="28"/>
          <w:lang w:eastAsia="en-GB"/>
          <w14:ligatures w14:val="none"/>
        </w:rPr>
        <w:t>My Jewish Learning</w:t>
      </w:r>
      <w:r w:rsidRPr="00862E66">
        <w:rPr>
          <w:rFonts w:ascii="Times New Roman" w:eastAsia="Times New Roman" w:hAnsi="Times New Roman" w:cs="Times New Roman"/>
          <w:kern w:val="0"/>
          <w:sz w:val="28"/>
          <w:szCs w:val="28"/>
          <w:lang w:eastAsia="en-GB"/>
          <w14:ligatures w14:val="none"/>
        </w:rPr>
        <w:t>, www.myjewishlearning.com/article/the-tanakh-the-hebrew-bible.</w:t>
      </w:r>
    </w:p>
    <w:p w14:paraId="506D0D25" w14:textId="77777777" w:rsidR="003D60D2" w:rsidRPr="003D60D2" w:rsidRDefault="003D60D2" w:rsidP="009A04CA">
      <w:pPr>
        <w:pStyle w:val="Normlnweb"/>
        <w:rPr>
          <w:sz w:val="28"/>
          <w:szCs w:val="28"/>
        </w:rPr>
      </w:pPr>
    </w:p>
    <w:p w14:paraId="6A2F54F8" w14:textId="77777777" w:rsidR="009A04CA" w:rsidRDefault="009A04CA" w:rsidP="009A04CA">
      <w:pPr>
        <w:pStyle w:val="Normlnweb"/>
      </w:pPr>
    </w:p>
    <w:p w14:paraId="0E408934" w14:textId="77777777" w:rsidR="00BE2107" w:rsidRDefault="00BE2107" w:rsidP="00BE2107"/>
    <w:sectPr w:rsidR="00BE21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A60CBE" w14:textId="77777777" w:rsidR="00394C82" w:rsidRDefault="00394C82" w:rsidP="00394C82">
      <w:pPr>
        <w:spacing w:after="0" w:line="240" w:lineRule="auto"/>
      </w:pPr>
      <w:r>
        <w:separator/>
      </w:r>
    </w:p>
  </w:endnote>
  <w:endnote w:type="continuationSeparator" w:id="0">
    <w:p w14:paraId="17ECACAF" w14:textId="77777777" w:rsidR="00394C82" w:rsidRDefault="00394C82" w:rsidP="00394C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4F8805" w14:textId="77777777" w:rsidR="00394C82" w:rsidRDefault="00394C82" w:rsidP="00394C82">
      <w:pPr>
        <w:spacing w:after="0" w:line="240" w:lineRule="auto"/>
      </w:pPr>
      <w:r>
        <w:separator/>
      </w:r>
    </w:p>
  </w:footnote>
  <w:footnote w:type="continuationSeparator" w:id="0">
    <w:p w14:paraId="7BF09007" w14:textId="77777777" w:rsidR="00394C82" w:rsidRDefault="00394C82" w:rsidP="00394C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7653A7"/>
    <w:multiLevelType w:val="multilevel"/>
    <w:tmpl w:val="F2D45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30426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removePersonalInformation/>
  <w:removeDateAndTime/>
  <w:proofState w:spelling="clean" w:grammar="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107"/>
    <w:rsid w:val="00191362"/>
    <w:rsid w:val="00394C82"/>
    <w:rsid w:val="003D60D2"/>
    <w:rsid w:val="00531C4E"/>
    <w:rsid w:val="00845C55"/>
    <w:rsid w:val="009A04CA"/>
    <w:rsid w:val="00B722AA"/>
    <w:rsid w:val="00BE2107"/>
    <w:rsid w:val="00E37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C110E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rsid w:val="00BE2107"/>
  </w:style>
  <w:style w:type="paragraph" w:styleId="Nadpis1">
    <w:name w:val="heading 1"/>
    <w:basedOn w:val="Normln"/>
    <w:next w:val="Normln"/>
    <w:link w:val="Nadpis1Char"/>
    <w:uiPriority w:val="9"/>
    <w:qFormat/>
    <w:rsid w:val="00BE21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dpis2">
    <w:name w:val="heading 2"/>
    <w:basedOn w:val="Normln"/>
    <w:next w:val="Normln"/>
    <w:link w:val="Nadpis2Char"/>
    <w:uiPriority w:val="9"/>
    <w:semiHidden/>
    <w:unhideWhenUsed/>
    <w:qFormat/>
    <w:rsid w:val="00BE21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dpis3">
    <w:name w:val="heading 3"/>
    <w:basedOn w:val="Normln"/>
    <w:next w:val="Normln"/>
    <w:link w:val="Nadpis3Char"/>
    <w:uiPriority w:val="9"/>
    <w:semiHidden/>
    <w:unhideWhenUsed/>
    <w:qFormat/>
    <w:rsid w:val="00BE2107"/>
    <w:pPr>
      <w:keepNext/>
      <w:keepLines/>
      <w:spacing w:before="160" w:after="80"/>
      <w:outlineLvl w:val="2"/>
    </w:pPr>
    <w:rPr>
      <w:rFonts w:eastAsiaTheme="majorEastAsia" w:cstheme="majorBidi"/>
      <w:color w:val="0F4761" w:themeColor="accent1" w:themeShade="BF"/>
      <w:sz w:val="28"/>
      <w:szCs w:val="28"/>
    </w:rPr>
  </w:style>
  <w:style w:type="paragraph" w:styleId="Nadpis4">
    <w:name w:val="heading 4"/>
    <w:basedOn w:val="Normln"/>
    <w:next w:val="Normln"/>
    <w:link w:val="Nadpis4Char"/>
    <w:uiPriority w:val="9"/>
    <w:semiHidden/>
    <w:unhideWhenUsed/>
    <w:qFormat/>
    <w:rsid w:val="00BE2107"/>
    <w:pPr>
      <w:keepNext/>
      <w:keepLines/>
      <w:spacing w:before="80" w:after="40"/>
      <w:outlineLvl w:val="3"/>
    </w:pPr>
    <w:rPr>
      <w:rFonts w:eastAsiaTheme="majorEastAsia" w:cstheme="majorBidi"/>
      <w:i/>
      <w:iCs/>
      <w:color w:val="0F4761" w:themeColor="accent1" w:themeShade="BF"/>
    </w:rPr>
  </w:style>
  <w:style w:type="paragraph" w:styleId="Nadpis5">
    <w:name w:val="heading 5"/>
    <w:basedOn w:val="Normln"/>
    <w:next w:val="Normln"/>
    <w:link w:val="Nadpis5Char"/>
    <w:uiPriority w:val="9"/>
    <w:semiHidden/>
    <w:unhideWhenUsed/>
    <w:qFormat/>
    <w:rsid w:val="00BE2107"/>
    <w:pPr>
      <w:keepNext/>
      <w:keepLines/>
      <w:spacing w:before="80" w:after="40"/>
      <w:outlineLvl w:val="4"/>
    </w:pPr>
    <w:rPr>
      <w:rFonts w:eastAsiaTheme="majorEastAsia" w:cstheme="majorBidi"/>
      <w:color w:val="0F4761" w:themeColor="accent1" w:themeShade="BF"/>
    </w:rPr>
  </w:style>
  <w:style w:type="paragraph" w:styleId="Nadpis6">
    <w:name w:val="heading 6"/>
    <w:basedOn w:val="Normln"/>
    <w:next w:val="Normln"/>
    <w:link w:val="Nadpis6Char"/>
    <w:uiPriority w:val="9"/>
    <w:semiHidden/>
    <w:unhideWhenUsed/>
    <w:qFormat/>
    <w:rsid w:val="00BE2107"/>
    <w:pPr>
      <w:keepNext/>
      <w:keepLines/>
      <w:spacing w:before="40" w:after="0"/>
      <w:outlineLvl w:val="5"/>
    </w:pPr>
    <w:rPr>
      <w:rFonts w:eastAsiaTheme="majorEastAsia" w:cstheme="majorBidi"/>
      <w:i/>
      <w:iCs/>
      <w:color w:val="595959" w:themeColor="text1" w:themeTint="A6"/>
    </w:rPr>
  </w:style>
  <w:style w:type="paragraph" w:styleId="Nadpis7">
    <w:name w:val="heading 7"/>
    <w:basedOn w:val="Normln"/>
    <w:next w:val="Normln"/>
    <w:link w:val="Nadpis7Char"/>
    <w:uiPriority w:val="9"/>
    <w:semiHidden/>
    <w:unhideWhenUsed/>
    <w:qFormat/>
    <w:rsid w:val="00BE2107"/>
    <w:pPr>
      <w:keepNext/>
      <w:keepLines/>
      <w:spacing w:before="40" w:after="0"/>
      <w:outlineLvl w:val="6"/>
    </w:pPr>
    <w:rPr>
      <w:rFonts w:eastAsiaTheme="majorEastAsia" w:cstheme="majorBidi"/>
      <w:color w:val="595959" w:themeColor="text1" w:themeTint="A6"/>
    </w:rPr>
  </w:style>
  <w:style w:type="paragraph" w:styleId="Nadpis8">
    <w:name w:val="heading 8"/>
    <w:basedOn w:val="Normln"/>
    <w:next w:val="Normln"/>
    <w:link w:val="Nadpis8Char"/>
    <w:uiPriority w:val="9"/>
    <w:semiHidden/>
    <w:unhideWhenUsed/>
    <w:qFormat/>
    <w:rsid w:val="00BE2107"/>
    <w:pPr>
      <w:keepNext/>
      <w:keepLines/>
      <w:spacing w:after="0"/>
      <w:outlineLvl w:val="7"/>
    </w:pPr>
    <w:rPr>
      <w:rFonts w:eastAsiaTheme="majorEastAsia" w:cstheme="majorBidi"/>
      <w:i/>
      <w:iCs/>
      <w:color w:val="272727" w:themeColor="text1" w:themeTint="D8"/>
    </w:rPr>
  </w:style>
  <w:style w:type="paragraph" w:styleId="Nadpis9">
    <w:name w:val="heading 9"/>
    <w:basedOn w:val="Normln"/>
    <w:next w:val="Normln"/>
    <w:link w:val="Nadpis9Char"/>
    <w:uiPriority w:val="9"/>
    <w:semiHidden/>
    <w:unhideWhenUsed/>
    <w:qFormat/>
    <w:rsid w:val="00BE2107"/>
    <w:pPr>
      <w:keepNext/>
      <w:keepLines/>
      <w:spacing w:after="0"/>
      <w:outlineLvl w:val="8"/>
    </w:pPr>
    <w:rPr>
      <w:rFonts w:eastAsiaTheme="majorEastAsia" w:cstheme="majorBidi"/>
      <w:color w:val="272727" w:themeColor="text1" w:themeTint="D8"/>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BE2107"/>
    <w:rPr>
      <w:rFonts w:asciiTheme="majorHAnsi" w:eastAsiaTheme="majorEastAsia" w:hAnsiTheme="majorHAnsi" w:cstheme="majorBidi"/>
      <w:color w:val="0F4761" w:themeColor="accent1" w:themeShade="BF"/>
      <w:sz w:val="40"/>
      <w:szCs w:val="40"/>
    </w:rPr>
  </w:style>
  <w:style w:type="character" w:customStyle="1" w:styleId="Nadpis2Char">
    <w:name w:val="Nadpis 2 Char"/>
    <w:basedOn w:val="Standardnpsmoodstavce"/>
    <w:link w:val="Nadpis2"/>
    <w:uiPriority w:val="9"/>
    <w:semiHidden/>
    <w:rsid w:val="00BE2107"/>
    <w:rPr>
      <w:rFonts w:asciiTheme="majorHAnsi" w:eastAsiaTheme="majorEastAsia" w:hAnsiTheme="majorHAnsi" w:cstheme="majorBidi"/>
      <w:color w:val="0F4761" w:themeColor="accent1" w:themeShade="BF"/>
      <w:sz w:val="32"/>
      <w:szCs w:val="32"/>
    </w:rPr>
  </w:style>
  <w:style w:type="character" w:customStyle="1" w:styleId="Nadpis3Char">
    <w:name w:val="Nadpis 3 Char"/>
    <w:basedOn w:val="Standardnpsmoodstavce"/>
    <w:link w:val="Nadpis3"/>
    <w:uiPriority w:val="9"/>
    <w:semiHidden/>
    <w:rsid w:val="00BE2107"/>
    <w:rPr>
      <w:rFonts w:eastAsiaTheme="majorEastAsia" w:cstheme="majorBidi"/>
      <w:color w:val="0F4761" w:themeColor="accent1" w:themeShade="BF"/>
      <w:sz w:val="28"/>
      <w:szCs w:val="28"/>
    </w:rPr>
  </w:style>
  <w:style w:type="character" w:customStyle="1" w:styleId="Nadpis4Char">
    <w:name w:val="Nadpis 4 Char"/>
    <w:basedOn w:val="Standardnpsmoodstavce"/>
    <w:link w:val="Nadpis4"/>
    <w:uiPriority w:val="9"/>
    <w:semiHidden/>
    <w:rsid w:val="00BE2107"/>
    <w:rPr>
      <w:rFonts w:eastAsiaTheme="majorEastAsia" w:cstheme="majorBidi"/>
      <w:i/>
      <w:iCs/>
      <w:color w:val="0F4761" w:themeColor="accent1" w:themeShade="BF"/>
    </w:rPr>
  </w:style>
  <w:style w:type="character" w:customStyle="1" w:styleId="Nadpis5Char">
    <w:name w:val="Nadpis 5 Char"/>
    <w:basedOn w:val="Standardnpsmoodstavce"/>
    <w:link w:val="Nadpis5"/>
    <w:uiPriority w:val="9"/>
    <w:semiHidden/>
    <w:rsid w:val="00BE2107"/>
    <w:rPr>
      <w:rFonts w:eastAsiaTheme="majorEastAsia" w:cstheme="majorBidi"/>
      <w:color w:val="0F4761" w:themeColor="accent1" w:themeShade="BF"/>
    </w:rPr>
  </w:style>
  <w:style w:type="character" w:customStyle="1" w:styleId="Nadpis6Char">
    <w:name w:val="Nadpis 6 Char"/>
    <w:basedOn w:val="Standardnpsmoodstavce"/>
    <w:link w:val="Nadpis6"/>
    <w:uiPriority w:val="9"/>
    <w:semiHidden/>
    <w:rsid w:val="00BE2107"/>
    <w:rPr>
      <w:rFonts w:eastAsiaTheme="majorEastAsia" w:cstheme="majorBidi"/>
      <w:i/>
      <w:iCs/>
      <w:color w:val="595959" w:themeColor="text1" w:themeTint="A6"/>
    </w:rPr>
  </w:style>
  <w:style w:type="character" w:customStyle="1" w:styleId="Nadpis7Char">
    <w:name w:val="Nadpis 7 Char"/>
    <w:basedOn w:val="Standardnpsmoodstavce"/>
    <w:link w:val="Nadpis7"/>
    <w:uiPriority w:val="9"/>
    <w:semiHidden/>
    <w:rsid w:val="00BE2107"/>
    <w:rPr>
      <w:rFonts w:eastAsiaTheme="majorEastAsia" w:cstheme="majorBidi"/>
      <w:color w:val="595959" w:themeColor="text1" w:themeTint="A6"/>
    </w:rPr>
  </w:style>
  <w:style w:type="character" w:customStyle="1" w:styleId="Nadpis8Char">
    <w:name w:val="Nadpis 8 Char"/>
    <w:basedOn w:val="Standardnpsmoodstavce"/>
    <w:link w:val="Nadpis8"/>
    <w:uiPriority w:val="9"/>
    <w:semiHidden/>
    <w:rsid w:val="00BE2107"/>
    <w:rPr>
      <w:rFonts w:eastAsiaTheme="majorEastAsia" w:cstheme="majorBidi"/>
      <w:i/>
      <w:iCs/>
      <w:color w:val="272727" w:themeColor="text1" w:themeTint="D8"/>
    </w:rPr>
  </w:style>
  <w:style w:type="character" w:customStyle="1" w:styleId="Nadpis9Char">
    <w:name w:val="Nadpis 9 Char"/>
    <w:basedOn w:val="Standardnpsmoodstavce"/>
    <w:link w:val="Nadpis9"/>
    <w:uiPriority w:val="9"/>
    <w:semiHidden/>
    <w:rsid w:val="00BE2107"/>
    <w:rPr>
      <w:rFonts w:eastAsiaTheme="majorEastAsia" w:cstheme="majorBidi"/>
      <w:color w:val="272727" w:themeColor="text1" w:themeTint="D8"/>
    </w:rPr>
  </w:style>
  <w:style w:type="paragraph" w:styleId="Nzev">
    <w:name w:val="Title"/>
    <w:basedOn w:val="Normln"/>
    <w:next w:val="Normln"/>
    <w:link w:val="NzevChar"/>
    <w:uiPriority w:val="10"/>
    <w:qFormat/>
    <w:rsid w:val="00BE21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NzevChar">
    <w:name w:val="Název Char"/>
    <w:basedOn w:val="Standardnpsmoodstavce"/>
    <w:link w:val="Nzev"/>
    <w:uiPriority w:val="10"/>
    <w:rsid w:val="00BE2107"/>
    <w:rPr>
      <w:rFonts w:asciiTheme="majorHAnsi" w:eastAsiaTheme="majorEastAsia" w:hAnsiTheme="majorHAnsi" w:cstheme="majorBidi"/>
      <w:spacing w:val="-10"/>
      <w:kern w:val="28"/>
      <w:sz w:val="56"/>
      <w:szCs w:val="56"/>
    </w:rPr>
  </w:style>
  <w:style w:type="paragraph" w:styleId="Podnadpis">
    <w:name w:val="Subtitle"/>
    <w:basedOn w:val="Normln"/>
    <w:next w:val="Normln"/>
    <w:link w:val="PodnadpisChar"/>
    <w:uiPriority w:val="11"/>
    <w:qFormat/>
    <w:rsid w:val="00BE2107"/>
    <w:pPr>
      <w:numPr>
        <w:ilvl w:val="1"/>
      </w:numPr>
    </w:pPr>
    <w:rPr>
      <w:rFonts w:eastAsiaTheme="majorEastAsia" w:cstheme="majorBidi"/>
      <w:color w:val="595959" w:themeColor="text1" w:themeTint="A6"/>
      <w:spacing w:val="15"/>
      <w:sz w:val="28"/>
      <w:szCs w:val="28"/>
    </w:rPr>
  </w:style>
  <w:style w:type="character" w:customStyle="1" w:styleId="PodnadpisChar">
    <w:name w:val="Podnadpis Char"/>
    <w:basedOn w:val="Standardnpsmoodstavce"/>
    <w:link w:val="Podnadpis"/>
    <w:uiPriority w:val="11"/>
    <w:rsid w:val="00BE2107"/>
    <w:rPr>
      <w:rFonts w:eastAsiaTheme="majorEastAsia" w:cstheme="majorBidi"/>
      <w:color w:val="595959" w:themeColor="text1" w:themeTint="A6"/>
      <w:spacing w:val="15"/>
      <w:sz w:val="28"/>
      <w:szCs w:val="28"/>
    </w:rPr>
  </w:style>
  <w:style w:type="paragraph" w:styleId="Citt">
    <w:name w:val="Quote"/>
    <w:basedOn w:val="Normln"/>
    <w:next w:val="Normln"/>
    <w:link w:val="CittChar"/>
    <w:uiPriority w:val="29"/>
    <w:qFormat/>
    <w:rsid w:val="00BE2107"/>
    <w:pPr>
      <w:spacing w:before="160"/>
      <w:jc w:val="center"/>
    </w:pPr>
    <w:rPr>
      <w:i/>
      <w:iCs/>
      <w:color w:val="404040" w:themeColor="text1" w:themeTint="BF"/>
    </w:rPr>
  </w:style>
  <w:style w:type="character" w:customStyle="1" w:styleId="CittChar">
    <w:name w:val="Citát Char"/>
    <w:basedOn w:val="Standardnpsmoodstavce"/>
    <w:link w:val="Citt"/>
    <w:uiPriority w:val="29"/>
    <w:rsid w:val="00BE2107"/>
    <w:rPr>
      <w:i/>
      <w:iCs/>
      <w:color w:val="404040" w:themeColor="text1" w:themeTint="BF"/>
    </w:rPr>
  </w:style>
  <w:style w:type="paragraph" w:styleId="Odstavecseseznamem">
    <w:name w:val="List Paragraph"/>
    <w:basedOn w:val="Normln"/>
    <w:uiPriority w:val="34"/>
    <w:qFormat/>
    <w:rsid w:val="00BE2107"/>
    <w:pPr>
      <w:ind w:left="720"/>
      <w:contextualSpacing/>
    </w:pPr>
  </w:style>
  <w:style w:type="character" w:styleId="Zdraznnintenzivn">
    <w:name w:val="Intense Emphasis"/>
    <w:basedOn w:val="Standardnpsmoodstavce"/>
    <w:uiPriority w:val="21"/>
    <w:qFormat/>
    <w:rsid w:val="00BE2107"/>
    <w:rPr>
      <w:i/>
      <w:iCs/>
      <w:color w:val="0F4761" w:themeColor="accent1" w:themeShade="BF"/>
    </w:rPr>
  </w:style>
  <w:style w:type="paragraph" w:styleId="Vrazncitt">
    <w:name w:val="Intense Quote"/>
    <w:basedOn w:val="Normln"/>
    <w:next w:val="Normln"/>
    <w:link w:val="VrazncittChar"/>
    <w:uiPriority w:val="30"/>
    <w:qFormat/>
    <w:rsid w:val="00BE21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VrazncittChar">
    <w:name w:val="Výrazný citát Char"/>
    <w:basedOn w:val="Standardnpsmoodstavce"/>
    <w:link w:val="Vrazncitt"/>
    <w:uiPriority w:val="30"/>
    <w:rsid w:val="00BE2107"/>
    <w:rPr>
      <w:i/>
      <w:iCs/>
      <w:color w:val="0F4761" w:themeColor="accent1" w:themeShade="BF"/>
    </w:rPr>
  </w:style>
  <w:style w:type="character" w:styleId="Odkazintenzivn">
    <w:name w:val="Intense Reference"/>
    <w:basedOn w:val="Standardnpsmoodstavce"/>
    <w:uiPriority w:val="32"/>
    <w:qFormat/>
    <w:rsid w:val="00BE2107"/>
    <w:rPr>
      <w:b/>
      <w:bCs/>
      <w:smallCaps/>
      <w:color w:val="0F4761" w:themeColor="accent1" w:themeShade="BF"/>
      <w:spacing w:val="5"/>
    </w:rPr>
  </w:style>
  <w:style w:type="paragraph" w:styleId="Normlnweb">
    <w:name w:val="Normal (Web)"/>
    <w:basedOn w:val="Normln"/>
    <w:uiPriority w:val="99"/>
    <w:semiHidden/>
    <w:unhideWhenUsed/>
    <w:rsid w:val="00BE210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hlav">
    <w:name w:val="header"/>
    <w:basedOn w:val="Normln"/>
    <w:link w:val="ZhlavChar"/>
    <w:uiPriority w:val="99"/>
    <w:unhideWhenUsed/>
    <w:rsid w:val="00394C82"/>
    <w:pPr>
      <w:tabs>
        <w:tab w:val="center" w:pos="4513"/>
        <w:tab w:val="right" w:pos="9026"/>
      </w:tabs>
      <w:spacing w:after="0" w:line="240" w:lineRule="auto"/>
    </w:pPr>
  </w:style>
  <w:style w:type="character" w:customStyle="1" w:styleId="ZhlavChar">
    <w:name w:val="Záhlaví Char"/>
    <w:basedOn w:val="Standardnpsmoodstavce"/>
    <w:link w:val="Zhlav"/>
    <w:uiPriority w:val="99"/>
    <w:rsid w:val="00394C82"/>
  </w:style>
  <w:style w:type="paragraph" w:styleId="Zpat">
    <w:name w:val="footer"/>
    <w:basedOn w:val="Normln"/>
    <w:link w:val="ZpatChar"/>
    <w:uiPriority w:val="99"/>
    <w:unhideWhenUsed/>
    <w:rsid w:val="00394C82"/>
    <w:pPr>
      <w:tabs>
        <w:tab w:val="center" w:pos="4513"/>
        <w:tab w:val="right" w:pos="9026"/>
      </w:tabs>
      <w:spacing w:after="0" w:line="240" w:lineRule="auto"/>
    </w:pPr>
  </w:style>
  <w:style w:type="character" w:customStyle="1" w:styleId="ZpatChar">
    <w:name w:val="Zápatí Char"/>
    <w:basedOn w:val="Standardnpsmoodstavce"/>
    <w:link w:val="Zpat"/>
    <w:uiPriority w:val="99"/>
    <w:rsid w:val="00394C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51761">
      <w:bodyDiv w:val="1"/>
      <w:marLeft w:val="0"/>
      <w:marRight w:val="0"/>
      <w:marTop w:val="0"/>
      <w:marBottom w:val="0"/>
      <w:divBdr>
        <w:top w:val="none" w:sz="0" w:space="0" w:color="auto"/>
        <w:left w:val="none" w:sz="0" w:space="0" w:color="auto"/>
        <w:bottom w:val="none" w:sz="0" w:space="0" w:color="auto"/>
        <w:right w:val="none" w:sz="0" w:space="0" w:color="auto"/>
      </w:divBdr>
    </w:div>
    <w:div w:id="176695515">
      <w:bodyDiv w:val="1"/>
      <w:marLeft w:val="0"/>
      <w:marRight w:val="0"/>
      <w:marTop w:val="0"/>
      <w:marBottom w:val="0"/>
      <w:divBdr>
        <w:top w:val="none" w:sz="0" w:space="0" w:color="auto"/>
        <w:left w:val="none" w:sz="0" w:space="0" w:color="auto"/>
        <w:bottom w:val="none" w:sz="0" w:space="0" w:color="auto"/>
        <w:right w:val="none" w:sz="0" w:space="0" w:color="auto"/>
      </w:divBdr>
    </w:div>
    <w:div w:id="985428020">
      <w:bodyDiv w:val="1"/>
      <w:marLeft w:val="0"/>
      <w:marRight w:val="0"/>
      <w:marTop w:val="0"/>
      <w:marBottom w:val="0"/>
      <w:divBdr>
        <w:top w:val="none" w:sz="0" w:space="0" w:color="auto"/>
        <w:left w:val="none" w:sz="0" w:space="0" w:color="auto"/>
        <w:bottom w:val="none" w:sz="0" w:space="0" w:color="auto"/>
        <w:right w:val="none" w:sz="0" w:space="0" w:color="auto"/>
      </w:divBdr>
    </w:div>
    <w:div w:id="1046098699">
      <w:bodyDiv w:val="1"/>
      <w:marLeft w:val="0"/>
      <w:marRight w:val="0"/>
      <w:marTop w:val="0"/>
      <w:marBottom w:val="0"/>
      <w:divBdr>
        <w:top w:val="none" w:sz="0" w:space="0" w:color="auto"/>
        <w:left w:val="none" w:sz="0" w:space="0" w:color="auto"/>
        <w:bottom w:val="none" w:sz="0" w:space="0" w:color="auto"/>
        <w:right w:val="none" w:sz="0" w:space="0" w:color="auto"/>
      </w:divBdr>
    </w:div>
    <w:div w:id="2109886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1558</Words>
  <Characters>9195</Characters>
  <Application>Microsoft Office Word</Application>
  <DocSecurity>0</DocSecurity>
  <Lines>76</Lines>
  <Paragraphs>21</Paragraphs>
  <ScaleCrop>false</ScaleCrop>
  <Company/>
  <LinksUpToDate>false</LinksUpToDate>
  <CharactersWithSpaces>10732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2025-06-28T10:19:00Z</dcterms:created>
  <dcterms:modified xsi:type="dcterms:W3CDTF">2025-06-28T10:19:00Z</dcterms:modified>
</cp:coreProperties>
</file>