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BED48B" wp14:paraId="2C078E63" wp14:textId="6FE7BA41">
      <w:pPr>
        <w:pStyle w:val="Normal"/>
        <w:ind w:left="2880"/>
        <w:rPr>
          <w:rFonts w:ascii="Times New Roman" w:hAnsi="Times New Roman" w:eastAsia="Times New Roman" w:cs="Times New Roman"/>
          <w:noProof w:val="0"/>
          <w:sz w:val="96"/>
          <w:szCs w:val="96"/>
          <w:lang w:val="en-US"/>
        </w:rPr>
      </w:pPr>
      <w:r w:rsidRPr="4CBED48B" w:rsidR="2BD437B8">
        <w:rPr>
          <w:rFonts w:ascii="Times New Roman" w:hAnsi="Times New Roman" w:eastAsia="Times New Roman" w:cs="Times New Roman"/>
          <w:noProof w:val="0"/>
          <w:sz w:val="96"/>
          <w:szCs w:val="96"/>
          <w:lang w:val="en-US"/>
        </w:rPr>
        <w:t>Land Law</w:t>
      </w:r>
    </w:p>
    <w:p w:rsidR="4CBED48B" w:rsidP="4CBED48B" w:rsidRDefault="4CBED48B" w14:paraId="639E4831" w14:textId="12E3CD07">
      <w:pPr>
        <w:pStyle w:val="Normal"/>
        <w:ind w:left="2880"/>
        <w:rPr>
          <w:rFonts w:ascii="Times New Roman" w:hAnsi="Times New Roman" w:eastAsia="Times New Roman" w:cs="Times New Roman"/>
          <w:noProof w:val="0"/>
          <w:sz w:val="96"/>
          <w:szCs w:val="96"/>
          <w:lang w:val="en-US"/>
        </w:rPr>
      </w:pPr>
    </w:p>
    <w:p w:rsidR="2BD437B8" w:rsidP="4CBED48B" w:rsidRDefault="2BD437B8" w14:paraId="41CB9A9C" w14:textId="2D710447">
      <w:pPr>
        <w:pStyle w:val="Normal"/>
        <w:ind w:left="2880"/>
        <w:rPr>
          <w:rFonts w:ascii="Times New Roman" w:hAnsi="Times New Roman" w:eastAsia="Times New Roman" w:cs="Times New Roman"/>
          <w:noProof w:val="0"/>
          <w:sz w:val="40"/>
          <w:szCs w:val="40"/>
          <w:lang w:val="en-US"/>
        </w:rPr>
      </w:pPr>
      <w:r w:rsidRPr="4CBED48B" w:rsidR="2BD437B8">
        <w:rPr>
          <w:rFonts w:ascii="Times New Roman" w:hAnsi="Times New Roman" w:eastAsia="Times New Roman" w:cs="Times New Roman"/>
          <w:noProof w:val="0"/>
          <w:sz w:val="40"/>
          <w:szCs w:val="40"/>
          <w:lang w:val="en-US"/>
        </w:rPr>
        <w:t>Advocacy</w:t>
      </w:r>
      <w:r w:rsidRPr="4CBED48B" w:rsidR="2BD437B8">
        <w:rPr>
          <w:rFonts w:ascii="Times New Roman" w:hAnsi="Times New Roman" w:eastAsia="Times New Roman" w:cs="Times New Roman"/>
          <w:noProof w:val="0"/>
          <w:sz w:val="40"/>
          <w:szCs w:val="40"/>
          <w:lang w:val="en-US"/>
        </w:rPr>
        <w:t xml:space="preserve"> assessment</w:t>
      </w:r>
    </w:p>
    <w:p w:rsidR="4CBED48B" w:rsidP="4CBED48B" w:rsidRDefault="4CBED48B" w14:paraId="2F57959D" w14:textId="5ADC06A7">
      <w:pPr>
        <w:pStyle w:val="Normal"/>
        <w:ind w:left="2880"/>
        <w:rPr>
          <w:rFonts w:ascii="Times New Roman" w:hAnsi="Times New Roman" w:eastAsia="Times New Roman" w:cs="Times New Roman"/>
          <w:noProof w:val="0"/>
          <w:sz w:val="40"/>
          <w:szCs w:val="40"/>
          <w:lang w:val="en-US"/>
        </w:rPr>
      </w:pPr>
    </w:p>
    <w:p w:rsidR="4CBED48B" w:rsidP="4CBED48B" w:rsidRDefault="4CBED48B" w14:paraId="3B97D2B1" w14:textId="54707D7F">
      <w:pPr>
        <w:pStyle w:val="Normal"/>
        <w:ind w:left="2880"/>
        <w:rPr>
          <w:rFonts w:ascii="Aptos" w:hAnsi="Aptos" w:eastAsia="Aptos" w:cs="Aptos"/>
          <w:noProof w:val="0"/>
          <w:sz w:val="40"/>
          <w:szCs w:val="40"/>
          <w:lang w:val="en-US"/>
        </w:rPr>
      </w:pPr>
    </w:p>
    <w:p w:rsidR="4CBED48B" w:rsidP="4CBED48B" w:rsidRDefault="4CBED48B" w14:paraId="4BA8196F" w14:textId="7B30932C">
      <w:pPr>
        <w:pStyle w:val="Normal"/>
        <w:ind w:left="2880"/>
        <w:rPr>
          <w:rFonts w:ascii="Aptos" w:hAnsi="Aptos" w:eastAsia="Aptos" w:cs="Aptos"/>
          <w:noProof w:val="0"/>
          <w:sz w:val="40"/>
          <w:szCs w:val="40"/>
          <w:lang w:val="en-US"/>
        </w:rPr>
      </w:pPr>
    </w:p>
    <w:p w:rsidR="4CBED48B" w:rsidP="4CBED48B" w:rsidRDefault="4CBED48B" w14:paraId="71AC2B76" w14:textId="063B2FDA">
      <w:pPr>
        <w:pStyle w:val="Normal"/>
        <w:ind w:left="2880"/>
        <w:rPr>
          <w:rFonts w:ascii="Aptos" w:hAnsi="Aptos" w:eastAsia="Aptos" w:cs="Aptos"/>
          <w:noProof w:val="0"/>
          <w:sz w:val="40"/>
          <w:szCs w:val="40"/>
          <w:lang w:val="en-US"/>
        </w:rPr>
      </w:pPr>
    </w:p>
    <w:p w:rsidR="4CBED48B" w:rsidP="4CBED48B" w:rsidRDefault="4CBED48B" w14:paraId="1592DA1B" w14:textId="7F4839BB">
      <w:pPr>
        <w:pStyle w:val="Normal"/>
        <w:ind w:left="2880"/>
        <w:rPr>
          <w:rFonts w:ascii="Aptos" w:hAnsi="Aptos" w:eastAsia="Aptos" w:cs="Aptos"/>
          <w:noProof w:val="0"/>
          <w:sz w:val="40"/>
          <w:szCs w:val="40"/>
          <w:lang w:val="en-US"/>
        </w:rPr>
      </w:pPr>
    </w:p>
    <w:p w:rsidR="4CBED48B" w:rsidP="4CBED48B" w:rsidRDefault="4CBED48B" w14:paraId="3A994C14" w14:textId="2593FD29">
      <w:pPr>
        <w:pStyle w:val="Normal"/>
        <w:ind w:left="2880"/>
        <w:rPr>
          <w:rFonts w:ascii="Aptos" w:hAnsi="Aptos" w:eastAsia="Aptos" w:cs="Aptos"/>
          <w:noProof w:val="0"/>
          <w:sz w:val="40"/>
          <w:szCs w:val="40"/>
          <w:lang w:val="en-US"/>
        </w:rPr>
      </w:pPr>
    </w:p>
    <w:p w:rsidR="4CBED48B" w:rsidP="4CBED48B" w:rsidRDefault="4CBED48B" w14:paraId="3E05F35A" w14:textId="069EB7E0">
      <w:pPr>
        <w:pStyle w:val="Normal"/>
        <w:ind w:left="2880"/>
        <w:rPr>
          <w:rFonts w:ascii="Aptos" w:hAnsi="Aptos" w:eastAsia="Aptos" w:cs="Aptos"/>
          <w:noProof w:val="0"/>
          <w:sz w:val="40"/>
          <w:szCs w:val="40"/>
          <w:lang w:val="en-US"/>
        </w:rPr>
      </w:pPr>
    </w:p>
    <w:p w:rsidR="4CBED48B" w:rsidP="4CBED48B" w:rsidRDefault="4CBED48B" w14:paraId="028C3D7A" w14:textId="58D3F354">
      <w:pPr>
        <w:pStyle w:val="Normal"/>
        <w:ind w:left="2880"/>
        <w:rPr>
          <w:rFonts w:ascii="Times New Roman" w:hAnsi="Times New Roman" w:eastAsia="Times New Roman" w:cs="Times New Roman"/>
          <w:noProof w:val="0"/>
          <w:sz w:val="40"/>
          <w:szCs w:val="40"/>
          <w:lang w:val="en-US"/>
        </w:rPr>
      </w:pPr>
    </w:p>
    <w:p w:rsidR="4CBED48B" w:rsidP="4CBED48B" w:rsidRDefault="4CBED48B" w14:paraId="6BD17177" w14:textId="37B83119">
      <w:pPr>
        <w:pStyle w:val="Normal"/>
        <w:ind w:left="2880"/>
        <w:rPr>
          <w:rFonts w:ascii="Times New Roman" w:hAnsi="Times New Roman" w:eastAsia="Times New Roman" w:cs="Times New Roman"/>
          <w:noProof w:val="0"/>
          <w:sz w:val="40"/>
          <w:szCs w:val="40"/>
          <w:lang w:val="en-US"/>
        </w:rPr>
      </w:pPr>
    </w:p>
    <w:p w:rsidR="4CBED48B" w:rsidP="4CBED48B" w:rsidRDefault="4CBED48B" w14:paraId="4DA1B0BC" w14:textId="5A2AD2AC">
      <w:pPr>
        <w:pStyle w:val="Normal"/>
        <w:ind w:left="2880"/>
        <w:rPr>
          <w:rFonts w:ascii="Times New Roman" w:hAnsi="Times New Roman" w:eastAsia="Times New Roman" w:cs="Times New Roman"/>
          <w:noProof w:val="0"/>
          <w:sz w:val="40"/>
          <w:szCs w:val="40"/>
          <w:lang w:val="en-US"/>
        </w:rPr>
      </w:pPr>
    </w:p>
    <w:p w:rsidR="4CBED48B" w:rsidP="4CBED48B" w:rsidRDefault="4CBED48B" w14:paraId="65E9900F" w14:textId="05674628">
      <w:pPr>
        <w:pStyle w:val="Normal"/>
        <w:ind w:left="2880"/>
        <w:rPr>
          <w:rFonts w:ascii="Times New Roman" w:hAnsi="Times New Roman" w:eastAsia="Times New Roman" w:cs="Times New Roman"/>
          <w:noProof w:val="0"/>
          <w:sz w:val="40"/>
          <w:szCs w:val="40"/>
          <w:lang w:val="en-US"/>
        </w:rPr>
      </w:pPr>
    </w:p>
    <w:p w:rsidR="4CBED48B" w:rsidP="4CBED48B" w:rsidRDefault="4CBED48B" w14:paraId="2E9BE0A6" w14:textId="59892502">
      <w:pPr>
        <w:pStyle w:val="Normal"/>
        <w:ind w:left="2880"/>
        <w:rPr>
          <w:rFonts w:ascii="Times New Roman" w:hAnsi="Times New Roman" w:eastAsia="Times New Roman" w:cs="Times New Roman"/>
          <w:noProof w:val="0"/>
          <w:sz w:val="24"/>
          <w:szCs w:val="24"/>
          <w:lang w:val="en-US"/>
        </w:rPr>
      </w:pPr>
    </w:p>
    <w:p w:rsidR="2BD437B8" w:rsidP="4CBED48B" w:rsidRDefault="2BD437B8" w14:paraId="71456642" w14:textId="08A205B2">
      <w:pPr>
        <w:pStyle w:val="Normal"/>
        <w:ind w:left="7200"/>
        <w:rPr>
          <w:rFonts w:ascii="Times New Roman" w:hAnsi="Times New Roman" w:eastAsia="Times New Roman" w:cs="Times New Roman"/>
          <w:noProof w:val="0"/>
          <w:sz w:val="24"/>
          <w:szCs w:val="24"/>
          <w:lang w:val="en-US"/>
        </w:rPr>
      </w:pPr>
      <w:r w:rsidRPr="4CBED48B" w:rsidR="2BD437B8">
        <w:rPr>
          <w:rFonts w:ascii="Times New Roman" w:hAnsi="Times New Roman" w:eastAsia="Times New Roman" w:cs="Times New Roman"/>
          <w:noProof w:val="0"/>
          <w:sz w:val="24"/>
          <w:szCs w:val="24"/>
          <w:lang w:val="en-US"/>
        </w:rPr>
        <w:t>Chloe Foulis 2204897</w:t>
      </w:r>
    </w:p>
    <w:p w:rsidR="4CBED48B" w:rsidP="4CBED48B" w:rsidRDefault="4CBED48B" w14:paraId="610E48D4" w14:textId="7FE066BC">
      <w:pPr>
        <w:pStyle w:val="Normal"/>
        <w:ind w:left="7200"/>
        <w:rPr>
          <w:rFonts w:ascii="Times New Roman" w:hAnsi="Times New Roman" w:eastAsia="Times New Roman" w:cs="Times New Roman"/>
          <w:noProof w:val="0"/>
          <w:sz w:val="24"/>
          <w:szCs w:val="24"/>
          <w:lang w:val="en-US"/>
        </w:rPr>
      </w:pPr>
    </w:p>
    <w:tbl>
      <w:tblPr>
        <w:tblStyle w:val="TableNormal"/>
        <w:bidiVisual w:val="0"/>
        <w:tblW w:w="0" w:type="auto"/>
        <w:tblLook w:val="04A0" w:firstRow="1" w:lastRow="0" w:firstColumn="1" w:lastColumn="0" w:noHBand="0" w:noVBand="1"/>
      </w:tblPr>
      <w:tblGrid>
        <w:gridCol w:w="1630"/>
        <w:gridCol w:w="5436"/>
        <w:gridCol w:w="1452"/>
      </w:tblGrid>
      <w:tr w:rsidR="4CBED48B" w:rsidTr="4CBED48B" w14:paraId="6460F60A">
        <w:trPr>
          <w:trHeight w:val="135"/>
        </w:trPr>
        <w:tc>
          <w:tcPr>
            <w:tcW w:w="8518" w:type="dxa"/>
            <w:gridSpan w:val="3"/>
            <w:tcMar>
              <w:left w:w="108" w:type="dxa"/>
              <w:right w:w="108" w:type="dxa"/>
            </w:tcMar>
            <w:vAlign w:val="top"/>
          </w:tcPr>
          <w:p w:rsidR="4CBED48B" w:rsidP="4CBED48B" w:rsidRDefault="4CBED48B" w14:paraId="2DCD64D9" w14:textId="0248EFB4">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IN THE HIGH COURT OF ENGLAND AND WALES </w:t>
            </w:r>
          </w:p>
          <w:p w:rsidR="4CBED48B" w:rsidP="4CBED48B" w:rsidRDefault="4CBED48B" w14:paraId="643CFA20" w14:textId="1F178AD0">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(CHANCERY DIVISION) </w:t>
            </w:r>
          </w:p>
          <w:p w:rsidR="2CAAD9D3" w:rsidP="4CBED48B" w:rsidRDefault="2CAAD9D3" w14:paraId="5799BF2A" w14:textId="5D5275A9">
            <w:pPr>
              <w:spacing w:before="0" w:beforeAutospacing="off" w:after="0" w:afterAutospacing="off" w:line="360" w:lineRule="auto"/>
              <w:rPr>
                <w:rFonts w:ascii="Times New Roman" w:hAnsi="Times New Roman" w:eastAsia="Times New Roman" w:cs="Times New Roman"/>
                <w:sz w:val="20"/>
                <w:szCs w:val="20"/>
              </w:rPr>
            </w:pPr>
            <w:r w:rsidRPr="4CBED48B" w:rsidR="2CAAD9D3">
              <w:rPr>
                <w:rFonts w:ascii="Times New Roman" w:hAnsi="Times New Roman" w:eastAsia="Times New Roman" w:cs="Times New Roman"/>
                <w:sz w:val="20"/>
                <w:szCs w:val="20"/>
              </w:rPr>
              <w:t>CLAIM NUMBER: 2024/840A3</w:t>
            </w:r>
          </w:p>
        </w:tc>
      </w:tr>
      <w:tr w:rsidR="4CBED48B" w:rsidTr="4CBED48B" w14:paraId="3FA66333">
        <w:trPr>
          <w:trHeight w:val="450"/>
        </w:trPr>
        <w:tc>
          <w:tcPr>
            <w:tcW w:w="1630" w:type="dxa"/>
            <w:tcMar>
              <w:left w:w="108" w:type="dxa"/>
              <w:right w:w="108" w:type="dxa"/>
            </w:tcMar>
            <w:vAlign w:val="top"/>
          </w:tcPr>
          <w:p w:rsidR="4CBED48B" w:rsidP="4CBED48B" w:rsidRDefault="4CBED48B" w14:paraId="62B4D5F7" w14:textId="0E32F4D1">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BETWEEN:</w:t>
            </w:r>
          </w:p>
        </w:tc>
        <w:tc>
          <w:tcPr>
            <w:tcW w:w="5436" w:type="dxa"/>
            <w:tcMar>
              <w:left w:w="108" w:type="dxa"/>
              <w:right w:w="108" w:type="dxa"/>
            </w:tcMar>
            <w:vAlign w:val="top"/>
          </w:tcPr>
          <w:p w:rsidR="4CBED48B" w:rsidP="4CBED48B" w:rsidRDefault="4CBED48B" w14:paraId="47168EE4" w14:textId="30FAF6B0">
            <w:pPr>
              <w:spacing w:before="0" w:beforeAutospacing="off" w:after="0" w:afterAutospacing="off" w:line="360" w:lineRule="auto"/>
              <w:jc w:val="center"/>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c>
          <w:tcPr>
            <w:tcW w:w="1452" w:type="dxa"/>
            <w:tcMar>
              <w:left w:w="108" w:type="dxa"/>
              <w:right w:w="108" w:type="dxa"/>
            </w:tcMar>
            <w:vAlign w:val="top"/>
          </w:tcPr>
          <w:p w:rsidR="4CBED48B" w:rsidP="4CBED48B" w:rsidRDefault="4CBED48B" w14:paraId="5D2A1F33" w14:textId="03B7E043">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r>
      <w:tr w:rsidR="4CBED48B" w:rsidTr="4CBED48B" w14:paraId="2A4200E3">
        <w:trPr>
          <w:trHeight w:val="765"/>
        </w:trPr>
        <w:tc>
          <w:tcPr>
            <w:tcW w:w="1630" w:type="dxa"/>
            <w:tcMar>
              <w:left w:w="108" w:type="dxa"/>
              <w:right w:w="108" w:type="dxa"/>
            </w:tcMar>
            <w:vAlign w:val="top"/>
          </w:tcPr>
          <w:p w:rsidR="4CBED48B" w:rsidP="4CBED48B" w:rsidRDefault="4CBED48B" w14:paraId="11DE1C44" w14:textId="1DB1A8B2">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c>
          <w:tcPr>
            <w:tcW w:w="5436" w:type="dxa"/>
            <w:tcMar>
              <w:left w:w="108" w:type="dxa"/>
              <w:right w:w="108" w:type="dxa"/>
            </w:tcMar>
            <w:vAlign w:val="top"/>
          </w:tcPr>
          <w:p w:rsidR="4CBED48B" w:rsidP="4CBED48B" w:rsidRDefault="4CBED48B" w14:paraId="51F57F2A" w14:textId="315B251C">
            <w:pPr>
              <w:spacing w:before="0" w:beforeAutospacing="off" w:after="0" w:afterAutospacing="off" w:line="360" w:lineRule="auto"/>
              <w:jc w:val="center"/>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SARAH MORGAN</w:t>
            </w:r>
          </w:p>
        </w:tc>
        <w:tc>
          <w:tcPr>
            <w:tcW w:w="1452" w:type="dxa"/>
            <w:tcMar>
              <w:left w:w="108" w:type="dxa"/>
              <w:right w:w="108" w:type="dxa"/>
            </w:tcMar>
            <w:vAlign w:val="top"/>
          </w:tcPr>
          <w:p w:rsidR="4CBED48B" w:rsidP="4CBED48B" w:rsidRDefault="4CBED48B" w14:paraId="56C321E7" w14:textId="38A486F1">
            <w:pPr>
              <w:spacing w:before="0" w:beforeAutospacing="off" w:after="0" w:afterAutospacing="off" w:line="360" w:lineRule="auto"/>
              <w:jc w:val="right"/>
              <w:rPr>
                <w:rFonts w:ascii="Times New Roman" w:hAnsi="Times New Roman" w:eastAsia="Times New Roman" w:cs="Times New Roman"/>
                <w:sz w:val="20"/>
                <w:szCs w:val="20"/>
                <w:u w:val="single"/>
              </w:rPr>
            </w:pPr>
            <w:r w:rsidRPr="4CBED48B" w:rsidR="4CBED48B">
              <w:rPr>
                <w:rFonts w:ascii="Times New Roman" w:hAnsi="Times New Roman" w:eastAsia="Times New Roman" w:cs="Times New Roman"/>
                <w:sz w:val="20"/>
                <w:szCs w:val="20"/>
                <w:u w:val="single"/>
              </w:rPr>
              <w:t xml:space="preserve">Claimant </w:t>
            </w:r>
          </w:p>
        </w:tc>
      </w:tr>
      <w:tr w:rsidR="4CBED48B" w:rsidTr="4CBED48B" w14:paraId="6767CDE5">
        <w:trPr>
          <w:trHeight w:val="765"/>
        </w:trPr>
        <w:tc>
          <w:tcPr>
            <w:tcW w:w="1630" w:type="dxa"/>
            <w:tcMar>
              <w:left w:w="108" w:type="dxa"/>
              <w:right w:w="108" w:type="dxa"/>
            </w:tcMar>
            <w:vAlign w:val="top"/>
          </w:tcPr>
          <w:p w:rsidR="4CBED48B" w:rsidP="4CBED48B" w:rsidRDefault="4CBED48B" w14:paraId="6CF70E7F" w14:textId="27E3EC3E">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c>
          <w:tcPr>
            <w:tcW w:w="5436" w:type="dxa"/>
            <w:tcMar>
              <w:left w:w="108" w:type="dxa"/>
              <w:right w:w="108" w:type="dxa"/>
            </w:tcMar>
            <w:vAlign w:val="top"/>
          </w:tcPr>
          <w:p w:rsidR="4CBED48B" w:rsidP="4CBED48B" w:rsidRDefault="4CBED48B" w14:paraId="7EFE7E79" w14:textId="2D08342C">
            <w:pPr>
              <w:spacing w:before="0" w:beforeAutospacing="off" w:after="0" w:afterAutospacing="off" w:line="360" w:lineRule="auto"/>
              <w:jc w:val="center"/>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-and-</w:t>
            </w:r>
          </w:p>
        </w:tc>
        <w:tc>
          <w:tcPr>
            <w:tcW w:w="1452" w:type="dxa"/>
            <w:tcMar>
              <w:left w:w="108" w:type="dxa"/>
              <w:right w:w="108" w:type="dxa"/>
            </w:tcMar>
            <w:vAlign w:val="top"/>
          </w:tcPr>
          <w:p w:rsidR="4CBED48B" w:rsidP="4CBED48B" w:rsidRDefault="4CBED48B" w14:paraId="3B8E8E5A" w14:textId="0CA4CBFE">
            <w:pPr>
              <w:spacing w:before="0" w:beforeAutospacing="off" w:after="0" w:afterAutospacing="off" w:line="360" w:lineRule="auto"/>
              <w:jc w:val="right"/>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r>
      <w:tr w:rsidR="4CBED48B" w:rsidTr="4CBED48B" w14:paraId="0C644D83">
        <w:trPr>
          <w:trHeight w:val="765"/>
        </w:trPr>
        <w:tc>
          <w:tcPr>
            <w:tcW w:w="1630" w:type="dxa"/>
            <w:tcMar>
              <w:left w:w="108" w:type="dxa"/>
              <w:right w:w="108" w:type="dxa"/>
            </w:tcMar>
            <w:vAlign w:val="top"/>
          </w:tcPr>
          <w:p w:rsidR="4CBED48B" w:rsidP="4CBED48B" w:rsidRDefault="4CBED48B" w14:paraId="5413CD4A" w14:textId="7767B40D">
            <w:pPr>
              <w:spacing w:before="0" w:beforeAutospacing="off" w:after="0" w:afterAutospacing="off" w:line="360" w:lineRule="auto"/>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 xml:space="preserve"> </w:t>
            </w:r>
          </w:p>
        </w:tc>
        <w:tc>
          <w:tcPr>
            <w:tcW w:w="5436" w:type="dxa"/>
            <w:tcBorders>
              <w:bottom w:val="single" w:sz="8"/>
              <w:right w:val="nil"/>
            </w:tcBorders>
            <w:tcMar>
              <w:left w:w="108" w:type="dxa"/>
              <w:right w:w="108" w:type="dxa"/>
            </w:tcMar>
            <w:vAlign w:val="top"/>
          </w:tcPr>
          <w:p w:rsidR="4CBED48B" w:rsidP="4CBED48B" w:rsidRDefault="4CBED48B" w14:paraId="0DA0A670" w14:textId="53C78C42">
            <w:pPr>
              <w:spacing w:before="0" w:beforeAutospacing="off" w:after="0" w:afterAutospacing="off" w:line="360" w:lineRule="auto"/>
              <w:jc w:val="center"/>
              <w:rPr>
                <w:rFonts w:ascii="Times New Roman" w:hAnsi="Times New Roman" w:eastAsia="Times New Roman" w:cs="Times New Roman"/>
                <w:sz w:val="20"/>
                <w:szCs w:val="20"/>
              </w:rPr>
            </w:pPr>
            <w:r w:rsidRPr="4CBED48B" w:rsidR="4CBED48B">
              <w:rPr>
                <w:rFonts w:ascii="Times New Roman" w:hAnsi="Times New Roman" w:eastAsia="Times New Roman" w:cs="Times New Roman"/>
                <w:sz w:val="20"/>
                <w:szCs w:val="20"/>
              </w:rPr>
              <w:t>JENNIFER WILLIAMS</w:t>
            </w:r>
          </w:p>
        </w:tc>
        <w:tc>
          <w:tcPr>
            <w:tcW w:w="1452" w:type="dxa"/>
            <w:tcMar>
              <w:left w:w="108" w:type="dxa"/>
              <w:right w:w="108" w:type="dxa"/>
            </w:tcMar>
            <w:vAlign w:val="top"/>
          </w:tcPr>
          <w:p w:rsidR="4CBED48B" w:rsidP="4CBED48B" w:rsidRDefault="4CBED48B" w14:paraId="4015410E" w14:textId="1C019F0A">
            <w:pPr>
              <w:spacing w:before="0" w:beforeAutospacing="off" w:after="0" w:afterAutospacing="off" w:line="360" w:lineRule="auto"/>
              <w:jc w:val="right"/>
              <w:rPr>
                <w:rFonts w:ascii="Times New Roman" w:hAnsi="Times New Roman" w:eastAsia="Times New Roman" w:cs="Times New Roman"/>
                <w:sz w:val="20"/>
                <w:szCs w:val="20"/>
                <w:u w:val="single"/>
              </w:rPr>
            </w:pPr>
            <w:r w:rsidRPr="4CBED48B" w:rsidR="4CBED48B">
              <w:rPr>
                <w:rFonts w:ascii="Times New Roman" w:hAnsi="Times New Roman" w:eastAsia="Times New Roman" w:cs="Times New Roman"/>
                <w:sz w:val="20"/>
                <w:szCs w:val="20"/>
                <w:u w:val="single"/>
              </w:rPr>
              <w:t>Defendant</w:t>
            </w:r>
          </w:p>
        </w:tc>
      </w:tr>
      <w:tr w:rsidR="4CBED48B" w:rsidTr="4CBED48B" w14:paraId="087047C7">
        <w:trPr>
          <w:trHeight w:val="765"/>
        </w:trPr>
        <w:tc>
          <w:tcPr>
            <w:tcW w:w="1630" w:type="dxa"/>
            <w:tcMar>
              <w:left w:w="108" w:type="dxa"/>
              <w:right w:w="108" w:type="dxa"/>
            </w:tcMar>
            <w:vAlign w:val="top"/>
          </w:tcPr>
          <w:p w:rsidR="4CBED48B" w:rsidP="4CBED48B" w:rsidRDefault="4CBED48B" w14:paraId="679EB1E0" w14:textId="07888A26">
            <w:pPr>
              <w:spacing w:before="240" w:beforeAutospacing="off" w:after="240" w:afterAutospacing="off" w:line="360" w:lineRule="auto"/>
              <w:rPr>
                <w:rFonts w:ascii="Times New Roman" w:hAnsi="Times New Roman" w:eastAsia="Times New Roman" w:cs="Times New Roman"/>
                <w:sz w:val="24"/>
                <w:szCs w:val="24"/>
              </w:rPr>
            </w:pPr>
            <w:r w:rsidRPr="4CBED48B" w:rsidR="4CBED48B">
              <w:rPr>
                <w:rFonts w:ascii="Times New Roman" w:hAnsi="Times New Roman" w:eastAsia="Times New Roman" w:cs="Times New Roman"/>
                <w:sz w:val="24"/>
                <w:szCs w:val="24"/>
              </w:rPr>
              <w:t xml:space="preserve"> </w:t>
            </w:r>
          </w:p>
        </w:tc>
        <w:tc>
          <w:tcPr>
            <w:tcW w:w="5436" w:type="dxa"/>
            <w:tcBorders>
              <w:top w:val="single" w:sz="8"/>
              <w:bottom w:val="single" w:sz="8"/>
              <w:right w:val="nil"/>
            </w:tcBorders>
            <w:tcMar>
              <w:left w:w="108" w:type="dxa"/>
              <w:right w:w="108" w:type="dxa"/>
            </w:tcMar>
            <w:vAlign w:val="top"/>
          </w:tcPr>
          <w:p w:rsidR="4CBED48B" w:rsidP="4CBED48B" w:rsidRDefault="4CBED48B" w14:paraId="602508A1" w14:textId="6DD6DDF8">
            <w:pPr>
              <w:spacing w:before="240" w:beforeAutospacing="off" w:after="240" w:afterAutospacing="off" w:line="360" w:lineRule="auto"/>
              <w:jc w:val="center"/>
              <w:rPr>
                <w:rFonts w:ascii="Times New Roman" w:hAnsi="Times New Roman" w:eastAsia="Times New Roman" w:cs="Times New Roman"/>
                <w:b w:val="1"/>
                <w:bCs w:val="1"/>
                <w:sz w:val="24"/>
                <w:szCs w:val="24"/>
              </w:rPr>
            </w:pPr>
            <w:r w:rsidRPr="4CBED48B" w:rsidR="4CBED48B">
              <w:rPr>
                <w:rFonts w:ascii="Times New Roman" w:hAnsi="Times New Roman" w:eastAsia="Times New Roman" w:cs="Times New Roman"/>
                <w:b w:val="1"/>
                <w:bCs w:val="1"/>
                <w:sz w:val="24"/>
                <w:szCs w:val="24"/>
              </w:rPr>
              <w:t xml:space="preserve">Agreed statement of facts </w:t>
            </w:r>
          </w:p>
        </w:tc>
        <w:tc>
          <w:tcPr>
            <w:tcW w:w="1452" w:type="dxa"/>
            <w:tcMar>
              <w:left w:w="108" w:type="dxa"/>
              <w:right w:w="108" w:type="dxa"/>
            </w:tcMar>
            <w:vAlign w:val="top"/>
          </w:tcPr>
          <w:p w:rsidR="4CBED48B" w:rsidP="4CBED48B" w:rsidRDefault="4CBED48B" w14:paraId="7A4420E1" w14:textId="052FF47C">
            <w:pPr>
              <w:pStyle w:val="Normal"/>
              <w:spacing w:before="240" w:beforeAutospacing="off" w:after="240" w:afterAutospacing="off" w:line="360" w:lineRule="auto"/>
              <w:jc w:val="right"/>
              <w:rPr>
                <w:rFonts w:ascii="Times New Roman" w:hAnsi="Times New Roman" w:eastAsia="Times New Roman" w:cs="Times New Roman"/>
                <w:strike w:val="0"/>
                <w:dstrike w:val="0"/>
                <w:sz w:val="24"/>
                <w:szCs w:val="24"/>
                <w:u w:val="none"/>
              </w:rPr>
            </w:pPr>
          </w:p>
        </w:tc>
      </w:tr>
    </w:tbl>
    <w:p w:rsidR="4CBED48B" w:rsidP="4CBED48B" w:rsidRDefault="4CBED48B" w14:paraId="47A2632E" w14:textId="1EA84FA5">
      <w:pPr>
        <w:pStyle w:val="Normal"/>
        <w:ind w:left="7200"/>
        <w:rPr>
          <w:rFonts w:ascii="Times New Roman" w:hAnsi="Times New Roman" w:eastAsia="Times New Roman" w:cs="Times New Roman"/>
          <w:b w:val="1"/>
          <w:bCs w:val="1"/>
          <w:noProof w:val="0"/>
          <w:sz w:val="24"/>
          <w:szCs w:val="24"/>
          <w:u w:val="single"/>
          <w:lang w:val="en-US"/>
        </w:rPr>
      </w:pPr>
    </w:p>
    <w:p w:rsidR="28CE676E" w:rsidP="4CBED48B" w:rsidRDefault="28CE676E" w14:paraId="621492AE" w14:textId="201E2FC9">
      <w:pPr>
        <w:pStyle w:val="Normal"/>
        <w:ind w:left="1440"/>
        <w:rPr>
          <w:rFonts w:ascii="Times New Roman" w:hAnsi="Times New Roman" w:eastAsia="Times New Roman" w:cs="Times New Roman"/>
          <w:b w:val="1"/>
          <w:bCs w:val="1"/>
          <w:noProof w:val="0"/>
          <w:sz w:val="24"/>
          <w:szCs w:val="24"/>
          <w:u w:val="single"/>
          <w:lang w:val="en-US"/>
        </w:rPr>
      </w:pPr>
      <w:r w:rsidRPr="4CBED48B" w:rsidR="28CE676E">
        <w:rPr>
          <w:rFonts w:ascii="Times New Roman" w:hAnsi="Times New Roman" w:eastAsia="Times New Roman" w:cs="Times New Roman"/>
          <w:b w:val="1"/>
          <w:bCs w:val="1"/>
          <w:noProof w:val="0"/>
          <w:sz w:val="24"/>
          <w:szCs w:val="24"/>
          <w:u w:val="single"/>
          <w:lang w:val="en-US"/>
        </w:rPr>
        <w:t>Skeleton argument on behalf of [Sarah Morgan/claimant]</w:t>
      </w:r>
    </w:p>
    <w:p w:rsidR="4CBED48B" w:rsidP="4CBED48B" w:rsidRDefault="4CBED48B" w14:paraId="3D019DD4" w14:textId="7C389F4C">
      <w:pPr>
        <w:pStyle w:val="Normal"/>
        <w:ind w:left="1440"/>
        <w:rPr>
          <w:rFonts w:ascii="Times New Roman" w:hAnsi="Times New Roman" w:eastAsia="Times New Roman" w:cs="Times New Roman"/>
          <w:b w:val="1"/>
          <w:bCs w:val="1"/>
          <w:noProof w:val="0"/>
          <w:sz w:val="24"/>
          <w:szCs w:val="24"/>
          <w:u w:val="single"/>
          <w:lang w:val="en-US"/>
        </w:rPr>
      </w:pPr>
    </w:p>
    <w:p w:rsidR="1D90EBC1" w:rsidP="4CBED48B" w:rsidRDefault="1D90EBC1" w14:paraId="37FAE4C3" w14:textId="3903AB09">
      <w:pPr>
        <w:pStyle w:val="Normal"/>
        <w:ind w:left="0"/>
        <w:rPr>
          <w:rFonts w:ascii="Times New Roman" w:hAnsi="Times New Roman" w:eastAsia="Times New Roman" w:cs="Times New Roman"/>
          <w:b w:val="1"/>
          <w:bCs w:val="1"/>
          <w:noProof w:val="0"/>
          <w:sz w:val="24"/>
          <w:szCs w:val="24"/>
          <w:u w:val="none"/>
          <w:lang w:val="en-US"/>
        </w:rPr>
      </w:pPr>
      <w:r w:rsidRPr="4CBED48B" w:rsidR="1D90EBC1">
        <w:rPr>
          <w:rFonts w:ascii="Times New Roman" w:hAnsi="Times New Roman" w:eastAsia="Times New Roman" w:cs="Times New Roman"/>
          <w:b w:val="1"/>
          <w:bCs w:val="1"/>
          <w:noProof w:val="0"/>
          <w:sz w:val="24"/>
          <w:szCs w:val="24"/>
          <w:u w:val="none"/>
          <w:lang w:val="en-US"/>
        </w:rPr>
        <w:t>I</w:t>
      </w:r>
      <w:r w:rsidRPr="4CBED48B" w:rsidR="1D90EBC1">
        <w:rPr>
          <w:rFonts w:ascii="Times New Roman" w:hAnsi="Times New Roman" w:eastAsia="Times New Roman" w:cs="Times New Roman"/>
          <w:b w:val="1"/>
          <w:bCs w:val="1"/>
          <w:noProof w:val="0"/>
          <w:sz w:val="24"/>
          <w:szCs w:val="24"/>
          <w:u w:val="none"/>
          <w:lang w:val="en-US"/>
        </w:rPr>
        <w:t>ntroduction</w:t>
      </w:r>
    </w:p>
    <w:p w:rsidR="741BEEB7" w:rsidP="4CBED48B" w:rsidRDefault="741BEEB7" w14:paraId="5FCA6671" w14:textId="7A56C4B8">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Sarah Morgan, the claimant and ex-partner of the defendant, is bringing a claim against Jennifer Williams on the grounds that she is entitled to a 50% </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portion</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the property under a constructive trust. Miss Morgan is also entitled to half of her share of the Gatehouse </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 accordance with</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proprietary estoppel providing that she had a beneficial interest in the property</w:t>
      </w:r>
      <w:r w:rsidRPr="4CBED48B" w:rsidR="6B3CE6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following the principle </w:t>
      </w:r>
      <w:r w:rsidRPr="4CBED48B" w:rsidR="6B3CE6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established</w:t>
      </w:r>
      <w:r w:rsidRPr="4CBED48B" w:rsidR="6B3CE6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Curran v Collins (2015</w:t>
      </w:r>
      <w:r w:rsidRPr="4CBED48B" w:rsidR="20BE294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w:rsidR="4CBED48B" w:rsidP="4CBED48B" w:rsidRDefault="4CBED48B" w14:paraId="6E77AC07" w14:textId="3E6F572A">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741BEEB7" w:rsidP="4CBED48B" w:rsidRDefault="741BEEB7" w14:paraId="075D2858" w14:textId="14BA15FC">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741BEEB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Issues</w:t>
      </w:r>
    </w:p>
    <w:p w:rsidR="741BEEB7" w:rsidP="4CBED48B" w:rsidRDefault="741BEEB7" w14:paraId="56924040" w14:textId="31C27B42">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Miss Morgan is contesting the notion that a constructive trust should grant her an equal share of the Gatehouse. According to Mackenzie (2016), based on the ruling in Geary v Rankine (2012), a constructive trust is intended if there is adequate evidence of a partnership between the couple </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regarding</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property. Additionally, Miss Morgan is employing proprietary estoppel to support her </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claim,</w:t>
      </w:r>
      <w:r w:rsidRPr="4CBED48B" w:rsidR="741BEEB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providing she had a beneficial interest in the land. Stated by Overend (2025), proprietary estoppel usually applies when someone makes a promise of land or an interest in a property and then breaks the agreement after the promise has been relied upon.</w:t>
      </w:r>
    </w:p>
    <w:p w:rsidR="4CBED48B" w:rsidP="4CBED48B" w:rsidRDefault="4CBED48B" w14:paraId="37AF38B2" w14:textId="509D1D82">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741BEEB7" w:rsidP="4CBED48B" w:rsidRDefault="741BEEB7" w14:paraId="6E4AF6BF" w14:textId="251B3D12">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741BEEB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The facts </w:t>
      </w:r>
    </w:p>
    <w:p w:rsidR="741BEEB7" w:rsidP="4CBED48B" w:rsidRDefault="741BEEB7" w14:paraId="1B7771FC" w14:textId="49F6C6F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2004, the claimant Miss Morgan moved into the Gatehouse with defendant Jennifer Williams. </w:t>
      </w:r>
      <w:bookmarkStart w:name="_Int_Wl0nRiG8" w:id="1600506197"/>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couple cohabited and</w:t>
      </w:r>
      <w:r w:rsidRPr="4CBED48B" w:rsidR="2B4CA7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paid household expenses</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an integrated bank account that was registered in both of their names.</w:t>
      </w:r>
      <w:bookmarkEnd w:id="1600506197"/>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couple additionally developed joint wills and consulted a s</w:t>
      </w:r>
      <w:r w:rsidRPr="4CBED48B" w:rsidR="7FF10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olicitor</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The surviving spouse would inherit their entire estate if either of them passed away, according to the terms of their joint will.</w:t>
      </w:r>
      <w:r w:rsidRPr="4CBED48B" w:rsidR="520A6D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 the couple did not follow through with signing the </w:t>
      </w:r>
      <w:r w:rsidRPr="4CBED48B" w:rsidR="119A2D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wills. </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Sarah discussed her worries about the property in person with Jennifer who assured her that if it came to them separating that they would split the property equally. The text messages between the broken-down couple, which are attached, </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Jennifer reassured Sarah that she did not need to worry about the Gatehouse. Jennifer contests this, claiming that she meant any property accumulated during the relationship when she </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indicated</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“50/50.” Jennifer also addressed Sarah’s sizable savings, which she could </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4CBED48B" w:rsidR="741BEE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pay for a new house. However, a few years later,</w:t>
      </w:r>
      <w:r w:rsidRPr="4CBED48B" w:rsidR="0428A0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Sarah spent her savings repairing and renovating the Gatehouse. </w:t>
      </w:r>
    </w:p>
    <w:p w:rsidR="7B1662E0" w:rsidP="4CBED48B" w:rsidRDefault="7B1662E0" w14:paraId="665275A3" w14:textId="2DBC5CFD">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7B1662E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 xml:space="preserve">Claim arising under a constructive trust </w:t>
      </w:r>
    </w:p>
    <w:p w:rsidR="7B1662E0" w:rsidP="4CBED48B" w:rsidRDefault="7B1662E0" w14:paraId="29E2B3B8" w14:textId="0F1F4C49">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Stated by Bray, Turner, and Martin (2004) a constructive trust is a trust </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established</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the court due to it being “unconscionable” for the property’s owner to preserve it for themselves. When Sarah and Jennifer moved into the Gatehouse together, their shared goal was to live as a family and raise their kids when they came along. Even though Sarah did not pay for the Gatehouse, she may have increased </w:t>
      </w:r>
      <w:r w:rsidRPr="4CBED48B" w:rsidR="4EBA8C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 is</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worth when it was renovated and relied on the assurance that she would not have to worry about her </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portion</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property </w:t>
      </w:r>
      <w:r w:rsidRPr="4CBED48B" w:rsidR="131738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relationship ended. The Theft Act of 1968 treats property as belonging to anyone who has ownership or control over it, according to (Lawson and </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Rudden</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2002). Although the Gatehouse is unaffected by this Act because it does not relate to land, it may apply to the property’s chattels. </w:t>
      </w:r>
      <w:r w:rsidRPr="4CBED48B" w:rsidR="0B020D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Even though Jennifer bought the home, Sarah lived at the Gatehouse with her for over 10 years, helping with household expenses and raising their two children.</w:t>
      </w:r>
      <w:r w:rsidRPr="4CBED48B" w:rsidR="7B1662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They would have lost the Gatehouse if Sarah had not used her savings to repair it. Because she relied on Jennifer’s assurances, she also increased the property’s worth when she improved it.</w:t>
      </w:r>
    </w:p>
    <w:p w:rsidR="4CBED48B" w:rsidP="4CBED48B" w:rsidRDefault="4CBED48B" w14:paraId="6F5D908D" w14:textId="64D6812E">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22B5B79" w:rsidP="4CBED48B" w:rsidRDefault="522B5B79" w14:paraId="58B0433C" w14:textId="73015E10">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4CBED48B" w:rsidR="522B5B7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Submissions for a constructive trust</w:t>
      </w:r>
    </w:p>
    <w:p w:rsidR="1A3889DE" w:rsidP="4CBED48B" w:rsidRDefault="1A3889DE" w14:paraId="455AEBB9" w14:textId="51AFA47F">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1A3889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 constructive trust is created, according to Smith (2015), when an individual has acted in such a way that it would be unfair to deny them a beneficial interest in the </w:t>
      </w:r>
      <w:r w:rsidRPr="4CBED48B" w:rsidR="1A3889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acquired</w:t>
      </w:r>
      <w:r w:rsidRPr="4CBED48B" w:rsidR="1A3889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land. Jennifer not only gave Sarah assurances about her rights with the Gatehouse, but she also left herself with nothing when she used all her savings to upgrade and repair the property, potentially raising its value. This would not have happened if Sarah had believed she might not be entitled to any </w:t>
      </w:r>
      <w:r w:rsidRPr="4CBED48B" w:rsidR="1A3889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portion</w:t>
      </w:r>
      <w:r w:rsidRPr="4CBED48B" w:rsidR="1A3889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the property. According to McFarlane, Hopkins, and Nield (2018), Stack v Dowden (2007), establishes that the use of constructive trusts, such as Sarah’s contributions to the Gatehouse, has led to the development of a flexible approach to common intention and quantification of beneficial shares when it comes to cohabitation in sole ownership circumstances.</w:t>
      </w:r>
      <w:r w:rsidRPr="4CBED48B" w:rsidR="7B3C4B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Bevan (2022), a claimant may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interest in property under a ‘common intention constructive trust’ by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demonstrating</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she and the legal owner have an express or implied common intention. When Miss Morgan spent £60,000 renovating and repairing the Gatehouse, she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 proprietary interest and reliance </w:t>
      </w:r>
      <w:r w:rsidRPr="4CBED48B" w:rsidR="1AD3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 detriment. The text message conversations that are included further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Miss Williams reassured Miss Morgan that she did not need to worry about the property. The house of lords ruled in Gissing v Gissing (1971) that indirect payments provided by the wife, such as furniture and clothing, could not prove a common intention under a constructive trust. This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size of Sarah’s contributions to the Gatehouse. She used her life savings to repair and renovate the property, </w:t>
      </w:r>
      <w:r w:rsidRPr="4CBED48B" w:rsidR="05A6BC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raising</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its worth, in addition to helping with other household expenses. Bannister v Bannister (1948) illustrates agreements made about rights to property that will be trusted. The defendant’s message “You’ve got nothing to worry about x”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Sarah’s reliance, and without it, she would not have spent money on improvements and repairs (Bray, Turner, and Martin 2004). According to section 53 (1) of the Law of Property Act 1925,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equitable</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interests must be in writing. This is in Jennifer’s favor because sections (a) and (b) stipulate that no interest in land may be created other than in writing. However, because section (2) has no bearing on how constructive trusts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operate</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benefits</w:t>
      </w:r>
      <w:r w:rsidRPr="4CBED48B" w:rsidR="0EF4E3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Sarah. As a result, Sarah is exempt from having to officially declare her interest in the Gatehouse in writing (Kenny and Hewitson, 2002).</w:t>
      </w:r>
    </w:p>
    <w:p w:rsidR="27021FDA" w:rsidP="4CBED48B" w:rsidRDefault="27021FDA" w14:paraId="4F3D4F0C" w14:textId="583C5D81">
      <w:pPr>
        <w:pStyle w:val="Normal"/>
        <w:ind w:left="0"/>
        <w:rPr>
          <w:rFonts w:ascii="Times New Roman" w:hAnsi="Times New Roman" w:eastAsia="Times New Roman" w:cs="Times New Roman"/>
          <w:b w:val="1"/>
          <w:bCs w:val="1"/>
          <w:noProof w:val="0"/>
          <w:sz w:val="24"/>
          <w:szCs w:val="24"/>
          <w:lang w:val="en-US"/>
        </w:rPr>
      </w:pPr>
      <w:r w:rsidRPr="4CBED48B" w:rsidR="27021FDA">
        <w:rPr>
          <w:rFonts w:ascii="Times New Roman" w:hAnsi="Times New Roman" w:eastAsia="Times New Roman" w:cs="Times New Roman"/>
          <w:b w:val="1"/>
          <w:bCs w:val="1"/>
          <w:noProof w:val="0"/>
          <w:sz w:val="24"/>
          <w:szCs w:val="24"/>
          <w:lang w:val="en-US"/>
        </w:rPr>
        <w:t xml:space="preserve">Conclusion </w:t>
      </w:r>
    </w:p>
    <w:p w:rsidR="6F4B8BCD" w:rsidP="4CBED48B" w:rsidRDefault="6F4B8BCD" w14:paraId="22FA8A00" w14:textId="30196A65">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6F4B8B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 couple lived their relationship as a partnership given they had a joint bank account in both their names used for all household expenses.</w:t>
      </w:r>
      <w:r w:rsidRPr="4CBED48B" w:rsidR="27021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There is a common intention between the parties</w:t>
      </w:r>
      <w:r w:rsidRPr="4CBED48B" w:rsidR="6DD3F4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even though they did not sign the wills with the solicitor section (2) of</w:t>
      </w:r>
      <w:r w:rsidRPr="4CBED48B" w:rsidR="052312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LPA 1925 exempts that </w:t>
      </w:r>
      <w:r w:rsidRPr="4CBED48B" w:rsidR="052312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equitable</w:t>
      </w:r>
      <w:r w:rsidRPr="4CBED48B" w:rsidR="052312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interest from having to be in writing. </w:t>
      </w:r>
    </w:p>
    <w:p w:rsidR="572DABD3" w:rsidP="4CBED48B" w:rsidRDefault="572DABD3" w14:paraId="503E657D" w14:textId="6CB68C05">
      <w:pPr>
        <w:pStyle w:val="Normal"/>
        <w:ind w:left="0"/>
        <w:rPr>
          <w:rFonts w:ascii="Times New Roman" w:hAnsi="Times New Roman" w:eastAsia="Times New Roman" w:cs="Times New Roman"/>
          <w:b w:val="1"/>
          <w:bCs w:val="1"/>
          <w:noProof w:val="0"/>
          <w:sz w:val="24"/>
          <w:szCs w:val="24"/>
          <w:lang w:val="en-US"/>
        </w:rPr>
      </w:pPr>
      <w:r w:rsidRPr="4CBED48B" w:rsidR="572DABD3">
        <w:rPr>
          <w:rFonts w:ascii="Times New Roman" w:hAnsi="Times New Roman" w:eastAsia="Times New Roman" w:cs="Times New Roman"/>
          <w:b w:val="1"/>
          <w:bCs w:val="1"/>
          <w:noProof w:val="0"/>
          <w:sz w:val="24"/>
          <w:szCs w:val="24"/>
          <w:lang w:val="en-US"/>
        </w:rPr>
        <w:t>Claim arising under proprietary estoppel</w:t>
      </w:r>
    </w:p>
    <w:p w:rsidR="572DABD3" w:rsidP="4CBED48B" w:rsidRDefault="572DABD3" w14:paraId="47F6E074" w14:textId="4FC98BE6">
      <w:pPr>
        <w:pStyle w:val="Normal"/>
        <w:ind w:left="0"/>
        <w:rPr>
          <w:rFonts w:ascii="Times New Roman" w:hAnsi="Times New Roman" w:eastAsia="Times New Roman" w:cs="Times New Roman"/>
          <w:noProof w:val="0"/>
          <w:sz w:val="24"/>
          <w:szCs w:val="24"/>
          <w:lang w:val="en-US"/>
        </w:rPr>
      </w:pP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Carruthers law (2025) states that assurance, reliance, and detriment are the essential principles for proprietary estoppel. Sarah fulfils all three elements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required</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for a claim of proprietary estoppel. The defendant disputes that the pair ever discussed in person that Sarah would receive her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portion</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the Gatehouse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in the event of</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something going wrong. In their text exchanges, Jennifer reassures Sarah that she need not worry about the property. Additionally, Sarah texted, “Why wouldn’t I? </w:t>
      </w:r>
      <w:r w:rsidRPr="4CBED48B" w:rsidR="587092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 is</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our home- mine as much as yours. So, </w:t>
      </w:r>
      <w:r w:rsidRPr="4CBED48B" w:rsidR="0FCC8F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 will</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pay the builders</w:t>
      </w:r>
      <w:r w:rsidRPr="4CBED48B" w:rsidR="26BD44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Jennifer did not dispute that the house was divided 50/50 between them; she merely expressed her gratitude to Sarah. According to Richards (2014), Errington v Errington and Woods (1952)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demonstrates</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how proprietary estoppel can be used to create an oral contract. The defendant cannot retract a commitment once it has been made. In this case, the couple were paying monthly instalments to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reside</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in a property, and because they fulfilled this commitment, the house would be theirs. This </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benefits</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Sarah because Jennifer assured her that she would not have to worry about her share of the house and let her spend </w:t>
      </w:r>
      <w:r w:rsidRPr="4CBED48B" w:rsidR="2B4D3A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all</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her savings on updating and fixing the Gatehouse. If Sarah had known that Jennifer would deny her a share of the house when their relationship ended, she would not have </w:t>
      </w:r>
      <w:r w:rsidRPr="4CBED48B" w:rsidR="4F8F61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suffered</w:t>
      </w:r>
      <w:r w:rsidRPr="4CBED48B" w:rsidR="572DAB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such a detrimental loss.</w:t>
      </w:r>
    </w:p>
    <w:p w:rsidR="4CBED48B" w:rsidP="4CBED48B" w:rsidRDefault="4CBED48B" w14:paraId="3071438B" w14:textId="2EC38789">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67D47EC8" w:rsidP="4CBED48B" w:rsidRDefault="67D47EC8" w14:paraId="0D30EF22" w14:textId="006A884D">
      <w:pPr>
        <w:pStyle w:val="Normal"/>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4CBED48B" w:rsidR="67D47EC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Submissions for proprietary estoppel</w:t>
      </w:r>
    </w:p>
    <w:p w:rsidR="18AB076C" w:rsidP="4CBED48B" w:rsidRDefault="18AB076C" w14:paraId="0047D206" w14:textId="6CEE8727">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Bevan (2022), a claimant may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interest in property under a ‘common intention constructive trust’ by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demonstrating</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she and the legal owner have an express or implied common intention. When Miss Morgan spent £60,000 renovating and repairing the Gatehouse, she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demonstrated</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 proprietary interest and reliance on her detriment. The text message conversations that are included further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Miss Williams reassured Miss Morgan that she did not need to worry about the property. The house of lords ruled in Gissing v Gissing (1971) that indirect payments provided by the wife, such as furniture and clothing, could not prove a common intention under a constructive trust. This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size of Sarah’s contributions to the Gatehouse.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Bannister v Bannister (1948) illustrates agreements made about rights to property that will be trusted. The defendant’s message “You’ve got nothing to worry about x”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Sarah’s reliance, and without it, she would not have spent money on improvements and repairs (Bray, Turner, and Martin 2004). According to section 53 (1) of the Law of Property Act 1925,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equitable</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interests must be in writing. This is in Jennifer’s favor because sections (a) and (b) stipulate that no interest in land may be created other than in writing. However, because section (2) has no bearing on how constructive trusts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operate</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benefits</w:t>
      </w:r>
      <w:r w:rsidRPr="4CBED48B" w:rsidR="18AB07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Sarah. As a result, Sarah is exempt from having to officially declare her interest in the Gatehouse in writing (Kenny and Hewitson, 2002). </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Sarah meets all three of the requirements for proprietary estoppel since she received assurances via text messages from the defendant Jennifer Williams. “You’ve got nothing to worry about x,” “Nothing will happen, </w:t>
      </w:r>
      <w:bookmarkStart w:name="_Int_VoqWTpXy" w:id="1755535681"/>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w:t>
      </w:r>
      <w:bookmarkEnd w:id="1755535681"/>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strong. </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I’ll</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always look after you.” “Nothing will happen. And anyway, you have your savings, don’t you?” Sarah would not have upgraded and repaired the property if she had not relied on Jennifer’s assurances that the Gatehouse belonged to them both.</w:t>
      </w:r>
      <w:r w:rsidRPr="4CBED48B" w:rsidR="69D910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defendant’s decision to let Sarah rely on her promises and </w:t>
      </w:r>
      <w:r w:rsidRPr="4CBED48B" w:rsidR="165E9D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utilize</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 savings to the Gatehouse was unethical. </w:t>
      </w:r>
      <w:r w:rsidRPr="4CBED48B" w:rsidR="34CF0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McFarlane, Hopkins, and Nield (2021), even without a contract, a party may be protected against a landowner by proprietary estoppel.</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fundamental elements of proprietary estoppel were outlined in Thorner v Major (2009). Since the land was not </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identified</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assurance in this instance was insufficient. In contrast, Sarah received the assurance straight from her ex-partner. According to Cooke (2012), the ruling in Ramsden v Dyson (1866) </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court of equity will order a landlord to carry out a promise made to a person who takes ownership of land and spends money with the landlord’s consent. Based on the reliance Sarah received from </w:t>
      </w:r>
      <w:r w:rsidRPr="4CBED48B" w:rsidR="1D52EC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Jennifer,</w:t>
      </w:r>
      <w:r w:rsidRPr="4CBED48B" w:rsidR="7F7078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she would not have spent her savings on the Gatehouse if she had not relied on the assurances. </w:t>
      </w:r>
    </w:p>
    <w:p w:rsidR="4CBED48B" w:rsidP="4CBED48B" w:rsidRDefault="4CBED48B" w14:paraId="0B2BE271" w14:textId="6B6AE817">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7418629" w:rsidP="4CBED48B" w:rsidRDefault="17418629" w14:paraId="7C8193D8" w14:textId="12FE9F84">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1741862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Conclusion</w:t>
      </w:r>
    </w:p>
    <w:p w:rsidR="17418629" w:rsidP="4CBED48B" w:rsidRDefault="17418629" w14:paraId="33C04B02" w14:textId="1D5DB125">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Every essential </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component</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of proprietary estoppel has been met by Sarah. Sarah relied on Jennifer’s assurance and had </w:t>
      </w:r>
      <w:r w:rsidRPr="4CBED48B" w:rsidR="1576274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 monetary loss</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as a result. This </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demonstrates</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that Sarah should not be prevented from having a beneficial interest in the Gatehouse.</w:t>
      </w:r>
    </w:p>
    <w:p w:rsidR="17418629" w:rsidP="4CBED48B" w:rsidRDefault="17418629" w14:paraId="7987A3CD" w14:textId="64277DAF">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1741862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Overall conclusion</w:t>
      </w:r>
    </w:p>
    <w:p w:rsidR="17418629" w:rsidP="4CBED48B" w:rsidRDefault="17418629" w14:paraId="7CA24D1F" w14:textId="5E489B83">
      <w:pPr>
        <w:pStyle w:val="Normal"/>
        <w:ind w:left="0"/>
        <w:rPr>
          <w:rFonts w:ascii="Times New Roman" w:hAnsi="Times New Roman" w:eastAsia="Times New Roman" w:cs="Times New Roman"/>
          <w:noProof w:val="0"/>
          <w:sz w:val="24"/>
          <w:szCs w:val="24"/>
          <w:lang w:val="en-US"/>
        </w:rPr>
      </w:pP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Due to Sarah’s reliance on the defendant’s representations, Sarah has satisfied all three requirements of proprietary estoppel. </w:t>
      </w:r>
      <w:r w:rsidRPr="4CBED48B" w:rsidR="7587A0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According to section (2) of the Law of Property Act, this is not </w:t>
      </w:r>
      <w:r w:rsidRPr="4CBED48B" w:rsidR="7587A0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required</w:t>
      </w:r>
      <w:r w:rsidRPr="4CBED48B" w:rsidR="7587A0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Sarah also suffered </w:t>
      </w:r>
      <w:r w:rsidRPr="4CBED48B" w:rsidR="610082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monetary loss</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due to relying on these assurances. </w:t>
      </w:r>
      <w:r w:rsidRPr="4CBED48B" w:rsidR="6AEC54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However, Sarah did not contribute to the purchase of the property, which may affect her grounds for relying on a claim for a constructive trust.</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However, there was a common intention between the </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parties in</w:t>
      </w:r>
      <w:r w:rsidRPr="4CBED48B" w:rsidR="1741862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which the defendant disputes. Sarah did however pay £60,000 in repairs in 2019 potentially raising the value of the Gatehouse.</w:t>
      </w:r>
    </w:p>
    <w:p w:rsidR="3D245587" w:rsidP="4CBED48B" w:rsidRDefault="3D245587" w14:paraId="22664E68" w14:textId="303116C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3D24558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Case note</w:t>
      </w:r>
    </w:p>
    <w:p w:rsidR="47A18671" w:rsidP="4CBED48B" w:rsidRDefault="47A18671" w14:paraId="334ED474" w14:textId="6B409E12">
      <w:pPr>
        <w:pStyle w:val="Normal"/>
        <w:ind w:left="28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47A186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Lloyds Bank plc v Rosset [1991]</w:t>
      </w:r>
    </w:p>
    <w:p w:rsidR="2C94D5EA" w:rsidP="4CBED48B" w:rsidRDefault="2C94D5EA" w14:paraId="190943D9" w14:textId="314F0312">
      <w:pPr>
        <w:pStyle w:val="Normal"/>
        <w:ind w:left="2880"/>
        <w:jc w:val="center"/>
        <w:rPr>
          <w:rFonts w:ascii="Aptos" w:hAnsi="Aptos" w:eastAsia="Aptos" w:cs="Aptos"/>
          <w:noProof w:val="0"/>
          <w:sz w:val="24"/>
          <w:szCs w:val="24"/>
          <w:lang w:val="en-US"/>
        </w:rPr>
      </w:pPr>
      <w:hyperlink r:id="Ra0eca27fe8fe414e">
        <w:r w:rsidRPr="4CBED48B" w:rsidR="2C94D5EA">
          <w:rPr>
            <w:rStyle w:val="Hyperlink"/>
            <w:rFonts w:ascii="Helvetica" w:hAnsi="Helvetica" w:eastAsia="Helvetica" w:cs="Helvetica"/>
            <w:b w:val="0"/>
            <w:bCs w:val="0"/>
            <w:i w:val="1"/>
            <w:iCs w:val="1"/>
            <w:caps w:val="0"/>
            <w:smallCaps w:val="0"/>
            <w:strike w:val="0"/>
            <w:dstrike w:val="0"/>
            <w:noProof w:val="0"/>
            <w:sz w:val="21"/>
            <w:szCs w:val="21"/>
            <w:lang w:val="en-US"/>
          </w:rPr>
          <w:t>Lloyds Bank plc v Rosset</w:t>
        </w:r>
        <w:r w:rsidRPr="4CBED48B" w:rsidR="2C94D5EA">
          <w:rPr>
            <w:rStyle w:val="Hyperlink"/>
            <w:rFonts w:ascii="Helvetica" w:hAnsi="Helvetica" w:eastAsia="Helvetica" w:cs="Helvetica"/>
            <w:b w:val="0"/>
            <w:bCs w:val="0"/>
            <w:i w:val="0"/>
            <w:iCs w:val="0"/>
            <w:caps w:val="0"/>
            <w:smallCaps w:val="0"/>
            <w:strike w:val="0"/>
            <w:dstrike w:val="0"/>
            <w:noProof w:val="0"/>
            <w:color w:val="004B91"/>
            <w:sz w:val="21"/>
            <w:szCs w:val="21"/>
            <w:u w:val="single"/>
            <w:lang w:val="en-US"/>
          </w:rPr>
          <w:t xml:space="preserve"> [1991] 1 AC 107, [1990] 1 All ER 1111, [1990] 2 WLR 867, 60 P &amp; CR 311, [1990] 2 FLR 155, [1990] Fam Law 395, 22 HLR 349, [1990] 16 LS Gaz R 41, [1990] NLJR 478, (1990) Times, 30 March</w:t>
        </w:r>
      </w:hyperlink>
    </w:p>
    <w:p w:rsidR="65C21D68" w:rsidP="4CBED48B" w:rsidRDefault="65C21D68" w14:paraId="7A5E642C" w14:textId="04029E0C">
      <w:pPr>
        <w:pStyle w:val="Normal"/>
        <w:ind w:left="36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65C21D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House of Lords</w:t>
      </w:r>
    </w:p>
    <w:p w:rsidR="65C21D68" w:rsidP="4CBED48B" w:rsidRDefault="65C21D68" w14:paraId="691DC23F" w14:textId="048B15AB">
      <w:pPr>
        <w:pStyle w:val="Normal"/>
        <w:ind w:left="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4CBED48B" w:rsidR="65C21D68">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Parties</w:t>
      </w:r>
    </w:p>
    <w:p w:rsidR="23652C22" w:rsidP="4CBED48B" w:rsidRDefault="23652C22" w14:paraId="7AADC2A3" w14:textId="0FF9D0A1">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23652C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Lloyds Bank plc (appellant)</w:t>
      </w:r>
    </w:p>
    <w:p w:rsidR="23652C22" w:rsidP="4CBED48B" w:rsidRDefault="23652C22" w14:paraId="7DF0EBD2" w14:textId="2E20FB36">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23652C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Mr.</w:t>
      </w:r>
      <w:r w:rsidRPr="4CBED48B" w:rsidR="23652C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Mrs. Rosset (Respondent)</w:t>
      </w:r>
    </w:p>
    <w:p w:rsidR="4CBED48B" w:rsidP="4CBED48B" w:rsidRDefault="4CBED48B" w14:paraId="751E0FA5" w14:textId="2CB5265D">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23652C22" w:rsidP="4CBED48B" w:rsidRDefault="23652C22" w14:paraId="2E1CA2AF" w14:textId="4BF22063">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23652C22">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Procedural History</w:t>
      </w:r>
      <w:r w:rsidRPr="4CBED48B" w:rsidR="23652C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p>
    <w:p w:rsidR="56CF48DC" w:rsidP="4CBED48B" w:rsidRDefault="56CF48DC" w14:paraId="73A63F3E" w14:textId="40ADDF7D">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56CF48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House of Lords</w:t>
      </w:r>
    </w:p>
    <w:p w:rsidR="23652C22" w:rsidP="4CBED48B" w:rsidRDefault="23652C22" w14:paraId="599FC4B3" w14:textId="6EA14B28">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23652C22">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Material facts </w:t>
      </w:r>
    </w:p>
    <w:p w:rsidR="5F2B5585" w:rsidP="4CBED48B" w:rsidRDefault="5F2B5585" w14:paraId="0A860591" w14:textId="6275B4EB">
      <w:pPr>
        <w:pStyle w:val="Normal"/>
        <w:ind w:left="0"/>
        <w:jc w:val="left"/>
      </w:pPr>
      <w:r w:rsidRPr="4CBED48B" w:rsidR="5F2B5585">
        <w:rPr>
          <w:rFonts w:ascii="Aptos" w:hAnsi="Aptos" w:eastAsia="Aptos" w:cs="Aptos"/>
          <w:noProof w:val="0"/>
          <w:sz w:val="24"/>
          <w:szCs w:val="24"/>
          <w:lang w:val="en-US"/>
        </w:rPr>
        <w:t>Mr. and Mrs. Rosset were interested in buying semi-derelict property on registered land. Mr. Rosset's family trust in Switzerland provided the funds for the purchase, and the trustee stipulated that the property may only be registered in his name.</w:t>
      </w:r>
      <w:r w:rsidRPr="4CBED48B" w:rsidR="76A5F585">
        <w:rPr>
          <w:rFonts w:ascii="Aptos" w:hAnsi="Aptos" w:eastAsia="Aptos" w:cs="Aptos"/>
          <w:noProof w:val="0"/>
          <w:sz w:val="24"/>
          <w:szCs w:val="24"/>
          <w:lang w:val="en-US"/>
        </w:rPr>
        <w:t xml:space="preserve"> To pay for the renovations, Mr. Rosset </w:t>
      </w:r>
      <w:r w:rsidRPr="4CBED48B" w:rsidR="76A5F585">
        <w:rPr>
          <w:rFonts w:ascii="Aptos" w:hAnsi="Aptos" w:eastAsia="Aptos" w:cs="Aptos"/>
          <w:noProof w:val="0"/>
          <w:sz w:val="24"/>
          <w:szCs w:val="24"/>
          <w:lang w:val="en-US"/>
        </w:rPr>
        <w:t>immediately</w:t>
      </w:r>
      <w:r w:rsidRPr="4CBED48B" w:rsidR="76A5F585">
        <w:rPr>
          <w:rFonts w:ascii="Aptos" w:hAnsi="Aptos" w:eastAsia="Aptos" w:cs="Aptos"/>
          <w:noProof w:val="0"/>
          <w:sz w:val="24"/>
          <w:szCs w:val="24"/>
          <w:lang w:val="en-US"/>
        </w:rPr>
        <w:t xml:space="preserve"> obtained an overdraft from Lloyd's bank. But because he did not repay the loan on time, the bank seized the residence. </w:t>
      </w:r>
      <w:r w:rsidRPr="4CBED48B" w:rsidR="550A877C">
        <w:rPr>
          <w:rFonts w:ascii="Aptos" w:hAnsi="Aptos" w:eastAsia="Aptos" w:cs="Aptos"/>
          <w:noProof w:val="0"/>
          <w:sz w:val="24"/>
          <w:szCs w:val="24"/>
          <w:lang w:val="en-US"/>
        </w:rPr>
        <w:t xml:space="preserve">Despite not having contributed to the purchase price or renovations, Mrs. R </w:t>
      </w:r>
      <w:r w:rsidRPr="4CBED48B" w:rsidR="550A877C">
        <w:rPr>
          <w:rFonts w:ascii="Aptos" w:hAnsi="Aptos" w:eastAsia="Aptos" w:cs="Aptos"/>
          <w:noProof w:val="0"/>
          <w:sz w:val="24"/>
          <w:szCs w:val="24"/>
          <w:lang w:val="en-US"/>
        </w:rPr>
        <w:t>attempted</w:t>
      </w:r>
      <w:r w:rsidRPr="4CBED48B" w:rsidR="550A877C">
        <w:rPr>
          <w:rFonts w:ascii="Aptos" w:hAnsi="Aptos" w:eastAsia="Aptos" w:cs="Aptos"/>
          <w:noProof w:val="0"/>
          <w:sz w:val="24"/>
          <w:szCs w:val="24"/>
          <w:lang w:val="en-US"/>
        </w:rPr>
        <w:t xml:space="preserve"> to assert a beneficial interest in the home.</w:t>
      </w:r>
    </w:p>
    <w:p w:rsidR="60C83650" w:rsidP="4CBED48B" w:rsidRDefault="60C83650" w14:paraId="124290AA" w14:textId="251DC858">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60C8365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Legal Questions for the court</w:t>
      </w:r>
      <w:r w:rsidRPr="4CBED48B" w:rsidR="60C836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p>
    <w:p w:rsidR="533B2C0E" w:rsidP="4CBED48B" w:rsidRDefault="533B2C0E" w14:paraId="72775718" w14:textId="52C7C121">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533B2C0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 issues that arise are whether a beneficial interest can occur with no financial contributions.</w:t>
      </w:r>
    </w:p>
    <w:p w:rsidR="4CBED48B" w:rsidP="4CBED48B" w:rsidRDefault="4CBED48B" w14:paraId="07C5C424" w14:textId="58133A01">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60C83650" w:rsidP="4CBED48B" w:rsidRDefault="60C83650" w14:paraId="6AF283C2" w14:textId="561A8075">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60C8365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Appellant arguments </w:t>
      </w:r>
    </w:p>
    <w:p w:rsidR="4CBED48B" w:rsidP="4CBED48B" w:rsidRDefault="4CBED48B" w14:paraId="02E9C19B" w14:textId="7079677E">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60C83650" w:rsidP="4CBED48B" w:rsidRDefault="60C83650" w14:paraId="7EA819B0" w14:textId="309CE781">
      <w:pPr>
        <w:pStyle w:val="Normal"/>
        <w:ind w:left="0"/>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4CBED48B" w:rsidR="60C83650">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Respondent’s arguments </w:t>
      </w:r>
    </w:p>
    <w:p w:rsidR="4CBED48B" w:rsidP="4CBED48B" w:rsidRDefault="4CBED48B" w14:paraId="5A7482F4" w14:textId="05B8F21A">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687245A" w:rsidP="4CBED48B" w:rsidRDefault="5687245A" w14:paraId="5E53FDA2" w14:textId="66DCAD96">
      <w:pPr>
        <w:pStyle w:val="Normal"/>
        <w:ind w:left="0"/>
        <w:jc w:val="left"/>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4CBED48B" w:rsidR="5687245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 xml:space="preserve">Decision of Court </w:t>
      </w:r>
    </w:p>
    <w:p w:rsidR="7E94B34A" w:rsidP="4CBED48B" w:rsidRDefault="7E94B34A" w14:paraId="2F9039DF" w14:textId="0F10B888">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7E94B3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It was held that </w:t>
      </w:r>
      <w:r w:rsidRPr="4CBED48B" w:rsidR="7E94B3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Mrs.</w:t>
      </w:r>
      <w:r w:rsidRPr="4CBED48B" w:rsidR="7E94B3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R could not claim beneficial interest in the home. </w:t>
      </w:r>
    </w:p>
    <w:p w:rsidR="5687245A" w:rsidP="4CBED48B" w:rsidRDefault="5687245A" w14:paraId="3CC30399" w14:textId="7712BB6A">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5687245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Rule of law</w:t>
      </w:r>
    </w:p>
    <w:p w:rsidR="4CBED48B" w:rsidP="4CBED48B" w:rsidRDefault="4CBED48B" w14:paraId="02B91FC8" w14:textId="584CBCCA">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5687245A" w:rsidP="4CBED48B" w:rsidRDefault="5687245A" w14:paraId="0A604336" w14:textId="096292D6">
      <w:pPr>
        <w:pStyle w:val="Normal"/>
        <w:ind w:lef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5687245A">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t>Reasoning</w:t>
      </w:r>
    </w:p>
    <w:p w:rsidR="3CA4EA25" w:rsidP="4CBED48B" w:rsidRDefault="3CA4EA25" w14:paraId="15C481EB" w14:textId="37BDF051">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3CA4EA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court could not grant Mrs. Rosset a beneficial interest in the property as she was not the sole owner of the property and did not contribute to </w:t>
      </w:r>
      <w:r w:rsidRPr="4CBED48B" w:rsidR="5A054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price of the property or the renovations that occurred. </w:t>
      </w:r>
    </w:p>
    <w:p w:rsidR="4CBED48B" w:rsidP="4CBED48B" w:rsidRDefault="4CBED48B" w14:paraId="185C9617" w14:textId="369C635B">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1653FE21" w14:textId="68D269B1">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53406A05" w14:textId="16C1C641">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2C8144C7" w14:textId="490613DF">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23062357" w14:textId="129D01B0">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5C0D3C3D" w14:textId="303E0F56">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77E7A19E" w14:textId="383F0780">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5163C0B2" w14:textId="66C38CA1">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74AB6D12" w14:textId="7C4C6E0E">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54AEF23D" w14:textId="26AEEFBC">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60FD4272" w14:textId="19851A36">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7418629" w:rsidP="4CBED48B" w:rsidRDefault="17418629" w14:paraId="2F2E797C" w14:textId="6E11B733">
      <w:pPr>
        <w:pStyle w:val="Normal"/>
        <w:ind w:left="360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1741862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Reference List</w:t>
      </w:r>
    </w:p>
    <w:p w:rsidR="4CBED48B" w:rsidP="4CBED48B" w:rsidRDefault="4CBED48B" w14:paraId="6D931B04" w14:textId="2629A8F2">
      <w:pPr>
        <w:pStyle w:val="Normal"/>
        <w:ind w:left="360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2C9D0678" w:rsidP="4CBED48B" w:rsidRDefault="2C9D0678" w14:paraId="21834429" w14:textId="0597CB39">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2C9D0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SRA (2022). Drafting a persuasive skeleton argument. [online] Available at: </w:t>
      </w:r>
      <w:hyperlink r:id="R2ed90d5b2f1c4e73">
        <w:r w:rsidRPr="4CBED48B" w:rsidR="2C9D0678">
          <w:rPr>
            <w:rStyle w:val="Hyperlink"/>
            <w:rFonts w:ascii="Times New Roman" w:hAnsi="Times New Roman" w:eastAsia="Times New Roman" w:cs="Times New Roman"/>
            <w:noProof w:val="0"/>
            <w:sz w:val="24"/>
            <w:szCs w:val="24"/>
            <w:lang w:val="en-US"/>
          </w:rPr>
          <w:t>SRA | Drafting a persuasive skeleton argument | Solicitors Regulation Authority</w:t>
        </w:r>
      </w:hyperlink>
      <w:r w:rsidRPr="4CBED48B" w:rsidR="2C9D06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(08/12/2025).</w:t>
      </w:r>
    </w:p>
    <w:p w:rsidR="1EE8FAB3" w:rsidP="4CBED48B" w:rsidRDefault="1EE8FAB3" w14:paraId="31AC9667" w14:textId="546B2476">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1EE8FAB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Mackenzie, J.-A. (2016). Textbook on land law. Oxford: Oxford University Press. Accessed: (18/12/2025).</w:t>
      </w:r>
    </w:p>
    <w:p w:rsidR="361B1921" w:rsidP="4CBED48B" w:rsidRDefault="361B1921" w14:paraId="6F1992B5" w14:textId="67FDE8AC">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361B1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Smith, R.J. (2015). Property </w:t>
      </w:r>
      <w:r w:rsidRPr="4CBED48B" w:rsidR="361B1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law:</w:t>
      </w:r>
      <w:r w:rsidRPr="4CBED48B" w:rsidR="361B19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cases and materials. sixth ed. Harlow, United Kingdom: Pearson. Accessed: (18/12/2025).</w:t>
      </w:r>
    </w:p>
    <w:p w:rsidR="2CC50C85" w:rsidP="4CBED48B" w:rsidRDefault="2CC50C85" w14:paraId="5298390A" w14:textId="2B1E51F6">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2CC50C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Brooks, J. (2024). ‘Constructive Trusts: A Brief Overview</w:t>
      </w:r>
      <w:r w:rsidRPr="4CBED48B" w:rsidR="514C4D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4CBED48B" w:rsidR="2CC50C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[online] Becket Chambers. Available at: </w:t>
      </w:r>
      <w:hyperlink r:id="R89ce091076414a6c">
        <w:r w:rsidRPr="4CBED48B" w:rsidR="02792C09">
          <w:rPr>
            <w:rStyle w:val="Hyperlink"/>
            <w:rFonts w:ascii="Times New Roman" w:hAnsi="Times New Roman" w:eastAsia="Times New Roman" w:cs="Times New Roman"/>
            <w:noProof w:val="0"/>
            <w:sz w:val="24"/>
            <w:szCs w:val="24"/>
            <w:lang w:val="en-US"/>
          </w:rPr>
          <w:t>“Constructive Trusts: A Brief Overview” - Becket Chambers</w:t>
        </w:r>
      </w:hyperlink>
      <w:r w:rsidRPr="4CBED48B" w:rsidR="02792C09">
        <w:rPr>
          <w:rFonts w:ascii="Times New Roman" w:hAnsi="Times New Roman" w:eastAsia="Times New Roman" w:cs="Times New Roman"/>
          <w:noProof w:val="0"/>
          <w:sz w:val="24"/>
          <w:szCs w:val="24"/>
          <w:lang w:val="en-US"/>
        </w:rPr>
        <w:t xml:space="preserve"> </w:t>
      </w:r>
      <w:r w:rsidRPr="4CBED48B" w:rsidR="2CC50C8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Accessed: (22/12/2025). </w:t>
      </w:r>
    </w:p>
    <w:p w:rsidR="28D3AAD7" w:rsidP="4CBED48B" w:rsidRDefault="28D3AAD7" w14:paraId="565CD896" w14:textId="3E03ADE8">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Overend, M. (2025). Proprietary Estoppel Claims: A Guide - </w:t>
      </w: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Napthens</w:t>
      </w: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Solicitors. [online] </w:t>
      </w: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Napthens</w:t>
      </w: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Solicitors. Available at: </w:t>
      </w:r>
      <w:hyperlink r:id="R131ffdd28f044b9b">
        <w:r w:rsidRPr="4CBED48B" w:rsidR="6CC7A558">
          <w:rPr>
            <w:rStyle w:val="Hyperlink"/>
            <w:rFonts w:ascii="Times New Roman" w:hAnsi="Times New Roman" w:eastAsia="Times New Roman" w:cs="Times New Roman"/>
            <w:noProof w:val="0"/>
            <w:sz w:val="24"/>
            <w:szCs w:val="24"/>
            <w:lang w:val="en-US"/>
          </w:rPr>
          <w:t>Proprietary Estoppel Claims: A Guide - Napthens Solicitors</w:t>
        </w:r>
      </w:hyperlink>
      <w:r w:rsidRPr="4CBED48B" w:rsidR="6CC7A558">
        <w:rPr>
          <w:rFonts w:ascii="Times New Roman" w:hAnsi="Times New Roman" w:eastAsia="Times New Roman" w:cs="Times New Roman"/>
          <w:noProof w:val="0"/>
          <w:sz w:val="24"/>
          <w:szCs w:val="24"/>
          <w:lang w:val="en-US"/>
        </w:rPr>
        <w:t xml:space="preserve"> </w:t>
      </w:r>
      <w:r w:rsidRPr="4CBED48B" w:rsidR="28D3A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(22/12/2025).</w:t>
      </w:r>
    </w:p>
    <w:p w:rsidR="04B79AFF" w:rsidP="4CBED48B" w:rsidRDefault="04B79AFF" w14:paraId="4735BF10" w14:textId="1D0519E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BED48B" w:rsidR="04B79A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McFarlane</w:t>
      </w:r>
      <w:r w:rsidRPr="4CBED48B" w:rsidR="04B79A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B., Hopkins, N. and Nield, S. (2018). Land law: text, cases, and materials. Fourth ed. Oxford; New York, Ny: Oxford University Press. Accessed: (22/12/2025).</w:t>
      </w:r>
    </w:p>
    <w:p w:rsidR="04B79AFF" w:rsidP="4CBED48B" w:rsidRDefault="04B79AFF" w14:paraId="0BB9DA71" w14:textId="5FA2B903">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04B79A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Bevan, C. (2022). Land Law. 3rd ed. S.L.: Oxford University Press. Accessed: (30/12/2025).</w:t>
      </w:r>
    </w:p>
    <w:p w:rsidR="15FE92CA" w:rsidP="4CBED48B" w:rsidRDefault="15FE92CA" w14:paraId="0608F39A" w14:textId="359D90F4">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Bray, J., Turner, </w:t>
      </w:r>
      <w:r w:rsidRPr="4CBED48B" w:rsidR="297273C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w:t>
      </w: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Martin, J. (2004). Unlocking Land Law. Hodder Arnold. Accessed: (30/12/2025).</w:t>
      </w:r>
    </w:p>
    <w:p w:rsidR="15FE92CA" w:rsidP="4CBED48B" w:rsidRDefault="15FE92CA" w14:paraId="00E41747" w14:textId="2C1E50C0">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McFarlane, B., Hopkins, N. and Nield, S. (2021). LAND </w:t>
      </w:r>
      <w:r w:rsidRPr="4CBED48B" w:rsidR="262E08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LAW:</w:t>
      </w: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text, </w:t>
      </w:r>
      <w:r w:rsidRPr="4CBED48B" w:rsidR="2D4EBB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cases,</w:t>
      </w: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materials. fifth ed. S.L.: Oxford Univ Press. Accessed: (30/12/2025).</w:t>
      </w:r>
    </w:p>
    <w:p w:rsidR="15FE92CA" w:rsidP="4CBED48B" w:rsidRDefault="15FE92CA" w14:paraId="3520DB2E" w14:textId="32319249">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Carruthers Law. (2025). Carruthers Law | Proprietary Estoppel Solicitors | Farm and Estate Disputes. Available at: </w:t>
      </w:r>
      <w:hyperlink r:id="R43feb5770bb847b4">
        <w:r w:rsidRPr="4CBED48B" w:rsidR="75613A5E">
          <w:rPr>
            <w:rStyle w:val="Hyperlink"/>
            <w:rFonts w:ascii="Times New Roman" w:hAnsi="Times New Roman" w:eastAsia="Times New Roman" w:cs="Times New Roman"/>
            <w:noProof w:val="0"/>
            <w:sz w:val="24"/>
            <w:szCs w:val="24"/>
            <w:lang w:val="en-US"/>
          </w:rPr>
          <w:t>Proprietary Estoppel Solicitors | Farm and Estate Disputes | Carruthers Law</w:t>
        </w:r>
      </w:hyperlink>
      <w:r w:rsidRPr="4CBED48B" w:rsidR="15FE92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(30/12/2025).</w:t>
      </w:r>
    </w:p>
    <w:p w:rsidR="689C141E" w:rsidP="4CBED48B" w:rsidRDefault="689C141E" w14:paraId="26970C75" w14:textId="2E89E235">
      <w:pPr>
        <w:pStyle w:val="Normal"/>
        <w:ind w:left="0"/>
        <w:rPr>
          <w:rFonts w:ascii="Times New Roman" w:hAnsi="Times New Roman" w:eastAsia="Times New Roman" w:cs="Times New Roman"/>
          <w:noProof w:val="0"/>
          <w:sz w:val="24"/>
          <w:szCs w:val="24"/>
          <w:lang w:val="en-US"/>
        </w:rPr>
      </w:pPr>
      <w:r w:rsidRPr="4CBED48B" w:rsidR="689C14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Cooke, E. (2012). Land law. Third ed. Oxford, U.K.: Oxford University Press. Accessed: (30/12/2025).</w:t>
      </w:r>
    </w:p>
    <w:p w:rsidR="689C141E" w:rsidP="4CBED48B" w:rsidRDefault="689C141E" w14:paraId="5EF6FCB5" w14:textId="707A4215">
      <w:pPr>
        <w:pStyle w:val="Normal"/>
        <w:ind w:left="0"/>
        <w:rPr>
          <w:rFonts w:ascii="Aptos" w:hAnsi="Aptos" w:eastAsia="Aptos" w:cs="Aptos"/>
          <w:noProof w:val="0"/>
          <w:sz w:val="24"/>
          <w:szCs w:val="24"/>
          <w:lang w:val="en-US"/>
        </w:rPr>
      </w:pPr>
      <w:r w:rsidRPr="4CBED48B" w:rsidR="689C14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Richards, P. (2014). Land law. Harlow, England: Pearson Education. Accessed: (31/12/2025). Kenny, P. Hewitson, R. (2002, p</w:t>
      </w:r>
      <w:r w:rsidRPr="4CBED48B" w:rsidR="689C14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89</w:t>
      </w:r>
      <w:r w:rsidRPr="4CBED48B" w:rsidR="689C14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-90). Property Law. Butterworths LexisNexis. Accessed: (08/01/2025).</w:t>
      </w:r>
    </w:p>
    <w:p w:rsidR="689C141E" w:rsidP="4CBED48B" w:rsidRDefault="689C141E" w14:paraId="7B480AFC" w14:textId="2554E3C9">
      <w:pPr>
        <w:pStyle w:val="Normal"/>
        <w:ind w:left="0"/>
        <w:rPr>
          <w:rFonts w:ascii="Aptos" w:hAnsi="Aptos" w:eastAsia="Aptos" w:cs="Aptos"/>
          <w:noProof w:val="0"/>
          <w:sz w:val="24"/>
          <w:szCs w:val="24"/>
          <w:lang w:val="en-US"/>
        </w:rPr>
      </w:pPr>
      <w:r w:rsidRPr="4CBED48B" w:rsidR="689C141E">
        <w:rPr>
          <w:rFonts w:ascii="Aptos" w:hAnsi="Aptos" w:eastAsia="Aptos" w:cs="Aptos"/>
          <w:b w:val="0"/>
          <w:bCs w:val="0"/>
          <w:i w:val="0"/>
          <w:iCs w:val="0"/>
          <w:caps w:val="0"/>
          <w:smallCaps w:val="0"/>
          <w:noProof w:val="0"/>
          <w:color w:val="000000" w:themeColor="text1" w:themeTint="FF" w:themeShade="FF"/>
          <w:sz w:val="24"/>
          <w:szCs w:val="24"/>
          <w:lang w:val="en-US"/>
        </w:rPr>
        <w:t xml:space="preserve">Lawson, F.H. and </w:t>
      </w:r>
      <w:r w:rsidRPr="4CBED48B" w:rsidR="689C141E">
        <w:rPr>
          <w:rFonts w:ascii="Aptos" w:hAnsi="Aptos" w:eastAsia="Aptos" w:cs="Aptos"/>
          <w:b w:val="0"/>
          <w:bCs w:val="0"/>
          <w:i w:val="0"/>
          <w:iCs w:val="0"/>
          <w:caps w:val="0"/>
          <w:smallCaps w:val="0"/>
          <w:noProof w:val="0"/>
          <w:color w:val="000000" w:themeColor="text1" w:themeTint="FF" w:themeShade="FF"/>
          <w:sz w:val="24"/>
          <w:szCs w:val="24"/>
          <w:lang w:val="en-US"/>
        </w:rPr>
        <w:t>Rudden</w:t>
      </w:r>
      <w:r w:rsidRPr="4CBED48B" w:rsidR="689C141E">
        <w:rPr>
          <w:rFonts w:ascii="Aptos" w:hAnsi="Aptos" w:eastAsia="Aptos" w:cs="Aptos"/>
          <w:b w:val="0"/>
          <w:bCs w:val="0"/>
          <w:i w:val="0"/>
          <w:iCs w:val="0"/>
          <w:caps w:val="0"/>
          <w:smallCaps w:val="0"/>
          <w:noProof w:val="0"/>
          <w:color w:val="000000" w:themeColor="text1" w:themeTint="FF" w:themeShade="FF"/>
          <w:sz w:val="24"/>
          <w:szCs w:val="24"/>
          <w:lang w:val="en-US"/>
        </w:rPr>
        <w:t xml:space="preserve">, B. (2002). The law of property. </w:t>
      </w:r>
      <w:r w:rsidRPr="4CBED48B" w:rsidR="689C141E">
        <w:rPr>
          <w:rFonts w:ascii="Aptos" w:hAnsi="Aptos" w:eastAsia="Aptos" w:cs="Aptos"/>
          <w:b w:val="0"/>
          <w:bCs w:val="0"/>
          <w:i w:val="0"/>
          <w:iCs w:val="0"/>
          <w:caps w:val="0"/>
          <w:smallCaps w:val="0"/>
          <w:noProof w:val="0"/>
          <w:color w:val="000000" w:themeColor="text1" w:themeTint="FF" w:themeShade="FF"/>
          <w:sz w:val="24"/>
          <w:szCs w:val="24"/>
          <w:lang w:val="en-US"/>
        </w:rPr>
        <w:t>Oxford;</w:t>
      </w:r>
      <w:r w:rsidRPr="4CBED48B" w:rsidR="689C141E">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Oxford University Press. Accessed: (09/01/2025)</w:t>
      </w:r>
    </w:p>
    <w:p w:rsidR="6EBDB55A" w:rsidP="4CBED48B" w:rsidRDefault="6EBDB55A" w14:paraId="16D8C4A7" w14:textId="6D35DC97">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4CBED48B" w:rsidR="6EBDB5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Kenny, P. Hewitson, R. (2002, p</w:t>
      </w:r>
      <w:r w:rsidRPr="4CBED48B" w:rsidR="7034D6D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89</w:t>
      </w:r>
      <w:r w:rsidRPr="4CBED48B" w:rsidR="6EBDB5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-90)</w:t>
      </w:r>
      <w:r w:rsidRPr="4CBED48B" w:rsidR="428EAF4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Property</w:t>
      </w:r>
      <w:r w:rsidRPr="4CBED48B" w:rsidR="08D8B1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Law. Butterworths LexisNexis. Accessed: (08/01</w:t>
      </w:r>
      <w:r w:rsidRPr="4CBED48B" w:rsidR="21D296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/2025).</w:t>
      </w:r>
    </w:p>
    <w:p w:rsidR="0DB442EA" w:rsidP="4CBED48B" w:rsidRDefault="0DB442EA" w14:paraId="5156AE01" w14:textId="72AF5A7D">
      <w:pPr>
        <w:pStyle w:val="Normal"/>
        <w:ind w:left="360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r w:rsidRPr="4CBED48B" w:rsidR="0DB442EA">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Case Law</w:t>
      </w:r>
    </w:p>
    <w:p w:rsidR="4CBED48B" w:rsidP="4CBED48B" w:rsidRDefault="4CBED48B" w14:paraId="59E860B3" w14:textId="7DF44F71">
      <w:pPr>
        <w:pStyle w:val="Normal"/>
        <w:ind w:left="360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pPr>
    </w:p>
    <w:p w:rsidR="0DB442EA" w:rsidP="4CBED48B" w:rsidRDefault="0DB442EA" w14:paraId="1372F13D" w14:textId="057B0E54">
      <w:pPr>
        <w:pStyle w:val="Normal"/>
        <w:ind w:left="0"/>
        <w:rPr>
          <w:rFonts w:ascii="Times New Roman" w:hAnsi="Times New Roman" w:eastAsia="Times New Roman" w:cs="Times New Roman"/>
          <w:noProof w:val="0"/>
          <w:sz w:val="24"/>
          <w:szCs w:val="24"/>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Geory v Rankine [2012] EWCA Civ 404</w:t>
      </w:r>
    </w:p>
    <w:p w:rsidR="0DB442EA" w:rsidP="4CBED48B" w:rsidRDefault="0DB442EA" w14:paraId="3509FCCE" w14:textId="26A6E36D">
      <w:pPr>
        <w:pStyle w:val="Normal"/>
        <w:ind w:left="0"/>
        <w:rPr>
          <w:rFonts w:ascii="Aptos" w:hAnsi="Aptos" w:eastAsia="Aptos" w:cs="Aptos"/>
          <w:noProof w:val="0"/>
          <w:sz w:val="24"/>
          <w:szCs w:val="24"/>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Stack v Dowden [2007] 2 AC 432, HL</w:t>
      </w:r>
    </w:p>
    <w:p w:rsidR="0DB442EA" w:rsidP="4CBED48B" w:rsidRDefault="0DB442EA" w14:paraId="0F9EFAEC" w14:textId="7F9A1989">
      <w:pPr>
        <w:pStyle w:val="Normal"/>
        <w:ind w:left="0"/>
        <w:rPr>
          <w:rFonts w:ascii="Aptos" w:hAnsi="Aptos" w:eastAsia="Aptos" w:cs="Aptos"/>
          <w:noProof w:val="0"/>
          <w:sz w:val="24"/>
          <w:szCs w:val="24"/>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Bannister v Bannister [1948] 2 ALL ER 133</w:t>
      </w:r>
    </w:p>
    <w:p w:rsidR="0DB442EA" w:rsidP="4CBED48B" w:rsidRDefault="0DB442EA" w14:paraId="09BAE4B2" w14:textId="60DAC1A6">
      <w:pPr>
        <w:pStyle w:val="Normal"/>
        <w:ind w:left="0"/>
        <w:rPr>
          <w:rFonts w:ascii="Aptos" w:hAnsi="Aptos" w:eastAsia="Aptos" w:cs="Aptos"/>
          <w:noProof w:val="0"/>
          <w:sz w:val="24"/>
          <w:szCs w:val="24"/>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Gissing v Gissing [1971] AC 886</w:t>
      </w:r>
    </w:p>
    <w:p w:rsidR="0DB442EA" w:rsidP="4CBED48B" w:rsidRDefault="0DB442EA" w14:paraId="069B3183" w14:textId="1140E0B6">
      <w:pPr>
        <w:pStyle w:val="Normal"/>
        <w:ind w:left="0"/>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Thorner v Major [2009] UKHL 18, [2009] 1 WLR 776</w:t>
      </w:r>
    </w:p>
    <w:p w:rsidR="0DB442EA" w:rsidP="4CBED48B" w:rsidRDefault="0DB442EA" w14:paraId="6CD76976" w14:textId="26CEE730">
      <w:pPr>
        <w:pStyle w:val="Normal"/>
        <w:ind w:left="0"/>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Ramsden v Dyson [1866] LR 1 HL 129</w:t>
      </w:r>
    </w:p>
    <w:p w:rsidR="0DB442EA" w:rsidP="4CBED48B" w:rsidRDefault="0DB442EA" w14:paraId="403A5E2D" w14:textId="1221EB55">
      <w:pPr>
        <w:rPr>
          <w:rFonts w:ascii="Aptos" w:hAnsi="Aptos" w:eastAsia="Aptos" w:cs="Aptos"/>
          <w:noProof w:val="0"/>
          <w:sz w:val="24"/>
          <w:szCs w:val="24"/>
          <w:lang w:val="en-US"/>
        </w:rPr>
      </w:pPr>
      <w:r w:rsidRPr="4CBED48B" w:rsidR="0DB442EA">
        <w:rPr>
          <w:rFonts w:ascii="Aptos" w:hAnsi="Aptos" w:eastAsia="Aptos" w:cs="Aptos"/>
          <w:b w:val="0"/>
          <w:bCs w:val="0"/>
          <w:i w:val="0"/>
          <w:iCs w:val="0"/>
          <w:caps w:val="0"/>
          <w:smallCaps w:val="0"/>
          <w:noProof w:val="0"/>
          <w:color w:val="000000" w:themeColor="text1" w:themeTint="FF" w:themeShade="FF"/>
          <w:sz w:val="24"/>
          <w:szCs w:val="24"/>
          <w:lang w:val="en-US"/>
        </w:rPr>
        <w:t>Errington v Errington and Woods [1952] 1 KB 290</w:t>
      </w:r>
    </w:p>
    <w:p w:rsidR="0DB442EA" w:rsidP="4CBED48B" w:rsidRDefault="0DB442EA" w14:paraId="08C61E98" w14:textId="7C16D062">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Curran v Collins [2015] EWCA Civ 404</w:t>
      </w:r>
    </w:p>
    <w:p w:rsidR="0DB442EA" w:rsidP="4CBED48B" w:rsidRDefault="0DB442EA" w14:paraId="37A3E900" w14:textId="3B9DAB56">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4CBED48B" w:rsidR="0DB442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Lloyds Bank plc v Rosset [1991] 1 AC 107 </w:t>
      </w:r>
    </w:p>
    <w:p w:rsidR="4CBED48B" w:rsidP="4CBED48B" w:rsidRDefault="4CBED48B" w14:paraId="17C021D7" w14:textId="5128C04A">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5581061A" w14:textId="21652FC0">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0D382B23" w14:textId="30665355">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177D7C45" w14:textId="53755EEC">
      <w:pPr>
        <w:pStyle w:val="Normal"/>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CBED48B" w:rsidP="4CBED48B" w:rsidRDefault="4CBED48B" w14:paraId="68AC7E42" w14:textId="7275D68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CBED48B" w:rsidP="4CBED48B" w:rsidRDefault="4CBED48B" w14:paraId="2FCE6A51" w14:textId="1215F408">
      <w:pPr>
        <w:pStyle w:val="Normal"/>
        <w:ind w:left="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15loF0BZbYnkP" int2:id="ATLrAvD0">
      <int2:state int2:type="spell" int2:value="Rejected"/>
    </int2:textHash>
    <int2:textHash int2:hashCode="7AG5YTbrHWZNjY" int2:id="DIBZWaep">
      <int2:state int2:type="spell" int2:value="Rejected"/>
    </int2:textHash>
    <int2:bookmark int2:bookmarkName="_Int_VoqWTpXy" int2:invalidationBookmarkName="" int2:hashCode="mQFoH0eDtPX24L" int2:id="482uoyLV">
      <int2:state int2:type="style" int2:value="Rejected"/>
    </int2:bookmark>
    <int2:bookmark int2:bookmarkName="_Int_Wl0nRiG8" int2:invalidationBookmarkName="" int2:hashCode="CxevYcDj0dTCVT" int2:id="9W3o4NA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31F0A"/>
    <w:rsid w:val="00342467"/>
    <w:rsid w:val="0257EE4E"/>
    <w:rsid w:val="02792C09"/>
    <w:rsid w:val="034AAE0E"/>
    <w:rsid w:val="03970187"/>
    <w:rsid w:val="0428A06A"/>
    <w:rsid w:val="04B79AFF"/>
    <w:rsid w:val="052312D6"/>
    <w:rsid w:val="057A1952"/>
    <w:rsid w:val="057A1952"/>
    <w:rsid w:val="05A6BC93"/>
    <w:rsid w:val="05F4E1DB"/>
    <w:rsid w:val="0765D608"/>
    <w:rsid w:val="0765D608"/>
    <w:rsid w:val="08D8B121"/>
    <w:rsid w:val="08DA3A3F"/>
    <w:rsid w:val="08DA3A3F"/>
    <w:rsid w:val="0A4CF503"/>
    <w:rsid w:val="0B001A25"/>
    <w:rsid w:val="0B020D05"/>
    <w:rsid w:val="0B4886E6"/>
    <w:rsid w:val="0C48C0F6"/>
    <w:rsid w:val="0DB442EA"/>
    <w:rsid w:val="0EF4E3A3"/>
    <w:rsid w:val="0F6C9845"/>
    <w:rsid w:val="0F9B33ED"/>
    <w:rsid w:val="0FCC8F7F"/>
    <w:rsid w:val="11130C01"/>
    <w:rsid w:val="119A2D1D"/>
    <w:rsid w:val="13173815"/>
    <w:rsid w:val="136FB6B1"/>
    <w:rsid w:val="14775D9A"/>
    <w:rsid w:val="148A4F01"/>
    <w:rsid w:val="148A4F01"/>
    <w:rsid w:val="14DE8242"/>
    <w:rsid w:val="15762747"/>
    <w:rsid w:val="15FE92CA"/>
    <w:rsid w:val="165E9DDD"/>
    <w:rsid w:val="166944D4"/>
    <w:rsid w:val="1673BF11"/>
    <w:rsid w:val="1673BF11"/>
    <w:rsid w:val="17418629"/>
    <w:rsid w:val="17DF38F1"/>
    <w:rsid w:val="18AB076C"/>
    <w:rsid w:val="19A9A6DB"/>
    <w:rsid w:val="1A3889DE"/>
    <w:rsid w:val="1AB1B156"/>
    <w:rsid w:val="1AD34AEB"/>
    <w:rsid w:val="1C37137F"/>
    <w:rsid w:val="1C37137F"/>
    <w:rsid w:val="1CDA8A1D"/>
    <w:rsid w:val="1D24B6F1"/>
    <w:rsid w:val="1D52EC98"/>
    <w:rsid w:val="1D90EBC1"/>
    <w:rsid w:val="1D93F6AA"/>
    <w:rsid w:val="1D93F6AA"/>
    <w:rsid w:val="1DD07286"/>
    <w:rsid w:val="1DF0EE47"/>
    <w:rsid w:val="1E15AC6A"/>
    <w:rsid w:val="1EE8FAB3"/>
    <w:rsid w:val="1F49A1CC"/>
    <w:rsid w:val="1F7587AD"/>
    <w:rsid w:val="1F7587AD"/>
    <w:rsid w:val="2041F4AF"/>
    <w:rsid w:val="20BE2948"/>
    <w:rsid w:val="21D2966D"/>
    <w:rsid w:val="23156E3B"/>
    <w:rsid w:val="23652C22"/>
    <w:rsid w:val="2453914B"/>
    <w:rsid w:val="24F3C388"/>
    <w:rsid w:val="24F6BECF"/>
    <w:rsid w:val="259EF9EC"/>
    <w:rsid w:val="262E08A3"/>
    <w:rsid w:val="26BD44B6"/>
    <w:rsid w:val="27021FDA"/>
    <w:rsid w:val="27C813B6"/>
    <w:rsid w:val="28CE676E"/>
    <w:rsid w:val="28D3AAD7"/>
    <w:rsid w:val="297273C4"/>
    <w:rsid w:val="2B26FC5B"/>
    <w:rsid w:val="2B4CA772"/>
    <w:rsid w:val="2B4D3A39"/>
    <w:rsid w:val="2BD437B8"/>
    <w:rsid w:val="2C58CEB8"/>
    <w:rsid w:val="2C94D5EA"/>
    <w:rsid w:val="2C9D0678"/>
    <w:rsid w:val="2CAAD9D3"/>
    <w:rsid w:val="2CC50C85"/>
    <w:rsid w:val="2D4EBB51"/>
    <w:rsid w:val="2E3E1AEE"/>
    <w:rsid w:val="2E7FB743"/>
    <w:rsid w:val="2F04A2C8"/>
    <w:rsid w:val="2F04A2C8"/>
    <w:rsid w:val="2FA2CB6E"/>
    <w:rsid w:val="2FA2CB6E"/>
    <w:rsid w:val="2FF4E0BB"/>
    <w:rsid w:val="313EC14F"/>
    <w:rsid w:val="32CAB2B7"/>
    <w:rsid w:val="32CAB2B7"/>
    <w:rsid w:val="3310A3D4"/>
    <w:rsid w:val="346F0629"/>
    <w:rsid w:val="348D4B99"/>
    <w:rsid w:val="34CF006C"/>
    <w:rsid w:val="3502BA79"/>
    <w:rsid w:val="353645B7"/>
    <w:rsid w:val="35D29025"/>
    <w:rsid w:val="361B1921"/>
    <w:rsid w:val="368F2626"/>
    <w:rsid w:val="36E1B1EA"/>
    <w:rsid w:val="37758C84"/>
    <w:rsid w:val="381F2C52"/>
    <w:rsid w:val="38EE3F22"/>
    <w:rsid w:val="38F31F0A"/>
    <w:rsid w:val="3A949713"/>
    <w:rsid w:val="3AE77E83"/>
    <w:rsid w:val="3B6D2838"/>
    <w:rsid w:val="3CA4EA25"/>
    <w:rsid w:val="3D245587"/>
    <w:rsid w:val="3DFD5800"/>
    <w:rsid w:val="40D8492F"/>
    <w:rsid w:val="40FC9952"/>
    <w:rsid w:val="41EFF2CD"/>
    <w:rsid w:val="428EAF4A"/>
    <w:rsid w:val="42CAC6B3"/>
    <w:rsid w:val="42CAC6B3"/>
    <w:rsid w:val="43AAC7E2"/>
    <w:rsid w:val="44C97584"/>
    <w:rsid w:val="459F4A20"/>
    <w:rsid w:val="47A18671"/>
    <w:rsid w:val="47FEC527"/>
    <w:rsid w:val="47FEC527"/>
    <w:rsid w:val="49B8C66C"/>
    <w:rsid w:val="49C7C7DA"/>
    <w:rsid w:val="4B2B7508"/>
    <w:rsid w:val="4BC66A3E"/>
    <w:rsid w:val="4C4C2550"/>
    <w:rsid w:val="4C4C2550"/>
    <w:rsid w:val="4CBED48B"/>
    <w:rsid w:val="4E44880A"/>
    <w:rsid w:val="4E44880A"/>
    <w:rsid w:val="4EBA8C36"/>
    <w:rsid w:val="4EDFE047"/>
    <w:rsid w:val="4F8F61FC"/>
    <w:rsid w:val="5082629F"/>
    <w:rsid w:val="50A7391D"/>
    <w:rsid w:val="514C4DDE"/>
    <w:rsid w:val="520A6D9D"/>
    <w:rsid w:val="522B5B79"/>
    <w:rsid w:val="52C63337"/>
    <w:rsid w:val="52C63337"/>
    <w:rsid w:val="533B2C0E"/>
    <w:rsid w:val="53B507F1"/>
    <w:rsid w:val="53B507F1"/>
    <w:rsid w:val="547E9784"/>
    <w:rsid w:val="547E9784"/>
    <w:rsid w:val="550A877C"/>
    <w:rsid w:val="5614E51B"/>
    <w:rsid w:val="56846AC7"/>
    <w:rsid w:val="5687245A"/>
    <w:rsid w:val="56C1A009"/>
    <w:rsid w:val="56CF48DC"/>
    <w:rsid w:val="572DABD3"/>
    <w:rsid w:val="5870921F"/>
    <w:rsid w:val="589CEAE5"/>
    <w:rsid w:val="59575B5F"/>
    <w:rsid w:val="59C3EF93"/>
    <w:rsid w:val="5A05450C"/>
    <w:rsid w:val="5AB31EBC"/>
    <w:rsid w:val="5CC793BA"/>
    <w:rsid w:val="5D350BC8"/>
    <w:rsid w:val="5D350BC8"/>
    <w:rsid w:val="5DE64EB5"/>
    <w:rsid w:val="5E2F0BB1"/>
    <w:rsid w:val="5F2B5585"/>
    <w:rsid w:val="5F70D162"/>
    <w:rsid w:val="5F70D162"/>
    <w:rsid w:val="60C83650"/>
    <w:rsid w:val="60C91891"/>
    <w:rsid w:val="6100822D"/>
    <w:rsid w:val="63089507"/>
    <w:rsid w:val="63089507"/>
    <w:rsid w:val="64312C83"/>
    <w:rsid w:val="645BAE28"/>
    <w:rsid w:val="64CAF74E"/>
    <w:rsid w:val="653DA0B1"/>
    <w:rsid w:val="65C21D68"/>
    <w:rsid w:val="65F8C5B2"/>
    <w:rsid w:val="67D47EC8"/>
    <w:rsid w:val="680ACAA4"/>
    <w:rsid w:val="6876022A"/>
    <w:rsid w:val="6876022A"/>
    <w:rsid w:val="689C141E"/>
    <w:rsid w:val="69D910D7"/>
    <w:rsid w:val="6A402A95"/>
    <w:rsid w:val="6AE65E1D"/>
    <w:rsid w:val="6AEC546F"/>
    <w:rsid w:val="6B3CE636"/>
    <w:rsid w:val="6C0F0F4C"/>
    <w:rsid w:val="6CC7A558"/>
    <w:rsid w:val="6DD3F42A"/>
    <w:rsid w:val="6EBDB55A"/>
    <w:rsid w:val="6F4B8BCD"/>
    <w:rsid w:val="7034D6D2"/>
    <w:rsid w:val="72247245"/>
    <w:rsid w:val="735F22CE"/>
    <w:rsid w:val="739EDE65"/>
    <w:rsid w:val="73D3CDEC"/>
    <w:rsid w:val="741BEEB7"/>
    <w:rsid w:val="75216E0F"/>
    <w:rsid w:val="75216E0F"/>
    <w:rsid w:val="75613A5E"/>
    <w:rsid w:val="7587A054"/>
    <w:rsid w:val="76A5F585"/>
    <w:rsid w:val="77202541"/>
    <w:rsid w:val="77C66FA3"/>
    <w:rsid w:val="78AA17A4"/>
    <w:rsid w:val="7A3EE00A"/>
    <w:rsid w:val="7A3EE00A"/>
    <w:rsid w:val="7B1662E0"/>
    <w:rsid w:val="7B3C4B55"/>
    <w:rsid w:val="7B75C312"/>
    <w:rsid w:val="7B75C312"/>
    <w:rsid w:val="7B9B671D"/>
    <w:rsid w:val="7B9B671D"/>
    <w:rsid w:val="7BCDC29A"/>
    <w:rsid w:val="7BCDC29A"/>
    <w:rsid w:val="7C568EE7"/>
    <w:rsid w:val="7C568EE7"/>
    <w:rsid w:val="7C8CBDB9"/>
    <w:rsid w:val="7D54CA55"/>
    <w:rsid w:val="7D54CA55"/>
    <w:rsid w:val="7E5F3776"/>
    <w:rsid w:val="7E94B34A"/>
    <w:rsid w:val="7EDA0D5C"/>
    <w:rsid w:val="7EF75C0A"/>
    <w:rsid w:val="7EF75C0A"/>
    <w:rsid w:val="7F707841"/>
    <w:rsid w:val="7FF10A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31F0A"/>
  <w15:chartTrackingRefBased/>
  <w15:docId w15:val="{A08594A3-1A22-4952-BFBF-3064C64C69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BED48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lus-lexis-com.uwtsd.idm.oclc.org/api/document/collection/cases-uk/id/4FXR-1WX0-TWW4-20PH-00000-00?cite=Lloyds%20Bank%20plc%20v%20Rosset%2C%20%5B1991%5D%201%20AC%20107%2C%20%5B1990%5D%201%20All%20ER%201111%2C%20%5B1990%5D%202%20WLR%20867%2C%2060%20P%20%26%20CR%20311%2C%20%5B1990%5D%202%20FLR%20155%2C%20%5B1990%5D%20Fam%20Law%20395%2C%2022%20HLR%20349%2C%20%5B1990%5D%2016%20LS%20Gaz%20R%2041%2C%20%5B1990%5D%20NLJR%20478%2C%20(1990)%20Times%2C%2030%20March&amp;context=1001073&amp;identityprofileid=R6VFST67341" TargetMode="External" Id="Ra0eca27fe8fe414e" /><Relationship Type="http://schemas.openxmlformats.org/officeDocument/2006/relationships/hyperlink" Target="https://www.sra.org.uk/solicitors/resources/specific-areas-of-practice/persuasive-skeleton-argument/" TargetMode="External" Id="R2ed90d5b2f1c4e73" /><Relationship Type="http://schemas.openxmlformats.org/officeDocument/2006/relationships/hyperlink" Target="https://becket-chambers.co.uk/articles/constructive-trusts-a-brief-overview/" TargetMode="External" Id="R89ce091076414a6c" /><Relationship Type="http://schemas.openxmlformats.org/officeDocument/2006/relationships/hyperlink" Target="https://www.napthens.co.uk/insights/proprietary-estoppel-claims-guide/" TargetMode="External" Id="R131ffdd28f044b9b" /><Relationship Type="http://schemas.openxmlformats.org/officeDocument/2006/relationships/hyperlink" Target="https://www.carruthers-law.co.uk/articles/proprietary-estoppel-claims-solicitors/" TargetMode="External" Id="R43feb5770bb847b4" /><Relationship Type="http://schemas.microsoft.com/office/2020/10/relationships/intelligence" Target="intelligence2.xml" Id="Rc7fccd3819c64a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2026-01-09T20:45:43.2507504Z</dcterms:created>
  <dcterms:modified xsi:type="dcterms:W3CDTF">2026-01-09T23:58:33.4783349Z</dcterms:modified>
  <dc:creator>Chloe Foulis (2204897)</dc:creator>
  <lastModifiedBy>Chloe Foulis (2204897)</lastModifiedBy>
</coreProperties>
</file>