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51E92" w14:textId="77777777" w:rsidR="00EC6011" w:rsidRPr="002D4602" w:rsidRDefault="00EC6011" w:rsidP="00EC6011">
      <w:pPr>
        <w:jc w:val="center"/>
        <w:rPr>
          <w:sz w:val="36"/>
          <w:szCs w:val="36"/>
          <w:u w:val="single"/>
        </w:rPr>
      </w:pPr>
      <w:r w:rsidRPr="002D4602">
        <w:rPr>
          <w:sz w:val="36"/>
          <w:szCs w:val="36"/>
          <w:u w:val="single"/>
        </w:rPr>
        <w:t>The Holy Well of Saint Winefride,</w:t>
      </w:r>
    </w:p>
    <w:p w14:paraId="00A29365" w14:textId="77777777" w:rsidR="00EC6011" w:rsidRPr="002D4602" w:rsidRDefault="00EC6011" w:rsidP="00EC6011">
      <w:pPr>
        <w:jc w:val="center"/>
        <w:rPr>
          <w:sz w:val="36"/>
          <w:szCs w:val="36"/>
          <w:u w:val="single"/>
        </w:rPr>
      </w:pPr>
      <w:r w:rsidRPr="002D4602">
        <w:rPr>
          <w:sz w:val="36"/>
          <w:szCs w:val="36"/>
          <w:u w:val="single"/>
        </w:rPr>
        <w:t>Encyclopaedic Entry.</w:t>
      </w:r>
    </w:p>
    <w:p w14:paraId="77FD40B0" w14:textId="77777777" w:rsidR="00EC6011" w:rsidRPr="002D4602" w:rsidRDefault="00EC6011" w:rsidP="00EC6011">
      <w:pPr>
        <w:pStyle w:val="NoSpacing"/>
        <w:jc w:val="right"/>
        <w:rPr>
          <w:sz w:val="14"/>
          <w:szCs w:val="14"/>
          <w:u w:val="single"/>
        </w:rPr>
      </w:pPr>
      <w:r w:rsidRPr="002D4602">
        <w:rPr>
          <w:sz w:val="14"/>
          <w:szCs w:val="14"/>
          <w:u w:val="single"/>
        </w:rPr>
        <w:t>Darren Tierney,</w:t>
      </w:r>
    </w:p>
    <w:p w14:paraId="49A78637" w14:textId="77777777" w:rsidR="00EC6011" w:rsidRPr="002D4602" w:rsidRDefault="00EC6011" w:rsidP="00EC6011">
      <w:pPr>
        <w:pStyle w:val="NoSpacing"/>
        <w:jc w:val="right"/>
        <w:rPr>
          <w:sz w:val="14"/>
          <w:szCs w:val="14"/>
          <w:u w:val="single"/>
        </w:rPr>
      </w:pPr>
      <w:r w:rsidRPr="002D4602">
        <w:rPr>
          <w:sz w:val="14"/>
          <w:szCs w:val="14"/>
          <w:u w:val="single"/>
        </w:rPr>
        <w:t>Level 5</w:t>
      </w:r>
    </w:p>
    <w:p w14:paraId="3AD4CF1C" w14:textId="77777777" w:rsidR="00EC6011" w:rsidRPr="002D4602" w:rsidRDefault="00EC6011" w:rsidP="00EC6011">
      <w:pPr>
        <w:pStyle w:val="NoSpacing"/>
        <w:jc w:val="right"/>
        <w:rPr>
          <w:sz w:val="14"/>
          <w:szCs w:val="14"/>
          <w:u w:val="single"/>
        </w:rPr>
      </w:pPr>
      <w:r w:rsidRPr="002D4602">
        <w:rPr>
          <w:sz w:val="14"/>
          <w:szCs w:val="14"/>
          <w:u w:val="single"/>
        </w:rPr>
        <w:t>17/04/2023</w:t>
      </w:r>
    </w:p>
    <w:p w14:paraId="579DEC4E" w14:textId="77777777" w:rsidR="00BF6183" w:rsidRDefault="00BF6183" w:rsidP="00EC6011">
      <w:pPr>
        <w:ind w:firstLine="720"/>
      </w:pPr>
      <w:bookmarkStart w:id="0" w:name="_Hlk132821914"/>
    </w:p>
    <w:p w14:paraId="38B93333" w14:textId="4BE77BC1" w:rsidR="00EC6011" w:rsidRPr="008925DD" w:rsidRDefault="00EC6011" w:rsidP="00EC6011">
      <w:pPr>
        <w:ind w:firstLine="720"/>
        <w:rPr>
          <w:rFonts w:asciiTheme="majorHAnsi" w:hAnsiTheme="majorHAnsi" w:cstheme="majorHAnsi"/>
          <w:sz w:val="20"/>
          <w:szCs w:val="20"/>
        </w:rPr>
      </w:pPr>
      <w:bookmarkStart w:id="1" w:name="_Hlk132829880"/>
      <w:r w:rsidRPr="008925DD">
        <w:rPr>
          <w:rFonts w:asciiTheme="majorHAnsi" w:hAnsiTheme="majorHAnsi" w:cstheme="majorHAnsi"/>
          <w:sz w:val="20"/>
          <w:szCs w:val="20"/>
        </w:rPr>
        <w:t>Saint Winefride was a female virgin saint that was active in the 7</w:t>
      </w:r>
      <w:r w:rsidRPr="008925DD">
        <w:rPr>
          <w:rFonts w:asciiTheme="majorHAnsi" w:hAnsiTheme="majorHAnsi" w:cstheme="majorHAnsi"/>
          <w:sz w:val="20"/>
          <w:szCs w:val="20"/>
          <w:vertAlign w:val="superscript"/>
        </w:rPr>
        <w:t>th</w:t>
      </w:r>
      <w:r w:rsidRPr="008925DD">
        <w:rPr>
          <w:rFonts w:asciiTheme="majorHAnsi" w:hAnsiTheme="majorHAnsi" w:cstheme="majorHAnsi"/>
          <w:sz w:val="20"/>
          <w:szCs w:val="20"/>
        </w:rPr>
        <w:t xml:space="preserve"> century</w:t>
      </w:r>
      <w:r w:rsidR="00390550">
        <w:rPr>
          <w:rFonts w:asciiTheme="majorHAnsi" w:hAnsiTheme="majorHAnsi" w:cstheme="majorHAnsi"/>
          <w:sz w:val="20"/>
          <w:szCs w:val="20"/>
        </w:rPr>
        <w:t>.</w:t>
      </w:r>
      <w:r w:rsidRPr="008925DD">
        <w:rPr>
          <w:rFonts w:asciiTheme="majorHAnsi" w:hAnsiTheme="majorHAnsi" w:cstheme="majorHAnsi"/>
          <w:sz w:val="20"/>
          <w:szCs w:val="20"/>
        </w:rPr>
        <w:t xml:space="preserve"> </w:t>
      </w:r>
      <w:r w:rsidR="00390550">
        <w:rPr>
          <w:rFonts w:asciiTheme="majorHAnsi" w:hAnsiTheme="majorHAnsi" w:cstheme="majorHAnsi"/>
          <w:sz w:val="20"/>
          <w:szCs w:val="20"/>
        </w:rPr>
        <w:t>Winefride</w:t>
      </w:r>
      <w:r w:rsidRPr="008925DD">
        <w:rPr>
          <w:rFonts w:asciiTheme="majorHAnsi" w:hAnsiTheme="majorHAnsi" w:cstheme="majorHAnsi"/>
          <w:sz w:val="20"/>
          <w:szCs w:val="20"/>
        </w:rPr>
        <w:t xml:space="preserve"> was a key figure in </w:t>
      </w:r>
      <w:r w:rsidR="00390550">
        <w:rPr>
          <w:rFonts w:asciiTheme="majorHAnsi" w:hAnsiTheme="majorHAnsi" w:cstheme="majorHAnsi"/>
          <w:sz w:val="20"/>
          <w:szCs w:val="20"/>
        </w:rPr>
        <w:t xml:space="preserve">British hagiography in </w:t>
      </w:r>
      <w:r w:rsidRPr="008925DD">
        <w:rPr>
          <w:rFonts w:asciiTheme="majorHAnsi" w:hAnsiTheme="majorHAnsi" w:cstheme="majorHAnsi"/>
          <w:sz w:val="20"/>
          <w:szCs w:val="20"/>
        </w:rPr>
        <w:t>th</w:t>
      </w:r>
      <w:r w:rsidRPr="008925DD">
        <w:rPr>
          <w:rFonts w:asciiTheme="majorHAnsi" w:hAnsiTheme="majorHAnsi" w:cstheme="majorHAnsi"/>
          <w:sz w:val="20"/>
          <w:szCs w:val="20"/>
        </w:rPr>
        <w:t>e century following the</w:t>
      </w:r>
      <w:r w:rsidRPr="008925DD">
        <w:rPr>
          <w:rFonts w:asciiTheme="majorHAnsi" w:hAnsiTheme="majorHAnsi" w:cstheme="majorHAnsi"/>
          <w:sz w:val="20"/>
          <w:szCs w:val="20"/>
        </w:rPr>
        <w:t xml:space="preserve"> ‘age of the saints’</w:t>
      </w:r>
      <w:r w:rsidR="00390550">
        <w:rPr>
          <w:rFonts w:asciiTheme="majorHAnsi" w:hAnsiTheme="majorHAnsi" w:cstheme="majorHAnsi"/>
          <w:sz w:val="20"/>
          <w:szCs w:val="20"/>
        </w:rPr>
        <w:t xml:space="preserve"> during</w:t>
      </w:r>
      <w:r w:rsidRPr="008925DD">
        <w:rPr>
          <w:rFonts w:asciiTheme="majorHAnsi" w:hAnsiTheme="majorHAnsi" w:cstheme="majorHAnsi"/>
          <w:sz w:val="20"/>
          <w:szCs w:val="20"/>
        </w:rPr>
        <w:t xml:space="preserve"> the </w:t>
      </w:r>
      <w:r w:rsidR="009A11FB" w:rsidRPr="008925DD">
        <w:rPr>
          <w:rFonts w:asciiTheme="majorHAnsi" w:hAnsiTheme="majorHAnsi" w:cstheme="majorHAnsi"/>
          <w:sz w:val="20"/>
          <w:szCs w:val="20"/>
        </w:rPr>
        <w:t>Post-</w:t>
      </w:r>
      <w:r w:rsidR="009208F1" w:rsidRPr="008925DD">
        <w:rPr>
          <w:rFonts w:asciiTheme="majorHAnsi" w:hAnsiTheme="majorHAnsi" w:cstheme="majorHAnsi"/>
          <w:sz w:val="20"/>
          <w:szCs w:val="20"/>
        </w:rPr>
        <w:t>Roman</w:t>
      </w:r>
      <w:r w:rsidRPr="008925DD">
        <w:rPr>
          <w:rFonts w:asciiTheme="majorHAnsi" w:hAnsiTheme="majorHAnsi" w:cstheme="majorHAnsi"/>
          <w:sz w:val="20"/>
          <w:szCs w:val="20"/>
        </w:rPr>
        <w:t xml:space="preserve"> age of</w:t>
      </w:r>
      <w:r w:rsidRPr="008925DD">
        <w:rPr>
          <w:rFonts w:asciiTheme="majorHAnsi" w:hAnsiTheme="majorHAnsi" w:cstheme="majorHAnsi"/>
          <w:sz w:val="20"/>
          <w:szCs w:val="20"/>
        </w:rPr>
        <w:t xml:space="preserve"> the British Isles.</w:t>
      </w:r>
      <w:r w:rsidRPr="008925DD">
        <w:rPr>
          <w:rStyle w:val="FootnoteReference"/>
          <w:rFonts w:asciiTheme="majorHAnsi" w:hAnsiTheme="majorHAnsi" w:cstheme="majorHAnsi"/>
          <w:sz w:val="20"/>
          <w:szCs w:val="20"/>
        </w:rPr>
        <w:footnoteReference w:id="1"/>
      </w:r>
      <w:r w:rsidRPr="008925DD">
        <w:rPr>
          <w:rFonts w:asciiTheme="majorHAnsi" w:hAnsiTheme="majorHAnsi" w:cstheme="majorHAnsi"/>
          <w:sz w:val="20"/>
          <w:szCs w:val="20"/>
        </w:rPr>
        <w:t xml:space="preserve"> Through her </w:t>
      </w:r>
      <w:r w:rsidRPr="00390550">
        <w:rPr>
          <w:rFonts w:asciiTheme="majorHAnsi" w:hAnsiTheme="majorHAnsi" w:cstheme="majorHAnsi"/>
          <w:i/>
          <w:iCs/>
          <w:sz w:val="20"/>
          <w:szCs w:val="20"/>
        </w:rPr>
        <w:t>vitae</w:t>
      </w:r>
      <w:r w:rsidRPr="008925DD">
        <w:rPr>
          <w:rFonts w:asciiTheme="majorHAnsi" w:hAnsiTheme="majorHAnsi" w:cstheme="majorHAnsi"/>
          <w:sz w:val="20"/>
          <w:szCs w:val="20"/>
        </w:rPr>
        <w:t xml:space="preserve"> and other sources we know she was an early Celtic Christian female martyr.</w:t>
      </w:r>
      <w:r w:rsidRPr="008925DD">
        <w:rPr>
          <w:rStyle w:val="FootnoteReference"/>
          <w:rFonts w:asciiTheme="majorHAnsi" w:hAnsiTheme="majorHAnsi" w:cstheme="majorHAnsi"/>
          <w:sz w:val="20"/>
          <w:szCs w:val="20"/>
        </w:rPr>
        <w:footnoteReference w:id="2"/>
      </w:r>
      <w:r w:rsidRPr="008925DD">
        <w:rPr>
          <w:rFonts w:asciiTheme="majorHAnsi" w:hAnsiTheme="majorHAnsi" w:cstheme="majorHAnsi"/>
          <w:sz w:val="20"/>
          <w:szCs w:val="20"/>
        </w:rPr>
        <w:t xml:space="preserve"> The romanticisation of the ‘age of saints’ gives us a </w:t>
      </w:r>
      <w:r w:rsidR="00390550">
        <w:rPr>
          <w:rFonts w:asciiTheme="majorHAnsi" w:hAnsiTheme="majorHAnsi" w:cstheme="majorHAnsi"/>
          <w:sz w:val="20"/>
          <w:szCs w:val="20"/>
        </w:rPr>
        <w:t>slew</w:t>
      </w:r>
      <w:r w:rsidRPr="008925DD">
        <w:rPr>
          <w:rFonts w:asciiTheme="majorHAnsi" w:hAnsiTheme="majorHAnsi" w:cstheme="majorHAnsi"/>
          <w:sz w:val="20"/>
          <w:szCs w:val="20"/>
        </w:rPr>
        <w:t xml:space="preserve"> of information about the culture and mentality</w:t>
      </w:r>
      <w:r w:rsidR="00556459">
        <w:rPr>
          <w:rFonts w:asciiTheme="majorHAnsi" w:hAnsiTheme="majorHAnsi" w:cstheme="majorHAnsi"/>
          <w:sz w:val="20"/>
          <w:szCs w:val="20"/>
        </w:rPr>
        <w:t xml:space="preserve"> of the Mid-Medieval era,</w:t>
      </w:r>
      <w:r w:rsidRPr="008925DD">
        <w:rPr>
          <w:rFonts w:asciiTheme="majorHAnsi" w:hAnsiTheme="majorHAnsi" w:cstheme="majorHAnsi"/>
          <w:sz w:val="20"/>
          <w:szCs w:val="20"/>
        </w:rPr>
        <w:t xml:space="preserve"> the</w:t>
      </w:r>
      <w:r w:rsidR="00556459">
        <w:rPr>
          <w:rFonts w:asciiTheme="majorHAnsi" w:hAnsiTheme="majorHAnsi" w:cstheme="majorHAnsi"/>
          <w:sz w:val="20"/>
          <w:szCs w:val="20"/>
        </w:rPr>
        <w:t xml:space="preserve"> duty</w:t>
      </w:r>
      <w:r w:rsidRPr="008925DD">
        <w:rPr>
          <w:rFonts w:asciiTheme="majorHAnsi" w:hAnsiTheme="majorHAnsi" w:cstheme="majorHAnsi"/>
          <w:sz w:val="20"/>
          <w:szCs w:val="20"/>
        </w:rPr>
        <w:t xml:space="preserve"> to venerate key Christian figures through Saints’ </w:t>
      </w:r>
      <w:r w:rsidRPr="00390550">
        <w:rPr>
          <w:rFonts w:asciiTheme="majorHAnsi" w:hAnsiTheme="majorHAnsi" w:cstheme="majorHAnsi"/>
          <w:i/>
          <w:iCs/>
          <w:sz w:val="20"/>
          <w:szCs w:val="20"/>
        </w:rPr>
        <w:t>Vitae</w:t>
      </w:r>
      <w:r w:rsidR="00556459">
        <w:rPr>
          <w:rFonts w:asciiTheme="majorHAnsi" w:hAnsiTheme="majorHAnsi" w:cstheme="majorHAnsi"/>
          <w:i/>
          <w:iCs/>
          <w:sz w:val="20"/>
          <w:szCs w:val="20"/>
        </w:rPr>
        <w:t xml:space="preserve"> </w:t>
      </w:r>
      <w:r w:rsidR="00556459">
        <w:rPr>
          <w:rFonts w:asciiTheme="majorHAnsi" w:hAnsiTheme="majorHAnsi" w:cstheme="majorHAnsi"/>
          <w:sz w:val="20"/>
          <w:szCs w:val="20"/>
        </w:rPr>
        <w:t>becomes apparent in the developments of saints’ cults across the isles of Britain</w:t>
      </w:r>
      <w:r w:rsidRPr="008925DD">
        <w:rPr>
          <w:rFonts w:asciiTheme="majorHAnsi" w:hAnsiTheme="majorHAnsi" w:cstheme="majorHAnsi"/>
          <w:sz w:val="20"/>
          <w:szCs w:val="20"/>
        </w:rPr>
        <w:t>. This process of writing and recording is something that occurs mostly after the 1</w:t>
      </w:r>
      <w:r w:rsidR="00556459">
        <w:rPr>
          <w:rFonts w:asciiTheme="majorHAnsi" w:hAnsiTheme="majorHAnsi" w:cstheme="majorHAnsi"/>
          <w:sz w:val="20"/>
          <w:szCs w:val="20"/>
        </w:rPr>
        <w:t>0</w:t>
      </w:r>
      <w:r w:rsidRPr="008925DD">
        <w:rPr>
          <w:rFonts w:asciiTheme="majorHAnsi" w:hAnsiTheme="majorHAnsi" w:cstheme="majorHAnsi"/>
          <w:sz w:val="20"/>
          <w:szCs w:val="20"/>
          <w:vertAlign w:val="superscript"/>
        </w:rPr>
        <w:t>th</w:t>
      </w:r>
      <w:r w:rsidRPr="008925DD">
        <w:rPr>
          <w:rFonts w:asciiTheme="majorHAnsi" w:hAnsiTheme="majorHAnsi" w:cstheme="majorHAnsi"/>
          <w:sz w:val="20"/>
          <w:szCs w:val="20"/>
        </w:rPr>
        <w:t xml:space="preserve"> century</w:t>
      </w:r>
      <w:r w:rsidR="00556459">
        <w:rPr>
          <w:rFonts w:asciiTheme="majorHAnsi" w:hAnsiTheme="majorHAnsi" w:cstheme="majorHAnsi"/>
          <w:sz w:val="20"/>
          <w:szCs w:val="20"/>
        </w:rPr>
        <w:t>,</w:t>
      </w:r>
      <w:r w:rsidRPr="008925DD">
        <w:rPr>
          <w:rFonts w:asciiTheme="majorHAnsi" w:hAnsiTheme="majorHAnsi" w:cstheme="majorHAnsi"/>
          <w:sz w:val="20"/>
          <w:szCs w:val="20"/>
        </w:rPr>
        <w:t xml:space="preserve"> through various patronages th</w:t>
      </w:r>
      <w:r w:rsidR="00556459">
        <w:rPr>
          <w:rFonts w:asciiTheme="majorHAnsi" w:hAnsiTheme="majorHAnsi" w:cstheme="majorHAnsi"/>
          <w:sz w:val="20"/>
          <w:szCs w:val="20"/>
        </w:rPr>
        <w:t>ey</w:t>
      </w:r>
      <w:r w:rsidRPr="008925DD">
        <w:rPr>
          <w:rFonts w:asciiTheme="majorHAnsi" w:hAnsiTheme="majorHAnsi" w:cstheme="majorHAnsi"/>
          <w:sz w:val="20"/>
          <w:szCs w:val="20"/>
        </w:rPr>
        <w:t xml:space="preserve"> </w:t>
      </w:r>
      <w:r w:rsidR="00556459">
        <w:rPr>
          <w:rFonts w:asciiTheme="majorHAnsi" w:hAnsiTheme="majorHAnsi" w:cstheme="majorHAnsi"/>
          <w:sz w:val="20"/>
          <w:szCs w:val="20"/>
        </w:rPr>
        <w:t>were</w:t>
      </w:r>
      <w:r w:rsidRPr="008925DD">
        <w:rPr>
          <w:rFonts w:asciiTheme="majorHAnsi" w:hAnsiTheme="majorHAnsi" w:cstheme="majorHAnsi"/>
          <w:sz w:val="20"/>
          <w:szCs w:val="20"/>
        </w:rPr>
        <w:t xml:space="preserve"> commissioned by a person of note (</w:t>
      </w:r>
      <w:r w:rsidR="00C95BCB" w:rsidRPr="008925DD">
        <w:rPr>
          <w:rFonts w:asciiTheme="majorHAnsi" w:hAnsiTheme="majorHAnsi" w:cstheme="majorHAnsi"/>
          <w:sz w:val="20"/>
          <w:szCs w:val="20"/>
        </w:rPr>
        <w:t>i.e.,</w:t>
      </w:r>
      <w:r w:rsidRPr="008925DD">
        <w:rPr>
          <w:rFonts w:asciiTheme="majorHAnsi" w:hAnsiTheme="majorHAnsi" w:cstheme="majorHAnsi"/>
          <w:sz w:val="20"/>
          <w:szCs w:val="20"/>
        </w:rPr>
        <w:t xml:space="preserve"> a lord/noble). This tactic of paying learned holy men such as monks was </w:t>
      </w:r>
      <w:r w:rsidR="005B18B4" w:rsidRPr="008925DD">
        <w:rPr>
          <w:rFonts w:asciiTheme="majorHAnsi" w:hAnsiTheme="majorHAnsi" w:cstheme="majorHAnsi"/>
          <w:sz w:val="20"/>
          <w:szCs w:val="20"/>
        </w:rPr>
        <w:t>a</w:t>
      </w:r>
      <w:r w:rsidRPr="008925DD">
        <w:rPr>
          <w:rFonts w:asciiTheme="majorHAnsi" w:hAnsiTheme="majorHAnsi" w:cstheme="majorHAnsi"/>
          <w:sz w:val="20"/>
          <w:szCs w:val="20"/>
        </w:rPr>
        <w:t xml:space="preserve"> selfish one</w:t>
      </w:r>
      <w:r w:rsidR="00556459">
        <w:rPr>
          <w:rFonts w:asciiTheme="majorHAnsi" w:hAnsiTheme="majorHAnsi" w:cstheme="majorHAnsi"/>
          <w:sz w:val="20"/>
          <w:szCs w:val="20"/>
        </w:rPr>
        <w:t xml:space="preserve"> at its foundation</w:t>
      </w:r>
      <w:r w:rsidRPr="008925DD">
        <w:rPr>
          <w:rFonts w:asciiTheme="majorHAnsi" w:hAnsiTheme="majorHAnsi" w:cstheme="majorHAnsi"/>
          <w:sz w:val="20"/>
          <w:szCs w:val="20"/>
        </w:rPr>
        <w:t xml:space="preserve">, the </w:t>
      </w:r>
      <w:r w:rsidR="00556459">
        <w:rPr>
          <w:rFonts w:asciiTheme="majorHAnsi" w:hAnsiTheme="majorHAnsi" w:cstheme="majorHAnsi"/>
          <w:sz w:val="20"/>
          <w:szCs w:val="20"/>
        </w:rPr>
        <w:t>noble</w:t>
      </w:r>
      <w:r w:rsidRPr="008925DD">
        <w:rPr>
          <w:rFonts w:asciiTheme="majorHAnsi" w:hAnsiTheme="majorHAnsi" w:cstheme="majorHAnsi"/>
          <w:sz w:val="20"/>
          <w:szCs w:val="20"/>
        </w:rPr>
        <w:t xml:space="preserve"> would want to pay for these documents to be made to venerate his or her own family line in the eyes of Christendom. </w:t>
      </w:r>
      <w:r w:rsidR="00556459">
        <w:rPr>
          <w:rFonts w:asciiTheme="majorHAnsi" w:hAnsiTheme="majorHAnsi" w:cstheme="majorHAnsi"/>
          <w:sz w:val="20"/>
          <w:szCs w:val="20"/>
        </w:rPr>
        <w:t xml:space="preserve">Granting their </w:t>
      </w:r>
      <w:proofErr w:type="gramStart"/>
      <w:r w:rsidR="00556459">
        <w:rPr>
          <w:rFonts w:asciiTheme="majorHAnsi" w:hAnsiTheme="majorHAnsi" w:cstheme="majorHAnsi"/>
          <w:sz w:val="20"/>
          <w:szCs w:val="20"/>
        </w:rPr>
        <w:t>lineage</w:t>
      </w:r>
      <w:proofErr w:type="gramEnd"/>
      <w:r w:rsidR="00556459">
        <w:rPr>
          <w:rFonts w:asciiTheme="majorHAnsi" w:hAnsiTheme="majorHAnsi" w:cstheme="majorHAnsi"/>
          <w:sz w:val="20"/>
          <w:szCs w:val="20"/>
        </w:rPr>
        <w:t xml:space="preserve"> a shortcut into the realm of God when they depart from the world.</w:t>
      </w:r>
    </w:p>
    <w:p w14:paraId="4CC99EE6" w14:textId="3E1795B8" w:rsidR="00EC6011" w:rsidRPr="008925DD" w:rsidRDefault="00556459" w:rsidP="0032432D">
      <w:pPr>
        <w:ind w:firstLine="720"/>
        <w:rPr>
          <w:rFonts w:asciiTheme="majorHAnsi" w:hAnsiTheme="majorHAnsi" w:cstheme="majorHAnsi"/>
          <w:sz w:val="20"/>
          <w:szCs w:val="20"/>
        </w:rPr>
      </w:pPr>
      <w:r>
        <w:rPr>
          <w:rFonts w:asciiTheme="majorHAnsi" w:hAnsiTheme="majorHAnsi" w:cstheme="majorHAnsi"/>
          <w:sz w:val="20"/>
          <w:szCs w:val="20"/>
        </w:rPr>
        <w:t xml:space="preserve">In iconography </w:t>
      </w:r>
      <w:r w:rsidR="00EC6011" w:rsidRPr="008925DD">
        <w:rPr>
          <w:rFonts w:asciiTheme="majorHAnsi" w:hAnsiTheme="majorHAnsi" w:cstheme="majorHAnsi"/>
          <w:sz w:val="20"/>
          <w:szCs w:val="20"/>
        </w:rPr>
        <w:t xml:space="preserve">Winefride is usually depicted holding a sword, sometimes with a pool at her feet. The blade </w:t>
      </w:r>
      <w:proofErr w:type="gramStart"/>
      <w:r w:rsidR="00EC6011" w:rsidRPr="008925DD">
        <w:rPr>
          <w:rFonts w:asciiTheme="majorHAnsi" w:hAnsiTheme="majorHAnsi" w:cstheme="majorHAnsi"/>
          <w:sz w:val="20"/>
          <w:szCs w:val="20"/>
        </w:rPr>
        <w:t>represents</w:t>
      </w:r>
      <w:proofErr w:type="gramEnd"/>
      <w:r w:rsidR="00EC6011" w:rsidRPr="008925DD">
        <w:rPr>
          <w:rFonts w:asciiTheme="majorHAnsi" w:hAnsiTheme="majorHAnsi" w:cstheme="majorHAnsi"/>
          <w:sz w:val="20"/>
          <w:szCs w:val="20"/>
        </w:rPr>
        <w:t xml:space="preserve"> her decapitation </w:t>
      </w:r>
      <w:r w:rsidR="00C95BCB">
        <w:rPr>
          <w:rFonts w:asciiTheme="majorHAnsi" w:hAnsiTheme="majorHAnsi" w:cstheme="majorHAnsi"/>
          <w:sz w:val="20"/>
          <w:szCs w:val="20"/>
        </w:rPr>
        <w:t>by</w:t>
      </w:r>
      <w:r>
        <w:rPr>
          <w:rFonts w:asciiTheme="majorHAnsi" w:hAnsiTheme="majorHAnsi" w:cstheme="majorHAnsi"/>
          <w:sz w:val="20"/>
          <w:szCs w:val="20"/>
        </w:rPr>
        <w:t xml:space="preserve"> the Welsh prince</w:t>
      </w:r>
      <w:r w:rsidR="00C95BCB">
        <w:rPr>
          <w:rFonts w:asciiTheme="majorHAnsi" w:hAnsiTheme="majorHAnsi" w:cstheme="majorHAnsi"/>
          <w:sz w:val="20"/>
          <w:szCs w:val="20"/>
        </w:rPr>
        <w:t xml:space="preserve"> Caradog </w:t>
      </w:r>
      <w:r w:rsidR="00EC6011" w:rsidRPr="008925DD">
        <w:rPr>
          <w:rFonts w:asciiTheme="majorHAnsi" w:hAnsiTheme="majorHAnsi" w:cstheme="majorHAnsi"/>
          <w:sz w:val="20"/>
          <w:szCs w:val="20"/>
        </w:rPr>
        <w:t xml:space="preserve">with which she is associated. Winefride denounced the intimate advances of </w:t>
      </w:r>
      <w:r>
        <w:rPr>
          <w:rFonts w:asciiTheme="majorHAnsi" w:hAnsiTheme="majorHAnsi" w:cstheme="majorHAnsi"/>
          <w:sz w:val="20"/>
          <w:szCs w:val="20"/>
        </w:rPr>
        <w:t>this</w:t>
      </w:r>
      <w:r w:rsidR="00EC6011" w:rsidRPr="008925DD">
        <w:rPr>
          <w:rFonts w:asciiTheme="majorHAnsi" w:hAnsiTheme="majorHAnsi" w:cstheme="majorHAnsi"/>
          <w:sz w:val="20"/>
          <w:szCs w:val="20"/>
        </w:rPr>
        <w:t xml:space="preserve"> Welsh prince, he then followed her after she fled and cut off Winefride’s head at the neck.</w:t>
      </w:r>
      <w:r w:rsidR="00EC6011" w:rsidRPr="008925DD">
        <w:rPr>
          <w:rStyle w:val="FootnoteReference"/>
          <w:rFonts w:asciiTheme="majorHAnsi" w:hAnsiTheme="majorHAnsi" w:cstheme="majorHAnsi"/>
          <w:sz w:val="20"/>
          <w:szCs w:val="20"/>
        </w:rPr>
        <w:footnoteReference w:id="3"/>
      </w:r>
      <w:r w:rsidR="00EC6011" w:rsidRPr="008925DD">
        <w:rPr>
          <w:rFonts w:asciiTheme="majorHAnsi" w:hAnsiTheme="majorHAnsi" w:cstheme="majorHAnsi"/>
          <w:sz w:val="20"/>
          <w:szCs w:val="20"/>
        </w:rPr>
        <w:t xml:space="preserve"> In one version of her </w:t>
      </w:r>
      <w:r w:rsidR="00EC6011" w:rsidRPr="008925DD">
        <w:rPr>
          <w:rFonts w:asciiTheme="majorHAnsi" w:hAnsiTheme="majorHAnsi" w:cstheme="majorHAnsi"/>
          <w:i/>
          <w:iCs/>
          <w:sz w:val="20"/>
          <w:szCs w:val="20"/>
        </w:rPr>
        <w:t xml:space="preserve">vita </w:t>
      </w:r>
      <w:r w:rsidR="00EC6011" w:rsidRPr="008925DD">
        <w:rPr>
          <w:rFonts w:asciiTheme="majorHAnsi" w:hAnsiTheme="majorHAnsi" w:cstheme="majorHAnsi"/>
          <w:sz w:val="20"/>
          <w:szCs w:val="20"/>
        </w:rPr>
        <w:t>we are told that ‘she was in love with a heavenly spouse… dedicating her virginity to Christ.’</w:t>
      </w:r>
      <w:r w:rsidR="00EC6011" w:rsidRPr="008925DD">
        <w:rPr>
          <w:rStyle w:val="FootnoteReference"/>
          <w:rFonts w:asciiTheme="majorHAnsi" w:hAnsiTheme="majorHAnsi" w:cstheme="majorHAnsi"/>
          <w:sz w:val="20"/>
          <w:szCs w:val="20"/>
        </w:rPr>
        <w:footnoteReference w:id="4"/>
      </w:r>
      <w:r w:rsidR="00EC6011" w:rsidRPr="008925DD">
        <w:rPr>
          <w:rFonts w:asciiTheme="majorHAnsi" w:hAnsiTheme="majorHAnsi" w:cstheme="majorHAnsi"/>
          <w:sz w:val="20"/>
          <w:szCs w:val="20"/>
        </w:rPr>
        <w:t xml:space="preserve"> This event of decapitation occurred at the position where the associated well now resides, it is also where she was martyred</w:t>
      </w:r>
      <w:r>
        <w:rPr>
          <w:rFonts w:asciiTheme="majorHAnsi" w:hAnsiTheme="majorHAnsi" w:cstheme="majorHAnsi"/>
          <w:sz w:val="20"/>
          <w:szCs w:val="20"/>
        </w:rPr>
        <w:t>,</w:t>
      </w:r>
      <w:r w:rsidR="00EC6011" w:rsidRPr="008925DD">
        <w:rPr>
          <w:rFonts w:asciiTheme="majorHAnsi" w:hAnsiTheme="majorHAnsi" w:cstheme="majorHAnsi"/>
          <w:sz w:val="20"/>
          <w:szCs w:val="20"/>
        </w:rPr>
        <w:t xml:space="preserve"> although she was</w:t>
      </w:r>
      <w:r>
        <w:rPr>
          <w:rFonts w:asciiTheme="majorHAnsi" w:hAnsiTheme="majorHAnsi" w:cstheme="majorHAnsi"/>
          <w:sz w:val="20"/>
          <w:szCs w:val="20"/>
        </w:rPr>
        <w:t xml:space="preserve"> later</w:t>
      </w:r>
      <w:r w:rsidR="00EC6011" w:rsidRPr="008925DD">
        <w:rPr>
          <w:rFonts w:asciiTheme="majorHAnsi" w:hAnsiTheme="majorHAnsi" w:cstheme="majorHAnsi"/>
          <w:sz w:val="20"/>
          <w:szCs w:val="20"/>
        </w:rPr>
        <w:t xml:space="preserve"> revived by her uncle Saint Beuno.</w:t>
      </w:r>
      <w:r w:rsidR="00EC6011" w:rsidRPr="008925DD">
        <w:rPr>
          <w:rStyle w:val="FootnoteReference"/>
          <w:rFonts w:asciiTheme="majorHAnsi" w:hAnsiTheme="majorHAnsi" w:cstheme="majorHAnsi"/>
          <w:sz w:val="20"/>
          <w:szCs w:val="20"/>
        </w:rPr>
        <w:footnoteReference w:id="5"/>
      </w:r>
      <w:r w:rsidR="00EC6011" w:rsidRPr="008925DD">
        <w:rPr>
          <w:rFonts w:asciiTheme="majorHAnsi" w:hAnsiTheme="majorHAnsi" w:cstheme="majorHAnsi"/>
          <w:sz w:val="20"/>
          <w:szCs w:val="20"/>
        </w:rPr>
        <w:t xml:space="preserve"> Saint Be</w:t>
      </w:r>
      <w:r>
        <w:rPr>
          <w:rFonts w:asciiTheme="majorHAnsi" w:hAnsiTheme="majorHAnsi" w:cstheme="majorHAnsi"/>
          <w:sz w:val="20"/>
          <w:szCs w:val="20"/>
        </w:rPr>
        <w:t>u</w:t>
      </w:r>
      <w:r w:rsidR="00EC6011" w:rsidRPr="008925DD">
        <w:rPr>
          <w:rFonts w:asciiTheme="majorHAnsi" w:hAnsiTheme="majorHAnsi" w:cstheme="majorHAnsi"/>
          <w:sz w:val="20"/>
          <w:szCs w:val="20"/>
        </w:rPr>
        <w:t>no, as he w</w:t>
      </w:r>
      <w:r w:rsidR="00F616C4">
        <w:rPr>
          <w:rFonts w:asciiTheme="majorHAnsi" w:hAnsiTheme="majorHAnsi" w:cstheme="majorHAnsi"/>
          <w:sz w:val="20"/>
          <w:szCs w:val="20"/>
        </w:rPr>
        <w:t xml:space="preserve">itnessed Winefride’s lifeless decapitated body, looks at Caradog, </w:t>
      </w:r>
      <w:r w:rsidR="00EC6011" w:rsidRPr="008925DD">
        <w:rPr>
          <w:rFonts w:asciiTheme="majorHAnsi" w:hAnsiTheme="majorHAnsi" w:cstheme="majorHAnsi"/>
          <w:sz w:val="20"/>
          <w:szCs w:val="20"/>
        </w:rPr>
        <w:t>his gaze melts Caradog into a pool like wax.</w:t>
      </w:r>
      <w:r w:rsidR="00EC6011" w:rsidRPr="008925DD">
        <w:rPr>
          <w:rStyle w:val="FootnoteReference"/>
          <w:rFonts w:asciiTheme="majorHAnsi" w:hAnsiTheme="majorHAnsi" w:cstheme="majorHAnsi"/>
          <w:sz w:val="20"/>
          <w:szCs w:val="20"/>
        </w:rPr>
        <w:footnoteReference w:id="6"/>
      </w:r>
      <w:r w:rsidR="00EC6011" w:rsidRPr="008925DD">
        <w:rPr>
          <w:rFonts w:asciiTheme="majorHAnsi" w:hAnsiTheme="majorHAnsi" w:cstheme="majorHAnsi"/>
          <w:sz w:val="20"/>
          <w:szCs w:val="20"/>
        </w:rPr>
        <w:t xml:space="preserve"> He picked up and repositioned her dismembered head and it fused back into place leaving only a scar.</w:t>
      </w:r>
      <w:r w:rsidR="00EC6011" w:rsidRPr="008925DD">
        <w:rPr>
          <w:rStyle w:val="FootnoteReference"/>
          <w:rFonts w:asciiTheme="majorHAnsi" w:hAnsiTheme="majorHAnsi" w:cstheme="majorHAnsi"/>
          <w:sz w:val="20"/>
          <w:szCs w:val="20"/>
        </w:rPr>
        <w:footnoteReference w:id="7"/>
      </w:r>
      <w:r w:rsidR="00EC6011" w:rsidRPr="008925DD">
        <w:rPr>
          <w:rFonts w:asciiTheme="majorHAnsi" w:hAnsiTheme="majorHAnsi" w:cstheme="majorHAnsi"/>
          <w:sz w:val="20"/>
          <w:szCs w:val="20"/>
        </w:rPr>
        <w:t xml:space="preserve"> Saint Winefride is the only native Welsh female saint that has a surviving Welsh prose </w:t>
      </w:r>
      <w:proofErr w:type="spellStart"/>
      <w:r w:rsidR="00EC6011" w:rsidRPr="008925DD">
        <w:rPr>
          <w:rFonts w:asciiTheme="majorHAnsi" w:hAnsiTheme="majorHAnsi" w:cstheme="majorHAnsi"/>
          <w:i/>
          <w:iCs/>
          <w:sz w:val="20"/>
          <w:szCs w:val="20"/>
        </w:rPr>
        <w:t>buchedd</w:t>
      </w:r>
      <w:proofErr w:type="spellEnd"/>
      <w:r w:rsidR="00EC6011" w:rsidRPr="008925DD">
        <w:rPr>
          <w:rFonts w:asciiTheme="majorHAnsi" w:hAnsiTheme="majorHAnsi" w:cstheme="majorHAnsi"/>
          <w:i/>
          <w:iCs/>
          <w:sz w:val="20"/>
          <w:szCs w:val="20"/>
        </w:rPr>
        <w:t xml:space="preserve"> </w:t>
      </w:r>
      <w:r w:rsidR="00EC6011" w:rsidRPr="008925DD">
        <w:rPr>
          <w:rFonts w:asciiTheme="majorHAnsi" w:hAnsiTheme="majorHAnsi" w:cstheme="majorHAnsi"/>
          <w:sz w:val="20"/>
          <w:szCs w:val="20"/>
        </w:rPr>
        <w:t>that survived</w:t>
      </w:r>
      <w:r w:rsidR="00F616C4">
        <w:rPr>
          <w:rFonts w:asciiTheme="majorHAnsi" w:hAnsiTheme="majorHAnsi" w:cstheme="majorHAnsi"/>
          <w:sz w:val="20"/>
          <w:szCs w:val="20"/>
        </w:rPr>
        <w:t xml:space="preserve"> in a complete form</w:t>
      </w:r>
      <w:r w:rsidR="00EC6011" w:rsidRPr="008925DD">
        <w:rPr>
          <w:rFonts w:asciiTheme="majorHAnsi" w:hAnsiTheme="majorHAnsi" w:cstheme="majorHAnsi"/>
          <w:sz w:val="20"/>
          <w:szCs w:val="20"/>
        </w:rPr>
        <w:t>.</w:t>
      </w:r>
      <w:r w:rsidR="00EC6011" w:rsidRPr="008925DD">
        <w:rPr>
          <w:rStyle w:val="FootnoteReference"/>
          <w:rFonts w:asciiTheme="majorHAnsi" w:hAnsiTheme="majorHAnsi" w:cstheme="majorHAnsi"/>
          <w:sz w:val="20"/>
          <w:szCs w:val="20"/>
        </w:rPr>
        <w:footnoteReference w:id="8"/>
      </w:r>
      <w:r w:rsidR="00EC6011" w:rsidRPr="008925DD">
        <w:rPr>
          <w:rFonts w:asciiTheme="majorHAnsi" w:hAnsiTheme="majorHAnsi" w:cstheme="majorHAnsi"/>
          <w:sz w:val="20"/>
          <w:szCs w:val="20"/>
        </w:rPr>
        <w:t xml:space="preserve"> </w:t>
      </w:r>
    </w:p>
    <w:p w14:paraId="3D07F82C" w14:textId="4A4C9425" w:rsidR="00EC6011" w:rsidRPr="008925DD" w:rsidRDefault="00EC6011" w:rsidP="0032432D">
      <w:pPr>
        <w:ind w:firstLine="720"/>
        <w:rPr>
          <w:rFonts w:asciiTheme="majorHAnsi" w:hAnsiTheme="majorHAnsi" w:cstheme="majorHAnsi"/>
          <w:sz w:val="20"/>
          <w:szCs w:val="20"/>
        </w:rPr>
      </w:pPr>
      <w:r w:rsidRPr="008925DD">
        <w:rPr>
          <w:rFonts w:asciiTheme="majorHAnsi" w:hAnsiTheme="majorHAnsi" w:cstheme="majorHAnsi"/>
          <w:sz w:val="20"/>
          <w:szCs w:val="20"/>
        </w:rPr>
        <w:t>The well itself is located at Holywell in Flintshire, Northeast Wales.</w:t>
      </w:r>
      <w:r w:rsidRPr="008925DD">
        <w:rPr>
          <w:rStyle w:val="FootnoteReference"/>
          <w:rFonts w:asciiTheme="majorHAnsi" w:hAnsiTheme="majorHAnsi" w:cstheme="majorHAnsi"/>
          <w:sz w:val="20"/>
          <w:szCs w:val="20"/>
        </w:rPr>
        <w:footnoteReference w:id="9"/>
      </w:r>
      <w:r w:rsidRPr="008925DD">
        <w:rPr>
          <w:rFonts w:asciiTheme="majorHAnsi" w:hAnsiTheme="majorHAnsi" w:cstheme="majorHAnsi"/>
          <w:sz w:val="20"/>
          <w:szCs w:val="20"/>
        </w:rPr>
        <w:t xml:space="preserve"> The site of St Winefride’s </w:t>
      </w:r>
      <w:r w:rsidR="00F616C4">
        <w:rPr>
          <w:rFonts w:asciiTheme="majorHAnsi" w:hAnsiTheme="majorHAnsi" w:cstheme="majorHAnsi"/>
          <w:sz w:val="20"/>
          <w:szCs w:val="20"/>
        </w:rPr>
        <w:t>martyrdom</w:t>
      </w:r>
      <w:r w:rsidRPr="008925DD">
        <w:rPr>
          <w:rFonts w:asciiTheme="majorHAnsi" w:hAnsiTheme="majorHAnsi" w:cstheme="majorHAnsi"/>
          <w:sz w:val="20"/>
          <w:szCs w:val="20"/>
        </w:rPr>
        <w:t xml:space="preserve"> is a classic example of a well, bath and building.</w:t>
      </w:r>
      <w:r w:rsidRPr="008925DD">
        <w:rPr>
          <w:rStyle w:val="FootnoteReference"/>
          <w:rFonts w:asciiTheme="majorHAnsi" w:hAnsiTheme="majorHAnsi" w:cstheme="majorHAnsi"/>
          <w:sz w:val="20"/>
          <w:szCs w:val="20"/>
        </w:rPr>
        <w:footnoteReference w:id="10"/>
      </w:r>
      <w:r w:rsidRPr="008925DD">
        <w:rPr>
          <w:rFonts w:asciiTheme="majorHAnsi" w:hAnsiTheme="majorHAnsi" w:cstheme="majorHAnsi"/>
          <w:sz w:val="20"/>
          <w:szCs w:val="20"/>
        </w:rPr>
        <w:t xml:space="preserve"> There </w:t>
      </w:r>
      <w:r w:rsidR="00F616C4">
        <w:rPr>
          <w:rFonts w:asciiTheme="majorHAnsi" w:hAnsiTheme="majorHAnsi" w:cstheme="majorHAnsi"/>
          <w:sz w:val="20"/>
          <w:szCs w:val="20"/>
        </w:rPr>
        <w:t>are</w:t>
      </w:r>
      <w:r w:rsidRPr="008925DD">
        <w:rPr>
          <w:rFonts w:asciiTheme="majorHAnsi" w:hAnsiTheme="majorHAnsi" w:cstheme="majorHAnsi"/>
          <w:sz w:val="20"/>
          <w:szCs w:val="20"/>
        </w:rPr>
        <w:t xml:space="preserve"> f</w:t>
      </w:r>
      <w:r w:rsidR="00F616C4">
        <w:rPr>
          <w:rFonts w:asciiTheme="majorHAnsi" w:hAnsiTheme="majorHAnsi" w:cstheme="majorHAnsi"/>
          <w:sz w:val="20"/>
          <w:szCs w:val="20"/>
        </w:rPr>
        <w:t>our</w:t>
      </w:r>
      <w:r w:rsidRPr="008925DD">
        <w:rPr>
          <w:rFonts w:asciiTheme="majorHAnsi" w:hAnsiTheme="majorHAnsi" w:cstheme="majorHAnsi"/>
          <w:sz w:val="20"/>
          <w:szCs w:val="20"/>
        </w:rPr>
        <w:t xml:space="preserve"> different </w:t>
      </w:r>
      <w:r w:rsidR="00F616C4">
        <w:rPr>
          <w:rFonts w:asciiTheme="majorHAnsi" w:hAnsiTheme="majorHAnsi" w:cstheme="majorHAnsi"/>
          <w:sz w:val="20"/>
          <w:szCs w:val="20"/>
        </w:rPr>
        <w:t>categories</w:t>
      </w:r>
      <w:r w:rsidRPr="008925DD">
        <w:rPr>
          <w:rFonts w:asciiTheme="majorHAnsi" w:hAnsiTheme="majorHAnsi" w:cstheme="majorHAnsi"/>
          <w:sz w:val="20"/>
          <w:szCs w:val="20"/>
        </w:rPr>
        <w:t xml:space="preserve"> of </w:t>
      </w:r>
      <w:r w:rsidR="00F616C4">
        <w:rPr>
          <w:rFonts w:asciiTheme="majorHAnsi" w:hAnsiTheme="majorHAnsi" w:cstheme="majorHAnsi"/>
          <w:sz w:val="20"/>
          <w:szCs w:val="20"/>
        </w:rPr>
        <w:t xml:space="preserve">holy </w:t>
      </w:r>
      <w:r w:rsidRPr="008925DD">
        <w:rPr>
          <w:rFonts w:asciiTheme="majorHAnsi" w:hAnsiTheme="majorHAnsi" w:cstheme="majorHAnsi"/>
          <w:sz w:val="20"/>
          <w:szCs w:val="20"/>
        </w:rPr>
        <w:t>wells</w:t>
      </w:r>
      <w:r w:rsidR="00F616C4">
        <w:rPr>
          <w:rFonts w:asciiTheme="majorHAnsi" w:hAnsiTheme="majorHAnsi" w:cstheme="majorHAnsi"/>
          <w:sz w:val="20"/>
          <w:szCs w:val="20"/>
        </w:rPr>
        <w:t>,</w:t>
      </w:r>
      <w:r w:rsidRPr="008925DD">
        <w:rPr>
          <w:rFonts w:asciiTheme="majorHAnsi" w:hAnsiTheme="majorHAnsi" w:cstheme="majorHAnsi"/>
          <w:sz w:val="20"/>
          <w:szCs w:val="20"/>
        </w:rPr>
        <w:t xml:space="preserve"> they can be </w:t>
      </w:r>
      <w:r w:rsidR="00F616C4">
        <w:rPr>
          <w:rFonts w:asciiTheme="majorHAnsi" w:hAnsiTheme="majorHAnsi" w:cstheme="majorHAnsi"/>
          <w:sz w:val="20"/>
          <w:szCs w:val="20"/>
        </w:rPr>
        <w:t>separated into</w:t>
      </w:r>
      <w:r w:rsidRPr="008925DD">
        <w:rPr>
          <w:rFonts w:asciiTheme="majorHAnsi" w:hAnsiTheme="majorHAnsi" w:cstheme="majorHAnsi"/>
          <w:sz w:val="20"/>
          <w:szCs w:val="20"/>
        </w:rPr>
        <w:t>; Rag wells, pin wells, wishing wells, saints’ wells.</w:t>
      </w:r>
      <w:r w:rsidRPr="008925DD">
        <w:rPr>
          <w:rStyle w:val="FootnoteReference"/>
          <w:rFonts w:asciiTheme="majorHAnsi" w:hAnsiTheme="majorHAnsi" w:cstheme="majorHAnsi"/>
          <w:sz w:val="20"/>
          <w:szCs w:val="20"/>
        </w:rPr>
        <w:footnoteReference w:id="11"/>
      </w:r>
      <w:r w:rsidRPr="008925DD">
        <w:rPr>
          <w:rFonts w:asciiTheme="majorHAnsi" w:hAnsiTheme="majorHAnsi" w:cstheme="majorHAnsi"/>
          <w:sz w:val="20"/>
          <w:szCs w:val="20"/>
        </w:rPr>
        <w:t xml:space="preserve"> Although due to this strict categorical nature, we find that there is a heavy bleeding of the categories due to their vague constraints.</w:t>
      </w:r>
      <w:r w:rsidRPr="008925DD">
        <w:rPr>
          <w:rStyle w:val="FootnoteReference"/>
          <w:rFonts w:asciiTheme="majorHAnsi" w:hAnsiTheme="majorHAnsi" w:cstheme="majorHAnsi"/>
          <w:sz w:val="20"/>
          <w:szCs w:val="20"/>
        </w:rPr>
        <w:footnoteReference w:id="12"/>
      </w:r>
      <w:r w:rsidRPr="008925DD">
        <w:rPr>
          <w:rFonts w:asciiTheme="majorHAnsi" w:hAnsiTheme="majorHAnsi" w:cstheme="majorHAnsi"/>
          <w:sz w:val="20"/>
          <w:szCs w:val="20"/>
        </w:rPr>
        <w:t xml:space="preserve"> Winefride’s well itself is categorised as a good example of a Saints’ well, and it is considered the most prominent example within the country of Wales. </w:t>
      </w:r>
      <w:r w:rsidR="00F616C4">
        <w:rPr>
          <w:rFonts w:asciiTheme="majorHAnsi" w:hAnsiTheme="majorHAnsi" w:cstheme="majorHAnsi"/>
          <w:sz w:val="20"/>
          <w:szCs w:val="20"/>
        </w:rPr>
        <w:t xml:space="preserve">The site </w:t>
      </w:r>
      <w:proofErr w:type="gramStart"/>
      <w:r w:rsidR="00F616C4">
        <w:rPr>
          <w:rFonts w:asciiTheme="majorHAnsi" w:hAnsiTheme="majorHAnsi" w:cstheme="majorHAnsi"/>
          <w:sz w:val="20"/>
          <w:szCs w:val="20"/>
        </w:rPr>
        <w:t>contains</w:t>
      </w:r>
      <w:proofErr w:type="gramEnd"/>
      <w:r w:rsidR="00F616C4">
        <w:rPr>
          <w:rFonts w:asciiTheme="majorHAnsi" w:hAnsiTheme="majorHAnsi" w:cstheme="majorHAnsi"/>
          <w:sz w:val="20"/>
          <w:szCs w:val="20"/>
        </w:rPr>
        <w:t xml:space="preserve"> a</w:t>
      </w:r>
      <w:r w:rsidRPr="008925DD">
        <w:rPr>
          <w:rFonts w:asciiTheme="majorHAnsi" w:hAnsiTheme="majorHAnsi" w:cstheme="majorHAnsi"/>
          <w:sz w:val="20"/>
          <w:szCs w:val="20"/>
        </w:rPr>
        <w:t xml:space="preserve"> chapel that encases the ladies well, with the main pool outside the front of the building. Beuno’s stone is a large stone that is within the pool itself, this is the place that Beuno prayed often and addressed Winefride on the occasion of his departure.</w:t>
      </w:r>
      <w:r w:rsidRPr="008925DD">
        <w:rPr>
          <w:rStyle w:val="FootnoteReference"/>
          <w:rFonts w:asciiTheme="majorHAnsi" w:hAnsiTheme="majorHAnsi" w:cstheme="majorHAnsi"/>
          <w:sz w:val="20"/>
          <w:szCs w:val="20"/>
        </w:rPr>
        <w:footnoteReference w:id="13"/>
      </w:r>
      <w:r w:rsidRPr="008925DD">
        <w:rPr>
          <w:rFonts w:asciiTheme="majorHAnsi" w:hAnsiTheme="majorHAnsi" w:cstheme="majorHAnsi"/>
          <w:sz w:val="20"/>
          <w:szCs w:val="20"/>
        </w:rPr>
        <w:t xml:space="preserve"> The well shrine was completed in 1512.</w:t>
      </w:r>
      <w:r w:rsidRPr="008925DD">
        <w:rPr>
          <w:rStyle w:val="FootnoteReference"/>
          <w:rFonts w:asciiTheme="majorHAnsi" w:hAnsiTheme="majorHAnsi" w:cstheme="majorHAnsi"/>
          <w:sz w:val="20"/>
          <w:szCs w:val="20"/>
        </w:rPr>
        <w:footnoteReference w:id="14"/>
      </w:r>
      <w:r w:rsidRPr="008925DD">
        <w:rPr>
          <w:rFonts w:asciiTheme="majorHAnsi" w:hAnsiTheme="majorHAnsi" w:cstheme="majorHAnsi"/>
          <w:sz w:val="20"/>
          <w:szCs w:val="20"/>
        </w:rPr>
        <w:t xml:space="preserve"> The pool itself was known to produce moss that also cured ailments aptly named ‘St Winefride’s </w:t>
      </w:r>
      <w:r w:rsidRPr="008925DD">
        <w:rPr>
          <w:rFonts w:asciiTheme="majorHAnsi" w:hAnsiTheme="majorHAnsi" w:cstheme="majorHAnsi"/>
          <w:sz w:val="20"/>
          <w:szCs w:val="20"/>
        </w:rPr>
        <w:lastRenderedPageBreak/>
        <w:t>hair’.</w:t>
      </w:r>
      <w:r w:rsidRPr="008925DD">
        <w:rPr>
          <w:rStyle w:val="FootnoteReference"/>
          <w:rFonts w:asciiTheme="majorHAnsi" w:hAnsiTheme="majorHAnsi" w:cstheme="majorHAnsi"/>
          <w:sz w:val="20"/>
          <w:szCs w:val="20"/>
        </w:rPr>
        <w:footnoteReference w:id="15"/>
      </w:r>
      <w:r w:rsidRPr="008925DD">
        <w:rPr>
          <w:rFonts w:asciiTheme="majorHAnsi" w:hAnsiTheme="majorHAnsi" w:cstheme="majorHAnsi"/>
          <w:sz w:val="20"/>
          <w:szCs w:val="20"/>
        </w:rPr>
        <w:t xml:space="preserve"> The Chapel itself shows many modern day reliefs of </w:t>
      </w:r>
      <w:r w:rsidR="00F616C4">
        <w:rPr>
          <w:rFonts w:asciiTheme="majorHAnsi" w:hAnsiTheme="majorHAnsi" w:cstheme="majorHAnsi"/>
          <w:sz w:val="20"/>
          <w:szCs w:val="20"/>
        </w:rPr>
        <w:t>S</w:t>
      </w:r>
      <w:r w:rsidRPr="008925DD">
        <w:rPr>
          <w:rFonts w:asciiTheme="majorHAnsi" w:hAnsiTheme="majorHAnsi" w:cstheme="majorHAnsi"/>
          <w:sz w:val="20"/>
          <w:szCs w:val="20"/>
        </w:rPr>
        <w:t>aint Winefride and Beuno, and the miracle that occurred there in the 7</w:t>
      </w:r>
      <w:r w:rsidRPr="008925DD">
        <w:rPr>
          <w:rFonts w:asciiTheme="majorHAnsi" w:hAnsiTheme="majorHAnsi" w:cstheme="majorHAnsi"/>
          <w:sz w:val="20"/>
          <w:szCs w:val="20"/>
          <w:vertAlign w:val="superscript"/>
        </w:rPr>
        <w:t>th</w:t>
      </w:r>
      <w:r w:rsidRPr="008925DD">
        <w:rPr>
          <w:rFonts w:asciiTheme="majorHAnsi" w:hAnsiTheme="majorHAnsi" w:cstheme="majorHAnsi"/>
          <w:sz w:val="20"/>
          <w:szCs w:val="20"/>
        </w:rPr>
        <w:t xml:space="preserve"> century, as well as depictions of people carrying the sick, presumably to the pools.</w:t>
      </w:r>
      <w:r w:rsidRPr="008925DD">
        <w:rPr>
          <w:rStyle w:val="FootnoteReference"/>
          <w:rFonts w:asciiTheme="majorHAnsi" w:hAnsiTheme="majorHAnsi" w:cstheme="majorHAnsi"/>
          <w:sz w:val="20"/>
          <w:szCs w:val="20"/>
        </w:rPr>
        <w:footnoteReference w:id="16"/>
      </w:r>
      <w:r w:rsidRPr="008925DD">
        <w:rPr>
          <w:rFonts w:asciiTheme="majorHAnsi" w:hAnsiTheme="majorHAnsi" w:cstheme="majorHAnsi"/>
          <w:sz w:val="20"/>
          <w:szCs w:val="20"/>
        </w:rPr>
        <w:t xml:space="preserve"> In every </w:t>
      </w:r>
      <w:r w:rsidRPr="008925DD">
        <w:rPr>
          <w:rFonts w:asciiTheme="majorHAnsi" w:hAnsiTheme="majorHAnsi" w:cstheme="majorHAnsi"/>
          <w:i/>
          <w:iCs/>
          <w:sz w:val="20"/>
          <w:szCs w:val="20"/>
        </w:rPr>
        <w:t>vita</w:t>
      </w:r>
      <w:r w:rsidRPr="008925DD">
        <w:rPr>
          <w:rFonts w:asciiTheme="majorHAnsi" w:hAnsiTheme="majorHAnsi" w:cstheme="majorHAnsi"/>
          <w:sz w:val="20"/>
          <w:szCs w:val="20"/>
        </w:rPr>
        <w:t xml:space="preserve"> </w:t>
      </w:r>
      <w:r w:rsidR="00F616C4">
        <w:rPr>
          <w:rFonts w:asciiTheme="majorHAnsi" w:hAnsiTheme="majorHAnsi" w:cstheme="majorHAnsi"/>
          <w:sz w:val="20"/>
          <w:szCs w:val="20"/>
        </w:rPr>
        <w:t>dedicated to</w:t>
      </w:r>
      <w:r w:rsidRPr="008925DD">
        <w:rPr>
          <w:rFonts w:asciiTheme="majorHAnsi" w:hAnsiTheme="majorHAnsi" w:cstheme="majorHAnsi"/>
          <w:sz w:val="20"/>
          <w:szCs w:val="20"/>
        </w:rPr>
        <w:t xml:space="preserve"> Winefride the well is referenced, this is due to the </w:t>
      </w:r>
      <w:r w:rsidR="004A40A7" w:rsidRPr="008925DD">
        <w:rPr>
          <w:rFonts w:asciiTheme="majorHAnsi" w:hAnsiTheme="majorHAnsi" w:cstheme="majorHAnsi"/>
          <w:sz w:val="20"/>
          <w:szCs w:val="20"/>
        </w:rPr>
        <w:t>site</w:t>
      </w:r>
      <w:r w:rsidRPr="008925DD">
        <w:rPr>
          <w:rFonts w:asciiTheme="majorHAnsi" w:hAnsiTheme="majorHAnsi" w:cstheme="majorHAnsi"/>
          <w:sz w:val="20"/>
          <w:szCs w:val="20"/>
        </w:rPr>
        <w:t xml:space="preserve"> being a crucial part of the saints’ cult of Winefride. The walls of the well crypt and the</w:t>
      </w:r>
      <w:r w:rsidR="00F616C4">
        <w:rPr>
          <w:rFonts w:asciiTheme="majorHAnsi" w:hAnsiTheme="majorHAnsi" w:cstheme="majorHAnsi"/>
          <w:sz w:val="20"/>
          <w:szCs w:val="20"/>
        </w:rPr>
        <w:t xml:space="preserve"> adjacent</w:t>
      </w:r>
      <w:r w:rsidRPr="008925DD">
        <w:rPr>
          <w:rFonts w:asciiTheme="majorHAnsi" w:hAnsiTheme="majorHAnsi" w:cstheme="majorHAnsi"/>
          <w:sz w:val="20"/>
          <w:szCs w:val="20"/>
        </w:rPr>
        <w:t xml:space="preserve"> chapel have markings</w:t>
      </w:r>
      <w:r w:rsidR="00F616C4">
        <w:rPr>
          <w:rFonts w:asciiTheme="majorHAnsi" w:hAnsiTheme="majorHAnsi" w:cstheme="majorHAnsi"/>
          <w:sz w:val="20"/>
          <w:szCs w:val="20"/>
        </w:rPr>
        <w:t xml:space="preserve"> made</w:t>
      </w:r>
      <w:r w:rsidRPr="008925DD">
        <w:rPr>
          <w:rFonts w:asciiTheme="majorHAnsi" w:hAnsiTheme="majorHAnsi" w:cstheme="majorHAnsi"/>
          <w:sz w:val="20"/>
          <w:szCs w:val="20"/>
        </w:rPr>
        <w:t xml:space="preserve"> over hundreds of years</w:t>
      </w:r>
      <w:r w:rsidR="00F616C4">
        <w:rPr>
          <w:rFonts w:asciiTheme="majorHAnsi" w:hAnsiTheme="majorHAnsi" w:cstheme="majorHAnsi"/>
          <w:sz w:val="20"/>
          <w:szCs w:val="20"/>
        </w:rPr>
        <w:t>, these were done</w:t>
      </w:r>
      <w:r w:rsidRPr="008925DD">
        <w:rPr>
          <w:rFonts w:asciiTheme="majorHAnsi" w:hAnsiTheme="majorHAnsi" w:cstheme="majorHAnsi"/>
          <w:sz w:val="20"/>
          <w:szCs w:val="20"/>
        </w:rPr>
        <w:t xml:space="preserve"> by visitors acknowledging the cures.</w:t>
      </w:r>
      <w:r w:rsidRPr="008925DD">
        <w:rPr>
          <w:rStyle w:val="FootnoteReference"/>
          <w:rFonts w:asciiTheme="majorHAnsi" w:hAnsiTheme="majorHAnsi" w:cstheme="majorHAnsi"/>
          <w:sz w:val="20"/>
          <w:szCs w:val="20"/>
        </w:rPr>
        <w:footnoteReference w:id="17"/>
      </w:r>
      <w:r w:rsidRPr="008925DD">
        <w:rPr>
          <w:rFonts w:asciiTheme="majorHAnsi" w:hAnsiTheme="majorHAnsi" w:cstheme="majorHAnsi"/>
          <w:sz w:val="20"/>
          <w:szCs w:val="20"/>
        </w:rPr>
        <w:t xml:space="preserve"> The outer bath that is visible from the front of the chapel is a 17</w:t>
      </w:r>
      <w:r w:rsidRPr="008925DD">
        <w:rPr>
          <w:rFonts w:asciiTheme="majorHAnsi" w:hAnsiTheme="majorHAnsi" w:cstheme="majorHAnsi"/>
          <w:sz w:val="20"/>
          <w:szCs w:val="20"/>
          <w:vertAlign w:val="superscript"/>
        </w:rPr>
        <w:t>th</w:t>
      </w:r>
      <w:r w:rsidRPr="008925DD">
        <w:rPr>
          <w:rFonts w:asciiTheme="majorHAnsi" w:hAnsiTheme="majorHAnsi" w:cstheme="majorHAnsi"/>
          <w:sz w:val="20"/>
          <w:szCs w:val="20"/>
        </w:rPr>
        <w:t xml:space="preserve"> century addition, possibly for monetisation reasons.</w:t>
      </w:r>
      <w:r w:rsidRPr="008925DD">
        <w:rPr>
          <w:rStyle w:val="FootnoteReference"/>
          <w:rFonts w:asciiTheme="majorHAnsi" w:hAnsiTheme="majorHAnsi" w:cstheme="majorHAnsi"/>
          <w:sz w:val="20"/>
          <w:szCs w:val="20"/>
        </w:rPr>
        <w:footnoteReference w:id="18"/>
      </w:r>
    </w:p>
    <w:p w14:paraId="088A3103" w14:textId="5ABEC58C" w:rsidR="00EC6011" w:rsidRPr="008925DD" w:rsidRDefault="00EC6011" w:rsidP="0032432D">
      <w:pPr>
        <w:ind w:firstLine="720"/>
        <w:rPr>
          <w:rFonts w:asciiTheme="majorHAnsi" w:hAnsiTheme="majorHAnsi" w:cstheme="majorHAnsi"/>
          <w:sz w:val="20"/>
          <w:szCs w:val="20"/>
        </w:rPr>
      </w:pPr>
      <w:r w:rsidRPr="008925DD">
        <w:rPr>
          <w:rFonts w:asciiTheme="majorHAnsi" w:hAnsiTheme="majorHAnsi" w:cstheme="majorHAnsi"/>
          <w:sz w:val="20"/>
          <w:szCs w:val="20"/>
        </w:rPr>
        <w:t>The town of Holywell itself is named after the well of Saint Winefride, although unlike the usual Welsh style eponym such as Llandewi (The church of David), the name itself derives quite literally from there being a holy well there. The town Holywell was once known as Sychnant, but due to the notoriety of the well it had changed through renown.</w:t>
      </w:r>
      <w:r w:rsidRPr="008925DD">
        <w:rPr>
          <w:rStyle w:val="FootnoteReference"/>
          <w:rFonts w:asciiTheme="majorHAnsi" w:hAnsiTheme="majorHAnsi" w:cstheme="majorHAnsi"/>
          <w:sz w:val="20"/>
          <w:szCs w:val="20"/>
        </w:rPr>
        <w:footnoteReference w:id="19"/>
      </w:r>
      <w:r w:rsidRPr="008925DD">
        <w:rPr>
          <w:rFonts w:asciiTheme="majorHAnsi" w:hAnsiTheme="majorHAnsi" w:cstheme="majorHAnsi"/>
          <w:sz w:val="20"/>
          <w:szCs w:val="20"/>
        </w:rPr>
        <w:t xml:space="preserve"> Even in the Welsh origins of the name Treffynnon we find it follows the same pattern as Holywell, it is the Town of the well. </w:t>
      </w:r>
      <w:r w:rsidR="00C95BCB">
        <w:rPr>
          <w:rFonts w:asciiTheme="majorHAnsi" w:hAnsiTheme="majorHAnsi" w:cstheme="majorHAnsi"/>
          <w:sz w:val="20"/>
          <w:szCs w:val="20"/>
        </w:rPr>
        <w:t>T</w:t>
      </w:r>
      <w:r w:rsidRPr="008925DD">
        <w:rPr>
          <w:rFonts w:asciiTheme="majorHAnsi" w:hAnsiTheme="majorHAnsi" w:cstheme="majorHAnsi"/>
          <w:sz w:val="20"/>
          <w:szCs w:val="20"/>
        </w:rPr>
        <w:t xml:space="preserve">he naming of the town </w:t>
      </w:r>
      <w:r w:rsidR="00F616C4">
        <w:rPr>
          <w:rFonts w:asciiTheme="majorHAnsi" w:hAnsiTheme="majorHAnsi" w:cstheme="majorHAnsi"/>
          <w:sz w:val="20"/>
          <w:szCs w:val="20"/>
        </w:rPr>
        <w:t xml:space="preserve">suggests </w:t>
      </w:r>
      <w:r w:rsidRPr="008925DD">
        <w:rPr>
          <w:rFonts w:asciiTheme="majorHAnsi" w:hAnsiTheme="majorHAnsi" w:cstheme="majorHAnsi"/>
          <w:sz w:val="20"/>
          <w:szCs w:val="20"/>
        </w:rPr>
        <w:t xml:space="preserve">something relatively unique to the holy wells in the area, the town was the place of a well-known holy well, at this point arguably its renown reached far into the culture of Christendom, this site was perhaps the most famous holy well in Britain during the </w:t>
      </w:r>
      <w:r w:rsidR="009233C7">
        <w:rPr>
          <w:rFonts w:asciiTheme="majorHAnsi" w:hAnsiTheme="majorHAnsi" w:cstheme="majorHAnsi"/>
          <w:sz w:val="20"/>
          <w:szCs w:val="20"/>
        </w:rPr>
        <w:t>M</w:t>
      </w:r>
      <w:r w:rsidRPr="008925DD">
        <w:rPr>
          <w:rFonts w:asciiTheme="majorHAnsi" w:hAnsiTheme="majorHAnsi" w:cstheme="majorHAnsi"/>
          <w:sz w:val="20"/>
          <w:szCs w:val="20"/>
        </w:rPr>
        <w:t xml:space="preserve">iddle </w:t>
      </w:r>
      <w:r w:rsidR="009233C7">
        <w:rPr>
          <w:rFonts w:asciiTheme="majorHAnsi" w:hAnsiTheme="majorHAnsi" w:cstheme="majorHAnsi"/>
          <w:sz w:val="20"/>
          <w:szCs w:val="20"/>
        </w:rPr>
        <w:t>A</w:t>
      </w:r>
      <w:r w:rsidRPr="008925DD">
        <w:rPr>
          <w:rFonts w:asciiTheme="majorHAnsi" w:hAnsiTheme="majorHAnsi" w:cstheme="majorHAnsi"/>
          <w:sz w:val="20"/>
          <w:szCs w:val="20"/>
        </w:rPr>
        <w:t>ges.</w:t>
      </w:r>
      <w:r w:rsidRPr="008925DD">
        <w:rPr>
          <w:rStyle w:val="FootnoteReference"/>
          <w:rFonts w:asciiTheme="majorHAnsi" w:hAnsiTheme="majorHAnsi" w:cstheme="majorHAnsi"/>
          <w:sz w:val="20"/>
          <w:szCs w:val="20"/>
        </w:rPr>
        <w:footnoteReference w:id="20"/>
      </w:r>
      <w:r w:rsidRPr="008925DD">
        <w:rPr>
          <w:rFonts w:asciiTheme="majorHAnsi" w:hAnsiTheme="majorHAnsi" w:cstheme="majorHAnsi"/>
          <w:sz w:val="20"/>
          <w:szCs w:val="20"/>
        </w:rPr>
        <w:t xml:space="preserve"> During the reformation, the chapel of Gwenfrewi was too notable for destruction,</w:t>
      </w:r>
      <w:r w:rsidR="00E5213A">
        <w:rPr>
          <w:rFonts w:asciiTheme="majorHAnsi" w:hAnsiTheme="majorHAnsi" w:cstheme="majorHAnsi"/>
          <w:sz w:val="20"/>
          <w:szCs w:val="20"/>
        </w:rPr>
        <w:t xml:space="preserve"> it did not follow the same fate that other sites were subjected to, this may have been</w:t>
      </w:r>
      <w:r w:rsidRPr="008925DD">
        <w:rPr>
          <w:rFonts w:asciiTheme="majorHAnsi" w:hAnsiTheme="majorHAnsi" w:cstheme="majorHAnsi"/>
          <w:sz w:val="20"/>
          <w:szCs w:val="20"/>
        </w:rPr>
        <w:t xml:space="preserve"> possibly due to monetary motives.</w:t>
      </w:r>
      <w:r w:rsidRPr="008925DD">
        <w:rPr>
          <w:rStyle w:val="FootnoteReference"/>
          <w:rFonts w:asciiTheme="majorHAnsi" w:hAnsiTheme="majorHAnsi" w:cstheme="majorHAnsi"/>
          <w:sz w:val="20"/>
          <w:szCs w:val="20"/>
        </w:rPr>
        <w:footnoteReference w:id="21"/>
      </w:r>
      <w:r w:rsidRPr="008925DD">
        <w:rPr>
          <w:rFonts w:asciiTheme="majorHAnsi" w:hAnsiTheme="majorHAnsi" w:cstheme="majorHAnsi"/>
          <w:sz w:val="20"/>
          <w:szCs w:val="20"/>
        </w:rPr>
        <w:t xml:space="preserve"> According to the lives this well sprung up at the moment Winefride’s head rest </w:t>
      </w:r>
      <w:r w:rsidR="00E5213A">
        <w:rPr>
          <w:rFonts w:asciiTheme="majorHAnsi" w:hAnsiTheme="majorHAnsi" w:cstheme="majorHAnsi"/>
          <w:sz w:val="20"/>
          <w:szCs w:val="20"/>
        </w:rPr>
        <w:t>motionless</w:t>
      </w:r>
      <w:r w:rsidRPr="008925DD">
        <w:rPr>
          <w:rFonts w:asciiTheme="majorHAnsi" w:hAnsiTheme="majorHAnsi" w:cstheme="majorHAnsi"/>
          <w:sz w:val="20"/>
          <w:szCs w:val="20"/>
        </w:rPr>
        <w:t xml:space="preserve"> on the ground, an earthquake cracked the floor open as her blood stained the stones red, water flowed from this deep gorge created by God himself.</w:t>
      </w:r>
      <w:r w:rsidR="00E5213A">
        <w:rPr>
          <w:rStyle w:val="FootnoteReference"/>
          <w:rFonts w:asciiTheme="majorHAnsi" w:hAnsiTheme="majorHAnsi" w:cstheme="majorHAnsi"/>
          <w:sz w:val="20"/>
          <w:szCs w:val="20"/>
        </w:rPr>
        <w:footnoteReference w:id="22"/>
      </w:r>
      <w:r w:rsidRPr="008925DD">
        <w:rPr>
          <w:rFonts w:asciiTheme="majorHAnsi" w:hAnsiTheme="majorHAnsi" w:cstheme="majorHAnsi"/>
          <w:sz w:val="20"/>
          <w:szCs w:val="20"/>
        </w:rPr>
        <w:t xml:space="preserve"> </w:t>
      </w:r>
    </w:p>
    <w:p w14:paraId="6C2BDF42" w14:textId="75661FE4" w:rsidR="0032432D" w:rsidRPr="008925DD" w:rsidRDefault="00EC6011" w:rsidP="0032432D">
      <w:pPr>
        <w:ind w:firstLine="720"/>
        <w:rPr>
          <w:rFonts w:asciiTheme="majorHAnsi" w:hAnsiTheme="majorHAnsi" w:cstheme="majorHAnsi"/>
          <w:sz w:val="20"/>
          <w:szCs w:val="20"/>
        </w:rPr>
      </w:pPr>
      <w:r w:rsidRPr="008925DD">
        <w:rPr>
          <w:rFonts w:asciiTheme="majorHAnsi" w:hAnsiTheme="majorHAnsi" w:cstheme="majorHAnsi"/>
          <w:sz w:val="20"/>
          <w:szCs w:val="20"/>
        </w:rPr>
        <w:t>The concept of holy wells or sacred waters do not simply belong to one religion. The concept of magical</w:t>
      </w:r>
      <w:r w:rsidR="00E5213A">
        <w:rPr>
          <w:rFonts w:asciiTheme="majorHAnsi" w:hAnsiTheme="majorHAnsi" w:cstheme="majorHAnsi"/>
          <w:sz w:val="20"/>
          <w:szCs w:val="20"/>
        </w:rPr>
        <w:t>/sacred</w:t>
      </w:r>
      <w:r w:rsidRPr="008925DD">
        <w:rPr>
          <w:rFonts w:asciiTheme="majorHAnsi" w:hAnsiTheme="majorHAnsi" w:cstheme="majorHAnsi"/>
          <w:sz w:val="20"/>
          <w:szCs w:val="20"/>
        </w:rPr>
        <w:t xml:space="preserve"> water is something that permeates the human psyche </w:t>
      </w:r>
      <w:r w:rsidR="00E5213A">
        <w:rPr>
          <w:rFonts w:asciiTheme="majorHAnsi" w:hAnsiTheme="majorHAnsi" w:cstheme="majorHAnsi"/>
          <w:sz w:val="20"/>
          <w:szCs w:val="20"/>
        </w:rPr>
        <w:t>and can be found in most cultures,</w:t>
      </w:r>
      <w:r w:rsidRPr="008925DD">
        <w:rPr>
          <w:rFonts w:asciiTheme="majorHAnsi" w:hAnsiTheme="majorHAnsi" w:cstheme="majorHAnsi"/>
          <w:sz w:val="20"/>
          <w:szCs w:val="20"/>
        </w:rPr>
        <w:t xml:space="preserve"> this </w:t>
      </w:r>
      <w:r w:rsidR="00E5213A">
        <w:rPr>
          <w:rFonts w:asciiTheme="majorHAnsi" w:hAnsiTheme="majorHAnsi" w:cstheme="majorHAnsi"/>
          <w:sz w:val="20"/>
          <w:szCs w:val="20"/>
        </w:rPr>
        <w:t xml:space="preserve">may </w:t>
      </w:r>
      <w:r w:rsidRPr="008925DD">
        <w:rPr>
          <w:rFonts w:asciiTheme="majorHAnsi" w:hAnsiTheme="majorHAnsi" w:cstheme="majorHAnsi"/>
          <w:sz w:val="20"/>
          <w:szCs w:val="20"/>
        </w:rPr>
        <w:t xml:space="preserve">coincide with water being the key </w:t>
      </w:r>
      <w:proofErr w:type="gramStart"/>
      <w:r w:rsidRPr="008925DD">
        <w:rPr>
          <w:rFonts w:asciiTheme="majorHAnsi" w:hAnsiTheme="majorHAnsi" w:cstheme="majorHAnsi"/>
          <w:sz w:val="20"/>
          <w:szCs w:val="20"/>
        </w:rPr>
        <w:t>component</w:t>
      </w:r>
      <w:proofErr w:type="gramEnd"/>
      <w:r w:rsidRPr="008925DD">
        <w:rPr>
          <w:rFonts w:asciiTheme="majorHAnsi" w:hAnsiTheme="majorHAnsi" w:cstheme="majorHAnsi"/>
          <w:sz w:val="20"/>
          <w:szCs w:val="20"/>
        </w:rPr>
        <w:t xml:space="preserve"> for life to flourish and thrive.</w:t>
      </w:r>
      <w:r w:rsidRPr="008925DD">
        <w:rPr>
          <w:rStyle w:val="FootnoteReference"/>
          <w:rFonts w:asciiTheme="majorHAnsi" w:hAnsiTheme="majorHAnsi" w:cstheme="majorHAnsi"/>
          <w:sz w:val="20"/>
          <w:szCs w:val="20"/>
        </w:rPr>
        <w:footnoteReference w:id="23"/>
      </w:r>
      <w:r w:rsidRPr="008925DD">
        <w:rPr>
          <w:rFonts w:asciiTheme="majorHAnsi" w:hAnsiTheme="majorHAnsi" w:cstheme="majorHAnsi"/>
          <w:sz w:val="20"/>
          <w:szCs w:val="20"/>
        </w:rPr>
        <w:t xml:space="preserve"> </w:t>
      </w:r>
      <w:r w:rsidR="00E5213A">
        <w:rPr>
          <w:rFonts w:asciiTheme="majorHAnsi" w:hAnsiTheme="majorHAnsi" w:cstheme="majorHAnsi"/>
          <w:sz w:val="20"/>
          <w:szCs w:val="20"/>
        </w:rPr>
        <w:t>In the</w:t>
      </w:r>
      <w:r w:rsidRPr="008925DD">
        <w:rPr>
          <w:rFonts w:asciiTheme="majorHAnsi" w:hAnsiTheme="majorHAnsi" w:cstheme="majorHAnsi"/>
          <w:sz w:val="20"/>
          <w:szCs w:val="20"/>
        </w:rPr>
        <w:t xml:space="preserve"> Christian example</w:t>
      </w:r>
      <w:r w:rsidR="00E5213A">
        <w:rPr>
          <w:rFonts w:asciiTheme="majorHAnsi" w:hAnsiTheme="majorHAnsi" w:cstheme="majorHAnsi"/>
          <w:sz w:val="20"/>
          <w:szCs w:val="20"/>
        </w:rPr>
        <w:t xml:space="preserve"> of Saint Winefride’s holy well</w:t>
      </w:r>
      <w:r w:rsidRPr="008925DD">
        <w:rPr>
          <w:rFonts w:asciiTheme="majorHAnsi" w:hAnsiTheme="majorHAnsi" w:cstheme="majorHAnsi"/>
          <w:sz w:val="20"/>
          <w:szCs w:val="20"/>
        </w:rPr>
        <w:t xml:space="preserve"> we </w:t>
      </w:r>
      <w:r w:rsidR="00E5213A">
        <w:rPr>
          <w:rFonts w:asciiTheme="majorHAnsi" w:hAnsiTheme="majorHAnsi" w:cstheme="majorHAnsi"/>
          <w:sz w:val="20"/>
          <w:szCs w:val="20"/>
        </w:rPr>
        <w:t>find it as</w:t>
      </w:r>
      <w:r w:rsidRPr="008925DD">
        <w:rPr>
          <w:rFonts w:asciiTheme="majorHAnsi" w:hAnsiTheme="majorHAnsi" w:cstheme="majorHAnsi"/>
          <w:sz w:val="20"/>
          <w:szCs w:val="20"/>
        </w:rPr>
        <w:t xml:space="preserve"> a place of healing. Bathing and/or ingesting the water allows the recipient to be cured from ailments that sometimes coincide with the saint attributed to the waters. In the Christian bible we get references to the washing of the body to purify oneself in the </w:t>
      </w:r>
      <w:r w:rsidR="00944AB6" w:rsidRPr="008925DD">
        <w:rPr>
          <w:rFonts w:asciiTheme="majorHAnsi" w:hAnsiTheme="majorHAnsi" w:cstheme="majorHAnsi"/>
          <w:sz w:val="20"/>
          <w:szCs w:val="20"/>
        </w:rPr>
        <w:t>Old Testament</w:t>
      </w:r>
      <w:r w:rsidRPr="008925DD">
        <w:rPr>
          <w:rFonts w:asciiTheme="majorHAnsi" w:hAnsiTheme="majorHAnsi" w:cstheme="majorHAnsi"/>
          <w:sz w:val="20"/>
          <w:szCs w:val="20"/>
        </w:rPr>
        <w:t xml:space="preserve"> in Leviticus, as well as the general concept of water baptism that is introduced later in the text.</w:t>
      </w:r>
    </w:p>
    <w:p w14:paraId="0FD72616" w14:textId="0CCEB1E5" w:rsidR="00EC6011" w:rsidRPr="008925DD" w:rsidRDefault="00EC6011" w:rsidP="00EC6011">
      <w:pPr>
        <w:ind w:firstLine="720"/>
        <w:rPr>
          <w:rFonts w:asciiTheme="majorHAnsi" w:hAnsiTheme="majorHAnsi" w:cstheme="majorHAnsi"/>
          <w:sz w:val="20"/>
          <w:szCs w:val="20"/>
        </w:rPr>
      </w:pPr>
      <w:r w:rsidRPr="008925DD">
        <w:rPr>
          <w:rFonts w:asciiTheme="majorHAnsi" w:hAnsiTheme="majorHAnsi" w:cstheme="majorHAnsi"/>
          <w:sz w:val="20"/>
          <w:szCs w:val="20"/>
        </w:rPr>
        <w:t xml:space="preserve">In the case of the well of Winefride we find a vast number of sources that </w:t>
      </w:r>
      <w:r w:rsidR="00C95BCB">
        <w:rPr>
          <w:rFonts w:asciiTheme="majorHAnsi" w:hAnsiTheme="majorHAnsi" w:cstheme="majorHAnsi"/>
          <w:sz w:val="20"/>
          <w:szCs w:val="20"/>
        </w:rPr>
        <w:t>convey</w:t>
      </w:r>
      <w:r w:rsidRPr="008925DD">
        <w:rPr>
          <w:rFonts w:asciiTheme="majorHAnsi" w:hAnsiTheme="majorHAnsi" w:cstheme="majorHAnsi"/>
          <w:sz w:val="20"/>
          <w:szCs w:val="20"/>
        </w:rPr>
        <w:t xml:space="preserve"> miracles taking place. In 1606 a doctor name Sion Dafydd Rhys advised Sir Richard Bodenham, who suffered from a skin disease to bathe at the well, his skin became as sound as that of a newly born infant.</w:t>
      </w:r>
      <w:r w:rsidRPr="008925DD">
        <w:rPr>
          <w:rStyle w:val="FootnoteReference"/>
          <w:rFonts w:asciiTheme="majorHAnsi" w:hAnsiTheme="majorHAnsi" w:cstheme="majorHAnsi"/>
          <w:sz w:val="20"/>
          <w:szCs w:val="20"/>
        </w:rPr>
        <w:footnoteReference w:id="24"/>
      </w:r>
      <w:r w:rsidRPr="008925DD">
        <w:rPr>
          <w:rFonts w:asciiTheme="majorHAnsi" w:hAnsiTheme="majorHAnsi" w:cstheme="majorHAnsi"/>
          <w:sz w:val="20"/>
          <w:szCs w:val="20"/>
        </w:rPr>
        <w:t xml:space="preserve"> A memorandum made in 1586 says that a sick man was cured at St. Winefride’s well after he had first expressed repentance, craved forgiveness for his sins, and bathed in the well.</w:t>
      </w:r>
      <w:r w:rsidRPr="008925DD">
        <w:rPr>
          <w:rStyle w:val="FootnoteReference"/>
          <w:rFonts w:asciiTheme="majorHAnsi" w:hAnsiTheme="majorHAnsi" w:cstheme="majorHAnsi"/>
          <w:sz w:val="20"/>
          <w:szCs w:val="20"/>
        </w:rPr>
        <w:footnoteReference w:id="25"/>
      </w:r>
      <w:r w:rsidRPr="008925DD">
        <w:rPr>
          <w:rFonts w:asciiTheme="majorHAnsi" w:hAnsiTheme="majorHAnsi" w:cstheme="majorHAnsi"/>
          <w:sz w:val="20"/>
          <w:szCs w:val="20"/>
        </w:rPr>
        <w:t xml:space="preserve"> A </w:t>
      </w:r>
      <w:r w:rsidR="00E5213A">
        <w:rPr>
          <w:rFonts w:asciiTheme="majorHAnsi" w:hAnsiTheme="majorHAnsi" w:cstheme="majorHAnsi"/>
          <w:i/>
          <w:iCs/>
          <w:sz w:val="20"/>
          <w:szCs w:val="20"/>
        </w:rPr>
        <w:t>vita</w:t>
      </w:r>
      <w:r w:rsidRPr="008925DD">
        <w:rPr>
          <w:rFonts w:asciiTheme="majorHAnsi" w:hAnsiTheme="majorHAnsi" w:cstheme="majorHAnsi"/>
          <w:sz w:val="20"/>
          <w:szCs w:val="20"/>
        </w:rPr>
        <w:t xml:space="preserve"> of saint Winefride tells us of a thief that was brought before the well accused of stealing a goat, the goat bleated in his stomach, he although denied his guilt.</w:t>
      </w:r>
      <w:r w:rsidRPr="008925DD">
        <w:rPr>
          <w:rStyle w:val="FootnoteReference"/>
          <w:rFonts w:asciiTheme="majorHAnsi" w:hAnsiTheme="majorHAnsi" w:cstheme="majorHAnsi"/>
          <w:sz w:val="20"/>
          <w:szCs w:val="20"/>
        </w:rPr>
        <w:footnoteReference w:id="26"/>
      </w:r>
      <w:r w:rsidRPr="008925DD">
        <w:rPr>
          <w:rFonts w:asciiTheme="majorHAnsi" w:hAnsiTheme="majorHAnsi" w:cstheme="majorHAnsi"/>
          <w:sz w:val="20"/>
          <w:szCs w:val="20"/>
        </w:rPr>
        <w:t xml:space="preserve"> There were times where the lame walked, the deaf heard and the dumb spoke.</w:t>
      </w:r>
      <w:r w:rsidRPr="008925DD">
        <w:rPr>
          <w:rStyle w:val="FootnoteReference"/>
          <w:rFonts w:asciiTheme="majorHAnsi" w:hAnsiTheme="majorHAnsi" w:cstheme="majorHAnsi"/>
          <w:sz w:val="20"/>
          <w:szCs w:val="20"/>
        </w:rPr>
        <w:footnoteReference w:id="27"/>
      </w:r>
      <w:r w:rsidRPr="008925DD">
        <w:rPr>
          <w:rFonts w:asciiTheme="majorHAnsi" w:hAnsiTheme="majorHAnsi" w:cstheme="majorHAnsi"/>
          <w:sz w:val="20"/>
          <w:szCs w:val="20"/>
        </w:rPr>
        <w:t xml:space="preserve"> In the late 19</w:t>
      </w:r>
      <w:r w:rsidRPr="008925DD">
        <w:rPr>
          <w:rFonts w:asciiTheme="majorHAnsi" w:hAnsiTheme="majorHAnsi" w:cstheme="majorHAnsi"/>
          <w:sz w:val="20"/>
          <w:szCs w:val="20"/>
          <w:vertAlign w:val="superscript"/>
        </w:rPr>
        <w:t>th</w:t>
      </w:r>
      <w:r w:rsidRPr="008925DD">
        <w:rPr>
          <w:rFonts w:asciiTheme="majorHAnsi" w:hAnsiTheme="majorHAnsi" w:cstheme="majorHAnsi"/>
          <w:sz w:val="20"/>
          <w:szCs w:val="20"/>
        </w:rPr>
        <w:t xml:space="preserve"> century the water of St Winefride’s well was at a position of such renown that it was bottled and sent to whomever desired its healing powers.</w:t>
      </w:r>
      <w:r w:rsidRPr="008925DD">
        <w:rPr>
          <w:rStyle w:val="FootnoteReference"/>
          <w:rFonts w:asciiTheme="majorHAnsi" w:hAnsiTheme="majorHAnsi" w:cstheme="majorHAnsi"/>
          <w:sz w:val="20"/>
          <w:szCs w:val="20"/>
        </w:rPr>
        <w:footnoteReference w:id="28"/>
      </w:r>
      <w:r w:rsidRPr="008925DD">
        <w:rPr>
          <w:rFonts w:asciiTheme="majorHAnsi" w:hAnsiTheme="majorHAnsi" w:cstheme="majorHAnsi"/>
          <w:sz w:val="20"/>
          <w:szCs w:val="20"/>
        </w:rPr>
        <w:t xml:space="preserve"> In ‘The Lancet’</w:t>
      </w:r>
      <w:r w:rsidR="00E5213A">
        <w:rPr>
          <w:rFonts w:asciiTheme="majorHAnsi" w:hAnsiTheme="majorHAnsi" w:cstheme="majorHAnsi"/>
          <w:sz w:val="20"/>
          <w:szCs w:val="20"/>
        </w:rPr>
        <w:t xml:space="preserve">, </w:t>
      </w:r>
      <w:r w:rsidRPr="008925DD">
        <w:rPr>
          <w:rFonts w:asciiTheme="majorHAnsi" w:hAnsiTheme="majorHAnsi" w:cstheme="majorHAnsi"/>
          <w:sz w:val="20"/>
          <w:szCs w:val="20"/>
        </w:rPr>
        <w:t>T. Oliver talks about how the well had miraculously cured a young girl named Hannah of her paralysis</w:t>
      </w:r>
      <w:r w:rsidR="00E5213A">
        <w:rPr>
          <w:rFonts w:asciiTheme="majorHAnsi" w:hAnsiTheme="majorHAnsi" w:cstheme="majorHAnsi"/>
          <w:sz w:val="20"/>
          <w:szCs w:val="20"/>
        </w:rPr>
        <w:t>,</w:t>
      </w:r>
      <w:r w:rsidRPr="008925DD">
        <w:rPr>
          <w:rFonts w:asciiTheme="majorHAnsi" w:hAnsiTheme="majorHAnsi" w:cstheme="majorHAnsi"/>
          <w:sz w:val="20"/>
          <w:szCs w:val="20"/>
        </w:rPr>
        <w:t xml:space="preserve"> </w:t>
      </w:r>
      <w:r w:rsidR="00E5213A" w:rsidRPr="008925DD">
        <w:rPr>
          <w:rFonts w:asciiTheme="majorHAnsi" w:hAnsiTheme="majorHAnsi" w:cstheme="majorHAnsi"/>
          <w:sz w:val="20"/>
          <w:szCs w:val="20"/>
        </w:rPr>
        <w:t>laying in the pool</w:t>
      </w:r>
      <w:r w:rsidR="00E5213A" w:rsidRPr="008925DD">
        <w:rPr>
          <w:rFonts w:asciiTheme="majorHAnsi" w:hAnsiTheme="majorHAnsi" w:cstheme="majorHAnsi"/>
          <w:sz w:val="20"/>
          <w:szCs w:val="20"/>
        </w:rPr>
        <w:t xml:space="preserve"> </w:t>
      </w:r>
      <w:r w:rsidR="00E5213A">
        <w:rPr>
          <w:rFonts w:asciiTheme="majorHAnsi" w:hAnsiTheme="majorHAnsi" w:cstheme="majorHAnsi"/>
          <w:sz w:val="20"/>
          <w:szCs w:val="20"/>
        </w:rPr>
        <w:t>she</w:t>
      </w:r>
      <w:r w:rsidRPr="008925DD">
        <w:rPr>
          <w:rFonts w:asciiTheme="majorHAnsi" w:hAnsiTheme="majorHAnsi" w:cstheme="majorHAnsi"/>
          <w:sz w:val="20"/>
          <w:szCs w:val="20"/>
        </w:rPr>
        <w:t xml:space="preserve"> fe</w:t>
      </w:r>
      <w:r w:rsidR="00E5213A">
        <w:rPr>
          <w:rFonts w:asciiTheme="majorHAnsi" w:hAnsiTheme="majorHAnsi" w:cstheme="majorHAnsi"/>
          <w:sz w:val="20"/>
          <w:szCs w:val="20"/>
        </w:rPr>
        <w:t>lt</w:t>
      </w:r>
      <w:r w:rsidRPr="008925DD">
        <w:rPr>
          <w:rFonts w:asciiTheme="majorHAnsi" w:hAnsiTheme="majorHAnsi" w:cstheme="majorHAnsi"/>
          <w:sz w:val="20"/>
          <w:szCs w:val="20"/>
        </w:rPr>
        <w:t xml:space="preserve"> a burning in her back</w:t>
      </w:r>
      <w:r w:rsidR="00E5213A">
        <w:rPr>
          <w:rFonts w:asciiTheme="majorHAnsi" w:hAnsiTheme="majorHAnsi" w:cstheme="majorHAnsi"/>
          <w:sz w:val="20"/>
          <w:szCs w:val="20"/>
        </w:rPr>
        <w:t>,</w:t>
      </w:r>
      <w:r w:rsidRPr="008925DD">
        <w:rPr>
          <w:rFonts w:asciiTheme="majorHAnsi" w:hAnsiTheme="majorHAnsi" w:cstheme="majorHAnsi"/>
          <w:sz w:val="20"/>
          <w:szCs w:val="20"/>
        </w:rPr>
        <w:t xml:space="preserve"> steam rose off her body </w:t>
      </w:r>
      <w:r w:rsidR="00E5213A">
        <w:rPr>
          <w:rFonts w:asciiTheme="majorHAnsi" w:hAnsiTheme="majorHAnsi" w:cstheme="majorHAnsi"/>
          <w:sz w:val="20"/>
          <w:szCs w:val="20"/>
        </w:rPr>
        <w:t>and she was cured of her ailment</w:t>
      </w:r>
      <w:r w:rsidRPr="008925DD">
        <w:rPr>
          <w:rFonts w:asciiTheme="majorHAnsi" w:hAnsiTheme="majorHAnsi" w:cstheme="majorHAnsi"/>
          <w:sz w:val="20"/>
          <w:szCs w:val="20"/>
        </w:rPr>
        <w:t>.</w:t>
      </w:r>
      <w:r w:rsidRPr="008925DD">
        <w:rPr>
          <w:rStyle w:val="FootnoteReference"/>
          <w:rFonts w:asciiTheme="majorHAnsi" w:hAnsiTheme="majorHAnsi" w:cstheme="majorHAnsi"/>
          <w:sz w:val="20"/>
          <w:szCs w:val="20"/>
        </w:rPr>
        <w:footnoteReference w:id="29"/>
      </w:r>
    </w:p>
    <w:p w14:paraId="7294F150" w14:textId="32A53EB9" w:rsidR="00EC6011" w:rsidRPr="008925DD" w:rsidRDefault="00EC6011" w:rsidP="0032432D">
      <w:pPr>
        <w:rPr>
          <w:rFonts w:asciiTheme="majorHAnsi" w:hAnsiTheme="majorHAnsi" w:cstheme="majorHAnsi"/>
          <w:sz w:val="20"/>
          <w:szCs w:val="20"/>
        </w:rPr>
      </w:pPr>
      <w:r w:rsidRPr="008925DD">
        <w:rPr>
          <w:rFonts w:asciiTheme="majorHAnsi" w:hAnsiTheme="majorHAnsi" w:cstheme="majorHAnsi"/>
          <w:sz w:val="20"/>
          <w:szCs w:val="20"/>
        </w:rPr>
        <w:lastRenderedPageBreak/>
        <w:tab/>
        <w:t>Th</w:t>
      </w:r>
      <w:r w:rsidR="00E5213A">
        <w:rPr>
          <w:rFonts w:asciiTheme="majorHAnsi" w:hAnsiTheme="majorHAnsi" w:cstheme="majorHAnsi"/>
          <w:sz w:val="20"/>
          <w:szCs w:val="20"/>
        </w:rPr>
        <w:t>e</w:t>
      </w:r>
      <w:r w:rsidRPr="008925DD">
        <w:rPr>
          <w:rFonts w:asciiTheme="majorHAnsi" w:hAnsiTheme="majorHAnsi" w:cstheme="majorHAnsi"/>
          <w:sz w:val="20"/>
          <w:szCs w:val="20"/>
        </w:rPr>
        <w:t xml:space="preserve"> written evidence </w:t>
      </w:r>
      <w:r w:rsidR="00E5213A">
        <w:rPr>
          <w:rFonts w:asciiTheme="majorHAnsi" w:hAnsiTheme="majorHAnsi" w:cstheme="majorHAnsi"/>
          <w:sz w:val="20"/>
          <w:szCs w:val="20"/>
        </w:rPr>
        <w:t xml:space="preserve">that </w:t>
      </w:r>
      <w:r w:rsidRPr="008925DD">
        <w:rPr>
          <w:rFonts w:asciiTheme="majorHAnsi" w:hAnsiTheme="majorHAnsi" w:cstheme="majorHAnsi"/>
          <w:sz w:val="20"/>
          <w:szCs w:val="20"/>
        </w:rPr>
        <w:t xml:space="preserve">points towards the divine faith healing powers of Winefride’s </w:t>
      </w:r>
      <w:r w:rsidR="00E5213A">
        <w:rPr>
          <w:rFonts w:asciiTheme="majorHAnsi" w:hAnsiTheme="majorHAnsi" w:cstheme="majorHAnsi"/>
          <w:sz w:val="20"/>
          <w:szCs w:val="20"/>
        </w:rPr>
        <w:t>well</w:t>
      </w:r>
      <w:r w:rsidRPr="008925DD">
        <w:rPr>
          <w:rFonts w:asciiTheme="majorHAnsi" w:hAnsiTheme="majorHAnsi" w:cstheme="majorHAnsi"/>
          <w:sz w:val="20"/>
          <w:szCs w:val="20"/>
        </w:rPr>
        <w:t xml:space="preserve"> is not</w:t>
      </w:r>
      <w:r w:rsidR="00E5213A">
        <w:rPr>
          <w:rFonts w:asciiTheme="majorHAnsi" w:hAnsiTheme="majorHAnsi" w:cstheme="majorHAnsi"/>
          <w:sz w:val="20"/>
          <w:szCs w:val="20"/>
        </w:rPr>
        <w:t xml:space="preserve"> </w:t>
      </w:r>
      <w:r w:rsidR="00E00384">
        <w:rPr>
          <w:rFonts w:asciiTheme="majorHAnsi" w:hAnsiTheme="majorHAnsi" w:cstheme="majorHAnsi"/>
          <w:sz w:val="20"/>
          <w:szCs w:val="20"/>
        </w:rPr>
        <w:t xml:space="preserve">a </w:t>
      </w:r>
      <w:r w:rsidR="00E5213A">
        <w:rPr>
          <w:rFonts w:asciiTheme="majorHAnsi" w:hAnsiTheme="majorHAnsi" w:cstheme="majorHAnsi"/>
          <w:sz w:val="20"/>
          <w:szCs w:val="20"/>
        </w:rPr>
        <w:t>unique</w:t>
      </w:r>
      <w:r w:rsidR="00E00384">
        <w:rPr>
          <w:rFonts w:asciiTheme="majorHAnsi" w:hAnsiTheme="majorHAnsi" w:cstheme="majorHAnsi"/>
          <w:sz w:val="20"/>
          <w:szCs w:val="20"/>
        </w:rPr>
        <w:t xml:space="preserve"> attribute in the genre of holy wells</w:t>
      </w:r>
      <w:r w:rsidRPr="008925DD">
        <w:rPr>
          <w:rFonts w:asciiTheme="majorHAnsi" w:hAnsiTheme="majorHAnsi" w:cstheme="majorHAnsi"/>
          <w:sz w:val="20"/>
          <w:szCs w:val="20"/>
        </w:rPr>
        <w:t xml:space="preserve">. We find examples of this with </w:t>
      </w:r>
      <w:proofErr w:type="gramStart"/>
      <w:r w:rsidRPr="008925DD">
        <w:rPr>
          <w:rFonts w:asciiTheme="majorHAnsi" w:hAnsiTheme="majorHAnsi" w:cstheme="majorHAnsi"/>
          <w:sz w:val="20"/>
          <w:szCs w:val="20"/>
        </w:rPr>
        <w:t>many</w:t>
      </w:r>
      <w:proofErr w:type="gramEnd"/>
      <w:r w:rsidRPr="008925DD">
        <w:rPr>
          <w:rFonts w:asciiTheme="majorHAnsi" w:hAnsiTheme="majorHAnsi" w:cstheme="majorHAnsi"/>
          <w:sz w:val="20"/>
          <w:szCs w:val="20"/>
        </w:rPr>
        <w:t xml:space="preserve"> of the popular wells within the British Isles during</w:t>
      </w:r>
      <w:r w:rsidR="00E00384">
        <w:rPr>
          <w:rFonts w:asciiTheme="majorHAnsi" w:hAnsiTheme="majorHAnsi" w:cstheme="majorHAnsi"/>
          <w:sz w:val="20"/>
          <w:szCs w:val="20"/>
        </w:rPr>
        <w:t xml:space="preserve"> </w:t>
      </w:r>
      <w:r w:rsidRPr="008925DD">
        <w:rPr>
          <w:rFonts w:asciiTheme="majorHAnsi" w:hAnsiTheme="majorHAnsi" w:cstheme="majorHAnsi"/>
          <w:sz w:val="20"/>
          <w:szCs w:val="20"/>
        </w:rPr>
        <w:t>the mid-medieval ag</w:t>
      </w:r>
      <w:r w:rsidR="00E00384">
        <w:rPr>
          <w:rFonts w:asciiTheme="majorHAnsi" w:hAnsiTheme="majorHAnsi" w:cstheme="majorHAnsi"/>
          <w:sz w:val="20"/>
          <w:szCs w:val="20"/>
        </w:rPr>
        <w:t>e.</w:t>
      </w:r>
      <w:r w:rsidR="009A11FB" w:rsidRPr="008925DD">
        <w:rPr>
          <w:rFonts w:asciiTheme="majorHAnsi" w:hAnsiTheme="majorHAnsi" w:cstheme="majorHAnsi"/>
          <w:sz w:val="20"/>
          <w:szCs w:val="20"/>
        </w:rPr>
        <w:t xml:space="preserve"> </w:t>
      </w:r>
      <w:proofErr w:type="gramStart"/>
      <w:r w:rsidR="00E00384">
        <w:rPr>
          <w:rFonts w:asciiTheme="majorHAnsi" w:hAnsiTheme="majorHAnsi" w:cstheme="majorHAnsi"/>
          <w:sz w:val="20"/>
          <w:szCs w:val="20"/>
        </w:rPr>
        <w:t>Some of</w:t>
      </w:r>
      <w:proofErr w:type="gramEnd"/>
      <w:r w:rsidR="00E00384">
        <w:rPr>
          <w:rFonts w:asciiTheme="majorHAnsi" w:hAnsiTheme="majorHAnsi" w:cstheme="majorHAnsi"/>
          <w:sz w:val="20"/>
          <w:szCs w:val="20"/>
        </w:rPr>
        <w:t xml:space="preserve"> these wells</w:t>
      </w:r>
      <w:r w:rsidR="009A11FB" w:rsidRPr="008925DD">
        <w:rPr>
          <w:rFonts w:asciiTheme="majorHAnsi" w:hAnsiTheme="majorHAnsi" w:cstheme="majorHAnsi"/>
          <w:sz w:val="20"/>
          <w:szCs w:val="20"/>
        </w:rPr>
        <w:t xml:space="preserve"> also adhere to the decapitation of a pious figure</w:t>
      </w:r>
      <w:r w:rsidR="00E00384">
        <w:rPr>
          <w:rFonts w:asciiTheme="majorHAnsi" w:hAnsiTheme="majorHAnsi" w:cstheme="majorHAnsi"/>
          <w:sz w:val="20"/>
          <w:szCs w:val="20"/>
        </w:rPr>
        <w:t xml:space="preserve"> almost parallel to the lore of Saint Winefride </w:t>
      </w:r>
      <w:r w:rsidRPr="008925DD">
        <w:rPr>
          <w:rFonts w:asciiTheme="majorHAnsi" w:hAnsiTheme="majorHAnsi" w:cstheme="majorHAnsi"/>
          <w:sz w:val="20"/>
          <w:szCs w:val="20"/>
        </w:rPr>
        <w:t>.</w:t>
      </w:r>
      <w:r w:rsidRPr="008925DD">
        <w:rPr>
          <w:rStyle w:val="FootnoteReference"/>
          <w:rFonts w:asciiTheme="majorHAnsi" w:hAnsiTheme="majorHAnsi" w:cstheme="majorHAnsi"/>
          <w:sz w:val="20"/>
          <w:szCs w:val="20"/>
        </w:rPr>
        <w:footnoteReference w:id="30"/>
      </w:r>
      <w:r w:rsidRPr="008925DD">
        <w:rPr>
          <w:rFonts w:asciiTheme="majorHAnsi" w:hAnsiTheme="majorHAnsi" w:cstheme="majorHAnsi"/>
          <w:sz w:val="20"/>
          <w:szCs w:val="20"/>
        </w:rPr>
        <w:t xml:space="preserve"> This example of healing or purity by water is one that proliferates in examples when more research is done into the subject. The British Medical journal published an entry into their Correspondence issue discussing the genuineness of the well, regarding the substitution of a paper concerning modern miracles written by Rev. F. Woodlock, showing that these miracles were taken as a serious matter in medicine.</w:t>
      </w:r>
      <w:r w:rsidRPr="008925DD">
        <w:rPr>
          <w:rStyle w:val="FootnoteReference"/>
          <w:rFonts w:asciiTheme="majorHAnsi" w:hAnsiTheme="majorHAnsi" w:cstheme="majorHAnsi"/>
          <w:sz w:val="20"/>
          <w:szCs w:val="20"/>
        </w:rPr>
        <w:footnoteReference w:id="31"/>
      </w:r>
    </w:p>
    <w:p w14:paraId="430E7F51" w14:textId="4CE4D3E1" w:rsidR="00EC6011" w:rsidRPr="008925DD" w:rsidRDefault="00EC6011" w:rsidP="00EB4139">
      <w:pPr>
        <w:ind w:firstLine="720"/>
        <w:rPr>
          <w:rFonts w:asciiTheme="majorHAnsi" w:hAnsiTheme="majorHAnsi" w:cstheme="majorHAnsi"/>
          <w:sz w:val="20"/>
          <w:szCs w:val="20"/>
        </w:rPr>
      </w:pPr>
      <w:r w:rsidRPr="008925DD">
        <w:rPr>
          <w:rFonts w:asciiTheme="majorHAnsi" w:hAnsiTheme="majorHAnsi" w:cstheme="majorHAnsi"/>
          <w:sz w:val="20"/>
          <w:szCs w:val="20"/>
        </w:rPr>
        <w:t>Most holy Christian wells suggest a divine power being the cure of ailments that people experience at the pools of their chosen saint. But a curious factor of the composition of the waters found at</w:t>
      </w:r>
      <w:r w:rsidR="00C95BCB">
        <w:rPr>
          <w:rFonts w:asciiTheme="majorHAnsi" w:hAnsiTheme="majorHAnsi" w:cstheme="majorHAnsi"/>
          <w:sz w:val="20"/>
          <w:szCs w:val="20"/>
        </w:rPr>
        <w:t xml:space="preserve"> some</w:t>
      </w:r>
      <w:r w:rsidRPr="008925DD">
        <w:rPr>
          <w:rFonts w:asciiTheme="majorHAnsi" w:hAnsiTheme="majorHAnsi" w:cstheme="majorHAnsi"/>
          <w:sz w:val="20"/>
          <w:szCs w:val="20"/>
        </w:rPr>
        <w:t xml:space="preserve"> </w:t>
      </w:r>
      <w:r w:rsidR="00C95BCB">
        <w:rPr>
          <w:rFonts w:asciiTheme="majorHAnsi" w:hAnsiTheme="majorHAnsi" w:cstheme="majorHAnsi"/>
          <w:sz w:val="20"/>
          <w:szCs w:val="20"/>
        </w:rPr>
        <w:t>holy</w:t>
      </w:r>
      <w:r w:rsidRPr="008925DD">
        <w:rPr>
          <w:rFonts w:asciiTheme="majorHAnsi" w:hAnsiTheme="majorHAnsi" w:cstheme="majorHAnsi"/>
          <w:sz w:val="20"/>
          <w:szCs w:val="20"/>
        </w:rPr>
        <w:t xml:space="preserve"> wells seems to show an abundance of minerals that </w:t>
      </w:r>
      <w:proofErr w:type="gramStart"/>
      <w:r w:rsidRPr="008925DD">
        <w:rPr>
          <w:rFonts w:asciiTheme="majorHAnsi" w:hAnsiTheme="majorHAnsi" w:cstheme="majorHAnsi"/>
          <w:sz w:val="20"/>
          <w:szCs w:val="20"/>
        </w:rPr>
        <w:t>are usually found</w:t>
      </w:r>
      <w:proofErr w:type="gramEnd"/>
      <w:r w:rsidRPr="008925DD">
        <w:rPr>
          <w:rFonts w:asciiTheme="majorHAnsi" w:hAnsiTheme="majorHAnsi" w:cstheme="majorHAnsi"/>
          <w:sz w:val="20"/>
          <w:szCs w:val="20"/>
        </w:rPr>
        <w:t xml:space="preserve"> in underground water spring, like the hot springs of other cultures and areas.</w:t>
      </w:r>
      <w:r w:rsidRPr="008925DD">
        <w:rPr>
          <w:rStyle w:val="FootnoteReference"/>
          <w:rFonts w:asciiTheme="majorHAnsi" w:hAnsiTheme="majorHAnsi" w:cstheme="majorHAnsi"/>
          <w:sz w:val="20"/>
          <w:szCs w:val="20"/>
        </w:rPr>
        <w:footnoteReference w:id="32"/>
      </w:r>
      <w:r w:rsidRPr="008925DD">
        <w:rPr>
          <w:rFonts w:asciiTheme="majorHAnsi" w:hAnsiTheme="majorHAnsi" w:cstheme="majorHAnsi"/>
          <w:sz w:val="20"/>
          <w:szCs w:val="20"/>
        </w:rPr>
        <w:t xml:space="preserve"> In the case of Winefride’s well there is an abundance of Iron</w:t>
      </w:r>
      <w:r w:rsidR="00590051" w:rsidRPr="008925DD">
        <w:rPr>
          <w:rFonts w:asciiTheme="majorHAnsi" w:hAnsiTheme="majorHAnsi" w:cstheme="majorHAnsi"/>
          <w:sz w:val="20"/>
          <w:szCs w:val="20"/>
        </w:rPr>
        <w:t xml:space="preserve"> salts and calcium</w:t>
      </w:r>
      <w:r w:rsidRPr="008925DD">
        <w:rPr>
          <w:rFonts w:asciiTheme="majorHAnsi" w:hAnsiTheme="majorHAnsi" w:cstheme="majorHAnsi"/>
          <w:sz w:val="20"/>
          <w:szCs w:val="20"/>
        </w:rPr>
        <w:t>. The Iron stains the rocks red, which attests to the myth of the rocks being stained with the blood of the saint herself.</w:t>
      </w:r>
      <w:r w:rsidRPr="008925DD">
        <w:rPr>
          <w:rStyle w:val="FootnoteReference"/>
          <w:rFonts w:asciiTheme="majorHAnsi" w:hAnsiTheme="majorHAnsi" w:cstheme="majorHAnsi"/>
          <w:sz w:val="20"/>
          <w:szCs w:val="20"/>
        </w:rPr>
        <w:footnoteReference w:id="33"/>
      </w:r>
      <w:r w:rsidRPr="008925DD">
        <w:rPr>
          <w:rFonts w:asciiTheme="majorHAnsi" w:hAnsiTheme="majorHAnsi" w:cstheme="majorHAnsi"/>
          <w:sz w:val="20"/>
          <w:szCs w:val="20"/>
        </w:rPr>
        <w:t xml:space="preserve"> The Iron in the water is generally thought to be associated with the treatment of; anaemia, tuberculosis, nervous conditions, mental fatigue.</w:t>
      </w:r>
      <w:r w:rsidRPr="008925DD">
        <w:rPr>
          <w:rStyle w:val="FootnoteReference"/>
          <w:rFonts w:asciiTheme="majorHAnsi" w:hAnsiTheme="majorHAnsi" w:cstheme="majorHAnsi"/>
          <w:sz w:val="20"/>
          <w:szCs w:val="20"/>
        </w:rPr>
        <w:footnoteReference w:id="34"/>
      </w:r>
      <w:r w:rsidRPr="008925DD">
        <w:rPr>
          <w:rFonts w:asciiTheme="majorHAnsi" w:hAnsiTheme="majorHAnsi" w:cstheme="majorHAnsi"/>
          <w:sz w:val="20"/>
          <w:szCs w:val="20"/>
        </w:rPr>
        <w:t xml:space="preserve"> W</w:t>
      </w:r>
      <w:r w:rsidR="00E00384">
        <w:rPr>
          <w:rFonts w:asciiTheme="majorHAnsi" w:hAnsiTheme="majorHAnsi" w:cstheme="majorHAnsi"/>
          <w:sz w:val="20"/>
          <w:szCs w:val="20"/>
        </w:rPr>
        <w:t>hile</w:t>
      </w:r>
      <w:r w:rsidRPr="008925DD">
        <w:rPr>
          <w:rFonts w:asciiTheme="majorHAnsi" w:hAnsiTheme="majorHAnsi" w:cstheme="majorHAnsi"/>
          <w:sz w:val="20"/>
          <w:szCs w:val="20"/>
        </w:rPr>
        <w:t xml:space="preserve"> this may suggest a scientific medical reason for the curing of ailments, the content is in fact negligible as a direct cure for the miracles that have reputedly been performed there.</w:t>
      </w:r>
    </w:p>
    <w:p w14:paraId="3101552A" w14:textId="5F8E76B7" w:rsidR="00EC6011" w:rsidRPr="008925DD" w:rsidRDefault="00EC6011" w:rsidP="0032432D">
      <w:pPr>
        <w:ind w:firstLine="720"/>
        <w:rPr>
          <w:rFonts w:asciiTheme="majorHAnsi" w:hAnsiTheme="majorHAnsi" w:cstheme="majorHAnsi"/>
          <w:sz w:val="20"/>
          <w:szCs w:val="20"/>
          <w:shd w:val="clear" w:color="auto" w:fill="FFFFFF"/>
        </w:rPr>
      </w:pPr>
      <w:r w:rsidRPr="008925DD">
        <w:rPr>
          <w:rFonts w:asciiTheme="majorHAnsi" w:hAnsiTheme="majorHAnsi" w:cstheme="majorHAnsi"/>
          <w:sz w:val="20"/>
          <w:szCs w:val="20"/>
        </w:rPr>
        <w:t>During the age of conversion of the British Isles, also known as the ‘age of saints,’ there is evidence of appropriation of Pagan sites by the Christian populace.</w:t>
      </w:r>
      <w:r w:rsidRPr="008925DD">
        <w:rPr>
          <w:rStyle w:val="FootnoteReference"/>
          <w:rFonts w:asciiTheme="majorHAnsi" w:hAnsiTheme="majorHAnsi" w:cstheme="majorHAnsi"/>
          <w:sz w:val="20"/>
          <w:szCs w:val="20"/>
        </w:rPr>
        <w:footnoteReference w:id="35"/>
      </w:r>
      <w:r w:rsidRPr="008925DD">
        <w:rPr>
          <w:rFonts w:asciiTheme="majorHAnsi" w:hAnsiTheme="majorHAnsi" w:cstheme="majorHAnsi"/>
          <w:sz w:val="20"/>
          <w:szCs w:val="20"/>
        </w:rPr>
        <w:t xml:space="preserve"> The placements of holy wells and other religious buildings seemed to coincide with earlier pagan sites, an aggressive conversion tactic.</w:t>
      </w:r>
      <w:r w:rsidRPr="008925DD">
        <w:rPr>
          <w:rStyle w:val="FootnoteReference"/>
          <w:rFonts w:asciiTheme="majorHAnsi" w:hAnsiTheme="majorHAnsi" w:cstheme="majorHAnsi"/>
          <w:sz w:val="20"/>
          <w:szCs w:val="20"/>
        </w:rPr>
        <w:footnoteReference w:id="36"/>
      </w:r>
      <w:r w:rsidRPr="008925DD">
        <w:rPr>
          <w:rFonts w:asciiTheme="majorHAnsi" w:hAnsiTheme="majorHAnsi" w:cstheme="majorHAnsi"/>
          <w:sz w:val="20"/>
          <w:szCs w:val="20"/>
        </w:rPr>
        <w:t xml:space="preserve"> This leaves the new Christian sites being associated with new key figures, other than </w:t>
      </w:r>
      <w:r w:rsidR="00E00384">
        <w:rPr>
          <w:rFonts w:asciiTheme="majorHAnsi" w:hAnsiTheme="majorHAnsi" w:cstheme="majorHAnsi"/>
          <w:sz w:val="20"/>
          <w:szCs w:val="20"/>
        </w:rPr>
        <w:t>purely</w:t>
      </w:r>
      <w:r w:rsidRPr="008925DD">
        <w:rPr>
          <w:rFonts w:asciiTheme="majorHAnsi" w:hAnsiTheme="majorHAnsi" w:cstheme="majorHAnsi"/>
          <w:sz w:val="20"/>
          <w:szCs w:val="20"/>
        </w:rPr>
        <w:t xml:space="preserve"> pagan </w:t>
      </w:r>
      <w:r w:rsidR="00E00384">
        <w:rPr>
          <w:rFonts w:asciiTheme="majorHAnsi" w:hAnsiTheme="majorHAnsi" w:cstheme="majorHAnsi"/>
          <w:sz w:val="20"/>
          <w:szCs w:val="20"/>
        </w:rPr>
        <w:t>gods</w:t>
      </w:r>
      <w:r w:rsidRPr="008925DD">
        <w:rPr>
          <w:rFonts w:asciiTheme="majorHAnsi" w:hAnsiTheme="majorHAnsi" w:cstheme="majorHAnsi"/>
          <w:sz w:val="20"/>
          <w:szCs w:val="20"/>
        </w:rPr>
        <w:t xml:space="preserve">, </w:t>
      </w:r>
      <w:r w:rsidR="003B1CF9" w:rsidRPr="008925DD">
        <w:rPr>
          <w:rFonts w:asciiTheme="majorHAnsi" w:hAnsiTheme="majorHAnsi" w:cstheme="majorHAnsi"/>
          <w:sz w:val="20"/>
          <w:szCs w:val="20"/>
        </w:rPr>
        <w:t>it is theorised</w:t>
      </w:r>
      <w:r w:rsidRPr="008925DD">
        <w:rPr>
          <w:rFonts w:asciiTheme="majorHAnsi" w:hAnsiTheme="majorHAnsi" w:cstheme="majorHAnsi"/>
          <w:sz w:val="20"/>
          <w:szCs w:val="20"/>
        </w:rPr>
        <w:t xml:space="preserve"> that these pagan attributes bled down into their appropriated Christian figures</w:t>
      </w:r>
      <w:r w:rsidR="003B1CF9" w:rsidRPr="008925DD">
        <w:rPr>
          <w:rFonts w:asciiTheme="majorHAnsi" w:hAnsiTheme="majorHAnsi" w:cstheme="majorHAnsi"/>
          <w:sz w:val="20"/>
          <w:szCs w:val="20"/>
        </w:rPr>
        <w:t>, which could explain the connection to the Pagan head cult</w:t>
      </w:r>
      <w:r w:rsidRPr="008925DD">
        <w:rPr>
          <w:rFonts w:asciiTheme="majorHAnsi" w:hAnsiTheme="majorHAnsi" w:cstheme="majorHAnsi"/>
          <w:sz w:val="20"/>
          <w:szCs w:val="20"/>
        </w:rPr>
        <w:t>.</w:t>
      </w:r>
      <w:r w:rsidRPr="008925DD">
        <w:rPr>
          <w:rStyle w:val="FootnoteReference"/>
          <w:rFonts w:asciiTheme="majorHAnsi" w:hAnsiTheme="majorHAnsi" w:cstheme="majorHAnsi"/>
          <w:sz w:val="20"/>
          <w:szCs w:val="20"/>
        </w:rPr>
        <w:footnoteReference w:id="37"/>
      </w:r>
      <w:r w:rsidRPr="008925DD">
        <w:rPr>
          <w:rFonts w:asciiTheme="majorHAnsi" w:hAnsiTheme="majorHAnsi" w:cstheme="majorHAnsi"/>
          <w:sz w:val="20"/>
          <w:szCs w:val="20"/>
        </w:rPr>
        <w:t xml:space="preserve"> It is though</w:t>
      </w:r>
      <w:r w:rsidR="00E00384">
        <w:rPr>
          <w:rFonts w:asciiTheme="majorHAnsi" w:hAnsiTheme="majorHAnsi" w:cstheme="majorHAnsi"/>
          <w:sz w:val="20"/>
          <w:szCs w:val="20"/>
        </w:rPr>
        <w:t>t</w:t>
      </w:r>
      <w:r w:rsidRPr="008925DD">
        <w:rPr>
          <w:rFonts w:asciiTheme="majorHAnsi" w:hAnsiTheme="majorHAnsi" w:cstheme="majorHAnsi"/>
          <w:sz w:val="20"/>
          <w:szCs w:val="20"/>
        </w:rPr>
        <w:t xml:space="preserve"> that Winefride’s well, like other early Christian locations, has a much older pagan origins instead of just appearing in the 7</w:t>
      </w:r>
      <w:r w:rsidRPr="008925DD">
        <w:rPr>
          <w:rFonts w:asciiTheme="majorHAnsi" w:hAnsiTheme="majorHAnsi" w:cstheme="majorHAnsi"/>
          <w:sz w:val="20"/>
          <w:szCs w:val="20"/>
          <w:vertAlign w:val="superscript"/>
        </w:rPr>
        <w:t>th</w:t>
      </w:r>
      <w:r w:rsidRPr="008925DD">
        <w:rPr>
          <w:rFonts w:asciiTheme="majorHAnsi" w:hAnsiTheme="majorHAnsi" w:cstheme="majorHAnsi"/>
          <w:sz w:val="20"/>
          <w:szCs w:val="20"/>
        </w:rPr>
        <w:t xml:space="preserve"> century as the </w:t>
      </w:r>
      <w:r w:rsidRPr="008925DD">
        <w:rPr>
          <w:rFonts w:asciiTheme="majorHAnsi" w:hAnsiTheme="majorHAnsi" w:cstheme="majorHAnsi"/>
          <w:i/>
          <w:iCs/>
          <w:sz w:val="20"/>
          <w:szCs w:val="20"/>
        </w:rPr>
        <w:t>vitae</w:t>
      </w:r>
      <w:r w:rsidRPr="008925DD">
        <w:rPr>
          <w:rFonts w:asciiTheme="majorHAnsi" w:hAnsiTheme="majorHAnsi" w:cstheme="majorHAnsi"/>
          <w:sz w:val="20"/>
          <w:szCs w:val="20"/>
        </w:rPr>
        <w:t xml:space="preserve"> suggests.</w:t>
      </w:r>
      <w:r w:rsidRPr="008925DD">
        <w:rPr>
          <w:rStyle w:val="FootnoteReference"/>
          <w:rFonts w:asciiTheme="majorHAnsi" w:hAnsiTheme="majorHAnsi" w:cstheme="majorHAnsi"/>
          <w:sz w:val="20"/>
          <w:szCs w:val="20"/>
        </w:rPr>
        <w:footnoteReference w:id="38"/>
      </w:r>
      <w:r w:rsidRPr="008925DD">
        <w:rPr>
          <w:rFonts w:asciiTheme="majorHAnsi" w:hAnsiTheme="majorHAnsi" w:cstheme="majorHAnsi"/>
          <w:sz w:val="20"/>
          <w:szCs w:val="20"/>
          <w:shd w:val="clear" w:color="auto" w:fill="FFFFFF"/>
        </w:rPr>
        <w:t xml:space="preserve"> Winefride is also speculated by some to be a link to non-Christian pagan origins, although without concrete evidence it is merely theorised. The importance of the head </w:t>
      </w:r>
      <w:r w:rsidR="00C95BCB" w:rsidRPr="008925DD">
        <w:rPr>
          <w:rFonts w:asciiTheme="majorHAnsi" w:hAnsiTheme="majorHAnsi" w:cstheme="majorHAnsi"/>
          <w:sz w:val="20"/>
          <w:szCs w:val="20"/>
          <w:shd w:val="clear" w:color="auto" w:fill="FFFFFF"/>
        </w:rPr>
        <w:t>holding</w:t>
      </w:r>
      <w:r w:rsidRPr="008925DD">
        <w:rPr>
          <w:rFonts w:asciiTheme="majorHAnsi" w:hAnsiTheme="majorHAnsi" w:cstheme="majorHAnsi"/>
          <w:sz w:val="20"/>
          <w:szCs w:val="20"/>
          <w:shd w:val="clear" w:color="auto" w:fill="FFFFFF"/>
        </w:rPr>
        <w:t xml:space="preserve"> the soul of a human is </w:t>
      </w:r>
      <w:r w:rsidR="00E00384">
        <w:rPr>
          <w:rFonts w:asciiTheme="majorHAnsi" w:hAnsiTheme="majorHAnsi" w:cstheme="majorHAnsi"/>
          <w:sz w:val="20"/>
          <w:szCs w:val="20"/>
          <w:shd w:val="clear" w:color="auto" w:fill="FFFFFF"/>
        </w:rPr>
        <w:t>thought to be a</w:t>
      </w:r>
      <w:r w:rsidRPr="008925DD">
        <w:rPr>
          <w:rFonts w:asciiTheme="majorHAnsi" w:hAnsiTheme="majorHAnsi" w:cstheme="majorHAnsi"/>
          <w:sz w:val="20"/>
          <w:szCs w:val="20"/>
          <w:shd w:val="clear" w:color="auto" w:fill="FFFFFF"/>
        </w:rPr>
        <w:t xml:space="preserve"> Celtic belief and</w:t>
      </w:r>
      <w:r w:rsidR="00E00384">
        <w:rPr>
          <w:rFonts w:asciiTheme="majorHAnsi" w:hAnsiTheme="majorHAnsi" w:cstheme="majorHAnsi"/>
          <w:sz w:val="20"/>
          <w:szCs w:val="20"/>
          <w:shd w:val="clear" w:color="auto" w:fill="FFFFFF"/>
        </w:rPr>
        <w:t xml:space="preserve"> we find it is</w:t>
      </w:r>
      <w:r w:rsidRPr="008925DD">
        <w:rPr>
          <w:rFonts w:asciiTheme="majorHAnsi" w:hAnsiTheme="majorHAnsi" w:cstheme="majorHAnsi"/>
          <w:sz w:val="20"/>
          <w:szCs w:val="20"/>
          <w:shd w:val="clear" w:color="auto" w:fill="FFFFFF"/>
        </w:rPr>
        <w:t xml:space="preserve"> a common theme in Celtic Paganism, and just like some other saints’ wells, beheading is </w:t>
      </w:r>
      <w:r w:rsidR="00C95BCB" w:rsidRPr="008925DD">
        <w:rPr>
          <w:rFonts w:asciiTheme="majorHAnsi" w:hAnsiTheme="majorHAnsi" w:cstheme="majorHAnsi"/>
          <w:sz w:val="20"/>
          <w:szCs w:val="20"/>
          <w:shd w:val="clear" w:color="auto" w:fill="FFFFFF"/>
        </w:rPr>
        <w:t xml:space="preserve">a crucial </w:t>
      </w:r>
      <w:proofErr w:type="gramStart"/>
      <w:r w:rsidR="00C95BCB">
        <w:rPr>
          <w:rFonts w:asciiTheme="majorHAnsi" w:hAnsiTheme="majorHAnsi" w:cstheme="majorHAnsi"/>
          <w:sz w:val="20"/>
          <w:szCs w:val="20"/>
          <w:shd w:val="clear" w:color="auto" w:fill="FFFFFF"/>
        </w:rPr>
        <w:t>component</w:t>
      </w:r>
      <w:proofErr w:type="gramEnd"/>
      <w:r w:rsidRPr="008925DD">
        <w:rPr>
          <w:rFonts w:asciiTheme="majorHAnsi" w:hAnsiTheme="majorHAnsi" w:cstheme="majorHAnsi"/>
          <w:sz w:val="20"/>
          <w:szCs w:val="20"/>
          <w:shd w:val="clear" w:color="auto" w:fill="FFFFFF"/>
        </w:rPr>
        <w:t xml:space="preserve"> in </w:t>
      </w:r>
      <w:r w:rsidR="00C95BCB">
        <w:rPr>
          <w:rFonts w:asciiTheme="majorHAnsi" w:hAnsiTheme="majorHAnsi" w:cstheme="majorHAnsi"/>
          <w:sz w:val="20"/>
          <w:szCs w:val="20"/>
          <w:shd w:val="clear" w:color="auto" w:fill="FFFFFF"/>
        </w:rPr>
        <w:t>The Saints’ Cult of Winefride</w:t>
      </w:r>
      <w:r w:rsidRPr="008925DD">
        <w:rPr>
          <w:rFonts w:asciiTheme="majorHAnsi" w:hAnsiTheme="majorHAnsi" w:cstheme="majorHAnsi"/>
          <w:sz w:val="20"/>
          <w:szCs w:val="20"/>
          <w:shd w:val="clear" w:color="auto" w:fill="FFFFFF"/>
        </w:rPr>
        <w:t>.</w:t>
      </w:r>
      <w:r w:rsidRPr="008925DD">
        <w:rPr>
          <w:rStyle w:val="FootnoteReference"/>
          <w:rFonts w:asciiTheme="majorHAnsi" w:hAnsiTheme="majorHAnsi" w:cstheme="majorHAnsi"/>
          <w:sz w:val="20"/>
          <w:szCs w:val="20"/>
          <w:shd w:val="clear" w:color="auto" w:fill="FFFFFF"/>
        </w:rPr>
        <w:footnoteReference w:id="39"/>
      </w:r>
    </w:p>
    <w:p w14:paraId="0D9FDEEE" w14:textId="46923C89" w:rsidR="00BF6183" w:rsidRPr="00EB4139" w:rsidRDefault="00E16B44" w:rsidP="00E16B44">
      <w:pPr>
        <w:ind w:firstLine="720"/>
        <w:rPr>
          <w:rFonts w:asciiTheme="majorHAnsi" w:hAnsiTheme="majorHAnsi" w:cstheme="majorHAnsi"/>
          <w:sz w:val="20"/>
          <w:szCs w:val="20"/>
          <w:shd w:val="clear" w:color="auto" w:fill="FFFFFF"/>
        </w:rPr>
      </w:pPr>
      <w:r>
        <w:rPr>
          <w:rFonts w:asciiTheme="majorHAnsi" w:hAnsiTheme="majorHAnsi" w:cstheme="majorHAnsi"/>
          <w:sz w:val="20"/>
          <w:szCs w:val="20"/>
          <w:shd w:val="clear" w:color="auto" w:fill="FFFFFF"/>
        </w:rPr>
        <w:t xml:space="preserve">Research suggests that </w:t>
      </w:r>
      <w:r w:rsidR="00EC6011" w:rsidRPr="008925DD">
        <w:rPr>
          <w:rFonts w:asciiTheme="majorHAnsi" w:hAnsiTheme="majorHAnsi" w:cstheme="majorHAnsi"/>
          <w:sz w:val="20"/>
          <w:szCs w:val="20"/>
          <w:shd w:val="clear" w:color="auto" w:fill="FFFFFF"/>
        </w:rPr>
        <w:t>from its</w:t>
      </w:r>
      <w:r>
        <w:rPr>
          <w:rFonts w:asciiTheme="majorHAnsi" w:hAnsiTheme="majorHAnsi" w:cstheme="majorHAnsi"/>
          <w:sz w:val="20"/>
          <w:szCs w:val="20"/>
          <w:shd w:val="clear" w:color="auto" w:fill="FFFFFF"/>
        </w:rPr>
        <w:t xml:space="preserve"> written historical</w:t>
      </w:r>
      <w:r w:rsidR="00EC6011" w:rsidRPr="008925DD">
        <w:rPr>
          <w:rFonts w:asciiTheme="majorHAnsi" w:hAnsiTheme="majorHAnsi" w:cstheme="majorHAnsi"/>
          <w:sz w:val="20"/>
          <w:szCs w:val="20"/>
          <w:shd w:val="clear" w:color="auto" w:fill="FFFFFF"/>
        </w:rPr>
        <w:t xml:space="preserve"> introduction as a site of Christian importance there is re</w:t>
      </w:r>
      <w:r>
        <w:rPr>
          <w:rFonts w:asciiTheme="majorHAnsi" w:hAnsiTheme="majorHAnsi" w:cstheme="majorHAnsi"/>
          <w:sz w:val="20"/>
          <w:szCs w:val="20"/>
          <w:shd w:val="clear" w:color="auto" w:fill="FFFFFF"/>
        </w:rPr>
        <w:t>corded</w:t>
      </w:r>
      <w:r w:rsidR="00EC6011" w:rsidRPr="008925DD">
        <w:rPr>
          <w:rFonts w:asciiTheme="majorHAnsi" w:hAnsiTheme="majorHAnsi" w:cstheme="majorHAnsi"/>
          <w:sz w:val="20"/>
          <w:szCs w:val="20"/>
          <w:shd w:val="clear" w:color="auto" w:fill="FFFFFF"/>
        </w:rPr>
        <w:t xml:space="preserve"> to be a constant stream of pilgrims, both the common people, and people of nobility and wealth.</w:t>
      </w:r>
      <w:r w:rsidR="003B1CF9" w:rsidRPr="008925DD">
        <w:rPr>
          <w:rFonts w:asciiTheme="majorHAnsi" w:hAnsiTheme="majorHAnsi" w:cstheme="majorHAnsi"/>
          <w:sz w:val="20"/>
          <w:szCs w:val="20"/>
          <w:shd w:val="clear" w:color="auto" w:fill="FFFFFF"/>
        </w:rPr>
        <w:t xml:space="preserve"> T</w:t>
      </w:r>
      <w:r w:rsidR="00EC6011" w:rsidRPr="008925DD">
        <w:rPr>
          <w:rFonts w:asciiTheme="majorHAnsi" w:hAnsiTheme="majorHAnsi" w:cstheme="majorHAnsi"/>
          <w:sz w:val="20"/>
          <w:szCs w:val="20"/>
          <w:shd w:val="clear" w:color="auto" w:fill="FFFFFF"/>
        </w:rPr>
        <w:t>his site is reputedly the oldest continually visited pilgrim site in Britain, it is recorded to be visited for 1,300 years with a possibility of being</w:t>
      </w:r>
      <w:r>
        <w:rPr>
          <w:rFonts w:asciiTheme="majorHAnsi" w:hAnsiTheme="majorHAnsi" w:cstheme="majorHAnsi"/>
          <w:sz w:val="20"/>
          <w:szCs w:val="20"/>
          <w:shd w:val="clear" w:color="auto" w:fill="FFFFFF"/>
        </w:rPr>
        <w:t xml:space="preserve"> a</w:t>
      </w:r>
      <w:r w:rsidR="00EC6011" w:rsidRPr="008925DD">
        <w:rPr>
          <w:rFonts w:asciiTheme="majorHAnsi" w:hAnsiTheme="majorHAnsi" w:cstheme="majorHAnsi"/>
          <w:sz w:val="20"/>
          <w:szCs w:val="20"/>
          <w:shd w:val="clear" w:color="auto" w:fill="FFFFFF"/>
        </w:rPr>
        <w:t xml:space="preserve"> longer unrecorded</w:t>
      </w:r>
      <w:r>
        <w:rPr>
          <w:rFonts w:asciiTheme="majorHAnsi" w:hAnsiTheme="majorHAnsi" w:cstheme="majorHAnsi"/>
          <w:sz w:val="20"/>
          <w:szCs w:val="20"/>
          <w:shd w:val="clear" w:color="auto" w:fill="FFFFFF"/>
        </w:rPr>
        <w:t xml:space="preserve"> </w:t>
      </w:r>
      <w:r w:rsidR="00EC6011" w:rsidRPr="008925DD">
        <w:rPr>
          <w:rFonts w:asciiTheme="majorHAnsi" w:hAnsiTheme="majorHAnsi" w:cstheme="majorHAnsi"/>
          <w:sz w:val="20"/>
          <w:szCs w:val="20"/>
          <w:shd w:val="clear" w:color="auto" w:fill="FFFFFF"/>
        </w:rPr>
        <w:t>pilgrimage site.</w:t>
      </w:r>
      <w:r w:rsidR="00EC6011" w:rsidRPr="008925DD">
        <w:rPr>
          <w:rStyle w:val="FootnoteReference"/>
          <w:rFonts w:asciiTheme="majorHAnsi" w:hAnsiTheme="majorHAnsi" w:cstheme="majorHAnsi"/>
          <w:sz w:val="20"/>
          <w:szCs w:val="20"/>
          <w:shd w:val="clear" w:color="auto" w:fill="FFFFFF"/>
        </w:rPr>
        <w:footnoteReference w:id="40"/>
      </w:r>
      <w:r w:rsidR="00EC6011" w:rsidRPr="008925DD">
        <w:rPr>
          <w:rFonts w:asciiTheme="majorHAnsi" w:hAnsiTheme="majorHAnsi" w:cstheme="majorHAnsi"/>
          <w:sz w:val="20"/>
          <w:szCs w:val="20"/>
          <w:shd w:val="clear" w:color="auto" w:fill="FFFFFF"/>
        </w:rPr>
        <w:t xml:space="preserve"> This site is considered one of the seven wonders </w:t>
      </w:r>
      <w:r w:rsidR="0032432D" w:rsidRPr="008925DD">
        <w:rPr>
          <w:rFonts w:asciiTheme="majorHAnsi" w:hAnsiTheme="majorHAnsi" w:cstheme="majorHAnsi"/>
          <w:sz w:val="20"/>
          <w:szCs w:val="20"/>
          <w:shd w:val="clear" w:color="auto" w:fill="FFFFFF"/>
        </w:rPr>
        <w:t xml:space="preserve">or Lourdes </w:t>
      </w:r>
      <w:r w:rsidR="00EC6011" w:rsidRPr="008925DD">
        <w:rPr>
          <w:rFonts w:asciiTheme="majorHAnsi" w:hAnsiTheme="majorHAnsi" w:cstheme="majorHAnsi"/>
          <w:sz w:val="20"/>
          <w:szCs w:val="20"/>
          <w:shd w:val="clear" w:color="auto" w:fill="FFFFFF"/>
        </w:rPr>
        <w:t>of Wales.</w:t>
      </w:r>
      <w:r w:rsidR="00EC6011" w:rsidRPr="008925DD">
        <w:rPr>
          <w:rStyle w:val="FootnoteReference"/>
          <w:rFonts w:asciiTheme="majorHAnsi" w:hAnsiTheme="majorHAnsi" w:cstheme="majorHAnsi"/>
          <w:sz w:val="20"/>
          <w:szCs w:val="20"/>
          <w:shd w:val="clear" w:color="auto" w:fill="FFFFFF"/>
        </w:rPr>
        <w:footnoteReference w:id="41"/>
      </w:r>
      <w:r w:rsidR="00EC6011" w:rsidRPr="008925DD">
        <w:rPr>
          <w:rFonts w:asciiTheme="majorHAnsi" w:hAnsiTheme="majorHAnsi" w:cstheme="majorHAnsi"/>
          <w:sz w:val="20"/>
          <w:szCs w:val="20"/>
          <w:shd w:val="clear" w:color="auto" w:fill="FFFFFF"/>
        </w:rPr>
        <w:t xml:space="preserve"> </w:t>
      </w:r>
      <w:r w:rsidR="00EC6011" w:rsidRPr="008925DD">
        <w:rPr>
          <w:rFonts w:asciiTheme="majorHAnsi" w:hAnsiTheme="majorHAnsi" w:cstheme="majorHAnsi"/>
          <w:sz w:val="20"/>
          <w:szCs w:val="20"/>
        </w:rPr>
        <w:t xml:space="preserve">The changes to the site of the well are many due to its age, one of the biggest change was the exhumation of the remains of the saint to the English town of Shrewsbury in 1137/1138, </w:t>
      </w:r>
      <w:r>
        <w:rPr>
          <w:rFonts w:asciiTheme="majorHAnsi" w:hAnsiTheme="majorHAnsi" w:cstheme="majorHAnsi"/>
          <w:sz w:val="20"/>
          <w:szCs w:val="20"/>
        </w:rPr>
        <w:t>to</w:t>
      </w:r>
      <w:r w:rsidR="00EC6011" w:rsidRPr="008925DD">
        <w:rPr>
          <w:rFonts w:asciiTheme="majorHAnsi" w:hAnsiTheme="majorHAnsi" w:cstheme="majorHAnsi"/>
          <w:sz w:val="20"/>
          <w:szCs w:val="20"/>
        </w:rPr>
        <w:t xml:space="preserve"> the abbey at Shrewsbury.</w:t>
      </w:r>
      <w:r w:rsidR="00EC6011" w:rsidRPr="008925DD">
        <w:rPr>
          <w:rStyle w:val="FootnoteReference"/>
          <w:rFonts w:asciiTheme="majorHAnsi" w:hAnsiTheme="majorHAnsi" w:cstheme="majorHAnsi"/>
          <w:sz w:val="20"/>
          <w:szCs w:val="20"/>
        </w:rPr>
        <w:footnoteReference w:id="42"/>
      </w:r>
      <w:r w:rsidR="00EC6011" w:rsidRPr="008925DD">
        <w:rPr>
          <w:rFonts w:asciiTheme="majorHAnsi" w:hAnsiTheme="majorHAnsi" w:cstheme="majorHAnsi"/>
          <w:sz w:val="20"/>
          <w:szCs w:val="20"/>
        </w:rPr>
        <w:t xml:space="preserve"> At this time it was met with backlash from the local Welsh community and the clergy, but after explaining it was the will of the church the locals eventually accepted.</w:t>
      </w:r>
      <w:r w:rsidR="003B1CF9" w:rsidRPr="008925DD">
        <w:rPr>
          <w:rFonts w:asciiTheme="majorHAnsi" w:hAnsiTheme="majorHAnsi" w:cstheme="majorHAnsi"/>
          <w:sz w:val="20"/>
          <w:szCs w:val="20"/>
        </w:rPr>
        <w:t xml:space="preserve"> </w:t>
      </w:r>
      <w:r w:rsidR="00EC6011" w:rsidRPr="008925DD">
        <w:rPr>
          <w:rFonts w:asciiTheme="majorHAnsi" w:hAnsiTheme="majorHAnsi" w:cstheme="majorHAnsi"/>
          <w:sz w:val="20"/>
          <w:szCs w:val="20"/>
        </w:rPr>
        <w:t>Although the remains of Winefride were removed from the site</w:t>
      </w:r>
      <w:r>
        <w:rPr>
          <w:rFonts w:asciiTheme="majorHAnsi" w:hAnsiTheme="majorHAnsi" w:cstheme="majorHAnsi"/>
          <w:sz w:val="20"/>
          <w:szCs w:val="20"/>
        </w:rPr>
        <w:t>,</w:t>
      </w:r>
      <w:r w:rsidR="00EC6011" w:rsidRPr="008925DD">
        <w:rPr>
          <w:rFonts w:asciiTheme="majorHAnsi" w:hAnsiTheme="majorHAnsi" w:cstheme="majorHAnsi"/>
          <w:sz w:val="20"/>
          <w:szCs w:val="20"/>
        </w:rPr>
        <w:t xml:space="preserve"> it</w:t>
      </w:r>
      <w:r>
        <w:rPr>
          <w:rFonts w:asciiTheme="majorHAnsi" w:hAnsiTheme="majorHAnsi" w:cstheme="majorHAnsi"/>
          <w:sz w:val="20"/>
          <w:szCs w:val="20"/>
        </w:rPr>
        <w:t xml:space="preserve"> seemingly</w:t>
      </w:r>
      <w:r w:rsidR="00EC6011" w:rsidRPr="008925DD">
        <w:rPr>
          <w:rFonts w:asciiTheme="majorHAnsi" w:hAnsiTheme="majorHAnsi" w:cstheme="majorHAnsi"/>
          <w:sz w:val="20"/>
          <w:szCs w:val="20"/>
        </w:rPr>
        <w:t xml:space="preserve"> did not affect the curative nature of the well</w:t>
      </w:r>
      <w:r>
        <w:rPr>
          <w:rFonts w:asciiTheme="majorHAnsi" w:hAnsiTheme="majorHAnsi" w:cstheme="majorHAnsi"/>
          <w:sz w:val="20"/>
          <w:szCs w:val="20"/>
        </w:rPr>
        <w:t>. The</w:t>
      </w:r>
      <w:r w:rsidR="00EC6011" w:rsidRPr="008925DD">
        <w:rPr>
          <w:rFonts w:asciiTheme="majorHAnsi" w:hAnsiTheme="majorHAnsi" w:cstheme="majorHAnsi"/>
          <w:sz w:val="20"/>
          <w:szCs w:val="20"/>
        </w:rPr>
        <w:t xml:space="preserve"> influx of pilgrims clearly backed up by the multitude of documents that span from </w:t>
      </w:r>
      <w:r>
        <w:rPr>
          <w:rFonts w:asciiTheme="majorHAnsi" w:hAnsiTheme="majorHAnsi" w:cstheme="majorHAnsi"/>
          <w:sz w:val="20"/>
          <w:szCs w:val="20"/>
        </w:rPr>
        <w:t>the removal of the saint did not affect its popularity</w:t>
      </w:r>
      <w:r w:rsidR="00EC6011" w:rsidRPr="008925DD">
        <w:rPr>
          <w:rFonts w:asciiTheme="majorHAnsi" w:hAnsiTheme="majorHAnsi" w:cstheme="majorHAnsi"/>
          <w:sz w:val="20"/>
          <w:szCs w:val="20"/>
        </w:rPr>
        <w:t xml:space="preserve">. In January 1917 the North Wales Chronicle and Advertiser reported that the spring's flow had ceased, due to </w:t>
      </w:r>
      <w:r w:rsidR="00EC6011" w:rsidRPr="008925DD">
        <w:rPr>
          <w:rFonts w:asciiTheme="majorHAnsi" w:hAnsiTheme="majorHAnsi" w:cstheme="majorHAnsi"/>
          <w:sz w:val="20"/>
          <w:szCs w:val="20"/>
        </w:rPr>
        <w:lastRenderedPageBreak/>
        <w:t>drainage works in the area, possibly for the first time since the wells rise to renown</w:t>
      </w:r>
      <w:r>
        <w:rPr>
          <w:rFonts w:asciiTheme="majorHAnsi" w:hAnsiTheme="majorHAnsi" w:cstheme="majorHAnsi"/>
          <w:sz w:val="20"/>
          <w:szCs w:val="20"/>
        </w:rPr>
        <w:t>, but due to the backlash of the people its water was restored to its former glory</w:t>
      </w:r>
      <w:r w:rsidR="00EC6011" w:rsidRPr="008925DD">
        <w:rPr>
          <w:rFonts w:asciiTheme="majorHAnsi" w:hAnsiTheme="majorHAnsi" w:cstheme="majorHAnsi"/>
          <w:color w:val="202122"/>
          <w:sz w:val="20"/>
          <w:szCs w:val="20"/>
          <w:shd w:val="clear" w:color="auto" w:fill="FFFFFF"/>
        </w:rPr>
        <w:t>.</w:t>
      </w:r>
      <w:r w:rsidR="00EC6011" w:rsidRPr="008925DD">
        <w:rPr>
          <w:rStyle w:val="FootnoteReference"/>
          <w:rFonts w:asciiTheme="majorHAnsi" w:hAnsiTheme="majorHAnsi" w:cstheme="majorHAnsi"/>
          <w:color w:val="202122"/>
          <w:sz w:val="20"/>
          <w:szCs w:val="20"/>
          <w:shd w:val="clear" w:color="auto" w:fill="FFFFFF"/>
        </w:rPr>
        <w:footnoteReference w:id="43"/>
      </w:r>
      <w:r w:rsidR="00EC6011" w:rsidRPr="008925DD">
        <w:rPr>
          <w:rFonts w:asciiTheme="majorHAnsi" w:hAnsiTheme="majorHAnsi" w:cstheme="majorHAnsi"/>
          <w:sz w:val="20"/>
          <w:szCs w:val="20"/>
        </w:rPr>
        <w:t xml:space="preserve"> To this day this site is visited continuously by people seeking divine cures for ailments that they possess, this tradition of seeking curative water to this day is still unbroken from the ancient cultures that followed the same logic.</w:t>
      </w:r>
      <w:bookmarkEnd w:id="0"/>
    </w:p>
    <w:bookmarkEnd w:id="1"/>
    <w:p w14:paraId="0E3A862D" w14:textId="77777777" w:rsidR="00E16B44" w:rsidRDefault="00E16B44" w:rsidP="00EC6011">
      <w:pPr>
        <w:jc w:val="center"/>
        <w:rPr>
          <w:sz w:val="44"/>
          <w:szCs w:val="44"/>
          <w:u w:val="single"/>
        </w:rPr>
      </w:pPr>
    </w:p>
    <w:p w14:paraId="2D234780" w14:textId="77777777" w:rsidR="00E16B44" w:rsidRDefault="00E16B44" w:rsidP="00EC6011">
      <w:pPr>
        <w:jc w:val="center"/>
        <w:rPr>
          <w:sz w:val="44"/>
          <w:szCs w:val="44"/>
          <w:u w:val="single"/>
        </w:rPr>
      </w:pPr>
    </w:p>
    <w:p w14:paraId="2A9A92D5" w14:textId="77777777" w:rsidR="00E16B44" w:rsidRDefault="00E16B44" w:rsidP="00EC6011">
      <w:pPr>
        <w:jc w:val="center"/>
        <w:rPr>
          <w:sz w:val="44"/>
          <w:szCs w:val="44"/>
          <w:u w:val="single"/>
        </w:rPr>
      </w:pPr>
    </w:p>
    <w:p w14:paraId="1D3C3A59" w14:textId="77777777" w:rsidR="00E16B44" w:rsidRDefault="00E16B44" w:rsidP="00EC6011">
      <w:pPr>
        <w:jc w:val="center"/>
        <w:rPr>
          <w:sz w:val="44"/>
          <w:szCs w:val="44"/>
          <w:u w:val="single"/>
        </w:rPr>
      </w:pPr>
    </w:p>
    <w:p w14:paraId="04460C87" w14:textId="77777777" w:rsidR="00E16B44" w:rsidRDefault="00E16B44" w:rsidP="00EC6011">
      <w:pPr>
        <w:jc w:val="center"/>
        <w:rPr>
          <w:sz w:val="44"/>
          <w:szCs w:val="44"/>
          <w:u w:val="single"/>
        </w:rPr>
      </w:pPr>
    </w:p>
    <w:p w14:paraId="5EE4E662" w14:textId="77777777" w:rsidR="00E16B44" w:rsidRDefault="00E16B44" w:rsidP="00EC6011">
      <w:pPr>
        <w:jc w:val="center"/>
        <w:rPr>
          <w:sz w:val="44"/>
          <w:szCs w:val="44"/>
          <w:u w:val="single"/>
        </w:rPr>
      </w:pPr>
    </w:p>
    <w:p w14:paraId="27A9F14E" w14:textId="77777777" w:rsidR="00E16B44" w:rsidRDefault="00E16B44" w:rsidP="00EC6011">
      <w:pPr>
        <w:jc w:val="center"/>
        <w:rPr>
          <w:sz w:val="44"/>
          <w:szCs w:val="44"/>
          <w:u w:val="single"/>
        </w:rPr>
      </w:pPr>
    </w:p>
    <w:p w14:paraId="006ABB52" w14:textId="77777777" w:rsidR="00E16B44" w:rsidRDefault="00E16B44" w:rsidP="00EC6011">
      <w:pPr>
        <w:jc w:val="center"/>
        <w:rPr>
          <w:sz w:val="44"/>
          <w:szCs w:val="44"/>
          <w:u w:val="single"/>
        </w:rPr>
      </w:pPr>
    </w:p>
    <w:p w14:paraId="4AD75DEE" w14:textId="77777777" w:rsidR="00E16B44" w:rsidRDefault="00E16B44" w:rsidP="00EC6011">
      <w:pPr>
        <w:jc w:val="center"/>
        <w:rPr>
          <w:sz w:val="44"/>
          <w:szCs w:val="44"/>
          <w:u w:val="single"/>
        </w:rPr>
      </w:pPr>
    </w:p>
    <w:p w14:paraId="57EFC3A3" w14:textId="77777777" w:rsidR="00E16B44" w:rsidRDefault="00E16B44" w:rsidP="00EC6011">
      <w:pPr>
        <w:jc w:val="center"/>
        <w:rPr>
          <w:sz w:val="44"/>
          <w:szCs w:val="44"/>
          <w:u w:val="single"/>
        </w:rPr>
      </w:pPr>
    </w:p>
    <w:p w14:paraId="0EFE26DC" w14:textId="77777777" w:rsidR="00E16B44" w:rsidRDefault="00E16B44" w:rsidP="00EC6011">
      <w:pPr>
        <w:jc w:val="center"/>
        <w:rPr>
          <w:sz w:val="44"/>
          <w:szCs w:val="44"/>
          <w:u w:val="single"/>
        </w:rPr>
      </w:pPr>
    </w:p>
    <w:p w14:paraId="04BD4393" w14:textId="77777777" w:rsidR="00E16B44" w:rsidRDefault="00E16B44" w:rsidP="00EC6011">
      <w:pPr>
        <w:jc w:val="center"/>
        <w:rPr>
          <w:sz w:val="44"/>
          <w:szCs w:val="44"/>
          <w:u w:val="single"/>
        </w:rPr>
      </w:pPr>
    </w:p>
    <w:p w14:paraId="0DD7BDA8" w14:textId="77777777" w:rsidR="00E16B44" w:rsidRDefault="00E16B44" w:rsidP="00EC6011">
      <w:pPr>
        <w:jc w:val="center"/>
        <w:rPr>
          <w:sz w:val="44"/>
          <w:szCs w:val="44"/>
          <w:u w:val="single"/>
        </w:rPr>
      </w:pPr>
    </w:p>
    <w:p w14:paraId="3F1A9162" w14:textId="77777777" w:rsidR="00E16B44" w:rsidRDefault="00E16B44" w:rsidP="00EC6011">
      <w:pPr>
        <w:jc w:val="center"/>
        <w:rPr>
          <w:sz w:val="44"/>
          <w:szCs w:val="44"/>
          <w:u w:val="single"/>
        </w:rPr>
      </w:pPr>
    </w:p>
    <w:p w14:paraId="5FD3BBF3" w14:textId="77777777" w:rsidR="00E16B44" w:rsidRDefault="00E16B44" w:rsidP="00EC6011">
      <w:pPr>
        <w:jc w:val="center"/>
        <w:rPr>
          <w:sz w:val="44"/>
          <w:szCs w:val="44"/>
          <w:u w:val="single"/>
        </w:rPr>
      </w:pPr>
    </w:p>
    <w:p w14:paraId="60E2C5FB" w14:textId="77777777" w:rsidR="00E16B44" w:rsidRDefault="00E16B44" w:rsidP="00EC6011">
      <w:pPr>
        <w:jc w:val="center"/>
        <w:rPr>
          <w:sz w:val="44"/>
          <w:szCs w:val="44"/>
          <w:u w:val="single"/>
        </w:rPr>
      </w:pPr>
    </w:p>
    <w:p w14:paraId="3702250D" w14:textId="58DE3D4E" w:rsidR="00EC6011" w:rsidRDefault="00EC6011" w:rsidP="00EC6011">
      <w:pPr>
        <w:jc w:val="center"/>
        <w:rPr>
          <w:sz w:val="44"/>
          <w:szCs w:val="44"/>
          <w:u w:val="single"/>
        </w:rPr>
      </w:pPr>
      <w:r w:rsidRPr="00A11E6E">
        <w:rPr>
          <w:sz w:val="44"/>
          <w:szCs w:val="44"/>
          <w:u w:val="single"/>
        </w:rPr>
        <w:lastRenderedPageBreak/>
        <w:t>Bibliography.</w:t>
      </w:r>
    </w:p>
    <w:p w14:paraId="68543013" w14:textId="77777777" w:rsidR="00EC6011" w:rsidRPr="00AE6087" w:rsidRDefault="00EC6011" w:rsidP="00EC6011">
      <w:pPr>
        <w:rPr>
          <w:sz w:val="28"/>
          <w:szCs w:val="28"/>
          <w:u w:val="single"/>
        </w:rPr>
      </w:pPr>
      <w:r w:rsidRPr="00A11E6E">
        <w:rPr>
          <w:sz w:val="28"/>
          <w:szCs w:val="28"/>
          <w:u w:val="single"/>
        </w:rPr>
        <w:t>Primary Sources</w:t>
      </w:r>
      <w:r>
        <w:rPr>
          <w:sz w:val="28"/>
          <w:szCs w:val="28"/>
          <w:u w:val="single"/>
        </w:rPr>
        <w:t>.</w:t>
      </w:r>
    </w:p>
    <w:p w14:paraId="00C52644" w14:textId="03CAD1DD" w:rsidR="00EC6011" w:rsidRDefault="00EC6011" w:rsidP="00EC6011">
      <w:r>
        <w:rPr>
          <w:i/>
          <w:iCs/>
        </w:rPr>
        <w:t>The Vita S. Wenefrede From BL Landsdowne MS 436</w:t>
      </w:r>
      <w:r w:rsidR="00AB038A">
        <w:rPr>
          <w:i/>
          <w:iCs/>
        </w:rPr>
        <w:t xml:space="preserve">, </w:t>
      </w:r>
      <w:r w:rsidR="00AB038A">
        <w:t>trans.</w:t>
      </w:r>
      <w:r w:rsidR="00AB038A" w:rsidRPr="00AB038A">
        <w:t xml:space="preserve"> </w:t>
      </w:r>
      <w:r w:rsidR="00AB038A">
        <w:t xml:space="preserve">J. </w:t>
      </w:r>
      <w:r w:rsidR="00AB038A">
        <w:t>Gregory,</w:t>
      </w:r>
      <w:r w:rsidR="00AB038A">
        <w:t xml:space="preserve"> ed. J. Gregory,</w:t>
      </w:r>
      <w:r w:rsidR="00AB038A">
        <w:t xml:space="preserve"> </w:t>
      </w:r>
      <w:r w:rsidR="00AB038A" w:rsidRPr="00AB038A">
        <w:t>The Life of St. Winifred</w:t>
      </w:r>
      <w:r w:rsidRPr="00AB038A">
        <w:t>,</w:t>
      </w:r>
      <w:r>
        <w:t xml:space="preserve"> (Iowa: The University of Iowa Libraries, 2016) </w:t>
      </w:r>
    </w:p>
    <w:p w14:paraId="2659BE9E" w14:textId="77777777" w:rsidR="00EC6011" w:rsidRPr="00A11E6E" w:rsidRDefault="00EC6011" w:rsidP="00EC6011">
      <w:pPr>
        <w:rPr>
          <w:sz w:val="28"/>
          <w:szCs w:val="28"/>
          <w:u w:val="single"/>
        </w:rPr>
      </w:pPr>
      <w:r w:rsidRPr="00A11E6E">
        <w:rPr>
          <w:sz w:val="28"/>
          <w:szCs w:val="28"/>
          <w:u w:val="single"/>
        </w:rPr>
        <w:t>Secondary Sources.</w:t>
      </w:r>
    </w:p>
    <w:p w14:paraId="0A554A91" w14:textId="6BBD7B23" w:rsidR="00D04ED6" w:rsidRDefault="00D04ED6" w:rsidP="00D04ED6">
      <w:r>
        <w:t xml:space="preserve">Bord, J., Bord, C., </w:t>
      </w:r>
      <w:r>
        <w:rPr>
          <w:i/>
          <w:iCs/>
        </w:rPr>
        <w:t xml:space="preserve">Sacred Waters: Holy Wells and Water Lore </w:t>
      </w:r>
      <w:r w:rsidR="00C95BCB">
        <w:rPr>
          <w:i/>
          <w:iCs/>
        </w:rPr>
        <w:t>in</w:t>
      </w:r>
      <w:r>
        <w:rPr>
          <w:i/>
          <w:iCs/>
        </w:rPr>
        <w:t xml:space="preserve"> Britain and Ireland,</w:t>
      </w:r>
      <w:r>
        <w:t xml:space="preserve"> (London: Granada Publishing Limited, 1985)</w:t>
      </w:r>
    </w:p>
    <w:p w14:paraId="3A4B7106" w14:textId="61FE9724" w:rsidR="00D04ED6" w:rsidRDefault="00D04ED6" w:rsidP="00D04ED6">
      <w:r>
        <w:t xml:space="preserve">Cartwright, J., </w:t>
      </w:r>
      <w:r>
        <w:rPr>
          <w:i/>
          <w:iCs/>
        </w:rPr>
        <w:t xml:space="preserve">Feminine Sanctity and Spirituality in Medieval Wales, </w:t>
      </w:r>
      <w:r>
        <w:t xml:space="preserve">(Cardiff: University </w:t>
      </w:r>
      <w:r w:rsidR="00C95BCB">
        <w:t>of</w:t>
      </w:r>
      <w:r>
        <w:t xml:space="preserve"> Wales Press, 2008)</w:t>
      </w:r>
    </w:p>
    <w:p w14:paraId="75DAD066" w14:textId="6BE6C6D7" w:rsidR="00D04ED6" w:rsidRDefault="00D04ED6" w:rsidP="00D04ED6">
      <w:r>
        <w:t xml:space="preserve">Cartwright, J., </w:t>
      </w:r>
      <w:r>
        <w:rPr>
          <w:i/>
          <w:iCs/>
        </w:rPr>
        <w:t>T</w:t>
      </w:r>
      <w:r>
        <w:rPr>
          <w:i/>
          <w:iCs/>
        </w:rPr>
        <w:t xml:space="preserve">he Welsh Versions of the Life of Gwenfrewy, </w:t>
      </w:r>
      <w:r>
        <w:t>(Aberystwyth: Canolfan Uwchefrydiay Cymreig a Cheltaidd, 2022) 237-268</w:t>
      </w:r>
    </w:p>
    <w:p w14:paraId="46AF0A7E" w14:textId="77777777" w:rsidR="00D04ED6" w:rsidRPr="00252FD1" w:rsidRDefault="00D04ED6" w:rsidP="00D04ED6">
      <w:r>
        <w:t xml:space="preserve">Curran, B., </w:t>
      </w:r>
      <w:r>
        <w:rPr>
          <w:i/>
          <w:iCs/>
        </w:rPr>
        <w:t>Celtic Saints,</w:t>
      </w:r>
      <w:r>
        <w:t xml:space="preserve"> (Cardiff: St David’s Press, 2007)</w:t>
      </w:r>
    </w:p>
    <w:p w14:paraId="1D5EA05F" w14:textId="77777777" w:rsidR="00D04ED6" w:rsidRDefault="00D04ED6" w:rsidP="00D04ED6">
      <w:pPr>
        <w:pStyle w:val="FootnoteText"/>
      </w:pPr>
      <w:r>
        <w:t xml:space="preserve">Evans, E., St Winefride’s well, </w:t>
      </w:r>
      <w:r w:rsidRPr="00C77FF8">
        <w:rPr>
          <w:i/>
          <w:iCs/>
        </w:rPr>
        <w:t>The British medical journal, correspondence</w:t>
      </w:r>
      <w:r>
        <w:t>, (19/03/1910), p.726</w:t>
      </w:r>
    </w:p>
    <w:p w14:paraId="523B280A" w14:textId="77777777" w:rsidR="00D04ED6" w:rsidRDefault="00D04ED6" w:rsidP="00D04ED6">
      <w:pPr>
        <w:pStyle w:val="FootnoteText"/>
      </w:pPr>
    </w:p>
    <w:p w14:paraId="62840ADA" w14:textId="77777777" w:rsidR="00D04ED6" w:rsidRPr="00252FD1" w:rsidRDefault="00D04ED6" w:rsidP="00D04ED6">
      <w:r>
        <w:t xml:space="preserve">Jones, F., </w:t>
      </w:r>
      <w:r>
        <w:rPr>
          <w:i/>
          <w:iCs/>
        </w:rPr>
        <w:t>The Holy Wells of Wales,</w:t>
      </w:r>
      <w:r>
        <w:t xml:space="preserve"> (Cardiff: University of Wales Press, 1992)</w:t>
      </w:r>
    </w:p>
    <w:p w14:paraId="15A75B05" w14:textId="77777777" w:rsidR="00D04ED6" w:rsidRDefault="00D04ED6" w:rsidP="00D04ED6">
      <w:r>
        <w:t xml:space="preserve">Oliver, T., Case of a Girl Said to Have Been Miraculously Cured of Paralysis at St. Winefride’s Well, North Wales, </w:t>
      </w:r>
      <w:r>
        <w:rPr>
          <w:i/>
          <w:iCs/>
        </w:rPr>
        <w:t>The Lancet,</w:t>
      </w:r>
      <w:r>
        <w:t xml:space="preserve"> 16/03/1895, 667-668</w:t>
      </w:r>
    </w:p>
    <w:p w14:paraId="5BF28AEA" w14:textId="77777777" w:rsidR="00EC6011" w:rsidRPr="00A11E6E" w:rsidRDefault="00EC6011" w:rsidP="00EC6011">
      <w:r>
        <w:t xml:space="preserve">Pritchard, T., </w:t>
      </w:r>
      <w:r>
        <w:rPr>
          <w:i/>
          <w:iCs/>
        </w:rPr>
        <w:t xml:space="preserve">St Winefride, Her Holy Well and the Jesuit Mission, c. 650-1930, </w:t>
      </w:r>
      <w:r>
        <w:t>(Wrexham: Bridge Books, 2009)</w:t>
      </w:r>
    </w:p>
    <w:p w14:paraId="1E84DDAA" w14:textId="77777777" w:rsidR="00EC6011" w:rsidRDefault="00EC6011" w:rsidP="00EC6011">
      <w:r>
        <w:t xml:space="preserve">Rees. E., </w:t>
      </w:r>
      <w:r>
        <w:rPr>
          <w:i/>
          <w:iCs/>
        </w:rPr>
        <w:t xml:space="preserve">A Dictionary of Celtic Saints, </w:t>
      </w:r>
      <w:r>
        <w:t>(Brimscombe Port Stroud: The History Press, 2012)</w:t>
      </w:r>
    </w:p>
    <w:p w14:paraId="7984A4AB" w14:textId="77777777" w:rsidR="00EC6011" w:rsidRDefault="00EC6011" w:rsidP="00EC6011">
      <w:r>
        <w:t xml:space="preserve">Stumpe, L., Display and Veneration of Holy Relics at St Winefride’s Well and Stonyhurst, </w:t>
      </w:r>
      <w:r>
        <w:rPr>
          <w:i/>
          <w:iCs/>
        </w:rPr>
        <w:t xml:space="preserve">Journal of Museum Ethnography, </w:t>
      </w:r>
      <w:r>
        <w:t>22, Museum Ethnography at home, (2009), 63-81</w:t>
      </w:r>
    </w:p>
    <w:p w14:paraId="385E0942" w14:textId="7823A2B4" w:rsidR="00590051" w:rsidRDefault="00590051" w:rsidP="00EC6011">
      <w:r>
        <w:t xml:space="preserve">Thomas, C., </w:t>
      </w:r>
      <w:r>
        <w:rPr>
          <w:i/>
          <w:iCs/>
        </w:rPr>
        <w:t>Sacred Welsh Water,</w:t>
      </w:r>
      <w:r>
        <w:t xml:space="preserve"> (Milverton: Capall Bann Publishing, 2004)</w:t>
      </w:r>
    </w:p>
    <w:p w14:paraId="01A03E1F" w14:textId="7725CE57" w:rsidR="008D31FD" w:rsidRDefault="008D31FD" w:rsidP="00C77FF8">
      <w:pPr>
        <w:pStyle w:val="FootnoteText"/>
      </w:pPr>
      <w:r>
        <w:t xml:space="preserve">Varner, G., </w:t>
      </w:r>
      <w:r w:rsidR="00F773F6">
        <w:rPr>
          <w:i/>
          <w:iCs/>
        </w:rPr>
        <w:t xml:space="preserve">Sacred Wells: </w:t>
      </w:r>
      <w:r>
        <w:rPr>
          <w:i/>
          <w:iCs/>
        </w:rPr>
        <w:t>A Study in the History, Meaning, and Mythology of Holy Wells and Waters</w:t>
      </w:r>
      <w:r w:rsidR="00F773F6">
        <w:rPr>
          <w:i/>
          <w:iCs/>
        </w:rPr>
        <w:t>,</w:t>
      </w:r>
      <w:r w:rsidR="00F773F6">
        <w:t xml:space="preserve"> (New York: Algora Publishing, 2009)</w:t>
      </w:r>
    </w:p>
    <w:p w14:paraId="38B3F606" w14:textId="77777777" w:rsidR="00AB038A" w:rsidRDefault="00AB038A" w:rsidP="00C77FF8">
      <w:pPr>
        <w:pStyle w:val="FootnoteText"/>
      </w:pPr>
    </w:p>
    <w:p w14:paraId="2609A356" w14:textId="3772C104" w:rsidR="00D04ED6" w:rsidRPr="00D04ED6" w:rsidRDefault="00D04ED6" w:rsidP="00C77FF8">
      <w:pPr>
        <w:pStyle w:val="FootnoteText"/>
        <w:rPr>
          <w:sz w:val="28"/>
          <w:szCs w:val="28"/>
          <w:u w:val="single"/>
        </w:rPr>
      </w:pPr>
      <w:r w:rsidRPr="00D04ED6">
        <w:rPr>
          <w:sz w:val="28"/>
          <w:szCs w:val="28"/>
          <w:u w:val="single"/>
        </w:rPr>
        <w:t>Online Websites.</w:t>
      </w:r>
    </w:p>
    <w:p w14:paraId="2AA9CCB3" w14:textId="77777777" w:rsidR="00D04ED6" w:rsidRDefault="00D04ED6" w:rsidP="00C77FF8">
      <w:pPr>
        <w:pStyle w:val="FootnoteText"/>
      </w:pPr>
    </w:p>
    <w:p w14:paraId="40330920" w14:textId="2564C5EC" w:rsidR="00AB038A" w:rsidRDefault="00AB038A" w:rsidP="00C77FF8">
      <w:pPr>
        <w:pStyle w:val="FootnoteText"/>
        <w:rPr>
          <w:i/>
          <w:iCs/>
        </w:rPr>
      </w:pPr>
      <w:r>
        <w:t xml:space="preserve">Online Website, available at </w:t>
      </w:r>
      <w:hyperlink r:id="rId6" w:history="1">
        <w:r w:rsidRPr="00D42D36">
          <w:rPr>
            <w:rStyle w:val="Hyperlink"/>
          </w:rPr>
          <w:t>https://cadw.gov.wales/visit/places-to-visit/st-winefrides-chapel-and-holy-well</w:t>
        </w:r>
      </w:hyperlink>
      <w:r>
        <w:t xml:space="preserve"> (accessed 17/04/2023)</w:t>
      </w:r>
    </w:p>
    <w:p w14:paraId="76B3916D" w14:textId="77777777" w:rsidR="00AB038A" w:rsidRDefault="00AB038A" w:rsidP="00C77FF8">
      <w:pPr>
        <w:pStyle w:val="FootnoteText"/>
        <w:rPr>
          <w:i/>
          <w:iCs/>
        </w:rPr>
      </w:pPr>
    </w:p>
    <w:p w14:paraId="424D801C" w14:textId="77777777" w:rsidR="00AB038A" w:rsidRPr="00AB038A" w:rsidRDefault="00AB038A" w:rsidP="00C77FF8">
      <w:pPr>
        <w:pStyle w:val="FootnoteText"/>
      </w:pPr>
    </w:p>
    <w:p w14:paraId="137C0644" w14:textId="77777777" w:rsidR="00C77FF8" w:rsidRPr="0032432D" w:rsidRDefault="00C77FF8" w:rsidP="00EC6011"/>
    <w:p w14:paraId="70AE2D34" w14:textId="77777777" w:rsidR="00EC6011" w:rsidRPr="00C33891" w:rsidRDefault="00EC6011" w:rsidP="00EC6011"/>
    <w:p w14:paraId="3D329ACB" w14:textId="77777777" w:rsidR="00147F04" w:rsidRDefault="00147F04"/>
    <w:sectPr w:rsidR="00147F04" w:rsidSect="00C33C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045DD" w14:textId="77777777" w:rsidR="00A32A89" w:rsidRDefault="00A32A89" w:rsidP="00EC6011">
      <w:pPr>
        <w:spacing w:after="0" w:line="240" w:lineRule="auto"/>
      </w:pPr>
      <w:r>
        <w:separator/>
      </w:r>
    </w:p>
  </w:endnote>
  <w:endnote w:type="continuationSeparator" w:id="0">
    <w:p w14:paraId="0CB6BE4C" w14:textId="77777777" w:rsidR="00A32A89" w:rsidRDefault="00A32A89" w:rsidP="00EC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535F3" w14:textId="77777777" w:rsidR="00A32A89" w:rsidRDefault="00A32A89" w:rsidP="00EC6011">
      <w:pPr>
        <w:spacing w:after="0" w:line="240" w:lineRule="auto"/>
      </w:pPr>
      <w:r>
        <w:separator/>
      </w:r>
    </w:p>
  </w:footnote>
  <w:footnote w:type="continuationSeparator" w:id="0">
    <w:p w14:paraId="592C8892" w14:textId="77777777" w:rsidR="00A32A89" w:rsidRDefault="00A32A89" w:rsidP="00EC6011">
      <w:pPr>
        <w:spacing w:after="0" w:line="240" w:lineRule="auto"/>
      </w:pPr>
      <w:r>
        <w:continuationSeparator/>
      </w:r>
    </w:p>
  </w:footnote>
  <w:footnote w:id="1">
    <w:p w14:paraId="6509121C" w14:textId="6BCEB6BB"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 xml:space="preserve">T. </w:t>
      </w:r>
      <w:r w:rsidR="00BF6183" w:rsidRPr="004B1355">
        <w:rPr>
          <w:sz w:val="16"/>
          <w:szCs w:val="16"/>
        </w:rPr>
        <w:t xml:space="preserve">Pritchard, </w:t>
      </w:r>
      <w:r w:rsidR="00BF6183" w:rsidRPr="00B80A78">
        <w:rPr>
          <w:i/>
          <w:iCs/>
          <w:sz w:val="16"/>
          <w:szCs w:val="16"/>
        </w:rPr>
        <w:t>St Winefride, Her Holy Well and the Jesuit Mission, c. 650-1930,</w:t>
      </w:r>
      <w:r w:rsidR="00BF6183" w:rsidRPr="004B1355">
        <w:rPr>
          <w:sz w:val="16"/>
          <w:szCs w:val="16"/>
        </w:rPr>
        <w:t xml:space="preserve"> (Wrexham: Bridge Books, 2009)</w:t>
      </w:r>
      <w:r w:rsidR="00BF6183" w:rsidRPr="004B1355">
        <w:rPr>
          <w:sz w:val="16"/>
          <w:szCs w:val="16"/>
        </w:rPr>
        <w:t xml:space="preserve"> </w:t>
      </w:r>
      <w:r w:rsidRPr="004B1355">
        <w:rPr>
          <w:sz w:val="16"/>
          <w:szCs w:val="16"/>
        </w:rPr>
        <w:t>p.7</w:t>
      </w:r>
    </w:p>
  </w:footnote>
  <w:footnote w:id="2">
    <w:p w14:paraId="28089D81" w14:textId="2FD49768"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Pritchard</w:t>
      </w:r>
      <w:r w:rsidR="00BF6183" w:rsidRPr="004B1355">
        <w:rPr>
          <w:sz w:val="16"/>
          <w:szCs w:val="16"/>
        </w:rPr>
        <w:t>,</w:t>
      </w:r>
      <w:r w:rsidRPr="004B1355">
        <w:rPr>
          <w:sz w:val="16"/>
          <w:szCs w:val="16"/>
        </w:rPr>
        <w:t xml:space="preserve"> </w:t>
      </w:r>
      <w:r w:rsidR="00BF6183" w:rsidRPr="004B1355">
        <w:rPr>
          <w:sz w:val="16"/>
          <w:szCs w:val="16"/>
        </w:rPr>
        <w:t>p</w:t>
      </w:r>
      <w:r w:rsidRPr="004B1355">
        <w:rPr>
          <w:sz w:val="16"/>
          <w:szCs w:val="16"/>
        </w:rPr>
        <w:t>.</w:t>
      </w:r>
      <w:r w:rsidR="00BF6183" w:rsidRPr="004B1355">
        <w:rPr>
          <w:sz w:val="16"/>
          <w:szCs w:val="16"/>
        </w:rPr>
        <w:t xml:space="preserve"> </w:t>
      </w:r>
      <w:r w:rsidRPr="004B1355">
        <w:rPr>
          <w:sz w:val="16"/>
          <w:szCs w:val="16"/>
        </w:rPr>
        <w:t>8</w:t>
      </w:r>
    </w:p>
  </w:footnote>
  <w:footnote w:id="3">
    <w:p w14:paraId="2ABB9651" w14:textId="09C1356B"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Pritchard</w:t>
      </w:r>
      <w:r w:rsidR="00BF6183" w:rsidRPr="004B1355">
        <w:rPr>
          <w:sz w:val="16"/>
          <w:szCs w:val="16"/>
        </w:rPr>
        <w:t>,</w:t>
      </w:r>
      <w:r w:rsidRPr="004B1355">
        <w:rPr>
          <w:sz w:val="16"/>
          <w:szCs w:val="16"/>
        </w:rPr>
        <w:t xml:space="preserve"> pp.</w:t>
      </w:r>
      <w:r w:rsidR="00BF6183" w:rsidRPr="004B1355">
        <w:rPr>
          <w:sz w:val="16"/>
          <w:szCs w:val="16"/>
        </w:rPr>
        <w:t xml:space="preserve"> </w:t>
      </w:r>
      <w:r w:rsidRPr="004B1355">
        <w:rPr>
          <w:sz w:val="16"/>
          <w:szCs w:val="16"/>
        </w:rPr>
        <w:t>22-24</w:t>
      </w:r>
    </w:p>
  </w:footnote>
  <w:footnote w:id="4">
    <w:p w14:paraId="79827E2F" w14:textId="2AA95D54"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AB038A" w:rsidRPr="00B80A78">
        <w:rPr>
          <w:i/>
          <w:iCs/>
          <w:sz w:val="16"/>
          <w:szCs w:val="16"/>
        </w:rPr>
        <w:t>The Vita S. Wenefrede From BL Landsdowne MS 436</w:t>
      </w:r>
      <w:r w:rsidR="00AB038A" w:rsidRPr="004B1355">
        <w:rPr>
          <w:sz w:val="16"/>
          <w:szCs w:val="16"/>
        </w:rPr>
        <w:t>, trans. J. Gregory, ed. J. Gregory, The Life of St. Winifred, (Iowa: The University of Iowa Libraries, 2016)</w:t>
      </w:r>
      <w:r w:rsidR="00AB038A" w:rsidRPr="004B1355">
        <w:rPr>
          <w:sz w:val="16"/>
          <w:szCs w:val="16"/>
        </w:rPr>
        <w:t>,</w:t>
      </w:r>
      <w:r w:rsidRPr="004B1355">
        <w:rPr>
          <w:sz w:val="16"/>
          <w:szCs w:val="16"/>
        </w:rPr>
        <w:t xml:space="preserve"> p.</w:t>
      </w:r>
      <w:r w:rsidR="00F1403D" w:rsidRPr="004B1355">
        <w:rPr>
          <w:sz w:val="16"/>
          <w:szCs w:val="16"/>
        </w:rPr>
        <w:t xml:space="preserve"> </w:t>
      </w:r>
      <w:r w:rsidRPr="004B1355">
        <w:rPr>
          <w:sz w:val="16"/>
          <w:szCs w:val="16"/>
        </w:rPr>
        <w:t>31</w:t>
      </w:r>
    </w:p>
  </w:footnote>
  <w:footnote w:id="5">
    <w:p w14:paraId="1E2FCC55" w14:textId="68B7DE76"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Pritchard</w:t>
      </w:r>
      <w:r w:rsidR="00BF6183" w:rsidRPr="004B1355">
        <w:rPr>
          <w:sz w:val="16"/>
          <w:szCs w:val="16"/>
        </w:rPr>
        <w:t>,</w:t>
      </w:r>
      <w:r w:rsidRPr="004B1355">
        <w:rPr>
          <w:sz w:val="16"/>
          <w:szCs w:val="16"/>
        </w:rPr>
        <w:t xml:space="preserve"> p.</w:t>
      </w:r>
      <w:r w:rsidR="00BF6183" w:rsidRPr="004B1355">
        <w:rPr>
          <w:sz w:val="16"/>
          <w:szCs w:val="16"/>
        </w:rPr>
        <w:t xml:space="preserve"> </w:t>
      </w:r>
      <w:r w:rsidRPr="004B1355">
        <w:rPr>
          <w:sz w:val="16"/>
          <w:szCs w:val="16"/>
        </w:rPr>
        <w:t xml:space="preserve">8, 61; </w:t>
      </w:r>
      <w:r w:rsidR="004B1355" w:rsidRPr="00B80A78">
        <w:rPr>
          <w:i/>
          <w:iCs/>
          <w:sz w:val="16"/>
          <w:szCs w:val="16"/>
        </w:rPr>
        <w:t>The Vita S. Wenefrede From BL Landsdowne MS 436</w:t>
      </w:r>
      <w:r w:rsidR="004B1355" w:rsidRPr="00B80A78">
        <w:rPr>
          <w:i/>
          <w:iCs/>
          <w:sz w:val="16"/>
          <w:szCs w:val="16"/>
        </w:rPr>
        <w:t>,</w:t>
      </w:r>
      <w:r w:rsidR="004B1355" w:rsidRPr="004B1355">
        <w:rPr>
          <w:sz w:val="16"/>
          <w:szCs w:val="16"/>
        </w:rPr>
        <w:t xml:space="preserve"> </w:t>
      </w:r>
      <w:r w:rsidRPr="004B1355">
        <w:rPr>
          <w:sz w:val="16"/>
          <w:szCs w:val="16"/>
        </w:rPr>
        <w:t>p.</w:t>
      </w:r>
      <w:r w:rsidR="004B1355" w:rsidRPr="004B1355">
        <w:rPr>
          <w:sz w:val="16"/>
          <w:szCs w:val="16"/>
        </w:rPr>
        <w:t xml:space="preserve"> </w:t>
      </w:r>
      <w:r w:rsidRPr="004B1355">
        <w:rPr>
          <w:sz w:val="16"/>
          <w:szCs w:val="16"/>
        </w:rPr>
        <w:t>3</w:t>
      </w:r>
    </w:p>
  </w:footnote>
  <w:footnote w:id="6">
    <w:p w14:paraId="2ABEAB14" w14:textId="714D8699"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AB038A" w:rsidRPr="00B80A78">
        <w:rPr>
          <w:i/>
          <w:iCs/>
          <w:sz w:val="16"/>
          <w:szCs w:val="16"/>
        </w:rPr>
        <w:t>The Vita S. Wenefrede From BL Landsdowne MS</w:t>
      </w:r>
      <w:r w:rsidR="00AB038A" w:rsidRPr="004B1355">
        <w:rPr>
          <w:sz w:val="16"/>
          <w:szCs w:val="16"/>
        </w:rPr>
        <w:t xml:space="preserve"> </w:t>
      </w:r>
      <w:r w:rsidR="00AB038A" w:rsidRPr="00B80A78">
        <w:rPr>
          <w:i/>
          <w:iCs/>
          <w:sz w:val="16"/>
          <w:szCs w:val="16"/>
        </w:rPr>
        <w:t>436</w:t>
      </w:r>
      <w:r w:rsidR="00AB038A" w:rsidRPr="004B1355">
        <w:rPr>
          <w:sz w:val="16"/>
          <w:szCs w:val="16"/>
        </w:rPr>
        <w:t>,</w:t>
      </w:r>
      <w:r w:rsidRPr="004B1355">
        <w:rPr>
          <w:sz w:val="16"/>
          <w:szCs w:val="16"/>
        </w:rPr>
        <w:t xml:space="preserve"> p.</w:t>
      </w:r>
      <w:r w:rsidR="00F1403D" w:rsidRPr="004B1355">
        <w:rPr>
          <w:sz w:val="16"/>
          <w:szCs w:val="16"/>
        </w:rPr>
        <w:t xml:space="preserve"> </w:t>
      </w:r>
      <w:r w:rsidRPr="004B1355">
        <w:rPr>
          <w:sz w:val="16"/>
          <w:szCs w:val="16"/>
        </w:rPr>
        <w:t>37</w:t>
      </w:r>
    </w:p>
  </w:footnote>
  <w:footnote w:id="7">
    <w:p w14:paraId="6FB5DBB4" w14:textId="05D228E0"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Pritchard</w:t>
      </w:r>
      <w:r w:rsidR="00BF6183" w:rsidRPr="004B1355">
        <w:rPr>
          <w:sz w:val="16"/>
          <w:szCs w:val="16"/>
        </w:rPr>
        <w:t>,</w:t>
      </w:r>
      <w:r w:rsidRPr="004B1355">
        <w:rPr>
          <w:sz w:val="16"/>
          <w:szCs w:val="16"/>
        </w:rPr>
        <w:t xml:space="preserve"> p.</w:t>
      </w:r>
      <w:r w:rsidR="00BF6183" w:rsidRPr="004B1355">
        <w:rPr>
          <w:sz w:val="16"/>
          <w:szCs w:val="16"/>
        </w:rPr>
        <w:t xml:space="preserve"> </w:t>
      </w:r>
      <w:r w:rsidRPr="004B1355">
        <w:rPr>
          <w:sz w:val="16"/>
          <w:szCs w:val="16"/>
        </w:rPr>
        <w:t xml:space="preserve">19, 21; </w:t>
      </w:r>
      <w:r w:rsidR="00F1403D" w:rsidRPr="004B1355">
        <w:rPr>
          <w:sz w:val="16"/>
          <w:szCs w:val="16"/>
        </w:rPr>
        <w:t xml:space="preserve">C. </w:t>
      </w:r>
      <w:r w:rsidR="00F1403D" w:rsidRPr="004B1355">
        <w:rPr>
          <w:sz w:val="16"/>
          <w:szCs w:val="16"/>
        </w:rPr>
        <w:t xml:space="preserve">Thomas, </w:t>
      </w:r>
      <w:r w:rsidR="00F1403D" w:rsidRPr="00B80A78">
        <w:rPr>
          <w:i/>
          <w:iCs/>
          <w:sz w:val="16"/>
          <w:szCs w:val="16"/>
        </w:rPr>
        <w:t>Sacred Welsh Water,</w:t>
      </w:r>
      <w:r w:rsidR="00F1403D" w:rsidRPr="004B1355">
        <w:rPr>
          <w:sz w:val="16"/>
          <w:szCs w:val="16"/>
        </w:rPr>
        <w:t xml:space="preserve"> (Milverton: Capall Bann Publishing, 2004)</w:t>
      </w:r>
      <w:r w:rsidR="00F1403D" w:rsidRPr="004B1355">
        <w:rPr>
          <w:sz w:val="16"/>
          <w:szCs w:val="16"/>
        </w:rPr>
        <w:t xml:space="preserve">, </w:t>
      </w:r>
      <w:r w:rsidRPr="004B1355">
        <w:rPr>
          <w:sz w:val="16"/>
          <w:szCs w:val="16"/>
        </w:rPr>
        <w:t>p.</w:t>
      </w:r>
      <w:r w:rsidR="00F1403D" w:rsidRPr="004B1355">
        <w:rPr>
          <w:sz w:val="16"/>
          <w:szCs w:val="16"/>
        </w:rPr>
        <w:t xml:space="preserve"> </w:t>
      </w:r>
      <w:r w:rsidRPr="004B1355">
        <w:rPr>
          <w:sz w:val="16"/>
          <w:szCs w:val="16"/>
        </w:rPr>
        <w:t xml:space="preserve">220 </w:t>
      </w:r>
    </w:p>
  </w:footnote>
  <w:footnote w:id="8">
    <w:p w14:paraId="2EBA867F" w14:textId="369D6FF3"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 xml:space="preserve">J. </w:t>
      </w:r>
      <w:r w:rsidR="00BF6183" w:rsidRPr="004B1355">
        <w:rPr>
          <w:sz w:val="16"/>
          <w:szCs w:val="16"/>
        </w:rPr>
        <w:t xml:space="preserve">Cartwright, </w:t>
      </w:r>
      <w:r w:rsidR="00BF6183" w:rsidRPr="00B80A78">
        <w:rPr>
          <w:i/>
          <w:iCs/>
          <w:sz w:val="16"/>
          <w:szCs w:val="16"/>
        </w:rPr>
        <w:t>Feminine Sanctity and Spirituality in Medieval Wales</w:t>
      </w:r>
      <w:r w:rsidR="00BF6183" w:rsidRPr="004B1355">
        <w:rPr>
          <w:sz w:val="16"/>
          <w:szCs w:val="16"/>
        </w:rPr>
        <w:t xml:space="preserve">, (Cardiff: University </w:t>
      </w:r>
      <w:r w:rsidR="00C95BCB" w:rsidRPr="004B1355">
        <w:rPr>
          <w:sz w:val="16"/>
          <w:szCs w:val="16"/>
        </w:rPr>
        <w:t>of</w:t>
      </w:r>
      <w:r w:rsidR="00BF6183" w:rsidRPr="004B1355">
        <w:rPr>
          <w:sz w:val="16"/>
          <w:szCs w:val="16"/>
        </w:rPr>
        <w:t xml:space="preserve"> Wales Press, 2008)</w:t>
      </w:r>
      <w:r w:rsidR="00BF6183" w:rsidRPr="004B1355">
        <w:rPr>
          <w:sz w:val="16"/>
          <w:szCs w:val="16"/>
        </w:rPr>
        <w:t>,</w:t>
      </w:r>
      <w:r w:rsidRPr="004B1355">
        <w:rPr>
          <w:sz w:val="16"/>
          <w:szCs w:val="16"/>
        </w:rPr>
        <w:t xml:space="preserve"> p. 124-125</w:t>
      </w:r>
    </w:p>
  </w:footnote>
  <w:footnote w:id="9">
    <w:p w14:paraId="44C68496" w14:textId="4E666257"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 xml:space="preserve">F. </w:t>
      </w:r>
      <w:r w:rsidR="00BF6183" w:rsidRPr="004B1355">
        <w:rPr>
          <w:sz w:val="16"/>
          <w:szCs w:val="16"/>
        </w:rPr>
        <w:t xml:space="preserve">Jones, </w:t>
      </w:r>
      <w:r w:rsidR="00BF6183" w:rsidRPr="00B80A78">
        <w:rPr>
          <w:i/>
          <w:iCs/>
          <w:sz w:val="16"/>
          <w:szCs w:val="16"/>
        </w:rPr>
        <w:t>The Holy Wells of Wales</w:t>
      </w:r>
      <w:r w:rsidR="00BF6183" w:rsidRPr="004B1355">
        <w:rPr>
          <w:sz w:val="16"/>
          <w:szCs w:val="16"/>
        </w:rPr>
        <w:t>, (Cardiff: University of Wales Press, 1992)</w:t>
      </w:r>
      <w:r w:rsidR="00BF6183" w:rsidRPr="004B1355">
        <w:rPr>
          <w:sz w:val="16"/>
          <w:szCs w:val="16"/>
        </w:rPr>
        <w:t xml:space="preserve">, </w:t>
      </w:r>
      <w:r w:rsidRPr="004B1355">
        <w:rPr>
          <w:sz w:val="16"/>
          <w:szCs w:val="16"/>
        </w:rPr>
        <w:t>pp.</w:t>
      </w:r>
      <w:r w:rsidR="00BF6183" w:rsidRPr="004B1355">
        <w:rPr>
          <w:sz w:val="16"/>
          <w:szCs w:val="16"/>
        </w:rPr>
        <w:t xml:space="preserve"> </w:t>
      </w:r>
      <w:r w:rsidRPr="004B1355">
        <w:rPr>
          <w:sz w:val="16"/>
          <w:szCs w:val="16"/>
        </w:rPr>
        <w:t>178-180</w:t>
      </w:r>
    </w:p>
  </w:footnote>
  <w:footnote w:id="10">
    <w:p w14:paraId="0ED94F27" w14:textId="02418937"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p.</w:t>
      </w:r>
      <w:r w:rsidR="00BF6183" w:rsidRPr="004B1355">
        <w:rPr>
          <w:sz w:val="16"/>
          <w:szCs w:val="16"/>
        </w:rPr>
        <w:t xml:space="preserve"> </w:t>
      </w:r>
      <w:r w:rsidRPr="004B1355">
        <w:rPr>
          <w:sz w:val="16"/>
          <w:szCs w:val="16"/>
        </w:rPr>
        <w:t>2</w:t>
      </w:r>
    </w:p>
  </w:footnote>
  <w:footnote w:id="11">
    <w:p w14:paraId="41BE4AC8" w14:textId="123FADAF"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p.</w:t>
      </w:r>
      <w:r w:rsidR="00F1403D" w:rsidRPr="004B1355">
        <w:rPr>
          <w:sz w:val="16"/>
          <w:szCs w:val="16"/>
        </w:rPr>
        <w:t xml:space="preserve"> </w:t>
      </w:r>
      <w:r w:rsidRPr="004B1355">
        <w:rPr>
          <w:sz w:val="16"/>
          <w:szCs w:val="16"/>
        </w:rPr>
        <w:t xml:space="preserve">1; </w:t>
      </w:r>
      <w:r w:rsidR="00F773F6" w:rsidRPr="004B1355">
        <w:rPr>
          <w:sz w:val="16"/>
          <w:szCs w:val="16"/>
        </w:rPr>
        <w:t xml:space="preserve">G. </w:t>
      </w:r>
      <w:r w:rsidR="00F773F6" w:rsidRPr="004B1355">
        <w:rPr>
          <w:sz w:val="16"/>
          <w:szCs w:val="16"/>
        </w:rPr>
        <w:t xml:space="preserve">Varner, </w:t>
      </w:r>
      <w:r w:rsidR="00F773F6" w:rsidRPr="00B80A78">
        <w:rPr>
          <w:i/>
          <w:iCs/>
          <w:sz w:val="16"/>
          <w:szCs w:val="16"/>
        </w:rPr>
        <w:t>Sacred Wells: A Study in the History, Meaning, and Mythology of Holy Wells and Waters</w:t>
      </w:r>
      <w:r w:rsidR="00F773F6" w:rsidRPr="004B1355">
        <w:rPr>
          <w:sz w:val="16"/>
          <w:szCs w:val="16"/>
        </w:rPr>
        <w:t xml:space="preserve">, (New York: Algora Publishing, 2009) </w:t>
      </w:r>
      <w:r w:rsidR="00F773F6" w:rsidRPr="004B1355">
        <w:rPr>
          <w:sz w:val="16"/>
          <w:szCs w:val="16"/>
        </w:rPr>
        <w:t xml:space="preserve">, </w:t>
      </w:r>
      <w:r w:rsidRPr="004B1355">
        <w:rPr>
          <w:sz w:val="16"/>
          <w:szCs w:val="16"/>
        </w:rPr>
        <w:t>pp. 72-88</w:t>
      </w:r>
    </w:p>
  </w:footnote>
  <w:footnote w:id="12">
    <w:p w14:paraId="3C47BCAA" w14:textId="5768CCAB"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p.</w:t>
      </w:r>
      <w:r w:rsidR="00F1403D" w:rsidRPr="004B1355">
        <w:rPr>
          <w:sz w:val="16"/>
          <w:szCs w:val="16"/>
        </w:rPr>
        <w:t xml:space="preserve"> </w:t>
      </w:r>
      <w:r w:rsidRPr="004B1355">
        <w:rPr>
          <w:sz w:val="16"/>
          <w:szCs w:val="16"/>
        </w:rPr>
        <w:t>1</w:t>
      </w:r>
    </w:p>
  </w:footnote>
  <w:footnote w:id="13">
    <w:p w14:paraId="341F1DAC" w14:textId="13BA1E15"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Pritchard</w:t>
      </w:r>
      <w:r w:rsidR="00BF6183" w:rsidRPr="004B1355">
        <w:rPr>
          <w:sz w:val="16"/>
          <w:szCs w:val="16"/>
        </w:rPr>
        <w:t>,</w:t>
      </w:r>
      <w:r w:rsidRPr="004B1355">
        <w:rPr>
          <w:sz w:val="16"/>
          <w:szCs w:val="16"/>
        </w:rPr>
        <w:t xml:space="preserve"> p.</w:t>
      </w:r>
      <w:r w:rsidR="00BF6183" w:rsidRPr="004B1355">
        <w:rPr>
          <w:sz w:val="16"/>
          <w:szCs w:val="16"/>
        </w:rPr>
        <w:t xml:space="preserve"> </w:t>
      </w:r>
      <w:r w:rsidRPr="004B1355">
        <w:rPr>
          <w:sz w:val="16"/>
          <w:szCs w:val="16"/>
        </w:rPr>
        <w:t>32-33</w:t>
      </w:r>
    </w:p>
  </w:footnote>
  <w:footnote w:id="14">
    <w:p w14:paraId="28C2202F" w14:textId="6782E218"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F1403D" w:rsidRPr="004B1355">
        <w:rPr>
          <w:sz w:val="16"/>
          <w:szCs w:val="16"/>
        </w:rPr>
        <w:t xml:space="preserve">L. </w:t>
      </w:r>
      <w:r w:rsidR="00F1403D" w:rsidRPr="004B1355">
        <w:rPr>
          <w:sz w:val="16"/>
          <w:szCs w:val="16"/>
        </w:rPr>
        <w:t xml:space="preserve">Stumpe, Display and Veneration of Holy Relics at St Winefride’s Well and Stonyhurst, </w:t>
      </w:r>
      <w:r w:rsidR="00F1403D" w:rsidRPr="00B80A78">
        <w:rPr>
          <w:i/>
          <w:iCs/>
          <w:sz w:val="16"/>
          <w:szCs w:val="16"/>
        </w:rPr>
        <w:t>Journal of Museum Ethnography</w:t>
      </w:r>
      <w:r w:rsidR="00F1403D" w:rsidRPr="004B1355">
        <w:rPr>
          <w:sz w:val="16"/>
          <w:szCs w:val="16"/>
        </w:rPr>
        <w:t>, 22, Museum Ethnography at home, (2009), 63-81</w:t>
      </w:r>
      <w:r w:rsidR="00F1403D" w:rsidRPr="004B1355">
        <w:rPr>
          <w:sz w:val="16"/>
          <w:szCs w:val="16"/>
        </w:rPr>
        <w:t>, p</w:t>
      </w:r>
      <w:r w:rsidRPr="004B1355">
        <w:rPr>
          <w:sz w:val="16"/>
          <w:szCs w:val="16"/>
        </w:rPr>
        <w:t>.</w:t>
      </w:r>
      <w:r w:rsidR="00F1403D" w:rsidRPr="004B1355">
        <w:rPr>
          <w:sz w:val="16"/>
          <w:szCs w:val="16"/>
        </w:rPr>
        <w:t xml:space="preserve"> </w:t>
      </w:r>
      <w:r w:rsidRPr="004B1355">
        <w:rPr>
          <w:sz w:val="16"/>
          <w:szCs w:val="16"/>
        </w:rPr>
        <w:t>67</w:t>
      </w:r>
    </w:p>
  </w:footnote>
  <w:footnote w:id="15">
    <w:p w14:paraId="3A59769A" w14:textId="23289B78"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Prichard</w:t>
      </w:r>
      <w:r w:rsidR="00BF6183" w:rsidRPr="004B1355">
        <w:rPr>
          <w:sz w:val="16"/>
          <w:szCs w:val="16"/>
        </w:rPr>
        <w:t>,</w:t>
      </w:r>
      <w:r w:rsidRPr="004B1355">
        <w:rPr>
          <w:sz w:val="16"/>
          <w:szCs w:val="16"/>
        </w:rPr>
        <w:t xml:space="preserve"> pp. 33-34; Stumpe, p.</w:t>
      </w:r>
      <w:r w:rsidR="00F1403D" w:rsidRPr="004B1355">
        <w:rPr>
          <w:sz w:val="16"/>
          <w:szCs w:val="16"/>
        </w:rPr>
        <w:t xml:space="preserve"> </w:t>
      </w:r>
      <w:r w:rsidRPr="004B1355">
        <w:rPr>
          <w:sz w:val="16"/>
          <w:szCs w:val="16"/>
        </w:rPr>
        <w:t>69</w:t>
      </w:r>
    </w:p>
  </w:footnote>
  <w:footnote w:id="16">
    <w:p w14:paraId="334BA97C" w14:textId="76AD6C89"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 xml:space="preserve">E. </w:t>
      </w:r>
      <w:r w:rsidR="00BF6183" w:rsidRPr="004B1355">
        <w:rPr>
          <w:sz w:val="16"/>
          <w:szCs w:val="16"/>
        </w:rPr>
        <w:t>Rees</w:t>
      </w:r>
      <w:r w:rsidR="00BF6183" w:rsidRPr="004B1355">
        <w:rPr>
          <w:sz w:val="16"/>
          <w:szCs w:val="16"/>
        </w:rPr>
        <w:t>,</w:t>
      </w:r>
      <w:r w:rsidR="00BF6183" w:rsidRPr="004B1355">
        <w:rPr>
          <w:sz w:val="16"/>
          <w:szCs w:val="16"/>
        </w:rPr>
        <w:t xml:space="preserve"> </w:t>
      </w:r>
      <w:r w:rsidR="00BF6183" w:rsidRPr="00B80A78">
        <w:rPr>
          <w:i/>
          <w:iCs/>
          <w:sz w:val="16"/>
          <w:szCs w:val="16"/>
        </w:rPr>
        <w:t>A Dictionary of Celtic Saints</w:t>
      </w:r>
      <w:r w:rsidR="00BF6183" w:rsidRPr="004B1355">
        <w:rPr>
          <w:sz w:val="16"/>
          <w:szCs w:val="16"/>
        </w:rPr>
        <w:t>, (Brimscombe Port Stroud: The History Press, 2012)</w:t>
      </w:r>
      <w:r w:rsidR="00BF6183" w:rsidRPr="004B1355">
        <w:rPr>
          <w:sz w:val="16"/>
          <w:szCs w:val="16"/>
        </w:rPr>
        <w:t>,</w:t>
      </w:r>
      <w:r w:rsidRPr="004B1355">
        <w:rPr>
          <w:sz w:val="16"/>
          <w:szCs w:val="16"/>
        </w:rPr>
        <w:t xml:space="preserve"> p.</w:t>
      </w:r>
      <w:r w:rsidR="002D4602">
        <w:rPr>
          <w:sz w:val="16"/>
          <w:szCs w:val="16"/>
        </w:rPr>
        <w:t xml:space="preserve"> </w:t>
      </w:r>
      <w:r w:rsidRPr="004B1355">
        <w:rPr>
          <w:sz w:val="16"/>
          <w:szCs w:val="16"/>
        </w:rPr>
        <w:t>146-147</w:t>
      </w:r>
    </w:p>
  </w:footnote>
  <w:footnote w:id="17">
    <w:p w14:paraId="78B1CD70" w14:textId="0D6402E1"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Stumpe</w:t>
      </w:r>
      <w:r w:rsidR="00F1403D" w:rsidRPr="004B1355">
        <w:rPr>
          <w:sz w:val="16"/>
          <w:szCs w:val="16"/>
        </w:rPr>
        <w:t>,</w:t>
      </w:r>
      <w:r w:rsidRPr="004B1355">
        <w:rPr>
          <w:sz w:val="16"/>
          <w:szCs w:val="16"/>
        </w:rPr>
        <w:t xml:space="preserve"> p.</w:t>
      </w:r>
      <w:r w:rsidR="00F1403D" w:rsidRPr="004B1355">
        <w:rPr>
          <w:sz w:val="16"/>
          <w:szCs w:val="16"/>
        </w:rPr>
        <w:t xml:space="preserve"> </w:t>
      </w:r>
      <w:r w:rsidRPr="004B1355">
        <w:rPr>
          <w:sz w:val="16"/>
          <w:szCs w:val="16"/>
        </w:rPr>
        <w:t>74</w:t>
      </w:r>
    </w:p>
  </w:footnote>
  <w:footnote w:id="18">
    <w:p w14:paraId="58234842" w14:textId="1AEA5299"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F1403D" w:rsidRPr="004B1355">
        <w:rPr>
          <w:sz w:val="16"/>
          <w:szCs w:val="16"/>
        </w:rPr>
        <w:t xml:space="preserve">J. </w:t>
      </w:r>
      <w:r w:rsidR="00F1403D" w:rsidRPr="004B1355">
        <w:rPr>
          <w:sz w:val="16"/>
          <w:szCs w:val="16"/>
        </w:rPr>
        <w:t xml:space="preserve">Bord, </w:t>
      </w:r>
      <w:r w:rsidR="00F1403D" w:rsidRPr="004B1355">
        <w:rPr>
          <w:sz w:val="16"/>
          <w:szCs w:val="16"/>
        </w:rPr>
        <w:t xml:space="preserve">C. </w:t>
      </w:r>
      <w:r w:rsidR="00F1403D" w:rsidRPr="004B1355">
        <w:rPr>
          <w:sz w:val="16"/>
          <w:szCs w:val="16"/>
        </w:rPr>
        <w:t xml:space="preserve">Bord, </w:t>
      </w:r>
      <w:r w:rsidR="00F1403D" w:rsidRPr="00B80A78">
        <w:rPr>
          <w:i/>
          <w:iCs/>
          <w:sz w:val="16"/>
          <w:szCs w:val="16"/>
        </w:rPr>
        <w:t xml:space="preserve">Sacred Waters: Holy Wells and Water Lore </w:t>
      </w:r>
      <w:r w:rsidR="00B80A78" w:rsidRPr="00B80A78">
        <w:rPr>
          <w:i/>
          <w:iCs/>
          <w:sz w:val="16"/>
          <w:szCs w:val="16"/>
        </w:rPr>
        <w:t>in</w:t>
      </w:r>
      <w:r w:rsidR="00F1403D" w:rsidRPr="00B80A78">
        <w:rPr>
          <w:i/>
          <w:iCs/>
          <w:sz w:val="16"/>
          <w:szCs w:val="16"/>
        </w:rPr>
        <w:t xml:space="preserve"> Britain and Ireland</w:t>
      </w:r>
      <w:r w:rsidR="00F1403D" w:rsidRPr="004B1355">
        <w:rPr>
          <w:sz w:val="16"/>
          <w:szCs w:val="16"/>
        </w:rPr>
        <w:t>, (London: Granada Publishing Limited, 1985)</w:t>
      </w:r>
      <w:r w:rsidR="00F1403D" w:rsidRPr="004B1355">
        <w:rPr>
          <w:sz w:val="16"/>
          <w:szCs w:val="16"/>
        </w:rPr>
        <w:t>, p</w:t>
      </w:r>
      <w:r w:rsidRPr="004B1355">
        <w:rPr>
          <w:sz w:val="16"/>
          <w:szCs w:val="16"/>
        </w:rPr>
        <w:t>.</w:t>
      </w:r>
      <w:r w:rsidR="00F1403D" w:rsidRPr="004B1355">
        <w:rPr>
          <w:sz w:val="16"/>
          <w:szCs w:val="16"/>
        </w:rPr>
        <w:t xml:space="preserve"> </w:t>
      </w:r>
      <w:r w:rsidRPr="004B1355">
        <w:rPr>
          <w:sz w:val="16"/>
          <w:szCs w:val="16"/>
        </w:rPr>
        <w:t>99</w:t>
      </w:r>
    </w:p>
  </w:footnote>
  <w:footnote w:id="19">
    <w:p w14:paraId="4BA5C598" w14:textId="27DC68AC"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Cartwright</w:t>
      </w:r>
      <w:r w:rsidR="00BF6183" w:rsidRPr="004B1355">
        <w:rPr>
          <w:sz w:val="16"/>
          <w:szCs w:val="16"/>
        </w:rPr>
        <w:t>,</w:t>
      </w:r>
      <w:r w:rsidRPr="004B1355">
        <w:rPr>
          <w:sz w:val="16"/>
          <w:szCs w:val="16"/>
        </w:rPr>
        <w:t xml:space="preserve"> p.</w:t>
      </w:r>
      <w:r w:rsidR="00BF6183" w:rsidRPr="004B1355">
        <w:rPr>
          <w:sz w:val="16"/>
          <w:szCs w:val="16"/>
        </w:rPr>
        <w:t xml:space="preserve"> </w:t>
      </w:r>
      <w:r w:rsidRPr="004B1355">
        <w:rPr>
          <w:sz w:val="16"/>
          <w:szCs w:val="16"/>
        </w:rPr>
        <w:t>72</w:t>
      </w:r>
    </w:p>
  </w:footnote>
  <w:footnote w:id="20">
    <w:p w14:paraId="319A464A" w14:textId="520BF59B"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p.</w:t>
      </w:r>
      <w:r w:rsidR="00BF6183" w:rsidRPr="004B1355">
        <w:rPr>
          <w:sz w:val="16"/>
          <w:szCs w:val="16"/>
        </w:rPr>
        <w:t xml:space="preserve"> </w:t>
      </w:r>
      <w:r w:rsidRPr="004B1355">
        <w:rPr>
          <w:sz w:val="16"/>
          <w:szCs w:val="16"/>
        </w:rPr>
        <w:t>49</w:t>
      </w:r>
    </w:p>
  </w:footnote>
  <w:footnote w:id="21">
    <w:p w14:paraId="06875835" w14:textId="2FDA18F8"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p.</w:t>
      </w:r>
      <w:r w:rsidR="00BF6183" w:rsidRPr="004B1355">
        <w:rPr>
          <w:sz w:val="16"/>
          <w:szCs w:val="16"/>
        </w:rPr>
        <w:t xml:space="preserve"> </w:t>
      </w:r>
      <w:r w:rsidRPr="004B1355">
        <w:rPr>
          <w:sz w:val="16"/>
          <w:szCs w:val="16"/>
        </w:rPr>
        <w:t>59</w:t>
      </w:r>
    </w:p>
  </w:footnote>
  <w:footnote w:id="22">
    <w:p w14:paraId="63AD6911" w14:textId="52A750F0" w:rsidR="00E5213A" w:rsidRDefault="00E5213A">
      <w:pPr>
        <w:pStyle w:val="FootnoteText"/>
      </w:pPr>
      <w:r>
        <w:rPr>
          <w:rStyle w:val="FootnoteReference"/>
        </w:rPr>
        <w:footnoteRef/>
      </w:r>
      <w:r>
        <w:t xml:space="preserve"> </w:t>
      </w:r>
      <w:r w:rsidR="006E029A" w:rsidRPr="006E029A">
        <w:rPr>
          <w:sz w:val="16"/>
          <w:szCs w:val="16"/>
        </w:rPr>
        <w:t>Prichard. P. 19</w:t>
      </w:r>
    </w:p>
  </w:footnote>
  <w:footnote w:id="23">
    <w:p w14:paraId="585E5B92" w14:textId="7A10A6AE"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32432D" w:rsidRPr="004B1355">
        <w:rPr>
          <w:sz w:val="16"/>
          <w:szCs w:val="16"/>
        </w:rPr>
        <w:t>Bord</w:t>
      </w:r>
      <w:r w:rsidR="00F1403D" w:rsidRPr="004B1355">
        <w:rPr>
          <w:sz w:val="16"/>
          <w:szCs w:val="16"/>
        </w:rPr>
        <w:t xml:space="preserve"> et al, </w:t>
      </w:r>
      <w:r w:rsidR="0032432D" w:rsidRPr="004B1355">
        <w:rPr>
          <w:sz w:val="16"/>
          <w:szCs w:val="16"/>
        </w:rPr>
        <w:t>pp.</w:t>
      </w:r>
      <w:r w:rsidR="00BF6183" w:rsidRPr="004B1355">
        <w:rPr>
          <w:sz w:val="16"/>
          <w:szCs w:val="16"/>
        </w:rPr>
        <w:t xml:space="preserve"> </w:t>
      </w:r>
      <w:r w:rsidR="0032432D" w:rsidRPr="004B1355">
        <w:rPr>
          <w:sz w:val="16"/>
          <w:szCs w:val="16"/>
        </w:rPr>
        <w:t>1-3</w:t>
      </w:r>
    </w:p>
  </w:footnote>
  <w:footnote w:id="24">
    <w:p w14:paraId="24724546" w14:textId="09ACC48B"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w:t>
      </w:r>
      <w:r w:rsidR="00BF6183" w:rsidRPr="004B1355">
        <w:rPr>
          <w:sz w:val="16"/>
          <w:szCs w:val="16"/>
        </w:rPr>
        <w:t xml:space="preserve">p. </w:t>
      </w:r>
      <w:r w:rsidRPr="004B1355">
        <w:rPr>
          <w:sz w:val="16"/>
          <w:szCs w:val="16"/>
        </w:rPr>
        <w:t>64</w:t>
      </w:r>
    </w:p>
  </w:footnote>
  <w:footnote w:id="25">
    <w:p w14:paraId="4ED8565C" w14:textId="15C3992A"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p. 102</w:t>
      </w:r>
    </w:p>
  </w:footnote>
  <w:footnote w:id="26">
    <w:p w14:paraId="5C75EFA5" w14:textId="5EDF7E92"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pp.</w:t>
      </w:r>
      <w:r w:rsidR="00BF6183" w:rsidRPr="004B1355">
        <w:rPr>
          <w:sz w:val="16"/>
          <w:szCs w:val="16"/>
        </w:rPr>
        <w:t xml:space="preserve"> </w:t>
      </w:r>
      <w:r w:rsidRPr="004B1355">
        <w:rPr>
          <w:sz w:val="16"/>
          <w:szCs w:val="16"/>
        </w:rPr>
        <w:t>113-114.</w:t>
      </w:r>
    </w:p>
  </w:footnote>
  <w:footnote w:id="27">
    <w:p w14:paraId="3377802F" w14:textId="6B25D1A2"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Pritchard</w:t>
      </w:r>
      <w:r w:rsidR="00BF6183" w:rsidRPr="004B1355">
        <w:rPr>
          <w:sz w:val="16"/>
          <w:szCs w:val="16"/>
        </w:rPr>
        <w:t>,</w:t>
      </w:r>
      <w:r w:rsidRPr="004B1355">
        <w:rPr>
          <w:sz w:val="16"/>
          <w:szCs w:val="16"/>
        </w:rPr>
        <w:t xml:space="preserve"> p.61.</w:t>
      </w:r>
    </w:p>
  </w:footnote>
  <w:footnote w:id="28">
    <w:p w14:paraId="03EC20D8" w14:textId="3329FE19"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 xml:space="preserve">B. </w:t>
      </w:r>
      <w:r w:rsidR="00BF6183" w:rsidRPr="004B1355">
        <w:rPr>
          <w:sz w:val="16"/>
          <w:szCs w:val="16"/>
        </w:rPr>
        <w:t xml:space="preserve">Curran, </w:t>
      </w:r>
      <w:r w:rsidR="00BF6183" w:rsidRPr="00B80A78">
        <w:rPr>
          <w:i/>
          <w:iCs/>
          <w:sz w:val="16"/>
          <w:szCs w:val="16"/>
        </w:rPr>
        <w:t>Celtic Saints</w:t>
      </w:r>
      <w:r w:rsidR="00BF6183" w:rsidRPr="004B1355">
        <w:rPr>
          <w:sz w:val="16"/>
          <w:szCs w:val="16"/>
        </w:rPr>
        <w:t>, (Cardiff: St David’s Press, 2007)</w:t>
      </w:r>
      <w:r w:rsidRPr="004B1355">
        <w:rPr>
          <w:sz w:val="16"/>
          <w:szCs w:val="16"/>
        </w:rPr>
        <w:t xml:space="preserve"> p.</w:t>
      </w:r>
      <w:r w:rsidR="002D4602">
        <w:rPr>
          <w:sz w:val="16"/>
          <w:szCs w:val="16"/>
        </w:rPr>
        <w:t xml:space="preserve"> </w:t>
      </w:r>
      <w:r w:rsidRPr="004B1355">
        <w:rPr>
          <w:sz w:val="16"/>
          <w:szCs w:val="16"/>
        </w:rPr>
        <w:t>112</w:t>
      </w:r>
    </w:p>
  </w:footnote>
  <w:footnote w:id="29">
    <w:p w14:paraId="14B4B23F" w14:textId="0B3B0D2A"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C77FF8" w:rsidRPr="004B1355">
        <w:rPr>
          <w:sz w:val="16"/>
          <w:szCs w:val="16"/>
        </w:rPr>
        <w:t xml:space="preserve">T. Oliver, Case of a Girl Said to Have Been Miraculously Cured of Paralysis at St. Winefride’s Well, North Wales, </w:t>
      </w:r>
      <w:r w:rsidR="00C77FF8" w:rsidRPr="00B80A78">
        <w:rPr>
          <w:i/>
          <w:iCs/>
          <w:sz w:val="16"/>
          <w:szCs w:val="16"/>
        </w:rPr>
        <w:t>The Lancet</w:t>
      </w:r>
      <w:r w:rsidR="00C77FF8" w:rsidRPr="004B1355">
        <w:rPr>
          <w:sz w:val="16"/>
          <w:szCs w:val="16"/>
        </w:rPr>
        <w:t>, 16/03/1895, pp. 667-668</w:t>
      </w:r>
    </w:p>
  </w:footnote>
  <w:footnote w:id="30">
    <w:p w14:paraId="7326E211" w14:textId="3C94CA84"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9A11FB" w:rsidRPr="004B1355">
        <w:rPr>
          <w:sz w:val="16"/>
          <w:szCs w:val="16"/>
        </w:rPr>
        <w:t>Varner</w:t>
      </w:r>
      <w:r w:rsidR="00F773F6" w:rsidRPr="004B1355">
        <w:rPr>
          <w:sz w:val="16"/>
          <w:szCs w:val="16"/>
        </w:rPr>
        <w:t>,</w:t>
      </w:r>
      <w:r w:rsidR="009A11FB" w:rsidRPr="004B1355">
        <w:rPr>
          <w:sz w:val="16"/>
          <w:szCs w:val="16"/>
        </w:rPr>
        <w:t xml:space="preserve"> </w:t>
      </w:r>
      <w:r w:rsidR="002D4602">
        <w:rPr>
          <w:sz w:val="16"/>
          <w:szCs w:val="16"/>
        </w:rPr>
        <w:t>p</w:t>
      </w:r>
      <w:r w:rsidR="009A11FB" w:rsidRPr="004B1355">
        <w:rPr>
          <w:sz w:val="16"/>
          <w:szCs w:val="16"/>
        </w:rPr>
        <w:t>. 74-77</w:t>
      </w:r>
    </w:p>
  </w:footnote>
  <w:footnote w:id="31">
    <w:p w14:paraId="78610636" w14:textId="66556FF2"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E. Evans, St Winefride’s well, </w:t>
      </w:r>
      <w:r w:rsidRPr="00B80A78">
        <w:rPr>
          <w:i/>
          <w:iCs/>
          <w:sz w:val="16"/>
          <w:szCs w:val="16"/>
        </w:rPr>
        <w:t>The British medical journal, correspondence</w:t>
      </w:r>
      <w:r w:rsidR="00C77FF8" w:rsidRPr="004B1355">
        <w:rPr>
          <w:sz w:val="16"/>
          <w:szCs w:val="16"/>
        </w:rPr>
        <w:t>, (19/03/1910), p.726</w:t>
      </w:r>
    </w:p>
  </w:footnote>
  <w:footnote w:id="32">
    <w:p w14:paraId="3D38309E" w14:textId="6811D6DF"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Varner, </w:t>
      </w:r>
      <w:r w:rsidR="00F1403D" w:rsidRPr="004B1355">
        <w:rPr>
          <w:sz w:val="16"/>
          <w:szCs w:val="16"/>
        </w:rPr>
        <w:t>p</w:t>
      </w:r>
      <w:r w:rsidRPr="004B1355">
        <w:rPr>
          <w:sz w:val="16"/>
          <w:szCs w:val="16"/>
        </w:rPr>
        <w:t>p.</w:t>
      </w:r>
      <w:r w:rsidR="00F773F6" w:rsidRPr="004B1355">
        <w:rPr>
          <w:sz w:val="16"/>
          <w:szCs w:val="16"/>
        </w:rPr>
        <w:t xml:space="preserve"> </w:t>
      </w:r>
      <w:r w:rsidRPr="004B1355">
        <w:rPr>
          <w:sz w:val="16"/>
          <w:szCs w:val="16"/>
        </w:rPr>
        <w:t>159-163</w:t>
      </w:r>
    </w:p>
  </w:footnote>
  <w:footnote w:id="33">
    <w:p w14:paraId="2FADDF90" w14:textId="5F75B8C4"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590051" w:rsidRPr="004B1355">
        <w:rPr>
          <w:sz w:val="16"/>
          <w:szCs w:val="16"/>
        </w:rPr>
        <w:t>Thomas</w:t>
      </w:r>
      <w:r w:rsidR="00F1403D" w:rsidRPr="004B1355">
        <w:rPr>
          <w:sz w:val="16"/>
          <w:szCs w:val="16"/>
        </w:rPr>
        <w:t xml:space="preserve">, </w:t>
      </w:r>
      <w:r w:rsidR="00590051" w:rsidRPr="004B1355">
        <w:rPr>
          <w:sz w:val="16"/>
          <w:szCs w:val="16"/>
        </w:rPr>
        <w:t>p</w:t>
      </w:r>
      <w:r w:rsidR="00F1403D" w:rsidRPr="004B1355">
        <w:rPr>
          <w:sz w:val="16"/>
          <w:szCs w:val="16"/>
        </w:rPr>
        <w:t>p</w:t>
      </w:r>
      <w:r w:rsidR="00590051" w:rsidRPr="004B1355">
        <w:rPr>
          <w:sz w:val="16"/>
          <w:szCs w:val="16"/>
        </w:rPr>
        <w:t>. 219-223</w:t>
      </w:r>
    </w:p>
  </w:footnote>
  <w:footnote w:id="34">
    <w:p w14:paraId="3C6659B3" w14:textId="2CB648C1"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Varner</w:t>
      </w:r>
      <w:r w:rsidR="00F773F6" w:rsidRPr="004B1355">
        <w:rPr>
          <w:sz w:val="16"/>
          <w:szCs w:val="16"/>
        </w:rPr>
        <w:t>,</w:t>
      </w:r>
      <w:r w:rsidRPr="004B1355">
        <w:rPr>
          <w:sz w:val="16"/>
          <w:szCs w:val="16"/>
        </w:rPr>
        <w:t xml:space="preserve"> p.</w:t>
      </w:r>
      <w:r w:rsidR="00BF6183" w:rsidRPr="004B1355">
        <w:rPr>
          <w:sz w:val="16"/>
          <w:szCs w:val="16"/>
        </w:rPr>
        <w:t xml:space="preserve"> </w:t>
      </w:r>
      <w:r w:rsidRPr="004B1355">
        <w:rPr>
          <w:sz w:val="16"/>
          <w:szCs w:val="16"/>
        </w:rPr>
        <w:t>161</w:t>
      </w:r>
    </w:p>
  </w:footnote>
  <w:footnote w:id="35">
    <w:p w14:paraId="3ECEB7B8" w14:textId="0260978D"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p</w:t>
      </w:r>
      <w:r w:rsidR="00BF6183" w:rsidRPr="004B1355">
        <w:rPr>
          <w:sz w:val="16"/>
          <w:szCs w:val="16"/>
        </w:rPr>
        <w:t>p</w:t>
      </w:r>
      <w:r w:rsidRPr="004B1355">
        <w:rPr>
          <w:sz w:val="16"/>
          <w:szCs w:val="16"/>
        </w:rPr>
        <w:t>.</w:t>
      </w:r>
      <w:r w:rsidR="00BF6183" w:rsidRPr="004B1355">
        <w:rPr>
          <w:sz w:val="16"/>
          <w:szCs w:val="16"/>
        </w:rPr>
        <w:t xml:space="preserve"> </w:t>
      </w:r>
      <w:r w:rsidRPr="004B1355">
        <w:rPr>
          <w:sz w:val="16"/>
          <w:szCs w:val="16"/>
        </w:rPr>
        <w:t>21-22</w:t>
      </w:r>
    </w:p>
  </w:footnote>
  <w:footnote w:id="36">
    <w:p w14:paraId="1B6AD9E6" w14:textId="7C9BDC55"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Jones,</w:t>
      </w:r>
      <w:r w:rsidRPr="004B1355">
        <w:rPr>
          <w:sz w:val="16"/>
          <w:szCs w:val="16"/>
        </w:rPr>
        <w:t xml:space="preserve"> pp.</w:t>
      </w:r>
      <w:r w:rsidR="00BF6183" w:rsidRPr="004B1355">
        <w:rPr>
          <w:sz w:val="16"/>
          <w:szCs w:val="16"/>
        </w:rPr>
        <w:t xml:space="preserve"> </w:t>
      </w:r>
      <w:r w:rsidRPr="004B1355">
        <w:rPr>
          <w:sz w:val="16"/>
          <w:szCs w:val="16"/>
        </w:rPr>
        <w:t>21-22</w:t>
      </w:r>
    </w:p>
  </w:footnote>
  <w:footnote w:id="37">
    <w:p w14:paraId="6D360E0A" w14:textId="0704FFC4"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F1403D" w:rsidRPr="004B1355">
        <w:rPr>
          <w:sz w:val="16"/>
          <w:szCs w:val="16"/>
        </w:rPr>
        <w:t xml:space="preserve">Bord et al, </w:t>
      </w:r>
      <w:r w:rsidR="0032432D" w:rsidRPr="004B1355">
        <w:rPr>
          <w:sz w:val="16"/>
          <w:szCs w:val="16"/>
        </w:rPr>
        <w:t>pp. 7-12</w:t>
      </w:r>
    </w:p>
  </w:footnote>
  <w:footnote w:id="38">
    <w:p w14:paraId="4DC58C65" w14:textId="4DA5CF37"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8D31FD" w:rsidRPr="004B1355">
        <w:rPr>
          <w:sz w:val="16"/>
          <w:szCs w:val="16"/>
        </w:rPr>
        <w:t xml:space="preserve">Online Website, available at </w:t>
      </w:r>
      <w:hyperlink r:id="rId1" w:history="1">
        <w:r w:rsidR="008D31FD" w:rsidRPr="004B1355">
          <w:rPr>
            <w:rStyle w:val="Hyperlink"/>
            <w:sz w:val="16"/>
            <w:szCs w:val="16"/>
          </w:rPr>
          <w:t>https://cadw.gov.wales/visit/places-to-visit/st-winefrides-chapel-and-holy-well</w:t>
        </w:r>
      </w:hyperlink>
      <w:r w:rsidR="008D31FD" w:rsidRPr="004B1355">
        <w:rPr>
          <w:sz w:val="16"/>
          <w:szCs w:val="16"/>
        </w:rPr>
        <w:t xml:space="preserve"> (accessed 17/04/2023)</w:t>
      </w:r>
    </w:p>
  </w:footnote>
  <w:footnote w:id="39">
    <w:p w14:paraId="2EA7D4C9" w14:textId="61B93572"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Varner, pp. 75-80</w:t>
      </w:r>
      <w:r w:rsidR="0032432D" w:rsidRPr="004B1355">
        <w:rPr>
          <w:sz w:val="16"/>
          <w:szCs w:val="16"/>
        </w:rPr>
        <w:t xml:space="preserve">; </w:t>
      </w:r>
      <w:r w:rsidR="00F1403D" w:rsidRPr="004B1355">
        <w:rPr>
          <w:sz w:val="16"/>
          <w:szCs w:val="16"/>
        </w:rPr>
        <w:t>Bord et al,</w:t>
      </w:r>
      <w:r w:rsidR="0032432D" w:rsidRPr="004B1355">
        <w:rPr>
          <w:sz w:val="16"/>
          <w:szCs w:val="16"/>
        </w:rPr>
        <w:t xml:space="preserve"> pp. 7-12</w:t>
      </w:r>
    </w:p>
  </w:footnote>
  <w:footnote w:id="40">
    <w:p w14:paraId="0E314920" w14:textId="13B05E78"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8D31FD" w:rsidRPr="004B1355">
        <w:rPr>
          <w:sz w:val="16"/>
          <w:szCs w:val="16"/>
        </w:rPr>
        <w:t xml:space="preserve">Online Website, available at </w:t>
      </w:r>
      <w:hyperlink r:id="rId2" w:history="1">
        <w:r w:rsidR="008D31FD" w:rsidRPr="004B1355">
          <w:rPr>
            <w:rStyle w:val="Hyperlink"/>
            <w:sz w:val="16"/>
            <w:szCs w:val="16"/>
          </w:rPr>
          <w:t>https://cadw.gov.wales/visit/places-to-visit/st-winefrides-chapel-and-holy-well</w:t>
        </w:r>
      </w:hyperlink>
      <w:r w:rsidR="008D31FD" w:rsidRPr="004B1355">
        <w:rPr>
          <w:sz w:val="16"/>
          <w:szCs w:val="16"/>
        </w:rPr>
        <w:t xml:space="preserve"> (accessed 17/04/2023)</w:t>
      </w:r>
      <w:r w:rsidRPr="004B1355">
        <w:rPr>
          <w:sz w:val="16"/>
          <w:szCs w:val="16"/>
        </w:rPr>
        <w:t>; Stumpe</w:t>
      </w:r>
      <w:r w:rsidR="00F1403D" w:rsidRPr="004B1355">
        <w:rPr>
          <w:sz w:val="16"/>
          <w:szCs w:val="16"/>
        </w:rPr>
        <w:t xml:space="preserve">, </w:t>
      </w:r>
      <w:r w:rsidRPr="004B1355">
        <w:rPr>
          <w:sz w:val="16"/>
          <w:szCs w:val="16"/>
        </w:rPr>
        <w:t>p.</w:t>
      </w:r>
      <w:r w:rsidR="00F1403D" w:rsidRPr="004B1355">
        <w:rPr>
          <w:sz w:val="16"/>
          <w:szCs w:val="16"/>
        </w:rPr>
        <w:t xml:space="preserve"> </w:t>
      </w:r>
      <w:r w:rsidRPr="004B1355">
        <w:rPr>
          <w:sz w:val="16"/>
          <w:szCs w:val="16"/>
        </w:rPr>
        <w:t>67</w:t>
      </w:r>
    </w:p>
  </w:footnote>
  <w:footnote w:id="41">
    <w:p w14:paraId="5080A37B" w14:textId="6DB3C65A"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Cartwright</w:t>
      </w:r>
      <w:r w:rsidR="00BF6183" w:rsidRPr="004B1355">
        <w:rPr>
          <w:sz w:val="16"/>
          <w:szCs w:val="16"/>
        </w:rPr>
        <w:t>,</w:t>
      </w:r>
      <w:r w:rsidRPr="004B1355">
        <w:rPr>
          <w:sz w:val="16"/>
          <w:szCs w:val="16"/>
        </w:rPr>
        <w:t xml:space="preserve"> p.</w:t>
      </w:r>
      <w:r w:rsidR="00BF6183" w:rsidRPr="004B1355">
        <w:rPr>
          <w:sz w:val="16"/>
          <w:szCs w:val="16"/>
        </w:rPr>
        <w:t xml:space="preserve"> </w:t>
      </w:r>
      <w:r w:rsidRPr="004B1355">
        <w:rPr>
          <w:sz w:val="16"/>
          <w:szCs w:val="16"/>
        </w:rPr>
        <w:t>73</w:t>
      </w:r>
    </w:p>
  </w:footnote>
  <w:footnote w:id="42">
    <w:p w14:paraId="720C7601" w14:textId="357C5B2A" w:rsidR="00EC6011" w:rsidRPr="004B1355" w:rsidRDefault="00EC6011" w:rsidP="004B1355">
      <w:pPr>
        <w:pStyle w:val="NoSpacing"/>
        <w:rPr>
          <w:sz w:val="16"/>
          <w:szCs w:val="16"/>
        </w:rPr>
      </w:pPr>
      <w:r w:rsidRPr="004B1355">
        <w:rPr>
          <w:rStyle w:val="FootnoteReference"/>
          <w:sz w:val="16"/>
          <w:szCs w:val="16"/>
        </w:rPr>
        <w:footnoteRef/>
      </w:r>
      <w:r w:rsidRPr="004B1355">
        <w:rPr>
          <w:sz w:val="16"/>
          <w:szCs w:val="16"/>
        </w:rPr>
        <w:t xml:space="preserve"> </w:t>
      </w:r>
      <w:r w:rsidR="00BF6183" w:rsidRPr="004B1355">
        <w:rPr>
          <w:sz w:val="16"/>
          <w:szCs w:val="16"/>
        </w:rPr>
        <w:t>Rees,</w:t>
      </w:r>
      <w:r w:rsidRPr="004B1355">
        <w:rPr>
          <w:sz w:val="16"/>
          <w:szCs w:val="16"/>
        </w:rPr>
        <w:t xml:space="preserve"> p.</w:t>
      </w:r>
      <w:r w:rsidR="00BF6183" w:rsidRPr="004B1355">
        <w:rPr>
          <w:sz w:val="16"/>
          <w:szCs w:val="16"/>
        </w:rPr>
        <w:t xml:space="preserve"> </w:t>
      </w:r>
      <w:r w:rsidRPr="004B1355">
        <w:rPr>
          <w:sz w:val="16"/>
          <w:szCs w:val="16"/>
        </w:rPr>
        <w:t>146-147</w:t>
      </w:r>
      <w:r w:rsidR="00BF6183" w:rsidRPr="004B1355">
        <w:rPr>
          <w:sz w:val="16"/>
          <w:szCs w:val="16"/>
        </w:rPr>
        <w:t>;</w:t>
      </w:r>
      <w:r w:rsidRPr="004B1355">
        <w:rPr>
          <w:sz w:val="16"/>
          <w:szCs w:val="16"/>
        </w:rPr>
        <w:t xml:space="preserve"> </w:t>
      </w:r>
      <w:r w:rsidR="00F1403D" w:rsidRPr="004B1355">
        <w:rPr>
          <w:sz w:val="16"/>
          <w:szCs w:val="16"/>
        </w:rPr>
        <w:t xml:space="preserve">J. </w:t>
      </w:r>
      <w:r w:rsidR="00F1403D" w:rsidRPr="004B1355">
        <w:rPr>
          <w:sz w:val="16"/>
          <w:szCs w:val="16"/>
        </w:rPr>
        <w:t xml:space="preserve">Cartwright, </w:t>
      </w:r>
      <w:r w:rsidR="00F1403D" w:rsidRPr="00B80A78">
        <w:rPr>
          <w:i/>
          <w:iCs/>
          <w:sz w:val="16"/>
          <w:szCs w:val="16"/>
        </w:rPr>
        <w:t>T</w:t>
      </w:r>
      <w:r w:rsidR="00F1403D" w:rsidRPr="00B80A78">
        <w:rPr>
          <w:i/>
          <w:iCs/>
          <w:sz w:val="16"/>
          <w:szCs w:val="16"/>
        </w:rPr>
        <w:t>he Welsh Versions of the Life of Gwenfrewy</w:t>
      </w:r>
      <w:r w:rsidR="00F1403D" w:rsidRPr="004B1355">
        <w:rPr>
          <w:sz w:val="16"/>
          <w:szCs w:val="16"/>
        </w:rPr>
        <w:t xml:space="preserve">, (Aberystwyth: Canolfan Uwchefrydiay Cymreig </w:t>
      </w:r>
      <w:r w:rsidR="00C95BCB" w:rsidRPr="004B1355">
        <w:rPr>
          <w:sz w:val="16"/>
          <w:szCs w:val="16"/>
        </w:rPr>
        <w:t>a</w:t>
      </w:r>
      <w:r w:rsidR="00F1403D" w:rsidRPr="004B1355">
        <w:rPr>
          <w:sz w:val="16"/>
          <w:szCs w:val="16"/>
        </w:rPr>
        <w:t xml:space="preserve"> Cheltaidd, 2022)</w:t>
      </w:r>
      <w:r w:rsidR="00F1403D" w:rsidRPr="004B1355">
        <w:rPr>
          <w:sz w:val="16"/>
          <w:szCs w:val="16"/>
        </w:rPr>
        <w:t>,</w:t>
      </w:r>
      <w:r w:rsidR="00F1403D" w:rsidRPr="004B1355">
        <w:rPr>
          <w:sz w:val="16"/>
          <w:szCs w:val="16"/>
        </w:rPr>
        <w:t xml:space="preserve"> 237-268</w:t>
      </w:r>
      <w:r w:rsidR="00F1403D" w:rsidRPr="004B1355">
        <w:rPr>
          <w:sz w:val="16"/>
          <w:szCs w:val="16"/>
        </w:rPr>
        <w:t xml:space="preserve">, </w:t>
      </w:r>
      <w:r w:rsidRPr="004B1355">
        <w:rPr>
          <w:sz w:val="16"/>
          <w:szCs w:val="16"/>
        </w:rPr>
        <w:t>p.</w:t>
      </w:r>
      <w:r w:rsidR="002D4602">
        <w:rPr>
          <w:sz w:val="16"/>
          <w:szCs w:val="16"/>
        </w:rPr>
        <w:t xml:space="preserve"> </w:t>
      </w:r>
      <w:r w:rsidRPr="004B1355">
        <w:rPr>
          <w:sz w:val="16"/>
          <w:szCs w:val="16"/>
        </w:rPr>
        <w:t>238</w:t>
      </w:r>
    </w:p>
  </w:footnote>
  <w:footnote w:id="43">
    <w:p w14:paraId="2C12E720" w14:textId="30A43F7A" w:rsidR="00EC6011" w:rsidRDefault="00EC6011" w:rsidP="004B1355">
      <w:pPr>
        <w:pStyle w:val="NoSpacing"/>
      </w:pPr>
      <w:r w:rsidRPr="004B1355">
        <w:rPr>
          <w:rStyle w:val="FootnoteReference"/>
          <w:sz w:val="16"/>
          <w:szCs w:val="16"/>
        </w:rPr>
        <w:footnoteRef/>
      </w:r>
      <w:r w:rsidRPr="004B1355">
        <w:rPr>
          <w:sz w:val="16"/>
          <w:szCs w:val="16"/>
        </w:rPr>
        <w:t xml:space="preserve"> Pritchard</w:t>
      </w:r>
      <w:r w:rsidR="00BF6183" w:rsidRPr="004B1355">
        <w:rPr>
          <w:sz w:val="16"/>
          <w:szCs w:val="16"/>
        </w:rPr>
        <w:t>,</w:t>
      </w:r>
      <w:r w:rsidRPr="004B1355">
        <w:rPr>
          <w:sz w:val="16"/>
          <w:szCs w:val="16"/>
        </w:rPr>
        <w:t xml:space="preserve"> pp.</w:t>
      </w:r>
      <w:r w:rsidR="00BF6183" w:rsidRPr="004B1355">
        <w:rPr>
          <w:sz w:val="16"/>
          <w:szCs w:val="16"/>
        </w:rPr>
        <w:t xml:space="preserve"> </w:t>
      </w:r>
      <w:r w:rsidRPr="004B1355">
        <w:rPr>
          <w:sz w:val="16"/>
          <w:szCs w:val="16"/>
        </w:rPr>
        <w:t>338-393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011"/>
    <w:rsid w:val="00147F04"/>
    <w:rsid w:val="00210045"/>
    <w:rsid w:val="002D4602"/>
    <w:rsid w:val="0032432D"/>
    <w:rsid w:val="00390550"/>
    <w:rsid w:val="003B1CF9"/>
    <w:rsid w:val="003B5A5A"/>
    <w:rsid w:val="0042168F"/>
    <w:rsid w:val="00466A0A"/>
    <w:rsid w:val="004A40A7"/>
    <w:rsid w:val="004B1355"/>
    <w:rsid w:val="00556459"/>
    <w:rsid w:val="00590051"/>
    <w:rsid w:val="005B18B4"/>
    <w:rsid w:val="006E029A"/>
    <w:rsid w:val="006F0CAA"/>
    <w:rsid w:val="008925DD"/>
    <w:rsid w:val="008D31FD"/>
    <w:rsid w:val="009208F1"/>
    <w:rsid w:val="009233C7"/>
    <w:rsid w:val="00944AB6"/>
    <w:rsid w:val="009A11FB"/>
    <w:rsid w:val="00A32A89"/>
    <w:rsid w:val="00AB038A"/>
    <w:rsid w:val="00B80A78"/>
    <w:rsid w:val="00BF6183"/>
    <w:rsid w:val="00C33C58"/>
    <w:rsid w:val="00C77FF8"/>
    <w:rsid w:val="00C95BCB"/>
    <w:rsid w:val="00D04ED6"/>
    <w:rsid w:val="00D5154F"/>
    <w:rsid w:val="00DC6583"/>
    <w:rsid w:val="00E00384"/>
    <w:rsid w:val="00E16B44"/>
    <w:rsid w:val="00E5213A"/>
    <w:rsid w:val="00EB4139"/>
    <w:rsid w:val="00EC6011"/>
    <w:rsid w:val="00F1403D"/>
    <w:rsid w:val="00F616C4"/>
    <w:rsid w:val="00F773F6"/>
    <w:rsid w:val="00F83B1A"/>
    <w:rsid w:val="00FE73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EBB44"/>
  <w15:chartTrackingRefBased/>
  <w15:docId w15:val="{BFE2EF99-93CC-433F-907A-16B3A03EB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0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C60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6011"/>
    <w:rPr>
      <w:sz w:val="20"/>
      <w:szCs w:val="20"/>
    </w:rPr>
  </w:style>
  <w:style w:type="character" w:styleId="FootnoteReference">
    <w:name w:val="footnote reference"/>
    <w:basedOn w:val="DefaultParagraphFont"/>
    <w:uiPriority w:val="99"/>
    <w:semiHidden/>
    <w:unhideWhenUsed/>
    <w:rsid w:val="00EC6011"/>
    <w:rPr>
      <w:vertAlign w:val="superscript"/>
    </w:rPr>
  </w:style>
  <w:style w:type="character" w:styleId="Hyperlink">
    <w:name w:val="Hyperlink"/>
    <w:basedOn w:val="DefaultParagraphFont"/>
    <w:uiPriority w:val="99"/>
    <w:unhideWhenUsed/>
    <w:rsid w:val="00EC6011"/>
    <w:rPr>
      <w:color w:val="0563C1" w:themeColor="hyperlink"/>
      <w:u w:val="single"/>
    </w:rPr>
  </w:style>
  <w:style w:type="paragraph" w:styleId="NoSpacing">
    <w:name w:val="No Spacing"/>
    <w:uiPriority w:val="1"/>
    <w:qFormat/>
    <w:rsid w:val="00EC6011"/>
    <w:pPr>
      <w:spacing w:after="0" w:line="240" w:lineRule="auto"/>
    </w:pPr>
  </w:style>
  <w:style w:type="character" w:styleId="UnresolvedMention">
    <w:name w:val="Unresolved Mention"/>
    <w:basedOn w:val="DefaultParagraphFont"/>
    <w:uiPriority w:val="99"/>
    <w:semiHidden/>
    <w:unhideWhenUsed/>
    <w:rsid w:val="008D31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dw.gov.wales/visit/places-to-visit/st-winefrides-chapel-and-holy-well"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2" Type="http://schemas.openxmlformats.org/officeDocument/2006/relationships/hyperlink" Target="https://cadw.gov.wales/visit/places-to-visit/st-winefrides-chapel-and-holy-well" TargetMode="External"/><Relationship Id="rId1" Type="http://schemas.openxmlformats.org/officeDocument/2006/relationships/hyperlink" Target="https://cadw.gov.wales/visit/places-to-visit/st-winefrides-chapel-and-holy-w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5</Pages>
  <Words>2273</Words>
  <Characters>10844</Characters>
  <Application>Microsoft Office Word</Application>
  <DocSecurity>0</DocSecurity>
  <Lines>126</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9</cp:revision>
  <dcterms:created xsi:type="dcterms:W3CDTF">2023-04-19T19:47:00Z</dcterms:created>
  <dcterms:modified xsi:type="dcterms:W3CDTF">2023-04-19T21:02:00Z</dcterms:modified>
</cp:coreProperties>
</file>