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E12689" w14:textId="08622EB6" w:rsidR="0BAA5521" w:rsidRDefault="002C4E60" w:rsidP="0BAA5521">
      <w:pPr>
        <w:spacing w:line="360" w:lineRule="auto"/>
        <w:jc w:val="center"/>
        <w:rPr>
          <w:rFonts w:ascii="Calibri" w:eastAsia="Calibri" w:hAnsi="Calibri" w:cs="Calibri"/>
          <w:color w:val="54A2C3" w:themeColor="accent1" w:themeTint="99"/>
          <w:sz w:val="40"/>
          <w:szCs w:val="40"/>
        </w:rPr>
      </w:pPr>
      <w:bookmarkStart w:id="0" w:name="_GoBack"/>
      <w:bookmarkEnd w:id="0"/>
      <w:r>
        <w:rPr>
          <w:rFonts w:ascii="Calibri" w:eastAsia="Calibri" w:hAnsi="Calibri" w:cs="Calibri"/>
          <w:color w:val="54A2C3" w:themeColor="accent1" w:themeTint="99"/>
          <w:sz w:val="40"/>
          <w:szCs w:val="40"/>
        </w:rPr>
        <w:t xml:space="preserve"> </w:t>
      </w:r>
    </w:p>
    <w:p w14:paraId="2518A860" w14:textId="421447CE" w:rsidR="0BAA5521" w:rsidRDefault="0BAA5521" w:rsidP="0BAA5521">
      <w:pPr>
        <w:spacing w:line="360" w:lineRule="auto"/>
        <w:jc w:val="center"/>
        <w:rPr>
          <w:rFonts w:ascii="Calibri" w:eastAsia="Calibri" w:hAnsi="Calibri" w:cs="Calibri"/>
          <w:color w:val="54A2C3" w:themeColor="accent1" w:themeTint="99"/>
          <w:sz w:val="40"/>
          <w:szCs w:val="40"/>
        </w:rPr>
      </w:pPr>
    </w:p>
    <w:p w14:paraId="2224FC37" w14:textId="41A6F50B" w:rsidR="0BAA5521" w:rsidRDefault="0BAA5521" w:rsidP="0BAA5521">
      <w:pPr>
        <w:spacing w:line="360" w:lineRule="auto"/>
        <w:jc w:val="center"/>
        <w:rPr>
          <w:rFonts w:ascii="Calibri" w:eastAsia="Calibri" w:hAnsi="Calibri" w:cs="Calibri"/>
          <w:color w:val="54A2C3" w:themeColor="accent1" w:themeTint="99"/>
          <w:sz w:val="40"/>
          <w:szCs w:val="40"/>
        </w:rPr>
      </w:pPr>
    </w:p>
    <w:p w14:paraId="3B501573" w14:textId="10259608" w:rsidR="534AF231" w:rsidRDefault="0BAA5521" w:rsidP="0BAA5521">
      <w:pPr>
        <w:spacing w:line="360" w:lineRule="auto"/>
        <w:jc w:val="center"/>
        <w:rPr>
          <w:rFonts w:ascii="Calibri" w:eastAsia="Calibri" w:hAnsi="Calibri" w:cs="Calibri"/>
          <w:color w:val="54A2C3" w:themeColor="accent1" w:themeTint="99"/>
          <w:sz w:val="40"/>
          <w:szCs w:val="40"/>
        </w:rPr>
      </w:pPr>
      <w:r w:rsidRPr="0BAA5521">
        <w:rPr>
          <w:rFonts w:ascii="Calibri" w:eastAsia="Calibri" w:hAnsi="Calibri" w:cs="Calibri"/>
          <w:color w:val="54A2C3" w:themeColor="accent1" w:themeTint="99"/>
          <w:sz w:val="40"/>
          <w:szCs w:val="40"/>
        </w:rPr>
        <w:t>An analysis of the current situation in the NHS: A report</w:t>
      </w:r>
    </w:p>
    <w:p w14:paraId="51E71DE6" w14:textId="05F5C161" w:rsidR="0BAA5521" w:rsidRDefault="0BAA5521" w:rsidP="0BAA5521">
      <w:pPr>
        <w:spacing w:line="360" w:lineRule="auto"/>
        <w:jc w:val="center"/>
        <w:rPr>
          <w:rFonts w:ascii="Calibri" w:eastAsia="Calibri" w:hAnsi="Calibri" w:cs="Calibri"/>
          <w:color w:val="54A2C3" w:themeColor="accent1" w:themeTint="99"/>
          <w:sz w:val="40"/>
          <w:szCs w:val="40"/>
        </w:rPr>
      </w:pPr>
    </w:p>
    <w:p w14:paraId="570E2990" w14:textId="2B9918DA" w:rsidR="0BAA5521" w:rsidRDefault="0BAA5521" w:rsidP="0BAA5521">
      <w:pPr>
        <w:spacing w:line="360" w:lineRule="auto"/>
        <w:jc w:val="center"/>
        <w:rPr>
          <w:rFonts w:ascii="Calibri" w:eastAsia="Calibri" w:hAnsi="Calibri" w:cs="Calibri"/>
          <w:color w:val="54A2C3" w:themeColor="accent1" w:themeTint="99"/>
          <w:sz w:val="40"/>
          <w:szCs w:val="40"/>
        </w:rPr>
      </w:pPr>
      <w:r w:rsidRPr="0BAA5521">
        <w:rPr>
          <w:rFonts w:ascii="Calibri" w:eastAsia="Calibri" w:hAnsi="Calibri" w:cs="Calibri"/>
          <w:color w:val="54A2C3" w:themeColor="accent1" w:themeTint="99"/>
          <w:sz w:val="36"/>
          <w:szCs w:val="36"/>
        </w:rPr>
        <w:t xml:space="preserve">Lubna </w:t>
      </w:r>
      <w:r w:rsidR="002C4E60">
        <w:rPr>
          <w:rFonts w:ascii="Calibri" w:eastAsia="Calibri" w:hAnsi="Calibri" w:cs="Calibri"/>
          <w:color w:val="54A2C3" w:themeColor="accent1" w:themeTint="99"/>
          <w:sz w:val="36"/>
          <w:szCs w:val="36"/>
        </w:rPr>
        <w:t>Begum</w:t>
      </w:r>
    </w:p>
    <w:p w14:paraId="6E7D7CDA" w14:textId="0A92A3AF" w:rsidR="0BAA5521" w:rsidRDefault="0BAA5521" w:rsidP="0BAA5521">
      <w:pPr>
        <w:spacing w:line="360" w:lineRule="auto"/>
        <w:jc w:val="center"/>
        <w:rPr>
          <w:rFonts w:ascii="Calibri" w:eastAsia="Calibri" w:hAnsi="Calibri" w:cs="Calibri"/>
          <w:color w:val="54A2C3" w:themeColor="accent1" w:themeTint="99"/>
          <w:sz w:val="36"/>
          <w:szCs w:val="36"/>
        </w:rPr>
      </w:pPr>
      <w:r w:rsidRPr="0BAA5521">
        <w:rPr>
          <w:rFonts w:ascii="Calibri" w:eastAsia="Calibri" w:hAnsi="Calibri" w:cs="Calibri"/>
          <w:color w:val="54A2C3" w:themeColor="accent1" w:themeTint="99"/>
          <w:sz w:val="36"/>
          <w:szCs w:val="36"/>
        </w:rPr>
        <w:t>Student No:</w:t>
      </w:r>
      <w:r w:rsidR="002C4E60">
        <w:rPr>
          <w:rFonts w:ascii="Calibri" w:eastAsia="Calibri" w:hAnsi="Calibri" w:cs="Calibri"/>
          <w:color w:val="54A2C3" w:themeColor="accent1" w:themeTint="99"/>
          <w:sz w:val="36"/>
          <w:szCs w:val="36"/>
        </w:rPr>
        <w:t xml:space="preserve"> 1704803</w:t>
      </w:r>
    </w:p>
    <w:p w14:paraId="17DF6FF6" w14:textId="61AE08D6" w:rsidR="534AF231" w:rsidRDefault="0BAA5521" w:rsidP="10484017">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 </w:t>
      </w:r>
    </w:p>
    <w:p w14:paraId="2B5C03B9" w14:textId="2E454132" w:rsidR="534AF231" w:rsidRDefault="534AF231" w:rsidP="0BAA5521">
      <w:pPr>
        <w:spacing w:line="360" w:lineRule="auto"/>
        <w:rPr>
          <w:rFonts w:ascii="Arial" w:eastAsia="Arial" w:hAnsi="Arial" w:cs="Arial"/>
          <w:color w:val="auto"/>
          <w:sz w:val="24"/>
          <w:szCs w:val="24"/>
        </w:rPr>
      </w:pPr>
    </w:p>
    <w:p w14:paraId="03B123B6" w14:textId="433B17BC" w:rsidR="534AF231" w:rsidRDefault="534AF231" w:rsidP="0BAA5521">
      <w:pPr>
        <w:spacing w:line="360" w:lineRule="auto"/>
        <w:rPr>
          <w:rFonts w:ascii="Arial" w:eastAsia="Arial" w:hAnsi="Arial" w:cs="Arial"/>
          <w:color w:val="auto"/>
          <w:sz w:val="24"/>
          <w:szCs w:val="24"/>
        </w:rPr>
      </w:pPr>
    </w:p>
    <w:p w14:paraId="044DFC21" w14:textId="2694AA63" w:rsidR="534AF231" w:rsidRDefault="534AF231" w:rsidP="0BAA5521">
      <w:pPr>
        <w:spacing w:line="360" w:lineRule="auto"/>
        <w:rPr>
          <w:rFonts w:ascii="Arial" w:eastAsia="Arial" w:hAnsi="Arial" w:cs="Arial"/>
          <w:color w:val="auto"/>
          <w:sz w:val="24"/>
          <w:szCs w:val="24"/>
        </w:rPr>
      </w:pPr>
    </w:p>
    <w:p w14:paraId="06B1386E" w14:textId="1FC3F959" w:rsidR="534AF231" w:rsidRDefault="534AF231" w:rsidP="0BAA5521">
      <w:pPr>
        <w:spacing w:line="360" w:lineRule="auto"/>
        <w:rPr>
          <w:rFonts w:ascii="Arial" w:eastAsia="Arial" w:hAnsi="Arial" w:cs="Arial"/>
          <w:color w:val="auto"/>
          <w:sz w:val="24"/>
          <w:szCs w:val="24"/>
        </w:rPr>
      </w:pPr>
    </w:p>
    <w:p w14:paraId="3D36FA44" w14:textId="0B13D2E5" w:rsidR="534AF231" w:rsidRDefault="534AF231" w:rsidP="0BAA5521">
      <w:pPr>
        <w:spacing w:line="360" w:lineRule="auto"/>
        <w:rPr>
          <w:rFonts w:ascii="Arial" w:eastAsia="Arial" w:hAnsi="Arial" w:cs="Arial"/>
          <w:color w:val="auto"/>
          <w:sz w:val="24"/>
          <w:szCs w:val="24"/>
        </w:rPr>
      </w:pPr>
    </w:p>
    <w:p w14:paraId="039E0E8F" w14:textId="1C8A8E6E" w:rsidR="534AF231" w:rsidRDefault="534AF231" w:rsidP="0BAA5521">
      <w:pPr>
        <w:spacing w:line="360" w:lineRule="auto"/>
        <w:rPr>
          <w:rFonts w:ascii="Arial" w:eastAsia="Arial" w:hAnsi="Arial" w:cs="Arial"/>
          <w:color w:val="auto"/>
          <w:sz w:val="24"/>
          <w:szCs w:val="24"/>
        </w:rPr>
      </w:pPr>
    </w:p>
    <w:p w14:paraId="0404EE3B" w14:textId="01DDC9B2" w:rsidR="534AF231" w:rsidRDefault="534AF231" w:rsidP="0BAA5521">
      <w:pPr>
        <w:spacing w:line="360" w:lineRule="auto"/>
        <w:rPr>
          <w:rFonts w:ascii="Arial" w:eastAsia="Arial" w:hAnsi="Arial" w:cs="Arial"/>
          <w:color w:val="auto"/>
          <w:sz w:val="24"/>
          <w:szCs w:val="24"/>
        </w:rPr>
      </w:pPr>
    </w:p>
    <w:p w14:paraId="6164277E" w14:textId="60CC5213" w:rsidR="534AF231" w:rsidRDefault="534AF231" w:rsidP="0BAA5521">
      <w:pPr>
        <w:spacing w:line="360" w:lineRule="auto"/>
        <w:rPr>
          <w:rFonts w:ascii="Arial" w:eastAsia="Arial" w:hAnsi="Arial" w:cs="Arial"/>
          <w:color w:val="auto"/>
          <w:sz w:val="24"/>
          <w:szCs w:val="24"/>
        </w:rPr>
      </w:pPr>
    </w:p>
    <w:p w14:paraId="009A6BD6" w14:textId="49D8215E" w:rsidR="534AF231" w:rsidRDefault="534AF231" w:rsidP="0BAA5521">
      <w:pPr>
        <w:spacing w:line="360" w:lineRule="auto"/>
        <w:rPr>
          <w:rFonts w:ascii="Arial" w:eastAsia="Arial" w:hAnsi="Arial" w:cs="Arial"/>
          <w:color w:val="auto"/>
          <w:sz w:val="24"/>
          <w:szCs w:val="24"/>
        </w:rPr>
      </w:pPr>
    </w:p>
    <w:p w14:paraId="607959EC" w14:textId="59ABC7BA" w:rsidR="534AF231" w:rsidRDefault="534AF231" w:rsidP="0BAA5521">
      <w:pPr>
        <w:spacing w:line="360" w:lineRule="auto"/>
        <w:rPr>
          <w:rFonts w:ascii="Arial" w:eastAsia="Arial" w:hAnsi="Arial" w:cs="Arial"/>
          <w:color w:val="auto"/>
          <w:sz w:val="24"/>
          <w:szCs w:val="24"/>
        </w:rPr>
      </w:pPr>
    </w:p>
    <w:p w14:paraId="26EC5D8F" w14:textId="73C353FB" w:rsidR="534AF231" w:rsidRDefault="534AF231" w:rsidP="0BAA5521">
      <w:pPr>
        <w:spacing w:line="360" w:lineRule="auto"/>
        <w:rPr>
          <w:rFonts w:ascii="Arial" w:eastAsia="Arial" w:hAnsi="Arial" w:cs="Arial"/>
          <w:color w:val="auto"/>
          <w:sz w:val="24"/>
          <w:szCs w:val="24"/>
        </w:rPr>
      </w:pPr>
    </w:p>
    <w:p w14:paraId="44A8B4F7" w14:textId="2CF11945" w:rsidR="534AF231" w:rsidRDefault="534AF231" w:rsidP="0BAA5521">
      <w:pPr>
        <w:spacing w:line="360" w:lineRule="auto"/>
        <w:rPr>
          <w:rFonts w:ascii="Arial" w:eastAsia="Arial" w:hAnsi="Arial" w:cs="Arial"/>
          <w:color w:val="auto"/>
          <w:sz w:val="24"/>
          <w:szCs w:val="24"/>
        </w:rPr>
      </w:pPr>
      <w:r>
        <w:lastRenderedPageBreak/>
        <w:br/>
      </w:r>
      <w:r>
        <w:br/>
      </w:r>
      <w:r w:rsidR="0BAA5521" w:rsidRPr="0BAA5521">
        <w:rPr>
          <w:rFonts w:ascii="Arial" w:eastAsia="Arial" w:hAnsi="Arial" w:cs="Arial"/>
          <w:color w:val="auto"/>
          <w:sz w:val="24"/>
          <w:szCs w:val="24"/>
        </w:rPr>
        <w:t>Table of Contents</w:t>
      </w:r>
    </w:p>
    <w:p w14:paraId="143120E4" w14:textId="53061E0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Executive Summary</w:t>
      </w:r>
    </w:p>
    <w:p w14:paraId="3DF33583" w14:textId="7289F5E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Introduction</w:t>
      </w:r>
    </w:p>
    <w:p w14:paraId="60C8923A" w14:textId="716CE8CE"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Main Body:</w:t>
      </w:r>
    </w:p>
    <w:p w14:paraId="41934D91" w14:textId="083E8B83"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Current Problems</w:t>
      </w:r>
    </w:p>
    <w:p w14:paraId="189176DC" w14:textId="752DBE5B"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Stakeholder Analysis</w:t>
      </w:r>
    </w:p>
    <w:p w14:paraId="763ED3FD" w14:textId="05713028"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PESTLE analysis</w:t>
      </w:r>
    </w:p>
    <w:p w14:paraId="0BA617D3" w14:textId="4BEDE193" w:rsidR="4024A1D2"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Discussion</w:t>
      </w:r>
    </w:p>
    <w:p w14:paraId="2039F581" w14:textId="4BE99D71" w:rsidR="4024A1D2"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Solutions</w:t>
      </w:r>
    </w:p>
    <w:p w14:paraId="3A24F257" w14:textId="1B9F7061"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Conclusion</w:t>
      </w:r>
    </w:p>
    <w:p w14:paraId="147FF76B" w14:textId="67BC9941"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34C20F60" w14:textId="6AB4F7DB" w:rsidR="534AF231" w:rsidRDefault="0BAA5521" w:rsidP="10484017">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 </w:t>
      </w:r>
    </w:p>
    <w:p w14:paraId="451D852E" w14:textId="021BECFB" w:rsidR="534AF231" w:rsidRDefault="534AF231" w:rsidP="0BAA5521">
      <w:pPr>
        <w:spacing w:line="360" w:lineRule="auto"/>
        <w:rPr>
          <w:rFonts w:ascii="Arial" w:eastAsia="Arial" w:hAnsi="Arial" w:cs="Arial"/>
          <w:color w:val="auto"/>
          <w:sz w:val="24"/>
          <w:szCs w:val="24"/>
        </w:rPr>
      </w:pPr>
    </w:p>
    <w:p w14:paraId="669D6D29" w14:textId="1EF514D4" w:rsidR="534AF231" w:rsidRDefault="534AF231" w:rsidP="0BAA5521">
      <w:pPr>
        <w:spacing w:line="360" w:lineRule="auto"/>
        <w:rPr>
          <w:rFonts w:ascii="Arial" w:eastAsia="Arial" w:hAnsi="Arial" w:cs="Arial"/>
          <w:color w:val="auto"/>
          <w:sz w:val="24"/>
          <w:szCs w:val="24"/>
        </w:rPr>
      </w:pPr>
    </w:p>
    <w:p w14:paraId="434215E7" w14:textId="5AD5ACB3" w:rsidR="534AF231" w:rsidRDefault="534AF231" w:rsidP="0BAA5521">
      <w:pPr>
        <w:spacing w:line="360" w:lineRule="auto"/>
        <w:rPr>
          <w:rFonts w:ascii="Arial" w:eastAsia="Arial" w:hAnsi="Arial" w:cs="Arial"/>
          <w:color w:val="auto"/>
          <w:sz w:val="24"/>
          <w:szCs w:val="24"/>
        </w:rPr>
      </w:pPr>
    </w:p>
    <w:p w14:paraId="37B4D9BA" w14:textId="1B10E439" w:rsidR="534AF231" w:rsidRDefault="534AF231" w:rsidP="0BAA5521">
      <w:pPr>
        <w:spacing w:line="360" w:lineRule="auto"/>
        <w:rPr>
          <w:rFonts w:ascii="Arial" w:eastAsia="Arial" w:hAnsi="Arial" w:cs="Arial"/>
          <w:color w:val="auto"/>
          <w:sz w:val="24"/>
          <w:szCs w:val="24"/>
        </w:rPr>
      </w:pPr>
    </w:p>
    <w:p w14:paraId="15B171A4" w14:textId="21B07432" w:rsidR="534AF231" w:rsidRDefault="534AF231" w:rsidP="0BAA5521">
      <w:pPr>
        <w:spacing w:line="360" w:lineRule="auto"/>
        <w:rPr>
          <w:rFonts w:ascii="Arial" w:eastAsia="Arial" w:hAnsi="Arial" w:cs="Arial"/>
          <w:color w:val="auto"/>
          <w:sz w:val="24"/>
          <w:szCs w:val="24"/>
        </w:rPr>
      </w:pPr>
    </w:p>
    <w:p w14:paraId="0002C7DA" w14:textId="5C417A09" w:rsidR="534AF231" w:rsidRDefault="534AF231" w:rsidP="0BAA5521">
      <w:pPr>
        <w:spacing w:line="360" w:lineRule="auto"/>
        <w:rPr>
          <w:rFonts w:ascii="Arial" w:eastAsia="Arial" w:hAnsi="Arial" w:cs="Arial"/>
          <w:color w:val="auto"/>
          <w:sz w:val="24"/>
          <w:szCs w:val="24"/>
        </w:rPr>
      </w:pPr>
    </w:p>
    <w:p w14:paraId="5CB6A31F" w14:textId="59B822B4" w:rsidR="534AF231" w:rsidRDefault="534AF231" w:rsidP="0BAA5521">
      <w:pPr>
        <w:spacing w:line="360" w:lineRule="auto"/>
        <w:rPr>
          <w:rFonts w:ascii="Arial" w:eastAsia="Arial" w:hAnsi="Arial" w:cs="Arial"/>
          <w:color w:val="auto"/>
          <w:sz w:val="24"/>
          <w:szCs w:val="24"/>
        </w:rPr>
      </w:pPr>
    </w:p>
    <w:p w14:paraId="1D438F88" w14:textId="78E1E551" w:rsidR="534AF231" w:rsidRDefault="534AF231" w:rsidP="0BAA5521">
      <w:pPr>
        <w:spacing w:line="360" w:lineRule="auto"/>
        <w:rPr>
          <w:rFonts w:ascii="Arial" w:eastAsia="Arial" w:hAnsi="Arial" w:cs="Arial"/>
          <w:color w:val="auto"/>
          <w:sz w:val="24"/>
          <w:szCs w:val="24"/>
        </w:rPr>
      </w:pPr>
    </w:p>
    <w:p w14:paraId="00C88B78" w14:textId="1EA50D57" w:rsidR="534AF231" w:rsidRDefault="534AF231" w:rsidP="0BAA5521">
      <w:pPr>
        <w:spacing w:line="360" w:lineRule="auto"/>
        <w:rPr>
          <w:rFonts w:ascii="Arial" w:eastAsia="Arial" w:hAnsi="Arial" w:cs="Arial"/>
          <w:color w:val="auto"/>
          <w:sz w:val="24"/>
          <w:szCs w:val="24"/>
        </w:rPr>
      </w:pPr>
    </w:p>
    <w:p w14:paraId="106C892F" w14:textId="7D8D1D1C" w:rsidR="534AF231" w:rsidRDefault="534AF231" w:rsidP="0BAA5521">
      <w:pPr>
        <w:spacing w:line="360" w:lineRule="auto"/>
        <w:rPr>
          <w:rFonts w:ascii="Arial" w:eastAsia="Arial" w:hAnsi="Arial" w:cs="Arial"/>
          <w:color w:val="auto"/>
          <w:sz w:val="24"/>
          <w:szCs w:val="24"/>
        </w:rPr>
      </w:pPr>
    </w:p>
    <w:p w14:paraId="37857E4C" w14:textId="220C1BC5"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lastRenderedPageBreak/>
        <w:t>Executive Summary</w:t>
      </w:r>
    </w:p>
    <w:p w14:paraId="311A9DB1" w14:textId="11896136"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The National Health Service (NHS) provides medical care to all UK residents and taxpayers. However, the NHS has begun to struggle in the last few years, causing waiting times for operations, GP appointments and A&amp;E services to balloon, shortages of hospital beds and increased mortality rates. This due to several factors – underfunding of social care and the NHS itself, Brexit, demoralisation of staff due to lower pay and higher working hours, an older, growing and more diverse population, technological advancements as well as the rise of litigation culture. </w:t>
      </w:r>
      <w:r w:rsidR="534AF231">
        <w:br/>
      </w:r>
      <w:r w:rsidRPr="0BAA5521">
        <w:rPr>
          <w:rFonts w:ascii="Arial" w:eastAsia="Arial" w:hAnsi="Arial" w:cs="Arial"/>
          <w:color w:val="auto"/>
          <w:sz w:val="24"/>
          <w:szCs w:val="24"/>
        </w:rPr>
        <w:t xml:space="preserve">The report suggests the Department of Health can do a lot more to help the NHS, as its current contribution does not inspire confidence in NHS stakeholders in respect to how they are supporting the service. However, the 100,000 genomes project run by the DoH is a step towards predictive medicine, which could slash costs. Further funding is recommended for social care, which often shares its workload with the NHS, while cutting the rise in costs and mortality associated with elderly patients taking up hospital beds for unnecessarily long periods. </w:t>
      </w:r>
      <w:r w:rsidR="534AF231">
        <w:br/>
      </w:r>
    </w:p>
    <w:p w14:paraId="7E10E4F1" w14:textId="7080FA27"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Introduction</w:t>
      </w:r>
    </w:p>
    <w:p w14:paraId="687B0589" w14:textId="1F48BE4E"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The National Health Service (NHS) is the primary provider of medical care in the UK. Created by Aneurin Bevan, it was formed in 1948; it was the first public healthcare system of its kind in the world - it provides a service that is free at the point of use and is funded by public taxation. </w:t>
      </w:r>
    </w:p>
    <w:p w14:paraId="67986889" w14:textId="5D043E0C"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The number of problems with the service have slowly become more of a public issue, as it seems the NHS is in a state of deterioration - most importantly for patients, there have been shortages of hospital beds, waiting times for everything from Accident and Emergency visits to life-saving operations have increased, and funding for social care has been drastically reduced. There are roughly 2 million visits to A&amp;E departments each month, with the figure on an upwards trend. (NHS England, 2018)</w:t>
      </w:r>
    </w:p>
    <w:p w14:paraId="6D3521CB" w14:textId="49C67F5A"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This report will look at the main problems facing the NHS, ways to analyse them, and will therefore will look to offer workable solutions to these problems.</w:t>
      </w:r>
    </w:p>
    <w:p w14:paraId="46C79849" w14:textId="4591C02B" w:rsidR="0BAA5521" w:rsidRDefault="0BAA5521" w:rsidP="0BAA5521">
      <w:pPr>
        <w:spacing w:line="360" w:lineRule="auto"/>
        <w:rPr>
          <w:rFonts w:ascii="Arial" w:eastAsia="Arial" w:hAnsi="Arial" w:cs="Arial"/>
          <w:color w:val="auto"/>
          <w:sz w:val="24"/>
          <w:szCs w:val="24"/>
        </w:rPr>
      </w:pPr>
    </w:p>
    <w:p w14:paraId="4E1731B7" w14:textId="7ADDFB71" w:rsidR="1816C22C"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Fishbone Diagram</w:t>
      </w:r>
    </w:p>
    <w:p w14:paraId="2D40F6FE" w14:textId="6FBE7641" w:rsidR="1816C22C"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Fishbone diagrams, also known as Ishikawa diagrams after the man who popularised them, were introduced to mainstream use in the 1960s by Kaoru Ishikawa as a way to analyse and display the root causes of a problem. </w:t>
      </w:r>
    </w:p>
    <w:p w14:paraId="14674EC1" w14:textId="1E181F74" w:rsidR="0BAA5521" w:rsidRDefault="0BAA5521" w:rsidP="0BAA5521">
      <w:pPr>
        <w:spacing w:line="360" w:lineRule="auto"/>
      </w:pPr>
      <w:r>
        <w:rPr>
          <w:noProof/>
          <w:lang w:val="en-GB" w:eastAsia="en-GB"/>
        </w:rPr>
        <w:drawing>
          <wp:inline distT="0" distB="0" distL="0" distR="0" wp14:anchorId="5AEA8CA1" wp14:editId="4860EE18">
            <wp:extent cx="5791200" cy="3595370"/>
            <wp:effectExtent l="0" t="0" r="0" b="0"/>
            <wp:docPr id="40187066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791200" cy="3595370"/>
                    </a:xfrm>
                    <a:prstGeom prst="rect">
                      <a:avLst/>
                    </a:prstGeom>
                  </pic:spPr>
                </pic:pic>
              </a:graphicData>
            </a:graphic>
          </wp:inline>
        </w:drawing>
      </w:r>
    </w:p>
    <w:p w14:paraId="78733467" w14:textId="592A3ED0" w:rsidR="0BAA552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Diagram 1 – A fishbone diagram showing the root causes of A&amp;E waiting times being increased.</w:t>
      </w:r>
    </w:p>
    <w:p w14:paraId="60CBD6F3" w14:textId="5273EE4B" w:rsidR="0BAA5521" w:rsidRDefault="0BAA5521" w:rsidP="0BAA5521">
      <w:pPr>
        <w:spacing w:line="360" w:lineRule="auto"/>
        <w:rPr>
          <w:rFonts w:ascii="Arial" w:eastAsia="Arial" w:hAnsi="Arial" w:cs="Arial"/>
          <w:color w:val="222222"/>
          <w:sz w:val="24"/>
          <w:szCs w:val="24"/>
        </w:rPr>
      </w:pPr>
      <w:r w:rsidRPr="0BAA5521">
        <w:rPr>
          <w:rFonts w:ascii="Arial" w:eastAsia="Arial" w:hAnsi="Arial" w:cs="Arial"/>
          <w:color w:val="auto"/>
          <w:sz w:val="24"/>
          <w:szCs w:val="24"/>
        </w:rPr>
        <w:t>However, there are some shortcomings to this technique. It is very good at identifying risk but gives factors that could have a different amount of impact the same weighting. (</w:t>
      </w:r>
      <w:r w:rsidRPr="0BAA5521">
        <w:rPr>
          <w:rFonts w:ascii="Arial" w:eastAsia="Arial" w:hAnsi="Arial" w:cs="Arial"/>
          <w:color w:val="222222"/>
          <w:sz w:val="24"/>
          <w:szCs w:val="24"/>
        </w:rPr>
        <w:t>Ilie, G. and Ciocoiu, C.N., 2010) It also does not give information on the sequencing of events that can lead to a problem. (Bose, T.K., 2012)</w:t>
      </w:r>
    </w:p>
    <w:p w14:paraId="15189445" w14:textId="73636A2A" w:rsidR="0BAA5521" w:rsidRDefault="0BAA5521" w:rsidP="0BAA5521">
      <w:pPr>
        <w:spacing w:line="360" w:lineRule="auto"/>
        <w:rPr>
          <w:rFonts w:ascii="Arial" w:eastAsia="Arial" w:hAnsi="Arial" w:cs="Arial"/>
          <w:color w:val="auto"/>
          <w:sz w:val="24"/>
          <w:szCs w:val="24"/>
        </w:rPr>
      </w:pPr>
    </w:p>
    <w:p w14:paraId="6BAC3F37" w14:textId="340CEA89" w:rsidR="0BAA5521" w:rsidRDefault="0BAA5521" w:rsidP="0BAA5521">
      <w:pPr>
        <w:spacing w:line="360" w:lineRule="auto"/>
        <w:rPr>
          <w:rFonts w:ascii="Arial" w:eastAsia="Arial" w:hAnsi="Arial" w:cs="Arial"/>
          <w:color w:val="auto"/>
          <w:sz w:val="24"/>
          <w:szCs w:val="24"/>
        </w:rPr>
      </w:pPr>
    </w:p>
    <w:p w14:paraId="7F53A3B7" w14:textId="3199C0F6" w:rsidR="0BAA5521" w:rsidRDefault="0BAA5521" w:rsidP="0BAA5521">
      <w:pPr>
        <w:spacing w:line="360" w:lineRule="auto"/>
        <w:rPr>
          <w:rFonts w:ascii="Arial" w:eastAsia="Arial" w:hAnsi="Arial" w:cs="Arial"/>
          <w:color w:val="auto"/>
          <w:sz w:val="24"/>
          <w:szCs w:val="24"/>
        </w:rPr>
      </w:pPr>
    </w:p>
    <w:p w14:paraId="5FBE631E" w14:textId="2804A719"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lastRenderedPageBreak/>
        <w:t xml:space="preserve">Stakeholder Analysis  </w:t>
      </w:r>
      <w:r w:rsidR="534AF231">
        <w:br/>
      </w:r>
      <w:r w:rsidR="534AF231">
        <w:br/>
      </w:r>
      <w:r w:rsidRPr="0BAA5521">
        <w:rPr>
          <w:rFonts w:ascii="Arial" w:eastAsia="Arial" w:hAnsi="Arial" w:cs="Arial"/>
          <w:color w:val="auto"/>
          <w:sz w:val="24"/>
          <w:szCs w:val="24"/>
        </w:rPr>
        <w:t xml:space="preserve">Looking at how involved or invested stakeholders are gives good recommendations on how to manage them in terms of implementing new ideas; this is known as stakeholder mapping. </w:t>
      </w:r>
    </w:p>
    <w:tbl>
      <w:tblPr>
        <w:tblStyle w:val="GridTable1Light-Accent1"/>
        <w:tblW w:w="0" w:type="auto"/>
        <w:tblLayout w:type="fixed"/>
        <w:tblLook w:val="06A0" w:firstRow="1" w:lastRow="0" w:firstColumn="1" w:lastColumn="0" w:noHBand="1" w:noVBand="1"/>
      </w:tblPr>
      <w:tblGrid>
        <w:gridCol w:w="3120"/>
        <w:gridCol w:w="3120"/>
        <w:gridCol w:w="3195"/>
      </w:tblGrid>
      <w:tr w:rsidR="0BAA5521" w14:paraId="1DA3FC49" w14:textId="77777777" w:rsidTr="0BAA55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Pr>
          <w:p w14:paraId="2F725C26" w14:textId="5AE6BC5F" w:rsidR="0BAA5521" w:rsidRDefault="0BAA5521" w:rsidP="0BAA5521">
            <w:pPr>
              <w:rPr>
                <w:rFonts w:ascii="Arial" w:eastAsia="Arial" w:hAnsi="Arial" w:cs="Arial"/>
                <w:color w:val="auto"/>
                <w:sz w:val="24"/>
                <w:szCs w:val="24"/>
              </w:rPr>
            </w:pPr>
          </w:p>
        </w:tc>
        <w:tc>
          <w:tcPr>
            <w:tcW w:w="3120" w:type="dxa"/>
          </w:tcPr>
          <w:p w14:paraId="449FB152" w14:textId="51C02326" w:rsidR="0BAA5521" w:rsidRDefault="0BAA5521" w:rsidP="0BAA5521">
            <w:pPr>
              <w:cnfStyle w:val="100000000000" w:firstRow="1"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Low level of power</w:t>
            </w:r>
          </w:p>
        </w:tc>
        <w:tc>
          <w:tcPr>
            <w:tcW w:w="3195" w:type="dxa"/>
          </w:tcPr>
          <w:p w14:paraId="659A656F" w14:textId="67F61D38" w:rsidR="0BAA5521" w:rsidRDefault="0BAA5521" w:rsidP="0BAA5521">
            <w:pPr>
              <w:cnfStyle w:val="100000000000" w:firstRow="1"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High level of power</w:t>
            </w:r>
          </w:p>
        </w:tc>
      </w:tr>
      <w:tr w:rsidR="0BAA5521" w14:paraId="79334115" w14:textId="77777777" w:rsidTr="0BAA5521">
        <w:tc>
          <w:tcPr>
            <w:cnfStyle w:val="001000000000" w:firstRow="0" w:lastRow="0" w:firstColumn="1" w:lastColumn="0" w:oddVBand="0" w:evenVBand="0" w:oddHBand="0" w:evenHBand="0" w:firstRowFirstColumn="0" w:firstRowLastColumn="0" w:lastRowFirstColumn="0" w:lastRowLastColumn="0"/>
            <w:tcW w:w="3120" w:type="dxa"/>
          </w:tcPr>
          <w:p w14:paraId="7C3E3297" w14:textId="32B98E60" w:rsidR="0BAA5521" w:rsidRDefault="0BAA5521" w:rsidP="0BAA5521">
            <w:pPr>
              <w:rPr>
                <w:rFonts w:ascii="Arial" w:eastAsia="Arial" w:hAnsi="Arial" w:cs="Arial"/>
                <w:color w:val="auto"/>
                <w:sz w:val="24"/>
                <w:szCs w:val="24"/>
              </w:rPr>
            </w:pPr>
            <w:r w:rsidRPr="0BAA5521">
              <w:rPr>
                <w:rFonts w:ascii="Arial" w:eastAsia="Arial" w:hAnsi="Arial" w:cs="Arial"/>
                <w:color w:val="auto"/>
                <w:sz w:val="24"/>
                <w:szCs w:val="24"/>
              </w:rPr>
              <w:t>High level of interest</w:t>
            </w:r>
          </w:p>
        </w:tc>
        <w:tc>
          <w:tcPr>
            <w:tcW w:w="3120" w:type="dxa"/>
          </w:tcPr>
          <w:p w14:paraId="2B95FE17" w14:textId="055050B8" w:rsidR="0BAA5521" w:rsidRDefault="0BAA5521" w:rsidP="0BAA55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Keep informed</w:t>
            </w:r>
          </w:p>
          <w:p w14:paraId="3C848EA4" w14:textId="797C7859" w:rsidR="0BAA5521" w:rsidRDefault="0BAA5521" w:rsidP="0BAA55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(Patients, Media)</w:t>
            </w:r>
          </w:p>
        </w:tc>
        <w:tc>
          <w:tcPr>
            <w:tcW w:w="3195" w:type="dxa"/>
          </w:tcPr>
          <w:p w14:paraId="74853984" w14:textId="5E060EDE" w:rsidR="0BAA5521" w:rsidRDefault="0BAA5521" w:rsidP="0BAA55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Key players (Employees, Suppliers)</w:t>
            </w:r>
          </w:p>
        </w:tc>
      </w:tr>
      <w:tr w:rsidR="0BAA5521" w14:paraId="463E864F" w14:textId="77777777" w:rsidTr="0BAA5521">
        <w:tc>
          <w:tcPr>
            <w:cnfStyle w:val="001000000000" w:firstRow="0" w:lastRow="0" w:firstColumn="1" w:lastColumn="0" w:oddVBand="0" w:evenVBand="0" w:oddHBand="0" w:evenHBand="0" w:firstRowFirstColumn="0" w:firstRowLastColumn="0" w:lastRowFirstColumn="0" w:lastRowLastColumn="0"/>
            <w:tcW w:w="3120" w:type="dxa"/>
          </w:tcPr>
          <w:p w14:paraId="12450E3A" w14:textId="461B15F3" w:rsidR="0BAA5521" w:rsidRDefault="0BAA5521" w:rsidP="0BAA5521">
            <w:pPr>
              <w:rPr>
                <w:rFonts w:ascii="Arial" w:eastAsia="Arial" w:hAnsi="Arial" w:cs="Arial"/>
                <w:color w:val="auto"/>
                <w:sz w:val="24"/>
                <w:szCs w:val="24"/>
              </w:rPr>
            </w:pPr>
            <w:r w:rsidRPr="0BAA5521">
              <w:rPr>
                <w:rFonts w:ascii="Arial" w:eastAsia="Arial" w:hAnsi="Arial" w:cs="Arial"/>
                <w:color w:val="auto"/>
                <w:sz w:val="24"/>
                <w:szCs w:val="24"/>
              </w:rPr>
              <w:t>Low level of interest</w:t>
            </w:r>
          </w:p>
        </w:tc>
        <w:tc>
          <w:tcPr>
            <w:tcW w:w="3120" w:type="dxa"/>
          </w:tcPr>
          <w:p w14:paraId="5BEAA57C" w14:textId="57823B97" w:rsidR="0BAA5521" w:rsidRDefault="0BAA5521" w:rsidP="0BAA55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Minimal effort, monitor (Competitors, General Public)</w:t>
            </w:r>
          </w:p>
        </w:tc>
        <w:tc>
          <w:tcPr>
            <w:tcW w:w="3195" w:type="dxa"/>
          </w:tcPr>
          <w:p w14:paraId="54645C5B" w14:textId="3871FE5B" w:rsidR="0BAA5521" w:rsidRDefault="0BAA5521" w:rsidP="0BAA55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sz w:val="24"/>
                <w:szCs w:val="24"/>
              </w:rPr>
            </w:pPr>
            <w:r w:rsidRPr="0BAA5521">
              <w:rPr>
                <w:rFonts w:ascii="Arial" w:eastAsia="Arial" w:hAnsi="Arial" w:cs="Arial"/>
                <w:color w:val="auto"/>
                <w:sz w:val="24"/>
                <w:szCs w:val="24"/>
              </w:rPr>
              <w:t>Keep satisfied (Auditors, Regulatory bodies)</w:t>
            </w:r>
          </w:p>
        </w:tc>
      </w:tr>
    </w:tbl>
    <w:p w14:paraId="2DB12BB6" w14:textId="7E78FFC9" w:rsidR="534AF231" w:rsidRDefault="534AF231" w:rsidP="0BAA5521">
      <w:pPr>
        <w:spacing w:line="360" w:lineRule="auto"/>
        <w:rPr>
          <w:rFonts w:ascii="Arial" w:eastAsia="Arial" w:hAnsi="Arial" w:cs="Arial"/>
          <w:color w:val="auto"/>
          <w:sz w:val="24"/>
          <w:szCs w:val="24"/>
        </w:rPr>
      </w:pPr>
      <w:r>
        <w:br/>
      </w:r>
      <w:r w:rsidR="0BAA5521" w:rsidRPr="0BAA5521">
        <w:rPr>
          <w:rFonts w:ascii="Arial" w:eastAsia="Arial" w:hAnsi="Arial" w:cs="Arial"/>
          <w:color w:val="auto"/>
          <w:sz w:val="24"/>
          <w:szCs w:val="24"/>
        </w:rPr>
        <w:t>Table 1: A stakeholders matrix showing how best to deal with differing stakeholders and examples of stakeholders in each area.</w:t>
      </w:r>
    </w:p>
    <w:p w14:paraId="1E4B6057" w14:textId="25146481"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For example, a policy that affects the key players in the organisation should only be introduced after consultation with them, to avoid alienating or demoralising the people who are the backbone of the service.  </w:t>
      </w:r>
      <w:r w:rsidR="534AF231">
        <w:br/>
      </w:r>
    </w:p>
    <w:p w14:paraId="1F050E2E" w14:textId="4F33D1C1"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PESTLE analysis</w:t>
      </w:r>
    </w:p>
    <w:p w14:paraId="7BB5EA0B" w14:textId="20BD808E" w:rsidR="4024A1D2"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The original concept for PESTLE was introduced in 1967 by Francis J. Aguilar, who created it as ETPS – Economical, Technical, Political and Social. Over the years this has changed to PESTLE, to cover Legal and Enviromental issues.</w:t>
      </w:r>
    </w:p>
    <w:p w14:paraId="327A78AB" w14:textId="51E6E642" w:rsidR="4024A1D2"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PESTLE analysis concerning the NHS:</w:t>
      </w:r>
    </w:p>
    <w:p w14:paraId="1408C0FE" w14:textId="512B1F4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Political - The NHS, due to its importance, is often exploited as a political point scoring device. This has both positive and negative outcomes: There is significant lobbying or political posturing for an increase in the NHS budget, but there is a degree of expectation that the NHS provides world class care despite the reduction of spending per capita and the increase of costs. UK Foreign Secretary Boris Johnson publicly demanded for a £5bn injection into the NHS only to be scolded by his colleagues and the Prime Minister.</w:t>
      </w:r>
    </w:p>
    <w:p w14:paraId="3BD7362F" w14:textId="0F1D9A95" w:rsidR="534AF231" w:rsidRDefault="1816C22C" w:rsidP="10484017">
      <w:pPr>
        <w:spacing w:line="360" w:lineRule="auto"/>
        <w:rPr>
          <w:rFonts w:ascii="Arial" w:eastAsia="Arial" w:hAnsi="Arial" w:cs="Arial"/>
          <w:color w:val="auto"/>
          <w:sz w:val="24"/>
          <w:szCs w:val="24"/>
        </w:rPr>
      </w:pPr>
      <w:r w:rsidRPr="1816C22C">
        <w:rPr>
          <w:rFonts w:ascii="Arial" w:eastAsia="Arial" w:hAnsi="Arial" w:cs="Arial"/>
          <w:color w:val="auto"/>
          <w:sz w:val="24"/>
          <w:szCs w:val="24"/>
        </w:rPr>
        <w:lastRenderedPageBreak/>
        <w:t>'Brexit' or the plan for the UK to leave the European Union is of major concern to the NHS. Many EU nationals working in the service may seek to leave the country, and collaboration in between health professionals in the UK and EU is likely to be at risk.</w:t>
      </w:r>
    </w:p>
    <w:p w14:paraId="2F98E27C" w14:textId="044C8EFD"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Economic - The global financial crash and the subsequent rise of austerity politics has seen the NHS budget squeezed. Many NHS trusts used to run on a budget surplus; this was often reinvested in projects that provided not only long-term income for themselves but also support to other trusts. In July 2013, NHS England reported that unless changes were made, there would be a £30bn funding gap in between 2013/14 and 2020/21. (NHS England, 2013) Because of this funding gap, 157 of the 240 trusts and foundation trusts were in deficit in 2015/16. (NHS England, 2016) </w:t>
      </w:r>
      <w:r w:rsidR="534AF231">
        <w:br/>
      </w:r>
      <w:r w:rsidRPr="58B2867E">
        <w:rPr>
          <w:rFonts w:ascii="Arial" w:eastAsia="Arial" w:hAnsi="Arial" w:cs="Arial"/>
          <w:color w:val="auto"/>
          <w:sz w:val="24"/>
          <w:szCs w:val="24"/>
        </w:rPr>
        <w:t>Due to austerity, there was a battle in between the British Medical Association (BMA, the trade union representing doctors throughout the UK) and the government in 2015 - 2016 over junior doctors' contracts. After several offers of a contract were turned down by BMA members and junior doctors, and with the threat of the contract being imposed on them by the Government, there was the first strike in the profession for more than 40 years in January 2016. After several more months of strikes, walkouts and failed negotiations, the contract was imposed by the government in October 2016. This has had a significant negative effect on morale.</w:t>
      </w:r>
      <w:r w:rsidR="534AF231">
        <w:br/>
      </w:r>
      <w:r w:rsidRPr="58B2867E">
        <w:rPr>
          <w:rFonts w:ascii="Arial" w:eastAsia="Arial" w:hAnsi="Arial" w:cs="Arial"/>
          <w:color w:val="auto"/>
          <w:sz w:val="24"/>
          <w:szCs w:val="24"/>
        </w:rPr>
        <w:t>The NHS was hit particularly hard by the cuts to social care, leading to something known as bed-blocking – where a patient (usually elderly) occupies a bed in hospital for far longer than needed (as there is not suitable care elsewhere). Think tank the King's Fund found that from 2009/10 to 2014/15, funding for social care dropped in real terms by 17 percent, while the number of people 85 or older rose by 9 percent. In the same period, the number of people receiving social care dropped by more than 25% to 1.3 million, and only people deemed to need it most received public funded social care in 90 percent of local authorities. (Kings' Fund, 2015)</w:t>
      </w:r>
    </w:p>
    <w:p w14:paraId="7FC39631" w14:textId="1BAD8B65"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Not only does this have a significant impact on the number of beds available at hospitals, but it is thought to cause unnecessary deaths as well – a British Medical Journal report based on statistics from the Office of National Statistics (data from </w:t>
      </w:r>
      <w:r w:rsidRPr="58B2867E">
        <w:rPr>
          <w:rFonts w:ascii="Arial" w:eastAsia="Arial" w:hAnsi="Arial" w:cs="Arial"/>
          <w:color w:val="auto"/>
          <w:sz w:val="24"/>
          <w:szCs w:val="24"/>
        </w:rPr>
        <w:lastRenderedPageBreak/>
        <w:t>August 2010 to March 2016) concluded that up to 20% of the rise in deaths was due to patients not being discharged from hospital fast enough. (Green, M.A, et al. 2017)</w:t>
      </w:r>
    </w:p>
    <w:p w14:paraId="439A33B2" w14:textId="413AC1C4"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Social - The general population is far more health conscious than it was at the turn of the century - the average person is more likely to eat a better diet or exercise more if provided with the correct information. This however is a double-edged sword. The global food market is increasingly being dominated by multinational corporations which have released misleading information about their products. Despite the amount of resources available to the public increasing by the day, it is difficult for the layman to make an informed decision. </w:t>
      </w:r>
    </w:p>
    <w:p w14:paraId="0D8750E4" w14:textId="5EC05473"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Another important point to make is that as more information is released to the public about healthcare issues, the more likely it is that people visit their doctor's surgery or A&amp;E department. This puts extra burden on the NHS. There is a growing amount of resources at A&amp;E departments that point patients elsewhere if they don't have serious or life-threatening conditions. </w:t>
      </w:r>
    </w:p>
    <w:p w14:paraId="375E501B" w14:textId="3680DF18" w:rsidR="534AF231" w:rsidRDefault="534AF231" w:rsidP="10484017">
      <w:pPr>
        <w:spacing w:line="360" w:lineRule="auto"/>
        <w:rPr>
          <w:color w:val="auto"/>
        </w:rPr>
      </w:pPr>
      <w:r>
        <w:rPr>
          <w:noProof/>
          <w:lang w:val="en-GB" w:eastAsia="en-GB"/>
        </w:rPr>
        <w:lastRenderedPageBreak/>
        <w:drawing>
          <wp:inline distT="0" distB="0" distL="0" distR="0" wp14:anchorId="5C5F73FD" wp14:editId="38D8283B">
            <wp:extent cx="3228975" cy="4572000"/>
            <wp:effectExtent l="0" t="0" r="0" b="0"/>
            <wp:docPr id="200149806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p w14:paraId="7268149F" w14:textId="276AEE6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Figure 1 – a leaflet by Nene Clinical Commissioning Group. It displays the new 'Choose Well' device being used by the NHS to direct patients to the right place for them to receive care.</w:t>
      </w:r>
    </w:p>
    <w:p w14:paraId="65B8B483" w14:textId="3593C161"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 xml:space="preserve">The growing, globetrotting and more ethnically diverse population brings its own challenges. The Office for National Statistics' data shows our population grew from 56.2 million in 1976 to 65.6 million in 2016, while the percentage of the population aged 65 or over grew from 14.2% to 18% over the same time period. (Office for National Statistics, 2017) Not only are there greater total costs as they are providing services to more people, but the NHS is dealing with infectious and genetic conditions usually associated with different continents - increasing costs for diagnosis, care and pharmaceuticals. </w:t>
      </w:r>
    </w:p>
    <w:p w14:paraId="64E20969" w14:textId="5FE9874D"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374B8AF6" w14:textId="4D806B6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lastRenderedPageBreak/>
        <w:t xml:space="preserve">Technological - Technological advances are being made all the time, producing a variety of new machinery, computer systems and pharmaceuticals while making the old equipment useless. They must spend a significant amount to keep up with the pack - brand new state of the art MRI and CT scanners cost upwards of £1million each. These improved technologies/pharmaceuticals lead to higher life expectancy, further increasing the financial burden on the NHS. </w:t>
      </w:r>
    </w:p>
    <w:p w14:paraId="4E630348" w14:textId="5A9DEFDC"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The pharmaceutical industry has a well-documented history of exorbitant pricing which also put the NHS under strain. Sativex, a medicine based on cannabis, costs the NHS £175 a bottle, ten times what it would cost from the black market when it is grown in similar conditions. (Reynolds, P., 2010) The rise of malicious computer software has also taken its toll. The WannaCry ransomware attack cost the NHS £180,000 in emergency costs, with the total estimated cost thought to exceed £1 million (Digital Health, 2017)</w:t>
      </w:r>
    </w:p>
    <w:p w14:paraId="5163B3BC" w14:textId="48C568EE"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Research commissioned by the Department of Health (but not published by it) estimated administration costs to be as high as 14% of total NHS costs (House of Commons Health Committee, 2010). This was due to the creation of an NHS 'internal market' in 1990 which split purchasers and providers in an effort to increase efficiency (Maynard, A., &amp; Dixon, M., 2016). (This has since been reversed in 2017.)</w:t>
      </w:r>
    </w:p>
    <w:p w14:paraId="38B3848D" w14:textId="58C96796"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2A291710" w14:textId="3C38D74B" w:rsidR="534AF231" w:rsidRDefault="58B2867E" w:rsidP="58B2867E">
      <w:pPr>
        <w:spacing w:line="360" w:lineRule="auto"/>
        <w:rPr>
          <w:rFonts w:ascii="Arial" w:eastAsia="Arial" w:hAnsi="Arial" w:cs="Arial"/>
          <w:b/>
          <w:bCs/>
          <w:color w:val="auto"/>
          <w:sz w:val="24"/>
          <w:szCs w:val="24"/>
        </w:rPr>
      </w:pPr>
      <w:r w:rsidRPr="58B2867E">
        <w:rPr>
          <w:rFonts w:ascii="Arial" w:eastAsia="Arial" w:hAnsi="Arial" w:cs="Arial"/>
          <w:color w:val="auto"/>
          <w:sz w:val="24"/>
          <w:szCs w:val="24"/>
        </w:rPr>
        <w:t>Enviromental - Patient lifestyle choices such as smoking, obesity and poor diet have had a marked negative effect on the NHS. A study conducted in 2011 covering 2006/07 found poor diet-related ill health cost the NHS in the UK £5.8 billion, the cost of physical inactivity was £0.9 billion, cost of smoking was £3.3 billion, alcohol cost £3.3 billion, overweight and obesity related problems cost £5.1 billion. (Scarborough, P, et al. 2011)</w:t>
      </w:r>
      <w:r w:rsidR="534AF231">
        <w:br/>
      </w:r>
      <w:r w:rsidRPr="58B2867E">
        <w:rPr>
          <w:rFonts w:ascii="Arial" w:eastAsia="Arial" w:hAnsi="Arial" w:cs="Arial"/>
          <w:color w:val="auto"/>
          <w:sz w:val="24"/>
          <w:szCs w:val="24"/>
        </w:rPr>
        <w:t>The negative effect of all illicit drugs on the NHS was estimated to be £0.5 billion a year in 2014 by the National Treatment Agency. (Barber, S., et al. 2017)</w:t>
      </w:r>
    </w:p>
    <w:p w14:paraId="0EDB6209" w14:textId="2B63B2F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53970506" w14:textId="7030C545"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Legal - The rise of litigation culture has been particularly impactful on the NHS. £1.6 billion was spent to settle negligence claims in the 2016/17 financial year alone </w:t>
      </w:r>
      <w:r w:rsidRPr="58B2867E">
        <w:rPr>
          <w:rFonts w:ascii="Arial" w:eastAsia="Arial" w:hAnsi="Arial" w:cs="Arial"/>
          <w:color w:val="auto"/>
          <w:sz w:val="24"/>
          <w:szCs w:val="24"/>
        </w:rPr>
        <w:lastRenderedPageBreak/>
        <w:t>(Financial Times, 2017). Not only that, private companies contracted by the NHS have taken offence when contracts were not awarded their way. In 2017, Virgin Care was awarded an undisclosed settlement after suing six clinical commissioning groups (CCGs) in Surrey, after losing out on an £82 million contract to provide children's health services. One of the 6 CCGs involved accidentally revealed its liability was £328,000.</w:t>
      </w:r>
    </w:p>
    <w:p w14:paraId="4019D46C" w14:textId="06BEA895"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4220576A" w14:textId="5D6F07A0"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Discussion</w:t>
      </w:r>
    </w:p>
    <w:p w14:paraId="24DD9DBC" w14:textId="5EC48FEA"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 xml:space="preserve">It is unquestionable that the lifestyle choices of patients negatively affect the NHS' bottom line, but it seems there are varying statements on this matter. The CEO of NHS England, Simon Stevens, said obesity and related problems cost the NHS £16 billion a year, compared to the £13.6 billion cost to the taxpayer for the police and fire services combined. (Hughes, L. 2016) For comparison, the budget for all drugs prescribed by the NHS is £16 billion a year (NHS England, 2017). This however is hotly disputed. A study in 2011 suggests that number was £5.1 billion a year in 2006/07 (Scarborough, P, et al. 2011). The costs may have more than tripled in the space of 12 years, but it seems that without further proof to his claim, Simon Stevens' statement cannot be substantiated. </w:t>
      </w:r>
    </w:p>
    <w:p w14:paraId="674FA0C1" w14:textId="20EC5147"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To add further confusion, there are wildly varying estimates in regards to how much smoking actually costs the NHS; the previous study suggested the figure was £3.3 billion in 2006/07 (Scarborough, P, et al. 2011); another 2011 study estimated the cost of smoking to the NHS in 2006 was £2.7 billion, (Callum, C, et al. 2011) while another carried out in 2009 found it to be £5.2 billion in 2005/06. (Balakrishnan, R, et al. 2009) With there being no papers covering the matter since 2011, and with there being such a wide variance in estimates, it is difficult to quantify the actual cost of smoking or similar lifestyle factors. This is coupled with the data that shows that smokers may actually cost the NHS less in the long run due to some of them dying before they are a burden on the service in their old age, while smokers bring in £12 billion a year in tax directly. (Full Fact, 2015)</w:t>
      </w:r>
    </w:p>
    <w:p w14:paraId="54C30E95" w14:textId="5760FB8B"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   It could even be argued by sceptics that the NHS is being set up for privatisation by the Government. A large amount of research into the cost-effectiveness of the NHS by </w:t>
      </w:r>
      <w:r w:rsidRPr="58B2867E">
        <w:rPr>
          <w:rFonts w:ascii="Arial" w:eastAsia="Arial" w:hAnsi="Arial" w:cs="Arial"/>
          <w:color w:val="auto"/>
          <w:sz w:val="24"/>
          <w:szCs w:val="24"/>
        </w:rPr>
        <w:lastRenderedPageBreak/>
        <w:t xml:space="preserve">the Department of Health (or findings from select committees) are never published. Senior management in the NHS have often made statements they cannot prove about the financial health or expenditure of the service (with an example by Simon Stevens used before); the Health Secretary Jeremy Hunt has made several blatantly false statements - one in regards to the number of mental health workers rising by 30,000 when in fact the number was 692, while the number of mental health nurses actually went down by 5,000. (Williams, M., 2017) He admitted his error in Parliament but refused to apologise. </w:t>
      </w:r>
    </w:p>
    <w:p w14:paraId="3033245C" w14:textId="79EFBE81"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Theresa May refused this year to rule out that NHS services would be used as a bargaining chip with the US over a future trade deal, and perhaps most worryingly an article in the Health Service Journal found that NHS trusts paid £180 million in what it described as 'pointless' interest to the Government after short term cash bailouts (Dunhill, L., 2018). Imposition of contracts on junior doctors have left many demoralised, while many are stating they may leave the service. There is an estimated shortage of 40,000 nurses across NHS England alone (Full Fact, 2017) while there are 287,100 'full time equivalent' nurses (NHS Digital, 2018), which roughly means 7 nurses are expected to do the workload of 8. Despite this, there were plans to privatise NHS Professionals - an agency set up by the previous Labour Government to provide staff to the NHS at lower rates than private companies - until the backlash forced them to go back on the decision. (Nursing Times, 2017) The NHS spent over £3.6 billion in agency costs in 2015/16, 7.5% of their total pay costs (NHS England, 2016).</w:t>
      </w:r>
    </w:p>
    <w:p w14:paraId="4A9EB492" w14:textId="76ED7F85"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0DFD309A" w14:textId="5BF583D4"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Solutions</w:t>
      </w:r>
    </w:p>
    <w:p w14:paraId="48C62E21" w14:textId="663BE17A" w:rsidR="534AF231" w:rsidRDefault="58B2867E" w:rsidP="58B2867E">
      <w:pPr>
        <w:spacing w:line="360" w:lineRule="auto"/>
        <w:rPr>
          <w:rFonts w:ascii="Arial" w:eastAsia="Arial" w:hAnsi="Arial" w:cs="Arial"/>
          <w:color w:val="auto"/>
          <w:sz w:val="24"/>
          <w:szCs w:val="24"/>
        </w:rPr>
      </w:pPr>
      <w:r w:rsidRPr="58B2867E">
        <w:rPr>
          <w:rFonts w:ascii="Arial" w:eastAsia="Arial" w:hAnsi="Arial" w:cs="Arial"/>
          <w:color w:val="auto"/>
          <w:sz w:val="24"/>
          <w:szCs w:val="24"/>
        </w:rPr>
        <w:t xml:space="preserve">If the statement by NHS England that they are £30 billion short of funding over a 7-year period is true, then without a considerable amount of extra investment in the service it seems like the problems it will face will only deepen. There are however ways of investing in the future of the NHS without having to come up with a considerable amount of money. Public health interventions have had significantly beneficial effects on the NHS overall. A review on investment into public health interventions found that the </w:t>
      </w:r>
      <w:r w:rsidRPr="58B2867E">
        <w:rPr>
          <w:rFonts w:ascii="Arial" w:eastAsia="Arial" w:hAnsi="Arial" w:cs="Arial"/>
          <w:color w:val="auto"/>
          <w:sz w:val="24"/>
          <w:szCs w:val="24"/>
        </w:rPr>
        <w:lastRenderedPageBreak/>
        <w:t xml:space="preserve">median return on investment for such programs was 14.3 to 1, and the median cost/benefit ratio was 8.3. (Masters, R., et al. 2016) </w:t>
      </w:r>
      <w:r w:rsidR="534AF231">
        <w:br/>
      </w:r>
      <w:r w:rsidRPr="58B2867E">
        <w:rPr>
          <w:rFonts w:ascii="Arial" w:eastAsia="Arial" w:hAnsi="Arial" w:cs="Arial"/>
          <w:color w:val="auto"/>
          <w:sz w:val="24"/>
          <w:szCs w:val="24"/>
        </w:rPr>
        <w:t>In regards to public health interventions, it seems that there is a move towards preventing obesity and smoking particularly – several NHS trusts have signalled their intent to limit their services, including non-emergency surgery, to smokers and the obese. However, many of these plans have faced significant backlash. In addition, the Government has a conflict of interest as the purchase of tobacco and 'junk food' directly impacts their budget. Lobbying by companies selling such produce may (or may not) influence Government policy on the matter.</w:t>
      </w:r>
    </w:p>
    <w:p w14:paraId="5DA92F57" w14:textId="77C05E7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Regardless of all potential extra measures, there needs to be a drastic shift in how the Government deals with NHS finances and staff. Its seemingly dismissive attitude to the crisis that is unfolding is unsettling from many stakeholders' point of view. Unless the Government chooses to support both the NHS and its staff financially (or at least provide assurances about their long-term future), the service is unlikely to be able to function in its current state.</w:t>
      </w:r>
    </w:p>
    <w:p w14:paraId="3A88AA5D" w14:textId="40C132DB" w:rsidR="534AF231" w:rsidRDefault="1816C22C" w:rsidP="1816C22C">
      <w:pPr>
        <w:spacing w:line="360" w:lineRule="auto"/>
        <w:rPr>
          <w:rFonts w:ascii="Arial" w:eastAsia="Arial" w:hAnsi="Arial" w:cs="Arial"/>
          <w:color w:val="auto"/>
          <w:sz w:val="24"/>
          <w:szCs w:val="24"/>
        </w:rPr>
      </w:pPr>
      <w:r w:rsidRPr="1816C22C">
        <w:rPr>
          <w:rFonts w:ascii="Arial" w:eastAsia="Arial" w:hAnsi="Arial" w:cs="Arial"/>
          <w:color w:val="auto"/>
          <w:sz w:val="24"/>
          <w:szCs w:val="24"/>
        </w:rPr>
        <w:t xml:space="preserve">However, that may not be a bad thing. As medicine is slowly moving from treating illness to preventing it, we may end up seeing the NHS' running costs tumble considerably. The most excitement is being generated around advances in genetics. All NHS patients could have their genomes sequenced to predict whether they are at high risk for the vast majority of diseases. How far away is that likely to be? </w:t>
      </w:r>
      <w:r w:rsidR="534AF231">
        <w:br/>
      </w:r>
      <w:r w:rsidRPr="1816C22C">
        <w:rPr>
          <w:rFonts w:ascii="Arial" w:eastAsia="Arial" w:hAnsi="Arial" w:cs="Arial"/>
          <w:color w:val="auto"/>
          <w:sz w:val="24"/>
          <w:szCs w:val="24"/>
        </w:rPr>
        <w:t xml:space="preserve">In 2003 the Human Genome Project finished 13 years of work sequencing the first human genome for a cost of $3 billion (then almost £2 billion). Now, it takes at most a couple of weeks and costs $600 (£432 as of March 2018). However, the human genome takes up a lot of digital space, which needs to be readily available. </w:t>
      </w:r>
      <w:r w:rsidR="534AF231">
        <w:br/>
      </w:r>
      <w:r w:rsidRPr="1816C22C">
        <w:rPr>
          <w:rFonts w:ascii="Arial" w:eastAsia="Arial" w:hAnsi="Arial" w:cs="Arial"/>
          <w:color w:val="auto"/>
          <w:sz w:val="24"/>
          <w:szCs w:val="24"/>
        </w:rPr>
        <w:t xml:space="preserve">The NHS is already preparing itself for the inevitability of genomics taking over modern medicine. The 100,000 genomes project (run by Genomics England, a company created and owned by the Department of Health) will sequence 100,000 genomes from 70,000 to 75,000 people with rare diseases and cancers. This will be valuable in the near future as patterns can be found to focus research on, allowing better diagnosis and the development of new pharmaceuticals. Perhaps most encouragingly, Genomics </w:t>
      </w:r>
      <w:r w:rsidRPr="1816C22C">
        <w:rPr>
          <w:rFonts w:ascii="Arial" w:eastAsia="Arial" w:hAnsi="Arial" w:cs="Arial"/>
          <w:color w:val="auto"/>
          <w:sz w:val="24"/>
          <w:szCs w:val="24"/>
        </w:rPr>
        <w:lastRenderedPageBreak/>
        <w:t>England is looking into ensuring the UK taxpayer will stand to gain from anything developed by private companies from their data. (Genomics England, 2018)</w:t>
      </w:r>
    </w:p>
    <w:p w14:paraId="4759AAD5" w14:textId="04A6A4AC"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Perhaps the most disastrous for the NHS has been the cuts to social care, with which it shares significant overlap. Due to the bed-blocking described earlier in the report, NHS costs and mortality have gone up – without taking into account the effect of the elderly not getting the care they need in their home. Due to the lack of care to vulnerable patients, is likely that there is an increased number of incidents involving elderly people in which they need to be hospitalised such as burns, trips and falls. In addition, dangerous conditions such as strokes, high/low blood sugar due to diabetes, kidney, liver and heart failure may be picked up far later than it would otherwise, causing extra costs - such as full-time care for those disabled by a stroke, dialysis 3 times a week for those with kidney failure (often caused by diabetes) and expensive medicines.</w:t>
      </w:r>
      <w:r w:rsidR="534AF231">
        <w:br/>
      </w:r>
      <w:r w:rsidRPr="10484017">
        <w:rPr>
          <w:rFonts w:ascii="Arial" w:eastAsia="Arial" w:hAnsi="Arial" w:cs="Arial"/>
          <w:color w:val="auto"/>
          <w:sz w:val="24"/>
          <w:szCs w:val="24"/>
        </w:rPr>
        <w:t xml:space="preserve">An injection of money into social care will very likely have a positive effect on the NHS itself, not only in monetary and mortality terms but also on waiting lists for operations, physio and A&amp;E services. </w:t>
      </w:r>
    </w:p>
    <w:p w14:paraId="76BCDC2A" w14:textId="182623B5" w:rsidR="534AF231" w:rsidRDefault="534AF231" w:rsidP="10484017">
      <w:pPr>
        <w:spacing w:line="360" w:lineRule="auto"/>
        <w:rPr>
          <w:rFonts w:ascii="Arial" w:eastAsia="Arial" w:hAnsi="Arial" w:cs="Arial"/>
          <w:color w:val="auto"/>
          <w:sz w:val="24"/>
          <w:szCs w:val="24"/>
        </w:rPr>
      </w:pPr>
    </w:p>
    <w:p w14:paraId="12F37832" w14:textId="48C283D2" w:rsidR="534AF231" w:rsidRDefault="534AF231" w:rsidP="10484017">
      <w:pPr>
        <w:spacing w:line="360" w:lineRule="auto"/>
        <w:rPr>
          <w:color w:val="auto"/>
        </w:rPr>
      </w:pPr>
      <w:r>
        <w:rPr>
          <w:noProof/>
          <w:lang w:val="en-GB" w:eastAsia="en-GB"/>
        </w:rPr>
        <w:drawing>
          <wp:inline distT="0" distB="0" distL="0" distR="0" wp14:anchorId="00A6C6DF" wp14:editId="75CEF44F">
            <wp:extent cx="4572000" cy="2743200"/>
            <wp:effectExtent l="0" t="0" r="0" b="0"/>
            <wp:docPr id="164252609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1E24C854" w14:textId="09D5883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Figure 2 – Expenditure on social care from 1997/98 to 2013/14. 100 signifies the spending or population amount during 1997/98.</w:t>
      </w:r>
    </w:p>
    <w:p w14:paraId="62EFF7A9" w14:textId="3093A75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lastRenderedPageBreak/>
        <w:t xml:space="preserve">Despite the current effects of privatisation on the NHS, it can continue to be a useful stop-gap until the primary problems with the system are fixed or the service changes its model to a more preventative one. </w:t>
      </w:r>
    </w:p>
    <w:p w14:paraId="769C3740" w14:textId="7220B551"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Conclusion</w:t>
      </w:r>
    </w:p>
    <w:p w14:paraId="16C384EE" w14:textId="577DAE8D"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The NHS seems to be in a precarious state, with a majority of trusts in deficit, waiting times for operations and A&amp;E visits increasing. Despite the variety of problems the NHS has at the moment, there are a few solutions that seem very promising. </w:t>
      </w:r>
    </w:p>
    <w:p w14:paraId="7EFAF0EF" w14:textId="64BE2C13"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The advances in genomics made over the last 15 years are likely to change how we look at and deal with illness completely, and there is already progress being made in the UK by the 100,000 genomes project - not only to provide better services to patients, but to generate income for the taxpayer that can be funneled back into the service as well. However, this is just an option that can be explored in the future. Proper funding in social care will ease the burden on NHS finances, hospital beds and waiting times over the short to mid-term. Public health interventions have a very good record of saving money in the long term, however there is inconclusive evidence whether that would be the case in the future.</w:t>
      </w:r>
    </w:p>
    <w:p w14:paraId="119E0EB6" w14:textId="15E8BE60"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 </w:t>
      </w:r>
    </w:p>
    <w:p w14:paraId="50755B4D" w14:textId="2F2968D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Figures from:</w:t>
      </w:r>
    </w:p>
    <w:p w14:paraId="1A7092C4" w14:textId="4281D960"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Fig. 1 - https://www.neneccg.nhs.uk/news/2014/choose-well-and-help-to-ease-pressure-on-busy-hospital-ae-departments/</w:t>
      </w:r>
    </w:p>
    <w:p w14:paraId="1B432F2D" w14:textId="181AFFD3"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Fig. 2 - https://www.kingsfund.org.uk/projects/verdict/how-serious-are-pressures-social-care</w:t>
      </w:r>
    </w:p>
    <w:p w14:paraId="0E974DEF" w14:textId="63083AD5" w:rsidR="4024A1D2" w:rsidRDefault="4024A1D2" w:rsidP="10484017">
      <w:pPr>
        <w:spacing w:line="360" w:lineRule="auto"/>
        <w:rPr>
          <w:rFonts w:ascii="Arial" w:eastAsia="Arial" w:hAnsi="Arial" w:cs="Arial"/>
          <w:color w:val="auto"/>
          <w:sz w:val="24"/>
          <w:szCs w:val="24"/>
        </w:rPr>
      </w:pPr>
    </w:p>
    <w:p w14:paraId="23747023" w14:textId="65ACD302"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References</w:t>
      </w:r>
    </w:p>
    <w:p w14:paraId="77685BA7" w14:textId="02FCB464" w:rsidR="534AF231" w:rsidRDefault="0BAA5521" w:rsidP="10484017">
      <w:pPr>
        <w:spacing w:line="360" w:lineRule="auto"/>
        <w:rPr>
          <w:rFonts w:ascii="Arial" w:eastAsia="Arial" w:hAnsi="Arial" w:cs="Arial"/>
          <w:color w:val="auto"/>
          <w:sz w:val="24"/>
          <w:szCs w:val="24"/>
        </w:rPr>
      </w:pPr>
      <w:r w:rsidRPr="0BAA5521">
        <w:rPr>
          <w:rFonts w:ascii="Arial" w:eastAsia="Arial" w:hAnsi="Arial" w:cs="Arial"/>
          <w:color w:val="auto"/>
          <w:sz w:val="24"/>
          <w:szCs w:val="24"/>
        </w:rPr>
        <w:t>Balakrishnan, R., Allender, S., Scarborough, P., Webster, P. and Rayner, M., 2009. The burden of alcohol-related ill health in the United Kingdom. Journal of public health, 31(3), pp.366-373.</w:t>
      </w:r>
    </w:p>
    <w:p w14:paraId="0A2D22F1" w14:textId="7BAC393F"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222222"/>
          <w:sz w:val="24"/>
          <w:szCs w:val="24"/>
        </w:rPr>
        <w:lastRenderedPageBreak/>
        <w:t xml:space="preserve">Bose, T.K., 2012. Application of fishbone analysis for evaluating supply chain and business process-a case study on the St James Hospital. </w:t>
      </w:r>
      <w:r w:rsidRPr="0BAA5521">
        <w:rPr>
          <w:rFonts w:ascii="Arial" w:eastAsia="Arial" w:hAnsi="Arial" w:cs="Arial"/>
          <w:i/>
          <w:iCs/>
          <w:color w:val="222222"/>
          <w:sz w:val="24"/>
          <w:szCs w:val="24"/>
        </w:rPr>
        <w:t>International Journal of Managing Value and Supply Chains (IJMVSC)</w:t>
      </w:r>
      <w:r w:rsidRPr="0BAA5521">
        <w:rPr>
          <w:rFonts w:ascii="Arial" w:eastAsia="Arial" w:hAnsi="Arial" w:cs="Arial"/>
          <w:color w:val="222222"/>
          <w:sz w:val="24"/>
          <w:szCs w:val="24"/>
        </w:rPr>
        <w:t xml:space="preserve">, </w:t>
      </w:r>
      <w:r w:rsidRPr="0BAA5521">
        <w:rPr>
          <w:rFonts w:ascii="Arial" w:eastAsia="Arial" w:hAnsi="Arial" w:cs="Arial"/>
          <w:i/>
          <w:iCs/>
          <w:color w:val="222222"/>
          <w:sz w:val="24"/>
          <w:szCs w:val="24"/>
        </w:rPr>
        <w:t>3</w:t>
      </w:r>
      <w:r w:rsidRPr="0BAA5521">
        <w:rPr>
          <w:rFonts w:ascii="Arial" w:eastAsia="Arial" w:hAnsi="Arial" w:cs="Arial"/>
          <w:color w:val="222222"/>
          <w:sz w:val="24"/>
          <w:szCs w:val="24"/>
        </w:rPr>
        <w:t>(2),</w:t>
      </w:r>
      <w:r w:rsidRPr="0BAA5521">
        <w:rPr>
          <w:rFonts w:ascii="Arial" w:eastAsia="Arial" w:hAnsi="Arial" w:cs="Arial"/>
          <w:color w:val="222222"/>
          <w:sz w:val="19"/>
          <w:szCs w:val="19"/>
        </w:rPr>
        <w:t xml:space="preserve"> </w:t>
      </w:r>
      <w:r w:rsidRPr="0BAA5521">
        <w:rPr>
          <w:rFonts w:ascii="Arial" w:eastAsia="Arial" w:hAnsi="Arial" w:cs="Arial"/>
          <w:color w:val="222222"/>
          <w:sz w:val="24"/>
          <w:szCs w:val="24"/>
        </w:rPr>
        <w:t>pp.17-24.</w:t>
      </w:r>
    </w:p>
    <w:p w14:paraId="7265F616" w14:textId="2C26C668"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auto"/>
          <w:sz w:val="24"/>
          <w:szCs w:val="24"/>
        </w:rPr>
        <w:t>Callum, C., Boyle, S. and Sandford, A., 2011. Estimating the cost of smoking to the NHS in England and the impact of declining prevalence. Health Economics, Policy and Law, 6(4), pp.489-508</w:t>
      </w:r>
    </w:p>
    <w:p w14:paraId="557D2169" w14:textId="34F2FD10"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Digital Health, 2017. </w:t>
      </w:r>
      <w:r w:rsidRPr="10484017">
        <w:rPr>
          <w:color w:val="auto"/>
          <w:sz w:val="24"/>
          <w:szCs w:val="24"/>
        </w:rPr>
        <w:t xml:space="preserve">WannaCry emergency measures cost central NHS agencies £180,000 </w:t>
      </w:r>
      <w:r w:rsidRPr="10484017">
        <w:rPr>
          <w:rFonts w:ascii="Arial" w:eastAsia="Arial" w:hAnsi="Arial" w:cs="Arial"/>
          <w:color w:val="auto"/>
          <w:sz w:val="24"/>
          <w:szCs w:val="24"/>
        </w:rPr>
        <w:t>[Online.]</w:t>
      </w:r>
      <w:r w:rsidR="534AF231">
        <w:br/>
      </w:r>
      <w:r w:rsidRPr="10484017">
        <w:rPr>
          <w:rFonts w:ascii="Arial" w:eastAsia="Arial" w:hAnsi="Arial" w:cs="Arial"/>
          <w:color w:val="auto"/>
          <w:sz w:val="24"/>
          <w:szCs w:val="24"/>
        </w:rPr>
        <w:t>https://www.digitalhealth.net/2017/07/wannacry-emergency-measures-cost-central-nhs-agencies-180000/</w:t>
      </w:r>
    </w:p>
    <w:p w14:paraId="7351B738" w14:textId="05D6A6D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Dunhill, L. 2018. </w:t>
      </w:r>
      <w:r w:rsidRPr="10484017">
        <w:rPr>
          <w:color w:val="auto"/>
          <w:sz w:val="24"/>
          <w:szCs w:val="24"/>
        </w:rPr>
        <w:t xml:space="preserve">Financially struggling trusts pay £183m in 'pointless' interest charges. [Online.] </w:t>
      </w:r>
      <w:r w:rsidR="534AF231">
        <w:br/>
      </w:r>
      <w:r w:rsidRPr="10484017">
        <w:rPr>
          <w:rFonts w:ascii="Arial" w:eastAsia="Arial" w:hAnsi="Arial" w:cs="Arial"/>
          <w:color w:val="auto"/>
          <w:sz w:val="24"/>
          <w:szCs w:val="24"/>
        </w:rPr>
        <w:t>https://www.hsj.co.uk/finance-and-efficiency/financially-struggling-trusts-pay-183m-in-pointless-interest-charges/7021827.article</w:t>
      </w:r>
    </w:p>
    <w:p w14:paraId="74DAEC42" w14:textId="5924B149" w:rsidR="534AF231" w:rsidRDefault="10484017" w:rsidP="10484017">
      <w:pPr>
        <w:spacing w:line="360" w:lineRule="auto"/>
        <w:rPr>
          <w:color w:val="auto"/>
          <w:sz w:val="24"/>
          <w:szCs w:val="24"/>
        </w:rPr>
      </w:pPr>
      <w:r w:rsidRPr="10484017">
        <w:rPr>
          <w:color w:val="auto"/>
          <w:sz w:val="24"/>
          <w:szCs w:val="24"/>
        </w:rPr>
        <w:t xml:space="preserve">Financial Times, 2017. Cost of NHS negligence claims quadruples to £1.6bn in a decade. </w:t>
      </w:r>
      <w:r w:rsidRPr="10484017">
        <w:rPr>
          <w:rFonts w:ascii="Arial" w:eastAsia="Arial" w:hAnsi="Arial" w:cs="Arial"/>
          <w:color w:val="auto"/>
          <w:sz w:val="24"/>
          <w:szCs w:val="24"/>
        </w:rPr>
        <w:t xml:space="preserve">[Online.] </w:t>
      </w:r>
      <w:r w:rsidR="534AF231">
        <w:br/>
      </w:r>
      <w:r w:rsidRPr="10484017">
        <w:rPr>
          <w:rFonts w:ascii="Arial" w:eastAsia="Arial" w:hAnsi="Arial" w:cs="Arial"/>
          <w:color w:val="auto"/>
          <w:sz w:val="24"/>
          <w:szCs w:val="24"/>
        </w:rPr>
        <w:t>https://www.ft.com/content/9a7c010a-9307-11e7-a9e6-11d2f0ebb7f0</w:t>
      </w:r>
    </w:p>
    <w:p w14:paraId="2B6691CE" w14:textId="08D388B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Full Fact, 2015. </w:t>
      </w:r>
      <w:r w:rsidRPr="10484017">
        <w:rPr>
          <w:color w:val="auto"/>
          <w:sz w:val="24"/>
          <w:szCs w:val="24"/>
        </w:rPr>
        <w:t xml:space="preserve">Does smoking cost as much as it makes for the Treasury? [Online.] </w:t>
      </w:r>
      <w:r w:rsidRPr="10484017">
        <w:rPr>
          <w:rFonts w:ascii="Arial" w:eastAsia="Arial" w:hAnsi="Arial" w:cs="Arial"/>
          <w:color w:val="auto"/>
          <w:sz w:val="24"/>
          <w:szCs w:val="24"/>
        </w:rPr>
        <w:t>https://fullfact.org/economy/does-smoking-cost-much-it-makes-treasury/</w:t>
      </w:r>
    </w:p>
    <w:p w14:paraId="7604943B" w14:textId="297D2B41"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Full Fact, 2017. Are we short of 40,000 nurses? [Online.] https://fullfact.org/health/are-we-short-40000-nurses/</w:t>
      </w:r>
    </w:p>
    <w:p w14:paraId="1B9060ED" w14:textId="4B003D75"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Genomics England, 2018. The 100,000 genomes project. [Online.] </w:t>
      </w:r>
      <w:r w:rsidR="534AF231">
        <w:br/>
      </w:r>
      <w:r w:rsidRPr="10484017">
        <w:rPr>
          <w:rFonts w:ascii="Arial" w:eastAsia="Arial" w:hAnsi="Arial" w:cs="Arial"/>
          <w:color w:val="auto"/>
          <w:sz w:val="24"/>
          <w:szCs w:val="24"/>
        </w:rPr>
        <w:t>https://www.genomicsengland.co.uk/the-100000-genomes-project/</w:t>
      </w:r>
    </w:p>
    <w:p w14:paraId="5F1DAA9E" w14:textId="6619D869"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Green, M.A., Dorling, D., Minton, J. and Pickett, K.E., 2017. Could the rise in mortality rates since 2015 be explained by changes in the number of delayed discharges of NHS patients?. J Epidemiol Community Health, 71(11), pp.1068-1071.</w:t>
      </w:r>
    </w:p>
    <w:p w14:paraId="5A6291B7" w14:textId="576A1803"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lastRenderedPageBreak/>
        <w:t>House of Commons Health Committee, 2010. Commissioning, fourth Report of 2009-10. [Online.]</w:t>
      </w:r>
      <w:r w:rsidR="534AF231">
        <w:br/>
      </w:r>
      <w:r w:rsidRPr="10484017">
        <w:rPr>
          <w:rFonts w:ascii="Arial" w:eastAsia="Arial" w:hAnsi="Arial" w:cs="Arial"/>
          <w:color w:val="auto"/>
          <w:sz w:val="24"/>
          <w:szCs w:val="24"/>
        </w:rPr>
        <w:t>https://publications.parliament.uk/pa/cm200910/cmselect/cmhealth/268/268i.pdf</w:t>
      </w:r>
    </w:p>
    <w:p w14:paraId="77210CA8" w14:textId="63DFEC8A" w:rsidR="534AF231" w:rsidRDefault="0BAA5521" w:rsidP="10484017">
      <w:pPr>
        <w:spacing w:line="360" w:lineRule="auto"/>
        <w:rPr>
          <w:rFonts w:ascii="Arial" w:eastAsia="Arial" w:hAnsi="Arial" w:cs="Arial"/>
          <w:color w:val="auto"/>
          <w:sz w:val="24"/>
          <w:szCs w:val="24"/>
        </w:rPr>
      </w:pPr>
      <w:r w:rsidRPr="0BAA5521">
        <w:rPr>
          <w:rFonts w:ascii="Arial" w:eastAsia="Arial" w:hAnsi="Arial" w:cs="Arial"/>
          <w:color w:val="auto"/>
          <w:sz w:val="24"/>
          <w:szCs w:val="24"/>
        </w:rPr>
        <w:t xml:space="preserve">Hughes, L., 2016. </w:t>
      </w:r>
      <w:r w:rsidRPr="0BAA5521">
        <w:rPr>
          <w:color w:val="auto"/>
          <w:sz w:val="24"/>
          <w:szCs w:val="24"/>
        </w:rPr>
        <w:t xml:space="preserve">More spent on treating obesity-related conditions than on the police or fire service, says NHS Chief, The Telegraph. [Online.] </w:t>
      </w:r>
      <w:r w:rsidR="534AF231">
        <w:br/>
      </w:r>
      <w:r w:rsidRPr="0BAA5521">
        <w:rPr>
          <w:rFonts w:ascii="Arial" w:eastAsia="Arial" w:hAnsi="Arial" w:cs="Arial"/>
          <w:color w:val="auto"/>
          <w:sz w:val="24"/>
          <w:szCs w:val="24"/>
        </w:rPr>
        <w:t>http://www.telegraph.co.uk/news/2016/06/07/more-spent-on-treating-obesity-related-conditions-than-on-the-po/</w:t>
      </w:r>
    </w:p>
    <w:p w14:paraId="616676DD" w14:textId="7D70E76D" w:rsidR="534AF231" w:rsidRDefault="0BAA5521" w:rsidP="0BAA5521">
      <w:pPr>
        <w:spacing w:line="360" w:lineRule="auto"/>
        <w:rPr>
          <w:rFonts w:ascii="Arial" w:eastAsia="Arial" w:hAnsi="Arial" w:cs="Arial"/>
          <w:color w:val="auto"/>
          <w:sz w:val="24"/>
          <w:szCs w:val="24"/>
        </w:rPr>
      </w:pPr>
      <w:r w:rsidRPr="0BAA5521">
        <w:rPr>
          <w:rFonts w:ascii="Arial" w:eastAsia="Arial" w:hAnsi="Arial" w:cs="Arial"/>
          <w:color w:val="222222"/>
          <w:sz w:val="24"/>
          <w:szCs w:val="24"/>
        </w:rPr>
        <w:t xml:space="preserve">Ilie, G. and Ciocoiu, C.N., 2010. Application of fishbone diagram to determine the risk of an event with multiple causes. </w:t>
      </w:r>
      <w:r w:rsidRPr="0BAA5521">
        <w:rPr>
          <w:rFonts w:ascii="Arial" w:eastAsia="Arial" w:hAnsi="Arial" w:cs="Arial"/>
          <w:i/>
          <w:iCs/>
          <w:color w:val="222222"/>
          <w:sz w:val="24"/>
          <w:szCs w:val="24"/>
        </w:rPr>
        <w:t>Management Research and Practice</w:t>
      </w:r>
      <w:r w:rsidRPr="0BAA5521">
        <w:rPr>
          <w:rFonts w:ascii="Arial" w:eastAsia="Arial" w:hAnsi="Arial" w:cs="Arial"/>
          <w:color w:val="222222"/>
          <w:sz w:val="24"/>
          <w:szCs w:val="24"/>
        </w:rPr>
        <w:t xml:space="preserve">, </w:t>
      </w:r>
      <w:r w:rsidRPr="0BAA5521">
        <w:rPr>
          <w:rFonts w:ascii="Arial" w:eastAsia="Arial" w:hAnsi="Arial" w:cs="Arial"/>
          <w:i/>
          <w:iCs/>
          <w:color w:val="222222"/>
          <w:sz w:val="24"/>
          <w:szCs w:val="24"/>
        </w:rPr>
        <w:t>2</w:t>
      </w:r>
      <w:r w:rsidRPr="0BAA5521">
        <w:rPr>
          <w:rFonts w:ascii="Arial" w:eastAsia="Arial" w:hAnsi="Arial" w:cs="Arial"/>
          <w:color w:val="222222"/>
          <w:sz w:val="24"/>
          <w:szCs w:val="24"/>
        </w:rPr>
        <w:t>(1), pp.1-20.</w:t>
      </w:r>
      <w:r w:rsidR="534AF231">
        <w:br/>
      </w:r>
      <w:r w:rsidRPr="0BAA5521">
        <w:rPr>
          <w:rFonts w:ascii="Arial" w:eastAsia="Arial" w:hAnsi="Arial" w:cs="Arial"/>
          <w:color w:val="auto"/>
          <w:sz w:val="24"/>
          <w:szCs w:val="24"/>
        </w:rPr>
        <w:t>Kings' Fund, 2015. How serious are the pressures in social care?</w:t>
      </w:r>
      <w:r w:rsidR="534AF231">
        <w:br/>
      </w:r>
      <w:r w:rsidRPr="0BAA5521">
        <w:rPr>
          <w:rFonts w:ascii="Arial" w:eastAsia="Arial" w:hAnsi="Arial" w:cs="Arial"/>
          <w:color w:val="auto"/>
          <w:sz w:val="24"/>
          <w:szCs w:val="24"/>
        </w:rPr>
        <w:t>https://www.kingsfund.org.uk/projects/verdict/how-serious-are-pressures-social-care</w:t>
      </w:r>
    </w:p>
    <w:p w14:paraId="75AAA6DD" w14:textId="2CDD914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Masters, R., Anwar, E., Collins, B., Cookson, R. and Capewell, S., 2017. Return on investment of public health interventions: a systematic review. J Epidemiol Community Health, pp.jech-2016.</w:t>
      </w:r>
    </w:p>
    <w:p w14:paraId="7899F07A" w14:textId="71F67BF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Maynard, A. &amp; Dixon, M., 2016. Should the NHS abolish the purchaser-provider split?. BMJ: British Medical Journal (Online), 354.</w:t>
      </w:r>
    </w:p>
    <w:p w14:paraId="48E5F750" w14:textId="16AB3898"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NHS Digital, 2018. NHS Workforce Statistics, October 2017. [Online.]</w:t>
      </w:r>
      <w:r w:rsidR="534AF231">
        <w:br/>
      </w:r>
      <w:r w:rsidRPr="10484017">
        <w:rPr>
          <w:rFonts w:ascii="Arial" w:eastAsia="Arial" w:hAnsi="Arial" w:cs="Arial"/>
          <w:color w:val="auto"/>
          <w:sz w:val="24"/>
          <w:szCs w:val="24"/>
        </w:rPr>
        <w:t>https://digital.nhs.uk/catalogue/PUB30189</w:t>
      </w:r>
    </w:p>
    <w:p w14:paraId="26CC75A6" w14:textId="1E76BD49"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NHS England, 2013. The NHS belongs to the people; a call for action. [Online.] https://www.england.nhs.uk/wp-content/uploads/2013/07/nhs-belongs.pdf</w:t>
      </w:r>
    </w:p>
    <w:p w14:paraId="5E1C1291" w14:textId="766EB23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NHS England, 2016. Q4 sector performance report. [Online.] Accessed 01/03/2018.  https://improvement.nhs.uk/uploads/documents/BM1653_Q4_sector_performance_report.pdf</w:t>
      </w:r>
    </w:p>
    <w:p w14:paraId="49F55187" w14:textId="1460556E"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NHS England, 2017. Funding and efficiency. [Online.]</w:t>
      </w:r>
      <w:r w:rsidR="534AF231">
        <w:br/>
      </w:r>
      <w:r w:rsidRPr="10484017">
        <w:rPr>
          <w:rFonts w:ascii="Arial" w:eastAsia="Arial" w:hAnsi="Arial" w:cs="Arial"/>
          <w:color w:val="auto"/>
          <w:sz w:val="24"/>
          <w:szCs w:val="24"/>
        </w:rPr>
        <w:t>https://www.england.nhs.uk/five-year-forward-view/next-steps-on-the-nhs-five-year-forward-view/funding-and-efficiency/</w:t>
      </w:r>
    </w:p>
    <w:p w14:paraId="7191B47F" w14:textId="35686E1F"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lastRenderedPageBreak/>
        <w:t xml:space="preserve">NHS England, 2018. </w:t>
      </w:r>
      <w:r w:rsidRPr="10484017">
        <w:rPr>
          <w:color w:val="auto"/>
          <w:sz w:val="24"/>
          <w:szCs w:val="24"/>
        </w:rPr>
        <w:t xml:space="preserve">A&amp;E Attendances and Emergency Admissions 2017-18 [Online.] </w:t>
      </w:r>
      <w:r w:rsidRPr="10484017">
        <w:rPr>
          <w:rFonts w:ascii="Arial" w:eastAsia="Arial" w:hAnsi="Arial" w:cs="Arial"/>
          <w:color w:val="auto"/>
          <w:sz w:val="24"/>
          <w:szCs w:val="24"/>
        </w:rPr>
        <w:t>https://www.england.nhs.uk/statistics/statistical-work-areas/ae-waiting-times-and-activity/ae-attendances-and-emergency-admissions-2017-18/</w:t>
      </w:r>
    </w:p>
    <w:p w14:paraId="1DEE79FD" w14:textId="50F569AD"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Nursing Times, 2017. Government halts sale of NHS Professionals staffing agency. [Online.]</w:t>
      </w:r>
      <w:r w:rsidR="534AF231">
        <w:br/>
      </w:r>
      <w:r w:rsidRPr="10484017">
        <w:rPr>
          <w:rFonts w:ascii="Arial" w:eastAsia="Arial" w:hAnsi="Arial" w:cs="Arial"/>
          <w:color w:val="auto"/>
          <w:sz w:val="24"/>
          <w:szCs w:val="24"/>
        </w:rPr>
        <w:t>https://www.nursingtimes.net/news/policies-and-guidance/government-halts-sale-of-nhs-professionals-staffing-agency/7021159.article</w:t>
      </w:r>
    </w:p>
    <w:p w14:paraId="06894896" w14:textId="05D3487A"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Office for National Statistics, Overview of the UK Population, July 2017 [Online.] </w:t>
      </w:r>
      <w:r w:rsidR="534AF231">
        <w:br/>
      </w:r>
      <w:r w:rsidRPr="10484017">
        <w:rPr>
          <w:rFonts w:ascii="Arial" w:eastAsia="Arial" w:hAnsi="Arial" w:cs="Arial"/>
          <w:color w:val="auto"/>
          <w:sz w:val="24"/>
          <w:szCs w:val="24"/>
        </w:rPr>
        <w:t>https://www.ons.gov.uk/peoplepopulationandcommunity/populationandmigration/populationestimates/articles/overviewoftheukpopulation/july2017</w:t>
      </w:r>
    </w:p>
    <w:p w14:paraId="60E36DE3" w14:textId="6A1CE83B"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Reynolds, P., 2010. The Truth About Sativex. [Online.] </w:t>
      </w:r>
      <w:r w:rsidR="534AF231">
        <w:br/>
      </w:r>
      <w:r w:rsidRPr="10484017">
        <w:rPr>
          <w:rFonts w:ascii="Arial" w:eastAsia="Arial" w:hAnsi="Arial" w:cs="Arial"/>
          <w:color w:val="auto"/>
          <w:sz w:val="24"/>
          <w:szCs w:val="24"/>
        </w:rPr>
        <w:t>https://www.clear-uk.org/the-truth-about-sativex/</w:t>
      </w:r>
    </w:p>
    <w:p w14:paraId="02001853" w14:textId="6D3ECC94"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Scarborough, P., Bhatnagar, P., Wickramasinghe, K.K., Allender, S., Foster, C. and Rayner, M., 2011. The economic burden of ill health due to diet, physical inactivity, smoking, alcohol and obesity in the UK: an update to 2006–07 NHS costs. Journal of public health, 33(4), pp.527-535.</w:t>
      </w:r>
    </w:p>
    <w:p w14:paraId="24E545F6" w14:textId="11E4AD80" w:rsidR="534AF231"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Sarah Barber, Rachel Harker, Alison Pratt, 2017. Human and financial costs of drug addiction. [Online.] </w:t>
      </w:r>
      <w:r w:rsidR="534AF231">
        <w:br/>
      </w:r>
      <w:r w:rsidRPr="10484017">
        <w:rPr>
          <w:rFonts w:ascii="Arial" w:eastAsia="Arial" w:hAnsi="Arial" w:cs="Arial"/>
          <w:color w:val="auto"/>
          <w:sz w:val="24"/>
          <w:szCs w:val="24"/>
        </w:rPr>
        <w:t>researchbriefings.files.parliament.uk/documents/CDP-2017-0230/CDP-2017-0230.pdf</w:t>
      </w:r>
    </w:p>
    <w:p w14:paraId="0742A371" w14:textId="4BF7E76B" w:rsidR="4024A1D2" w:rsidRDefault="10484017" w:rsidP="10484017">
      <w:pPr>
        <w:spacing w:line="360" w:lineRule="auto"/>
        <w:rPr>
          <w:rFonts w:ascii="Arial" w:eastAsia="Arial" w:hAnsi="Arial" w:cs="Arial"/>
          <w:color w:val="auto"/>
          <w:sz w:val="24"/>
          <w:szCs w:val="24"/>
        </w:rPr>
      </w:pPr>
      <w:r w:rsidRPr="10484017">
        <w:rPr>
          <w:rFonts w:ascii="Arial" w:eastAsia="Arial" w:hAnsi="Arial" w:cs="Arial"/>
          <w:color w:val="auto"/>
          <w:sz w:val="24"/>
          <w:szCs w:val="24"/>
        </w:rPr>
        <w:t xml:space="preserve">Williams, M., 2017. Jeremy Hunt admits false claims over mental health. [Online.] </w:t>
      </w:r>
      <w:r w:rsidR="4024A1D2">
        <w:br/>
      </w:r>
      <w:r w:rsidRPr="10484017">
        <w:rPr>
          <w:rFonts w:ascii="Arial" w:eastAsia="Arial" w:hAnsi="Arial" w:cs="Arial"/>
          <w:color w:val="auto"/>
          <w:sz w:val="24"/>
          <w:szCs w:val="24"/>
        </w:rPr>
        <w:t>https://www.channel4.com/news/factcheck/jeremy-hunt-admits-making-false-claims-over-mental-health</w:t>
      </w:r>
    </w:p>
    <w:p w14:paraId="0F8E97D4" w14:textId="4237CFC3" w:rsidR="4024A1D2" w:rsidRDefault="4024A1D2" w:rsidP="4024A1D2">
      <w:pPr>
        <w:rPr>
          <w:rFonts w:ascii="Arial" w:eastAsia="Arial" w:hAnsi="Arial" w:cs="Arial"/>
          <w:sz w:val="24"/>
          <w:szCs w:val="24"/>
        </w:rPr>
      </w:pPr>
    </w:p>
    <w:sectPr w:rsidR="4024A1D2">
      <w:footerReference w:type="default" r:id="rId10"/>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AB479" w14:textId="77777777" w:rsidR="003A3A25" w:rsidRDefault="003A3A25">
      <w:r>
        <w:separator/>
      </w:r>
    </w:p>
    <w:p w14:paraId="3C7A4C8A" w14:textId="77777777" w:rsidR="003A3A25" w:rsidRDefault="003A3A25"/>
  </w:endnote>
  <w:endnote w:type="continuationSeparator" w:id="0">
    <w:p w14:paraId="6B271225" w14:textId="77777777" w:rsidR="003A3A25" w:rsidRDefault="003A3A25">
      <w:r>
        <w:continuationSeparator/>
      </w:r>
    </w:p>
    <w:p w14:paraId="54EFF679" w14:textId="77777777" w:rsidR="003A3A25" w:rsidRDefault="003A3A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DA0EE0" w14:paraId="2903CBC8" w14:textId="77777777">
          <w:tc>
            <w:tcPr>
              <w:tcW w:w="3116" w:type="dxa"/>
            </w:tcPr>
            <w:p w14:paraId="7B20FA2E" w14:textId="21E048CE" w:rsidR="00DA0EE0" w:rsidRDefault="00D8355F">
              <w:pPr>
                <w:pStyle w:val="Footer"/>
              </w:pPr>
              <w:r>
                <w:fldChar w:fldCharType="begin"/>
              </w:r>
              <w:r>
                <w:instrText xml:space="preserve"> PAGE   \* MERGEFORMAT </w:instrText>
              </w:r>
              <w:r>
                <w:fldChar w:fldCharType="separate"/>
              </w:r>
              <w:r w:rsidR="003F3D22">
                <w:rPr>
                  <w:noProof/>
                </w:rPr>
                <w:t>2</w:t>
              </w:r>
              <w:r>
                <w:rPr>
                  <w:noProof/>
                </w:rPr>
                <w:fldChar w:fldCharType="end"/>
              </w:r>
            </w:p>
          </w:tc>
          <w:tc>
            <w:tcPr>
              <w:tcW w:w="3117" w:type="dxa"/>
            </w:tcPr>
            <w:p w14:paraId="672A6659" w14:textId="77777777" w:rsidR="00DA0EE0" w:rsidRDefault="00DA0EE0">
              <w:pPr>
                <w:pStyle w:val="Footer"/>
                <w:jc w:val="center"/>
              </w:pPr>
            </w:p>
          </w:tc>
          <w:tc>
            <w:tcPr>
              <w:tcW w:w="3117" w:type="dxa"/>
            </w:tcPr>
            <w:p w14:paraId="0A37501D" w14:textId="77777777" w:rsidR="00DA0EE0" w:rsidRDefault="00DA0EE0">
              <w:pPr>
                <w:pStyle w:val="Footer"/>
                <w:jc w:val="right"/>
              </w:pPr>
            </w:p>
          </w:tc>
        </w:tr>
      </w:sdtContent>
    </w:sdt>
  </w:tbl>
  <w:p w14:paraId="5DAB6C7B" w14:textId="77777777" w:rsidR="00DA0EE0" w:rsidRDefault="00DA0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5AC65F" w14:textId="77777777" w:rsidR="003A3A25" w:rsidRDefault="003A3A25">
      <w:r>
        <w:separator/>
      </w:r>
    </w:p>
    <w:p w14:paraId="6879003A" w14:textId="77777777" w:rsidR="003A3A25" w:rsidRDefault="003A3A25"/>
  </w:footnote>
  <w:footnote w:type="continuationSeparator" w:id="0">
    <w:p w14:paraId="0514A98E" w14:textId="77777777" w:rsidR="003A3A25" w:rsidRDefault="003A3A25">
      <w:r>
        <w:continuationSeparator/>
      </w:r>
    </w:p>
    <w:p w14:paraId="04B96636" w14:textId="77777777" w:rsidR="003A3A25" w:rsidRDefault="003A3A25"/>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4B402D7C"/>
    <w:multiLevelType w:val="hybridMultilevel"/>
    <w:tmpl w:val="5568E1E4"/>
    <w:lvl w:ilvl="0" w:tplc="823E18D4">
      <w:start w:val="1"/>
      <w:numFmt w:val="bullet"/>
      <w:lvlText w:val=""/>
      <w:lvlJc w:val="left"/>
      <w:pPr>
        <w:ind w:left="720" w:hanging="360"/>
      </w:pPr>
      <w:rPr>
        <w:rFonts w:ascii="Symbol" w:hAnsi="Symbol" w:hint="default"/>
      </w:rPr>
    </w:lvl>
    <w:lvl w:ilvl="1" w:tplc="06A65262">
      <w:start w:val="1"/>
      <w:numFmt w:val="bullet"/>
      <w:lvlText w:val="o"/>
      <w:lvlJc w:val="left"/>
      <w:pPr>
        <w:ind w:left="1440" w:hanging="360"/>
      </w:pPr>
      <w:rPr>
        <w:rFonts w:ascii="Courier New" w:hAnsi="Courier New" w:hint="default"/>
      </w:rPr>
    </w:lvl>
    <w:lvl w:ilvl="2" w:tplc="02ACC538">
      <w:start w:val="1"/>
      <w:numFmt w:val="bullet"/>
      <w:lvlText w:val=""/>
      <w:lvlJc w:val="left"/>
      <w:pPr>
        <w:ind w:left="2160" w:hanging="360"/>
      </w:pPr>
      <w:rPr>
        <w:rFonts w:ascii="Wingdings" w:hAnsi="Wingdings" w:hint="default"/>
      </w:rPr>
    </w:lvl>
    <w:lvl w:ilvl="3" w:tplc="85D4B8B2">
      <w:start w:val="1"/>
      <w:numFmt w:val="bullet"/>
      <w:lvlText w:val=""/>
      <w:lvlJc w:val="left"/>
      <w:pPr>
        <w:ind w:left="2880" w:hanging="360"/>
      </w:pPr>
      <w:rPr>
        <w:rFonts w:ascii="Symbol" w:hAnsi="Symbol" w:hint="default"/>
      </w:rPr>
    </w:lvl>
    <w:lvl w:ilvl="4" w:tplc="01C0763C">
      <w:start w:val="1"/>
      <w:numFmt w:val="bullet"/>
      <w:lvlText w:val="o"/>
      <w:lvlJc w:val="left"/>
      <w:pPr>
        <w:ind w:left="3600" w:hanging="360"/>
      </w:pPr>
      <w:rPr>
        <w:rFonts w:ascii="Courier New" w:hAnsi="Courier New" w:hint="default"/>
      </w:rPr>
    </w:lvl>
    <w:lvl w:ilvl="5" w:tplc="7FDC847C">
      <w:start w:val="1"/>
      <w:numFmt w:val="bullet"/>
      <w:lvlText w:val=""/>
      <w:lvlJc w:val="left"/>
      <w:pPr>
        <w:ind w:left="4320" w:hanging="360"/>
      </w:pPr>
      <w:rPr>
        <w:rFonts w:ascii="Wingdings" w:hAnsi="Wingdings" w:hint="default"/>
      </w:rPr>
    </w:lvl>
    <w:lvl w:ilvl="6" w:tplc="F7FAF42C">
      <w:start w:val="1"/>
      <w:numFmt w:val="bullet"/>
      <w:lvlText w:val=""/>
      <w:lvlJc w:val="left"/>
      <w:pPr>
        <w:ind w:left="5040" w:hanging="360"/>
      </w:pPr>
      <w:rPr>
        <w:rFonts w:ascii="Symbol" w:hAnsi="Symbol" w:hint="default"/>
      </w:rPr>
    </w:lvl>
    <w:lvl w:ilvl="7" w:tplc="D72EB410">
      <w:start w:val="1"/>
      <w:numFmt w:val="bullet"/>
      <w:lvlText w:val="o"/>
      <w:lvlJc w:val="left"/>
      <w:pPr>
        <w:ind w:left="5760" w:hanging="360"/>
      </w:pPr>
      <w:rPr>
        <w:rFonts w:ascii="Courier New" w:hAnsi="Courier New" w:hint="default"/>
      </w:rPr>
    </w:lvl>
    <w:lvl w:ilvl="8" w:tplc="44783162">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781436"/>
    <w:rsid w:val="002C4E60"/>
    <w:rsid w:val="003A3A25"/>
    <w:rsid w:val="003F3D22"/>
    <w:rsid w:val="00D8355F"/>
    <w:rsid w:val="00DA0EE0"/>
    <w:rsid w:val="0493C17B"/>
    <w:rsid w:val="0BAA5521"/>
    <w:rsid w:val="10484017"/>
    <w:rsid w:val="1816C22C"/>
    <w:rsid w:val="2C781436"/>
    <w:rsid w:val="4024A1D2"/>
    <w:rsid w:val="534AF231"/>
    <w:rsid w:val="58B2867E"/>
    <w:rsid w:val="5A58393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66B6C6"/>
  <w15:chartTrackingRefBased/>
  <w15:docId w15:val="{B290F071-00A4-46AB-8C42-E37C8E14E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2"/>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3"/>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62C7AD" w:themeColor="hyperlink"/>
      <w:u w:val="single"/>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3822</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Melia</dc:creator>
  <cp:keywords/>
  <dc:description/>
  <cp:lastModifiedBy>Shehla Khan</cp:lastModifiedBy>
  <cp:revision>2</cp:revision>
  <dcterms:created xsi:type="dcterms:W3CDTF">2018-05-17T12:29:00Z</dcterms:created>
  <dcterms:modified xsi:type="dcterms:W3CDTF">2018-05-17T12:29:00Z</dcterms:modified>
</cp:coreProperties>
</file>