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B1B35" w:rsidP="008B1B35" w:rsidRDefault="008B1B35" w14:paraId="131C2258" w14:textId="77777777">
      <w:pPr>
        <w:jc w:val="center"/>
        <w:rPr>
          <w:b/>
          <w:bCs/>
          <w:sz w:val="22"/>
          <w:szCs w:val="22"/>
        </w:rPr>
      </w:pPr>
    </w:p>
    <w:p w:rsidR="008B1B35" w:rsidP="008B1B35" w:rsidRDefault="008B1B35" w14:paraId="70148853" w14:textId="77777777">
      <w:pPr>
        <w:jc w:val="center"/>
        <w:rPr>
          <w:b/>
          <w:bCs/>
          <w:sz w:val="22"/>
          <w:szCs w:val="22"/>
        </w:rPr>
      </w:pPr>
    </w:p>
    <w:p w:rsidR="008B1B35" w:rsidP="008B1B35" w:rsidRDefault="008B1B35" w14:paraId="57DE4B11" w14:textId="77777777">
      <w:pPr>
        <w:jc w:val="center"/>
        <w:rPr>
          <w:b/>
          <w:bCs/>
          <w:sz w:val="22"/>
          <w:szCs w:val="22"/>
        </w:rPr>
      </w:pPr>
    </w:p>
    <w:p w:rsidRPr="008B1B35" w:rsidR="008B1B35" w:rsidP="008B1B35" w:rsidRDefault="008B1B35" w14:paraId="48A26369" w14:textId="05F2B0C8">
      <w:pPr>
        <w:jc w:val="center"/>
        <w:rPr>
          <w:sz w:val="36"/>
          <w:szCs w:val="36"/>
        </w:rPr>
      </w:pPr>
      <w:r w:rsidRPr="008B1B35">
        <w:rPr>
          <w:b/>
          <w:bCs/>
          <w:sz w:val="36"/>
          <w:szCs w:val="36"/>
        </w:rPr>
        <w:t xml:space="preserve">Title: </w:t>
      </w:r>
      <w:r w:rsidRPr="008B1B35">
        <w:rPr>
          <w:sz w:val="36"/>
          <w:szCs w:val="36"/>
        </w:rPr>
        <w:t>Certificate of Higher Education Skills for the Workplace (Health and Social Care)</w:t>
      </w:r>
    </w:p>
    <w:p w:rsidRPr="008B1B35" w:rsidR="008B1B35" w:rsidP="008B1B35" w:rsidRDefault="008B1B35" w14:paraId="580F8EA4" w14:textId="0E68A378">
      <w:pPr>
        <w:jc w:val="center"/>
        <w:rPr>
          <w:sz w:val="36"/>
          <w:szCs w:val="36"/>
        </w:rPr>
      </w:pPr>
      <w:r w:rsidRPr="008B1B35">
        <w:rPr>
          <w:b/>
          <w:bCs/>
          <w:sz w:val="36"/>
          <w:szCs w:val="36"/>
        </w:rPr>
        <w:t xml:space="preserve">Student Name: </w:t>
      </w:r>
      <w:r w:rsidRPr="008B1B35">
        <w:rPr>
          <w:sz w:val="36"/>
          <w:szCs w:val="36"/>
        </w:rPr>
        <w:t>Nahida Akhtar</w:t>
      </w:r>
    </w:p>
    <w:p w:rsidRPr="008B1B35" w:rsidR="008B1B35" w:rsidP="008B1B35" w:rsidRDefault="008B1B35" w14:paraId="5B7E5957" w14:textId="7D6F6248">
      <w:pPr>
        <w:jc w:val="center"/>
        <w:rPr>
          <w:sz w:val="36"/>
          <w:szCs w:val="36"/>
        </w:rPr>
      </w:pPr>
      <w:r w:rsidRPr="008B1B35">
        <w:rPr>
          <w:b/>
          <w:bCs/>
          <w:sz w:val="36"/>
          <w:szCs w:val="36"/>
        </w:rPr>
        <w:t xml:space="preserve">Student Number: </w:t>
      </w:r>
      <w:r w:rsidRPr="008B1B35">
        <w:rPr>
          <w:sz w:val="36"/>
          <w:szCs w:val="36"/>
        </w:rPr>
        <w:t>2407149</w:t>
      </w:r>
    </w:p>
    <w:p w:rsidRPr="008B1B35" w:rsidR="008B1B35" w:rsidP="008B1B35" w:rsidRDefault="008B1B35" w14:paraId="777709FC" w14:textId="172C2412">
      <w:pPr>
        <w:jc w:val="center"/>
        <w:rPr>
          <w:sz w:val="36"/>
          <w:szCs w:val="36"/>
        </w:rPr>
      </w:pPr>
      <w:r w:rsidRPr="1CE7CF0A" w:rsidR="008B1B35">
        <w:rPr>
          <w:b w:val="1"/>
          <w:bCs w:val="1"/>
          <w:sz w:val="36"/>
          <w:szCs w:val="36"/>
        </w:rPr>
        <w:t xml:space="preserve">Module Code &amp; Title: </w:t>
      </w:r>
      <w:r w:rsidRPr="1CE7CF0A" w:rsidR="008B1B35">
        <w:rPr>
          <w:sz w:val="36"/>
          <w:szCs w:val="36"/>
        </w:rPr>
        <w:t>LCHS4010 – Psycholog</w:t>
      </w:r>
      <w:r w:rsidRPr="1CE7CF0A" w:rsidR="2B8124AE">
        <w:rPr>
          <w:sz w:val="36"/>
          <w:szCs w:val="36"/>
        </w:rPr>
        <w:t>y</w:t>
      </w:r>
      <w:r w:rsidRPr="1CE7CF0A" w:rsidR="008B1B35">
        <w:rPr>
          <w:sz w:val="36"/>
          <w:szCs w:val="36"/>
        </w:rPr>
        <w:t xml:space="preserve"> in Health and Social</w:t>
      </w:r>
      <w:r w:rsidRPr="1CE7CF0A" w:rsidR="73B774A4">
        <w:rPr>
          <w:sz w:val="36"/>
          <w:szCs w:val="36"/>
        </w:rPr>
        <w:t xml:space="preserve"> Care</w:t>
      </w:r>
    </w:p>
    <w:p w:rsidRPr="008B1B35" w:rsidR="008B1B35" w:rsidP="008B1B35" w:rsidRDefault="008B1B35" w14:paraId="4F7E278C" w14:textId="5657ADA5">
      <w:pPr>
        <w:jc w:val="center"/>
        <w:rPr>
          <w:sz w:val="36"/>
          <w:szCs w:val="36"/>
        </w:rPr>
      </w:pPr>
      <w:r w:rsidRPr="008B1B35">
        <w:rPr>
          <w:b/>
          <w:bCs/>
          <w:sz w:val="36"/>
          <w:szCs w:val="36"/>
        </w:rPr>
        <w:t xml:space="preserve">Lecturer’s Name: </w:t>
      </w:r>
      <w:r w:rsidRPr="008B1B35">
        <w:rPr>
          <w:sz w:val="36"/>
          <w:szCs w:val="36"/>
        </w:rPr>
        <w:t>Dr Besty Jose</w:t>
      </w:r>
    </w:p>
    <w:p w:rsidR="008B1B35" w:rsidP="008B1B35" w:rsidRDefault="008B1B35" w14:paraId="619CF032" w14:textId="1F51278C">
      <w:pPr>
        <w:jc w:val="center"/>
        <w:rPr>
          <w:b/>
          <w:bCs/>
          <w:sz w:val="36"/>
          <w:szCs w:val="36"/>
        </w:rPr>
      </w:pPr>
      <w:r w:rsidRPr="008B1B35">
        <w:rPr>
          <w:b/>
          <w:bCs/>
          <w:sz w:val="36"/>
          <w:szCs w:val="36"/>
        </w:rPr>
        <w:t>Submission Date: 28</w:t>
      </w:r>
      <w:r w:rsidRPr="008B1B35">
        <w:rPr>
          <w:b/>
          <w:bCs/>
          <w:sz w:val="36"/>
          <w:szCs w:val="36"/>
          <w:vertAlign w:val="superscript"/>
        </w:rPr>
        <w:t>th</w:t>
      </w:r>
      <w:r w:rsidRPr="008B1B35">
        <w:rPr>
          <w:b/>
          <w:bCs/>
          <w:sz w:val="36"/>
          <w:szCs w:val="36"/>
        </w:rPr>
        <w:t xml:space="preserve"> November 2025</w:t>
      </w:r>
    </w:p>
    <w:p w:rsidR="008B1B35" w:rsidP="008B1B35" w:rsidRDefault="008B1B35" w14:paraId="473584AA" w14:textId="77777777">
      <w:pPr>
        <w:jc w:val="center"/>
        <w:rPr>
          <w:b/>
          <w:bCs/>
          <w:sz w:val="36"/>
          <w:szCs w:val="36"/>
        </w:rPr>
      </w:pPr>
    </w:p>
    <w:p w:rsidR="008B1B35" w:rsidP="008B1B35" w:rsidRDefault="008B1B35" w14:paraId="0E595B96" w14:textId="77777777">
      <w:pPr>
        <w:jc w:val="center"/>
        <w:rPr>
          <w:b/>
          <w:bCs/>
          <w:sz w:val="36"/>
          <w:szCs w:val="36"/>
        </w:rPr>
      </w:pPr>
    </w:p>
    <w:p w:rsidR="008B1B35" w:rsidP="008B1B35" w:rsidRDefault="008B1B35" w14:paraId="53322E6B" w14:textId="77777777">
      <w:pPr>
        <w:jc w:val="center"/>
        <w:rPr>
          <w:b/>
          <w:bCs/>
          <w:sz w:val="36"/>
          <w:szCs w:val="36"/>
        </w:rPr>
      </w:pPr>
    </w:p>
    <w:p w:rsidR="008B1B35" w:rsidP="008B1B35" w:rsidRDefault="008B1B35" w14:paraId="6E2C942F" w14:textId="77777777">
      <w:pPr>
        <w:jc w:val="center"/>
        <w:rPr>
          <w:b/>
          <w:bCs/>
          <w:sz w:val="36"/>
          <w:szCs w:val="36"/>
        </w:rPr>
      </w:pPr>
    </w:p>
    <w:p w:rsidR="008B1B35" w:rsidP="008B1B35" w:rsidRDefault="008B1B35" w14:paraId="3F34C056" w14:textId="77777777">
      <w:pPr>
        <w:jc w:val="center"/>
        <w:rPr>
          <w:b/>
          <w:bCs/>
          <w:sz w:val="36"/>
          <w:szCs w:val="36"/>
        </w:rPr>
      </w:pPr>
    </w:p>
    <w:p w:rsidR="008B1B35" w:rsidP="008B1B35" w:rsidRDefault="008B1B35" w14:paraId="17438492" w14:textId="77777777">
      <w:pPr>
        <w:jc w:val="center"/>
        <w:rPr>
          <w:b/>
          <w:bCs/>
          <w:sz w:val="36"/>
          <w:szCs w:val="36"/>
        </w:rPr>
      </w:pPr>
    </w:p>
    <w:p w:rsidR="008B1B35" w:rsidP="008B1B35" w:rsidRDefault="008B1B35" w14:paraId="342FBE52" w14:textId="77777777">
      <w:pPr>
        <w:jc w:val="center"/>
        <w:rPr>
          <w:b/>
          <w:bCs/>
          <w:sz w:val="36"/>
          <w:szCs w:val="36"/>
        </w:rPr>
      </w:pPr>
    </w:p>
    <w:p w:rsidR="008B1B35" w:rsidP="008B1B35" w:rsidRDefault="008B1B35" w14:paraId="27498D89" w14:textId="77777777">
      <w:pPr>
        <w:jc w:val="center"/>
        <w:rPr>
          <w:b/>
          <w:bCs/>
          <w:sz w:val="36"/>
          <w:szCs w:val="36"/>
        </w:rPr>
      </w:pPr>
    </w:p>
    <w:p w:rsidR="008B1B35" w:rsidP="008B1B35" w:rsidRDefault="008B1B35" w14:paraId="410DA0AB" w14:textId="77777777">
      <w:pPr>
        <w:jc w:val="center"/>
        <w:rPr>
          <w:b/>
          <w:bCs/>
          <w:sz w:val="36"/>
          <w:szCs w:val="36"/>
        </w:rPr>
      </w:pPr>
    </w:p>
    <w:p w:rsidR="008B1B35" w:rsidP="008B1B35" w:rsidRDefault="008B1B35" w14:paraId="2E28843E" w14:textId="77777777">
      <w:pPr>
        <w:jc w:val="center"/>
        <w:rPr>
          <w:b/>
          <w:bCs/>
          <w:sz w:val="36"/>
          <w:szCs w:val="36"/>
        </w:rPr>
      </w:pPr>
    </w:p>
    <w:p w:rsidR="008B1B35" w:rsidP="008B1B35" w:rsidRDefault="008B1B35" w14:paraId="5D3D6AEA" w14:textId="77777777">
      <w:pPr>
        <w:jc w:val="center"/>
        <w:rPr>
          <w:b/>
          <w:bCs/>
          <w:sz w:val="36"/>
          <w:szCs w:val="36"/>
        </w:rPr>
      </w:pPr>
    </w:p>
    <w:p w:rsidRPr="008B1B35" w:rsidR="008B1B35" w:rsidP="008B1B35" w:rsidRDefault="008B1B35" w14:paraId="3D9D120B" w14:textId="65C2972D">
      <w:pPr>
        <w:rPr>
          <w:b/>
          <w:bCs/>
          <w:sz w:val="22"/>
          <w:szCs w:val="22"/>
          <w:u w:val="single"/>
        </w:rPr>
      </w:pPr>
      <w:r w:rsidRPr="008B1B35">
        <w:rPr>
          <w:b/>
          <w:bCs/>
          <w:sz w:val="22"/>
          <w:szCs w:val="22"/>
          <w:u w:val="single"/>
        </w:rPr>
        <w:t>Introduction</w:t>
      </w:r>
    </w:p>
    <w:p w:rsidR="008B1B35" w:rsidP="008B1B35" w:rsidRDefault="008B1B35" w14:paraId="2363F9BD" w14:textId="1D05F1F9">
      <w:pPr>
        <w:rPr>
          <w:sz w:val="22"/>
          <w:szCs w:val="22"/>
        </w:rPr>
      </w:pPr>
      <w:r>
        <w:rPr>
          <w:sz w:val="22"/>
          <w:szCs w:val="22"/>
        </w:rPr>
        <w:t>Understanding the development of children and young people is crucial for healthcare professionals in the health and social care field. Developmental psychology provides valuable frameworks for the growth, milestones and interactions of a child with the world around them. Adolescents is one of the transitional phases, this is between childhood and adulthood – between the ages of 11 and 18 years. At this stage, adolescents develop by major changes in physical, emotional and intellectual. They are exposed to mental health distress as this phase comes with hormonal adjustments and fluctuation of social roles. Health and social care professionals therefore need to have the knowledge and skills of recognising and handling the changing needs of adolescents. In this booklet, the new healthcare professionals are intended to be familiarised with basic psychological theories with respect to adolescence, effects of nature and nurture in developmental, as well as how the psychological knowledge can be practically applied in health and social care services.</w:t>
      </w:r>
    </w:p>
    <w:p w:rsidR="008B1B35" w:rsidP="008B1B35" w:rsidRDefault="008B1B35" w14:paraId="68A94FBC" w14:textId="74E7A846">
      <w:pPr>
        <w:rPr>
          <w:b/>
          <w:bCs/>
          <w:sz w:val="22"/>
          <w:szCs w:val="22"/>
          <w:u w:val="single"/>
        </w:rPr>
      </w:pPr>
      <w:r w:rsidRPr="008B1B35">
        <w:rPr>
          <w:b/>
          <w:bCs/>
          <w:sz w:val="22"/>
          <w:szCs w:val="22"/>
          <w:u w:val="single"/>
        </w:rPr>
        <w:t>Nature and Nurture: Environmental and Biological Forces</w:t>
      </w:r>
    </w:p>
    <w:p w:rsidR="008B1B35" w:rsidP="008B1B35" w:rsidRDefault="008B1B35" w14:paraId="70E540D1" w14:textId="28CCBACA">
      <w:pPr>
        <w:rPr>
          <w:sz w:val="22"/>
          <w:szCs w:val="22"/>
        </w:rPr>
      </w:pPr>
      <w:r>
        <w:rPr>
          <w:sz w:val="22"/>
          <w:szCs w:val="22"/>
        </w:rPr>
        <w:t xml:space="preserve">In the nature versus nurture debate, one studies to what degree human behaviour is genetic (nature) or is constructed by the environment (nurture). The two factors present dynamic interplay in the development of adolescents that form individual differences and psychological outcomes. Puberty is under genetic programming and as a result the changes that young people go through during puberty include changes in physical, hormonal, and brain development. Such transformations affect risk behaviours, fluctuating moods, and identity (Steinburg, 2020). The environment around also plays a key role in a teenager’s life. Due to supportive family environments, adolescents and teenagers are more likely to build their resilience and good coping tools. (Schofield et al., 2017). However, on the other hand, if a teenager has experienced a negative childhood such as neglect or abuse, this can cause a lack of emotional control and the dysregulation of behaviours. The influences of mass media and expectations from cultures, these have also preconditioned the adolescent self-concept. </w:t>
      </w:r>
    </w:p>
    <w:p w:rsidR="008B1B35" w:rsidP="008B1B35" w:rsidRDefault="008B1B35" w14:paraId="1AE7A0D3" w14:textId="5482E28A">
      <w:pPr>
        <w:rPr>
          <w:sz w:val="22"/>
          <w:szCs w:val="22"/>
        </w:rPr>
      </w:pPr>
      <w:r>
        <w:rPr>
          <w:sz w:val="22"/>
          <w:szCs w:val="22"/>
        </w:rPr>
        <w:t>Working in the health and social care field, the concept between nature and nurture is worth considering. This is to allow and provide more person-centred approaches to care for an adolescent effectively. For example, an anxiety-stricken young individual, who could use some form of therapy as well as evaluation of stress factors present in the family environment or the education system. Considering both internal dispositions and external demands. The healthcare professionals will be able to provide comprehensive support that will encourage healthy grow of adolescents.</w:t>
      </w:r>
    </w:p>
    <w:p w:rsidRPr="008B1B35" w:rsidR="008B1B35" w:rsidP="008B1B35" w:rsidRDefault="008B1B35" w14:paraId="4E1378DD" w14:textId="5BA66673">
      <w:pPr>
        <w:rPr>
          <w:b/>
          <w:bCs/>
          <w:sz w:val="22"/>
          <w:szCs w:val="22"/>
          <w:u w:val="single"/>
        </w:rPr>
      </w:pPr>
      <w:r w:rsidRPr="008B1B35">
        <w:rPr>
          <w:b/>
          <w:bCs/>
          <w:sz w:val="22"/>
          <w:szCs w:val="22"/>
          <w:u w:val="single"/>
        </w:rPr>
        <w:t>Theory 1: Erikson Psychological Theory</w:t>
      </w:r>
    </w:p>
    <w:p w:rsidR="008B1B35" w:rsidP="008B1B35" w:rsidRDefault="008B1B35" w14:paraId="5297FE54" w14:textId="588B26F9">
      <w:pPr>
        <w:rPr>
          <w:sz w:val="22"/>
          <w:szCs w:val="22"/>
        </w:rPr>
      </w:pPr>
      <w:r>
        <w:rPr>
          <w:sz w:val="22"/>
          <w:szCs w:val="22"/>
        </w:rPr>
        <w:t xml:space="preserve">Erik Eriksons theory consists of 8 stages, which individuals are supposed to make progress throughout their lifespan. Erikson views this stage as Identity vs. Role Confusion. Adolescents is a stage where teenagers experiment with a holistic way of defining themselves, this involves testing a range of roles, ideologies, and objectives. Depending on whether they pass this stage, this results in either a broken or weak identity (Erikson, 1968), this is due to being confused for their role in society. </w:t>
      </w:r>
    </w:p>
    <w:p w:rsidR="008B1B35" w:rsidP="008B1B35" w:rsidRDefault="008B1B35" w14:paraId="0CCD3FE4" w14:textId="2A92EB20">
      <w:pPr>
        <w:rPr>
          <w:sz w:val="22"/>
          <w:szCs w:val="22"/>
        </w:rPr>
      </w:pPr>
      <w:r>
        <w:rPr>
          <w:sz w:val="22"/>
          <w:szCs w:val="22"/>
        </w:rPr>
        <w:t xml:space="preserve">During the stage of adolescents, identity development is a key part as they start experimenting with lifestyle choices, careers and relationships. The result of this phase will be having a sense of belonging and faith in their personal values. The main point that Erikson has made is that these processes and experiments depend on their social interactions. in the childhood stage, peer pressure becomes more consequential, and in most cases, this influences the choices and behaviours. (Maree, 2021). It can be essential to have positive relationships with adults, such as teachers, mentors and family. The lack of this can result in poor attitude, detachment, or being susceptible to easy influence and pressure. </w:t>
      </w:r>
    </w:p>
    <w:p w:rsidR="008B1B35" w:rsidP="008B1B35" w:rsidRDefault="008B1B35" w14:paraId="583321FB" w14:textId="506F009B">
      <w:pPr>
        <w:rPr>
          <w:sz w:val="22"/>
          <w:szCs w:val="22"/>
        </w:rPr>
      </w:pPr>
      <w:r>
        <w:rPr>
          <w:sz w:val="22"/>
          <w:szCs w:val="22"/>
        </w:rPr>
        <w:t>In the medical point of view, this theory assists healthcare and medical practitioners to understand the changes of behaviour in the adolescent’s stage. For example, a teenager who refuses to listen to their parents’ advice can come across as identity verbalising and not disobedience. Healthcare professionals undertake that responsibility to guide these investigations without judgement, creating an environment where teenagers can feel safe and secure, express their worries, and attain a sense of independence. It is also possible to add fun and engaging activities that facilitate self-reflection, decision making, and goal setting – this contributes to their development of a secure identity.</w:t>
      </w:r>
    </w:p>
    <w:p w:rsidR="008B1B35" w:rsidP="008B1B35" w:rsidRDefault="008B1B35" w14:paraId="6B0AD5F5" w14:textId="5F18FAC0">
      <w:pPr>
        <w:rPr>
          <w:b/>
          <w:bCs/>
          <w:sz w:val="22"/>
          <w:szCs w:val="22"/>
          <w:u w:val="single"/>
        </w:rPr>
      </w:pPr>
      <w:r>
        <w:rPr>
          <w:b/>
          <w:bCs/>
          <w:sz w:val="22"/>
          <w:szCs w:val="22"/>
          <w:u w:val="single"/>
        </w:rPr>
        <w:t>Theory 2: The cognitive development theory by Piaget</w:t>
      </w:r>
    </w:p>
    <w:p w:rsidR="008B1B35" w:rsidP="008B1B35" w:rsidRDefault="008B1B35" w14:paraId="4801DFEA" w14:textId="064DD783">
      <w:pPr>
        <w:rPr>
          <w:sz w:val="22"/>
          <w:szCs w:val="22"/>
        </w:rPr>
      </w:pPr>
      <w:r>
        <w:rPr>
          <w:sz w:val="22"/>
          <w:szCs w:val="22"/>
        </w:rPr>
        <w:t xml:space="preserve">This theory is written by Jean Piaget; this explains the development of thinking through the following four stages. In this stage, teens go into the curious formal operational period, this takes place at around 11 years and over. This is marked by abstract thought, thinking of hypothetical situations, and establishment of morals. (Piaget, 1972). Adolescents imagine possibilities and think ahead of situations. During this, adolescents can think about their thinking, and this makes more self-conscious. Having this power allows them to think life through different - alternative outcomes, think of others, and analyse reality philosophically concerning life, justice, and society. This stage brings idealism, it is normal for teens to dream of a better world and question rules and fairness </w:t>
      </w:r>
    </w:p>
    <w:p w:rsidR="008B1B35" w:rsidP="008B1B35" w:rsidRDefault="008B1B35" w14:paraId="414C63ED" w14:textId="7C4739E0">
      <w:pPr>
        <w:rPr>
          <w:sz w:val="22"/>
          <w:szCs w:val="22"/>
        </w:rPr>
      </w:pPr>
      <w:r>
        <w:rPr>
          <w:sz w:val="22"/>
          <w:szCs w:val="22"/>
        </w:rPr>
        <w:t xml:space="preserve">This step contributes to thoughts of their future, consequences, analysis of other viewpoints, and justice information. They also can experience a problem with egocentrism; this means overthinking they are always being observed by others or being judged – this is called imaginary audience. (Elkind 1967). Teens may go through a certain phase that allows them to think that they are the only one experiencing this or thinking their vulnerable or isolated. </w:t>
      </w:r>
    </w:p>
    <w:p w:rsidR="008B1B35" w:rsidP="008B1B35" w:rsidRDefault="008B1B35" w14:paraId="354D0A73" w14:textId="5EAFD669">
      <w:pPr>
        <w:rPr>
          <w:sz w:val="22"/>
          <w:szCs w:val="22"/>
        </w:rPr>
      </w:pPr>
      <w:r>
        <w:rPr>
          <w:sz w:val="22"/>
          <w:szCs w:val="22"/>
        </w:rPr>
        <w:t>Practically, the acknowledgement of Piaget’s theory can be used to support a communication approach within the health and social care field. Decision-making, explanations of medical procedures, and reflective thoughts are essential in practice whilst caring for adolescents. For example, when a nurse is talking to a teenager about the options of contraceptives, the nurse should do this in a way that’s effective to encourage them to understand long term affects. This can be done with visual aids and analogies to improve perception as well as encourage independence in decision-making using open-ended questions. Overall, this period is crucial for developing problem-solving skills, reasoning, and the ability to think deeply about themselves, others, and the world around them.</w:t>
      </w:r>
    </w:p>
    <w:p w:rsidR="008B1B35" w:rsidP="008B1B35" w:rsidRDefault="008B1B35" w14:paraId="08E49803" w14:textId="58795094">
      <w:pPr>
        <w:rPr>
          <w:b/>
          <w:bCs/>
          <w:sz w:val="22"/>
          <w:szCs w:val="22"/>
          <w:u w:val="single"/>
        </w:rPr>
      </w:pPr>
      <w:r>
        <w:rPr>
          <w:b/>
          <w:bCs/>
          <w:sz w:val="22"/>
          <w:szCs w:val="22"/>
          <w:u w:val="single"/>
        </w:rPr>
        <w:t>Application in Health and Social Care</w:t>
      </w:r>
    </w:p>
    <w:p w:rsidRPr="008B1B35" w:rsidR="008B1B35" w:rsidP="008B1B35" w:rsidRDefault="008B1B35" w14:paraId="7733789D" w14:textId="77777777">
      <w:pPr>
        <w:rPr>
          <w:sz w:val="22"/>
          <w:szCs w:val="22"/>
        </w:rPr>
      </w:pPr>
      <w:r w:rsidRPr="008B1B35">
        <w:rPr>
          <w:sz w:val="22"/>
          <w:szCs w:val="22"/>
        </w:rPr>
        <w:t>Both Erikson and Piaget present good theories of adolescent development but differ in their subjects and usage. Erikson focuses on psychosocial identity influenced by society, while Piaget emphasizes cognitive development and logical thinking. Erikson’s model is useful for measuring emotional and social wellbeing, whereas Piaget helps assess educational and cognitive achievements (Shaffer &amp; Kipp, 2018). Together, they provide a multidimensional perspective by addressing related components of development. However, limitations exist. Erikson’s stages may not fully accommodate cultural or gender variations and follow a linear model that may not reflect real life. Likewise, Piaget understates environmental roles and shows inconsistencies in cognitive development across individuals (Siegler et al., 2017). Critics argue formal operational thinking does not develop in all adolescents, especially in disadvantaged settings. Despite these limits, combining the theories offers a fuller view. Recognizing that adolescents face both emotional identity and cognitive challenges enables caregivers to devise complex support strategies. Integrating Erikson’s psychosocial and Piaget’s cognitive perspectives helps practitioners see adolescents as intellectual and emotional beings, promoting compassionate responses—critical evaluation.</w:t>
      </w:r>
    </w:p>
    <w:p w:rsidRPr="008B1B35" w:rsidR="008B1B35" w:rsidP="008B1B35" w:rsidRDefault="008B1B35" w14:paraId="03CD88AC" w14:textId="77777777">
      <w:pPr>
        <w:rPr>
          <w:sz w:val="22"/>
          <w:szCs w:val="22"/>
        </w:rPr>
      </w:pPr>
      <w:r w:rsidRPr="008B1B35">
        <w:rPr>
          <w:sz w:val="22"/>
          <w:szCs w:val="22"/>
        </w:rPr>
        <w:t>Applying Erikson’s theory means valuing identity formation in treatment. Professionals should support adolescents in forming self-understanding, involving them in decisions, and approving their feelings. For example, identity-focused therapy aids those with gender dysphoria or cultural conflicts in defining their values and beliefs (American Psychological Association, 2022). Addressing societal pressures, involving teens in care planning, and respecting pronouns bring Erikson’s theory to life. Piaget’s theory supports education, empowerment, and age-appropriate practice. Adolescents need information at their cognitive level. In sexual health, teaching consent and safe practices through enjoyable, abstract thinking helps comprehension without expecting adult reasoning. Encouraging questions, weighing pros and cons, and critical thinking improves adherence. Case studies illustrate this: a teen with Type 1 diabetes may refuse insulin due to social stigma; Erikson’s theory explains identity and peer pressure issues, while Piaget focuses on logical consequences and routine development. Another case of a teenage girl withdrawing socially after switching schools shows how Erikson guides identifying identity struggles, whereas Piaget encourages problem-solving and positive reframing.</w:t>
      </w:r>
    </w:p>
    <w:p w:rsidRPr="008B1B35" w:rsidR="008B1B35" w:rsidP="008B1B35" w:rsidRDefault="008B1B35" w14:paraId="24CBE5A8" w14:textId="620B47E5">
      <w:pPr>
        <w:rPr>
          <w:b/>
          <w:bCs/>
          <w:sz w:val="22"/>
          <w:szCs w:val="22"/>
          <w:u w:val="single"/>
        </w:rPr>
      </w:pPr>
      <w:r w:rsidRPr="008B1B35">
        <w:rPr>
          <w:b/>
          <w:bCs/>
          <w:sz w:val="22"/>
          <w:szCs w:val="22"/>
          <w:u w:val="single"/>
        </w:rPr>
        <w:t xml:space="preserve">Conclusion </w:t>
      </w:r>
    </w:p>
    <w:p w:rsidR="008B1B35" w:rsidP="008B1B35" w:rsidRDefault="008B1B35" w14:paraId="626AF924" w14:textId="6593497B">
      <w:pPr>
        <w:rPr>
          <w:sz w:val="22"/>
          <w:szCs w:val="22"/>
        </w:rPr>
      </w:pPr>
      <w:r>
        <w:rPr>
          <w:sz w:val="22"/>
          <w:szCs w:val="22"/>
        </w:rPr>
        <w:t>Effective management of adolescents requires a good perception of developmental psychology becomes it helps with healthcare professionals to interact better with young patients. It is possible to apply these theories like Eriksons theory and Piaget’s to understand teenage behaviour, empower and promote emotional wellbeing. Biological and explanatory factors are also important; healthcare partitioners may adjust their interventions to suit the specific needs of adolescents. The combination of theoretical knowledge, empathy and practical work ensures a comprehensive and age-appropriate approach to care In health and social care facilities. This also prepares a practitioner to promote growth and resilience to adolescents.</w:t>
      </w:r>
    </w:p>
    <w:p w:rsidR="008B1B35" w:rsidP="008B1B35" w:rsidRDefault="008B1B35" w14:paraId="0EEDFCE6" w14:textId="056DEF47">
      <w:pPr>
        <w:rPr>
          <w:b/>
          <w:bCs/>
          <w:sz w:val="22"/>
          <w:szCs w:val="22"/>
          <w:u w:val="single"/>
        </w:rPr>
      </w:pPr>
      <w:r w:rsidRPr="008B1B35">
        <w:rPr>
          <w:b/>
          <w:bCs/>
          <w:sz w:val="22"/>
          <w:szCs w:val="22"/>
          <w:u w:val="single"/>
        </w:rPr>
        <w:t xml:space="preserve">References </w:t>
      </w:r>
    </w:p>
    <w:p w:rsidRPr="008B1B35" w:rsidR="008B1B35" w:rsidP="008B1B35" w:rsidRDefault="008B1B35" w14:paraId="261CF10F" w14:textId="1649706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 xml:space="preserve">Schofield, G., Beek, M. and Ward, E. (2017) 'Promoting resilience in fostered children and young people, British Journal of Social Work, 47(6), pp. 1704-1721. Available at: </w:t>
      </w:r>
      <w:hyperlink w:history="1" r:id="rId4">
        <w:r w:rsidRPr="008B1B35">
          <w:rPr>
            <w:rStyle w:val="Hyperlink"/>
            <w:rFonts w:cstheme="minorHAnsi"/>
            <w:kern w:val="0"/>
            <w:sz w:val="20"/>
            <w:szCs w:val="20"/>
          </w:rPr>
          <w:t>https://doi.org/10.1093/bjsw/bcx088</w:t>
        </w:r>
      </w:hyperlink>
      <w:r w:rsidRPr="008B1B35">
        <w:rPr>
          <w:rFonts w:cstheme="minorHAnsi"/>
          <w:kern w:val="0"/>
          <w:sz w:val="20"/>
          <w:szCs w:val="20"/>
        </w:rPr>
        <w:t xml:space="preserve"> .</w:t>
      </w:r>
    </w:p>
    <w:p w:rsidR="008B1B35" w:rsidP="008B1B35" w:rsidRDefault="008B1B35" w14:paraId="32F03E45" w14:textId="7E81C20F">
      <w:pPr>
        <w:rPr>
          <w:rFonts w:cstheme="minorHAnsi"/>
          <w:kern w:val="0"/>
          <w:sz w:val="20"/>
          <w:szCs w:val="20"/>
        </w:rPr>
      </w:pPr>
      <w:r w:rsidRPr="008B1B35">
        <w:rPr>
          <w:rFonts w:cstheme="minorHAnsi"/>
          <w:kern w:val="0"/>
          <w:sz w:val="20"/>
          <w:szCs w:val="20"/>
        </w:rPr>
        <w:t xml:space="preserve">Shaffer, D.R. and Kipp, K. (2018) Developmental </w:t>
      </w:r>
    </w:p>
    <w:p w:rsidRPr="008B1B35" w:rsidR="008B1B35" w:rsidP="008B1B35" w:rsidRDefault="008B1B35" w14:paraId="15E66F8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Elkind, D. (1967) 'Egocentrism in adolescence', Child Development, 38(4), pp. 1025-1034. Available at:</w:t>
      </w:r>
    </w:p>
    <w:p w:rsidR="008B1B35" w:rsidP="008B1B35" w:rsidRDefault="008B1B35" w14:paraId="59A1BEF7" w14:textId="4A7D1D54">
      <w:pPr>
        <w:rPr>
          <w:rFonts w:cstheme="minorHAnsi"/>
          <w:kern w:val="0"/>
          <w:sz w:val="20"/>
          <w:szCs w:val="20"/>
        </w:rPr>
      </w:pPr>
      <w:hyperlink w:history="1" r:id="rId5">
        <w:r w:rsidRPr="008B1B35">
          <w:rPr>
            <w:rStyle w:val="Hyperlink"/>
            <w:rFonts w:cstheme="minorHAnsi"/>
            <w:kern w:val="0"/>
            <w:sz w:val="20"/>
            <w:szCs w:val="20"/>
          </w:rPr>
          <w:t>https://doi.org/10.2307/1127100</w:t>
        </w:r>
      </w:hyperlink>
      <w:r w:rsidRPr="008B1B35">
        <w:rPr>
          <w:rFonts w:cstheme="minorHAnsi"/>
          <w:kern w:val="0"/>
          <w:sz w:val="20"/>
          <w:szCs w:val="20"/>
        </w:rPr>
        <w:t xml:space="preserve"> </w:t>
      </w:r>
    </w:p>
    <w:p w:rsidRPr="008B1B35" w:rsidR="008B1B35" w:rsidP="008B1B35" w:rsidRDefault="008B1B35" w14:paraId="287EC53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Piaget, J. (1972) The Psychology of the Child. New York:</w:t>
      </w:r>
    </w:p>
    <w:p w:rsidR="008B1B35" w:rsidP="008B1B35" w:rsidRDefault="008B1B35" w14:paraId="5314156E" w14:textId="22601C8E">
      <w:pPr>
        <w:rPr>
          <w:rFonts w:cstheme="minorHAnsi"/>
          <w:kern w:val="0"/>
          <w:sz w:val="20"/>
          <w:szCs w:val="20"/>
        </w:rPr>
      </w:pPr>
      <w:r w:rsidRPr="008B1B35">
        <w:rPr>
          <w:rFonts w:cstheme="minorHAnsi"/>
          <w:kern w:val="0"/>
          <w:sz w:val="20"/>
          <w:szCs w:val="20"/>
        </w:rPr>
        <w:t>Basic Books.</w:t>
      </w:r>
    </w:p>
    <w:p w:rsidRPr="008B1B35" w:rsidR="008B1B35" w:rsidP="008B1B35" w:rsidRDefault="008B1B35" w14:paraId="3AA99244"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Steinberg, L. (2020) Adolescence. 12th edn. New York:</w:t>
      </w:r>
    </w:p>
    <w:p w:rsidR="008B1B35" w:rsidP="008B1B35" w:rsidRDefault="008B1B35" w14:paraId="2CBEA922" w14:textId="165D1E70">
      <w:pPr>
        <w:rPr>
          <w:rFonts w:cstheme="minorHAnsi"/>
          <w:kern w:val="0"/>
          <w:sz w:val="20"/>
          <w:szCs w:val="20"/>
        </w:rPr>
      </w:pPr>
      <w:r w:rsidRPr="008B1B35">
        <w:rPr>
          <w:rFonts w:cstheme="minorHAnsi"/>
          <w:kern w:val="0"/>
          <w:sz w:val="20"/>
          <w:szCs w:val="20"/>
        </w:rPr>
        <w:t>McGraw-Hill Education.</w:t>
      </w:r>
    </w:p>
    <w:p w:rsidRPr="008B1B35" w:rsidR="008B1B35" w:rsidP="008B1B35" w:rsidRDefault="008B1B35" w14:paraId="0961FA7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Maree, K. (2021) Psychosocial Development in Adolescence: Revisiting Erikson's Theory in Today's Context. London: Routledge. Available at:</w:t>
      </w:r>
    </w:p>
    <w:p w:rsidRPr="008B1B35" w:rsidR="008B1B35" w:rsidP="008B1B35" w:rsidRDefault="008B1B35" w14:paraId="0ED15582" w14:textId="3B3841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hyperlink w:history="1" r:id="rId6">
        <w:r w:rsidRPr="00AC3D8F">
          <w:rPr>
            <w:rStyle w:val="Hyperlink"/>
            <w:rFonts w:cstheme="minorHAnsi"/>
            <w:kern w:val="0"/>
            <w:sz w:val="20"/>
            <w:szCs w:val="20"/>
          </w:rPr>
          <w:t>https://www.taylorfrancis.com/books/mono/10.4324/97810</w:t>
        </w:r>
      </w:hyperlink>
      <w:r>
        <w:rPr>
          <w:rFonts w:cstheme="minorHAnsi"/>
          <w:kern w:val="0"/>
          <w:sz w:val="20"/>
          <w:szCs w:val="20"/>
        </w:rPr>
        <w:t xml:space="preserve"> </w:t>
      </w:r>
    </w:p>
    <w:p w:rsidR="008B1B35" w:rsidP="008B1B35" w:rsidRDefault="008B1B35" w14:paraId="2037B05D" w14:textId="6FCA5506">
      <w:pPr>
        <w:rPr>
          <w:rFonts w:cstheme="minorHAnsi"/>
          <w:kern w:val="0"/>
          <w:sz w:val="20"/>
          <w:szCs w:val="20"/>
        </w:rPr>
      </w:pPr>
      <w:r w:rsidRPr="008B1B35">
        <w:rPr>
          <w:rFonts w:cstheme="minorHAnsi"/>
          <w:kern w:val="0"/>
          <w:sz w:val="20"/>
          <w:szCs w:val="20"/>
        </w:rPr>
        <w:t xml:space="preserve">03145399 . </w:t>
      </w:r>
    </w:p>
    <w:p w:rsidR="008B1B35" w:rsidP="008B1B35" w:rsidRDefault="008B1B35" w14:paraId="13B64C18" w14:textId="23374D4A">
      <w:pPr>
        <w:rPr>
          <w:rFonts w:cstheme="minorHAnsi"/>
          <w:kern w:val="0"/>
          <w:sz w:val="20"/>
          <w:szCs w:val="20"/>
        </w:rPr>
      </w:pPr>
      <w:r w:rsidRPr="008B1B35">
        <w:rPr>
          <w:rFonts w:cstheme="minorHAnsi"/>
          <w:kern w:val="0"/>
          <w:sz w:val="20"/>
          <w:szCs w:val="20"/>
        </w:rPr>
        <w:t>Siegler, R., DeLoache, J. and Eisenberg, N. (2017) How Children Develop. 5th edn. New York: Worth Publishers.</w:t>
      </w:r>
    </w:p>
    <w:p w:rsidRPr="008B1B35" w:rsidR="008B1B35" w:rsidP="008B1B35" w:rsidRDefault="008B1B35" w14:paraId="2F7D4F5B"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American Psychological Association (2022) Guidelines for Psychological Practice With Transgender and Gender Nonconforming People. Available at:</w:t>
      </w:r>
    </w:p>
    <w:p w:rsidR="008B1B35" w:rsidP="008B1B35" w:rsidRDefault="008B1B35" w14:paraId="715C9F83" w14:textId="13044183">
      <w:pPr>
        <w:rPr>
          <w:rFonts w:cstheme="minorHAnsi"/>
          <w:kern w:val="0"/>
          <w:sz w:val="20"/>
          <w:szCs w:val="20"/>
        </w:rPr>
      </w:pPr>
      <w:hyperlink w:history="1" r:id="rId7">
        <w:r w:rsidRPr="00AC3D8F">
          <w:rPr>
            <w:rStyle w:val="Hyperlink"/>
            <w:rFonts w:cstheme="minorHAnsi"/>
            <w:kern w:val="0"/>
            <w:sz w:val="20"/>
            <w:szCs w:val="20"/>
          </w:rPr>
          <w:t>https://www.apa.org/practice/guidelines/transgender.pdf</w:t>
        </w:r>
      </w:hyperlink>
      <w:r w:rsidRPr="008B1B35">
        <w:rPr>
          <w:rFonts w:cstheme="minorHAnsi"/>
          <w:kern w:val="0"/>
          <w:sz w:val="20"/>
          <w:szCs w:val="20"/>
        </w:rPr>
        <w:t>.</w:t>
      </w:r>
      <w:r>
        <w:rPr>
          <w:rFonts w:cstheme="minorHAnsi"/>
          <w:kern w:val="0"/>
          <w:sz w:val="20"/>
          <w:szCs w:val="20"/>
        </w:rPr>
        <w:t xml:space="preserve"> </w:t>
      </w:r>
    </w:p>
    <w:p w:rsidRPr="008B1B35" w:rsidR="008B1B35" w:rsidP="008B1B35" w:rsidRDefault="008B1B35" w14:paraId="529A9717" w14:textId="2EC473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kern w:val="0"/>
          <w:sz w:val="20"/>
          <w:szCs w:val="20"/>
        </w:rPr>
      </w:pPr>
      <w:r w:rsidRPr="008B1B35">
        <w:rPr>
          <w:rFonts w:cstheme="minorHAnsi"/>
          <w:kern w:val="0"/>
          <w:sz w:val="20"/>
          <w:szCs w:val="20"/>
        </w:rPr>
        <w:t xml:space="preserve">World Health Organization (2021) Adolescent mental health. Available at: </w:t>
      </w:r>
      <w:hyperlink w:history="1" r:id="rId8">
        <w:r w:rsidRPr="00AC3D8F">
          <w:rPr>
            <w:rStyle w:val="Hyperlink"/>
            <w:rFonts w:cstheme="minorHAnsi"/>
            <w:kern w:val="0"/>
            <w:sz w:val="20"/>
            <w:szCs w:val="20"/>
          </w:rPr>
          <w:t>https://www.who.int/news-room/fact-sheets/detail/adolescent-mental-health</w:t>
        </w:r>
      </w:hyperlink>
      <w:r>
        <w:rPr>
          <w:rFonts w:cstheme="minorHAnsi"/>
          <w:kern w:val="0"/>
          <w:sz w:val="20"/>
          <w:szCs w:val="20"/>
        </w:rPr>
        <w:t xml:space="preserve"> </w:t>
      </w:r>
    </w:p>
    <w:sectPr w:rsidRPr="008B1B35" w:rsidR="008B1B3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B35"/>
    <w:rsid w:val="008B1B35"/>
    <w:rsid w:val="009F5CDB"/>
    <w:rsid w:val="00C843FD"/>
    <w:rsid w:val="00D23BE5"/>
    <w:rsid w:val="00E579AB"/>
    <w:rsid w:val="1CE7CF0A"/>
    <w:rsid w:val="2B8124AE"/>
    <w:rsid w:val="73B77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E72DAF"/>
  <w15:chartTrackingRefBased/>
  <w15:docId w15:val="{8AC2BC41-17C1-6B40-A76C-7104C517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1B35"/>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B1B3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1B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1B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1B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1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B3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1B35"/>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8B1B35"/>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8B1B35"/>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8B1B35"/>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8B1B35"/>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B1B3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1B3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1B3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1B35"/>
    <w:rPr>
      <w:rFonts w:eastAsiaTheme="majorEastAsia" w:cstheme="majorBidi"/>
      <w:color w:val="272727" w:themeColor="text1" w:themeTint="D8"/>
    </w:rPr>
  </w:style>
  <w:style w:type="paragraph" w:styleId="Title">
    <w:name w:val="Title"/>
    <w:basedOn w:val="Normal"/>
    <w:next w:val="Normal"/>
    <w:link w:val="TitleChar"/>
    <w:uiPriority w:val="10"/>
    <w:qFormat/>
    <w:rsid w:val="008B1B3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1B3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1B3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1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B35"/>
    <w:pPr>
      <w:spacing w:before="160"/>
      <w:jc w:val="center"/>
    </w:pPr>
    <w:rPr>
      <w:i/>
      <w:iCs/>
      <w:color w:val="404040" w:themeColor="text1" w:themeTint="BF"/>
    </w:rPr>
  </w:style>
  <w:style w:type="character" w:styleId="QuoteChar" w:customStyle="1">
    <w:name w:val="Quote Char"/>
    <w:basedOn w:val="DefaultParagraphFont"/>
    <w:link w:val="Quote"/>
    <w:uiPriority w:val="29"/>
    <w:rsid w:val="008B1B35"/>
    <w:rPr>
      <w:i/>
      <w:iCs/>
      <w:color w:val="404040" w:themeColor="text1" w:themeTint="BF"/>
    </w:rPr>
  </w:style>
  <w:style w:type="paragraph" w:styleId="ListParagraph">
    <w:name w:val="List Paragraph"/>
    <w:basedOn w:val="Normal"/>
    <w:uiPriority w:val="34"/>
    <w:qFormat/>
    <w:rsid w:val="008B1B35"/>
    <w:pPr>
      <w:ind w:left="720"/>
      <w:contextualSpacing/>
    </w:pPr>
  </w:style>
  <w:style w:type="character" w:styleId="IntenseEmphasis">
    <w:name w:val="Intense Emphasis"/>
    <w:basedOn w:val="DefaultParagraphFont"/>
    <w:uiPriority w:val="21"/>
    <w:qFormat/>
    <w:rsid w:val="008B1B35"/>
    <w:rPr>
      <w:i/>
      <w:iCs/>
      <w:color w:val="2F5496" w:themeColor="accent1" w:themeShade="BF"/>
    </w:rPr>
  </w:style>
  <w:style w:type="paragraph" w:styleId="IntenseQuote">
    <w:name w:val="Intense Quote"/>
    <w:basedOn w:val="Normal"/>
    <w:next w:val="Normal"/>
    <w:link w:val="IntenseQuoteChar"/>
    <w:uiPriority w:val="30"/>
    <w:qFormat/>
    <w:rsid w:val="008B1B3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B1B35"/>
    <w:rPr>
      <w:i/>
      <w:iCs/>
      <w:color w:val="2F5496" w:themeColor="accent1" w:themeShade="BF"/>
    </w:rPr>
  </w:style>
  <w:style w:type="character" w:styleId="IntenseReference">
    <w:name w:val="Intense Reference"/>
    <w:basedOn w:val="DefaultParagraphFont"/>
    <w:uiPriority w:val="32"/>
    <w:qFormat/>
    <w:rsid w:val="008B1B35"/>
    <w:rPr>
      <w:b/>
      <w:bCs/>
      <w:smallCaps/>
      <w:color w:val="2F5496" w:themeColor="accent1" w:themeShade="BF"/>
      <w:spacing w:val="5"/>
    </w:rPr>
  </w:style>
  <w:style w:type="character" w:styleId="Hyperlink">
    <w:name w:val="Hyperlink"/>
    <w:basedOn w:val="DefaultParagraphFont"/>
    <w:uiPriority w:val="99"/>
    <w:unhideWhenUsed/>
    <w:rsid w:val="008B1B35"/>
    <w:rPr>
      <w:color w:val="0563C1" w:themeColor="hyperlink"/>
      <w:u w:val="single"/>
    </w:rPr>
  </w:style>
  <w:style w:type="character" w:styleId="UnresolvedMention">
    <w:name w:val="Unresolved Mention"/>
    <w:basedOn w:val="DefaultParagraphFont"/>
    <w:uiPriority w:val="99"/>
    <w:semiHidden/>
    <w:unhideWhenUsed/>
    <w:rsid w:val="008B1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ho.int/news-room/fact-sheets/detail/adolescent-mental-health" TargetMode="External" Id="rId8" /><Relationship Type="http://schemas.openxmlformats.org/officeDocument/2006/relationships/webSettings" Target="webSettings.xml" Id="rId3" /><Relationship Type="http://schemas.openxmlformats.org/officeDocument/2006/relationships/hyperlink" Target="https://www.apa.org/practice/guidelines/transgender.pdf"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taylorfrancis.com/books/mono/10.4324/97810" TargetMode="External" Id="rId6" /><Relationship Type="http://schemas.openxmlformats.org/officeDocument/2006/relationships/hyperlink" Target="https://doi.org/10.2307/1127100" TargetMode="External" Id="rId5" /><Relationship Type="http://schemas.openxmlformats.org/officeDocument/2006/relationships/theme" Target="theme/theme1.xml" Id="rId10" /><Relationship Type="http://schemas.openxmlformats.org/officeDocument/2006/relationships/hyperlink" Target="https://doi.org/10.1093/bjsw/bcx088" TargetMode="Externa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Esha Hussain</dc:creator>
  <keywords/>
  <dc:description/>
  <lastModifiedBy>Nahida Akhtar (2407149)</lastModifiedBy>
  <revision>3</revision>
  <dcterms:created xsi:type="dcterms:W3CDTF">2025-11-26T22:12:00.0000000Z</dcterms:created>
  <dcterms:modified xsi:type="dcterms:W3CDTF">2025-11-27T22:47:38.7320092Z</dcterms:modified>
</coreProperties>
</file>