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231B8" w14:textId="144B8E6A" w:rsidR="006120DE" w:rsidRPr="006120DE" w:rsidRDefault="006120DE" w:rsidP="001D3C34">
      <w:pPr>
        <w:jc w:val="center"/>
        <w:rPr>
          <w:rFonts w:ascii="Times New Roman" w:hAnsi="Times New Roman" w:cs="Times New Roman"/>
          <w:sz w:val="24"/>
          <w:szCs w:val="24"/>
          <w:lang w:val="en-US"/>
        </w:rPr>
      </w:pPr>
    </w:p>
    <w:p w14:paraId="31A33760" w14:textId="5D90208F" w:rsidR="006120DE" w:rsidRPr="006120DE" w:rsidRDefault="006120DE" w:rsidP="001D3C34">
      <w:pPr>
        <w:jc w:val="center"/>
        <w:rPr>
          <w:rFonts w:ascii="Times New Roman" w:hAnsi="Times New Roman" w:cs="Times New Roman"/>
          <w:sz w:val="24"/>
          <w:szCs w:val="24"/>
          <w:lang w:val="en-US"/>
        </w:rPr>
      </w:pPr>
    </w:p>
    <w:p w14:paraId="7D3E011C" w14:textId="4EBD9658" w:rsidR="006120DE" w:rsidRPr="006120DE" w:rsidRDefault="006120DE" w:rsidP="001D3C34">
      <w:pPr>
        <w:jc w:val="center"/>
        <w:rPr>
          <w:rFonts w:ascii="Times New Roman" w:hAnsi="Times New Roman" w:cs="Times New Roman"/>
          <w:sz w:val="24"/>
          <w:szCs w:val="24"/>
          <w:lang w:val="en-US"/>
        </w:rPr>
      </w:pPr>
    </w:p>
    <w:p w14:paraId="5A3D7B85" w14:textId="03B87716" w:rsidR="006120DE" w:rsidRPr="006120DE" w:rsidRDefault="006120DE" w:rsidP="001D3C34">
      <w:pPr>
        <w:jc w:val="center"/>
        <w:rPr>
          <w:rFonts w:ascii="Times New Roman" w:hAnsi="Times New Roman" w:cs="Times New Roman"/>
          <w:sz w:val="24"/>
          <w:szCs w:val="24"/>
          <w:lang w:val="en-US"/>
        </w:rPr>
      </w:pPr>
    </w:p>
    <w:p w14:paraId="32343964" w14:textId="77777777" w:rsidR="006120DE" w:rsidRPr="006120DE" w:rsidRDefault="006120DE" w:rsidP="006120DE">
      <w:pPr>
        <w:jc w:val="center"/>
        <w:rPr>
          <w:rFonts w:ascii="Times New Roman" w:hAnsi="Times New Roman" w:cs="Times New Roman"/>
          <w:sz w:val="24"/>
          <w:szCs w:val="24"/>
          <w:lang w:val="en-US"/>
        </w:rPr>
      </w:pPr>
      <w:r w:rsidRPr="006120DE">
        <w:rPr>
          <w:rFonts w:ascii="Times New Roman" w:hAnsi="Times New Roman" w:cs="Times New Roman"/>
          <w:sz w:val="24"/>
          <w:szCs w:val="24"/>
          <w:lang w:val="en-US"/>
        </w:rPr>
        <w:t>Dementia</w:t>
      </w:r>
    </w:p>
    <w:p w14:paraId="56BD2B55" w14:textId="188A7F2E" w:rsidR="006120DE" w:rsidRPr="006120DE" w:rsidRDefault="006120DE" w:rsidP="001D3C34">
      <w:pPr>
        <w:jc w:val="center"/>
        <w:rPr>
          <w:rFonts w:ascii="Times New Roman" w:hAnsi="Times New Roman" w:cs="Times New Roman"/>
          <w:sz w:val="24"/>
          <w:szCs w:val="24"/>
          <w:lang w:val="en-US"/>
        </w:rPr>
      </w:pPr>
    </w:p>
    <w:p w14:paraId="143DD6FD" w14:textId="711F049B" w:rsidR="006120DE" w:rsidRPr="006120DE" w:rsidRDefault="006120DE" w:rsidP="001D3C34">
      <w:pPr>
        <w:jc w:val="center"/>
        <w:rPr>
          <w:rFonts w:ascii="Times New Roman" w:hAnsi="Times New Roman" w:cs="Times New Roman"/>
          <w:sz w:val="24"/>
          <w:szCs w:val="24"/>
          <w:lang w:val="en-US"/>
        </w:rPr>
      </w:pPr>
      <w:r w:rsidRPr="006120DE">
        <w:rPr>
          <w:rFonts w:ascii="Times New Roman" w:hAnsi="Times New Roman" w:cs="Times New Roman"/>
          <w:sz w:val="24"/>
          <w:szCs w:val="24"/>
          <w:lang w:val="en-US"/>
        </w:rPr>
        <w:t xml:space="preserve">Name </w:t>
      </w:r>
    </w:p>
    <w:p w14:paraId="242B396C" w14:textId="6D8CA086" w:rsidR="006120DE" w:rsidRPr="006120DE" w:rsidRDefault="006120DE" w:rsidP="006120DE">
      <w:pPr>
        <w:jc w:val="center"/>
        <w:rPr>
          <w:rFonts w:ascii="Times New Roman" w:hAnsi="Times New Roman" w:cs="Times New Roman"/>
          <w:sz w:val="24"/>
          <w:szCs w:val="24"/>
          <w:lang w:val="en-US"/>
        </w:rPr>
      </w:pPr>
      <w:r w:rsidRPr="006120DE">
        <w:rPr>
          <w:rFonts w:ascii="Times New Roman" w:hAnsi="Times New Roman" w:cs="Times New Roman"/>
          <w:sz w:val="24"/>
          <w:szCs w:val="24"/>
          <w:lang w:val="en-US"/>
        </w:rPr>
        <w:t xml:space="preserve">Institution Affiliation </w:t>
      </w:r>
    </w:p>
    <w:p w14:paraId="46F72633" w14:textId="74383FED" w:rsidR="006120DE" w:rsidRPr="006120DE" w:rsidRDefault="006120DE" w:rsidP="006120DE">
      <w:pPr>
        <w:jc w:val="center"/>
        <w:rPr>
          <w:rFonts w:ascii="Times New Roman" w:hAnsi="Times New Roman" w:cs="Times New Roman"/>
          <w:sz w:val="24"/>
          <w:szCs w:val="24"/>
          <w:lang w:val="en-US"/>
        </w:rPr>
      </w:pPr>
      <w:r w:rsidRPr="006120DE">
        <w:rPr>
          <w:rFonts w:ascii="Times New Roman" w:hAnsi="Times New Roman" w:cs="Times New Roman"/>
          <w:sz w:val="24"/>
          <w:szCs w:val="24"/>
          <w:lang w:val="en-US"/>
        </w:rPr>
        <w:t xml:space="preserve">Professor’s Name </w:t>
      </w:r>
    </w:p>
    <w:p w14:paraId="60CCCF06" w14:textId="60748D58" w:rsidR="006120DE" w:rsidRPr="006120DE" w:rsidRDefault="006120DE" w:rsidP="006120DE">
      <w:pPr>
        <w:jc w:val="center"/>
        <w:rPr>
          <w:rFonts w:ascii="Times New Roman" w:hAnsi="Times New Roman" w:cs="Times New Roman"/>
          <w:sz w:val="24"/>
          <w:szCs w:val="24"/>
          <w:lang w:val="en-US"/>
        </w:rPr>
      </w:pPr>
      <w:r w:rsidRPr="006120DE">
        <w:rPr>
          <w:rFonts w:ascii="Times New Roman" w:hAnsi="Times New Roman" w:cs="Times New Roman"/>
          <w:sz w:val="24"/>
          <w:szCs w:val="24"/>
          <w:lang w:val="en-US"/>
        </w:rPr>
        <w:t xml:space="preserve">Course </w:t>
      </w:r>
    </w:p>
    <w:p w14:paraId="725F4487" w14:textId="30CB25B2" w:rsidR="006120DE" w:rsidRPr="006120DE" w:rsidRDefault="006120DE" w:rsidP="006120DE">
      <w:pPr>
        <w:jc w:val="center"/>
        <w:rPr>
          <w:rFonts w:ascii="Times New Roman" w:hAnsi="Times New Roman" w:cs="Times New Roman"/>
          <w:sz w:val="24"/>
          <w:szCs w:val="24"/>
          <w:lang w:val="en-US"/>
        </w:rPr>
      </w:pPr>
      <w:r w:rsidRPr="006120DE">
        <w:rPr>
          <w:rFonts w:ascii="Times New Roman" w:hAnsi="Times New Roman" w:cs="Times New Roman"/>
          <w:sz w:val="24"/>
          <w:szCs w:val="24"/>
          <w:lang w:val="en-US"/>
        </w:rPr>
        <w:t xml:space="preserve">Date </w:t>
      </w:r>
    </w:p>
    <w:p w14:paraId="7A692077" w14:textId="2CF95492" w:rsidR="006120DE" w:rsidRPr="006120DE" w:rsidRDefault="006120DE" w:rsidP="001D3C34">
      <w:pPr>
        <w:jc w:val="center"/>
        <w:rPr>
          <w:rFonts w:ascii="Times New Roman" w:hAnsi="Times New Roman" w:cs="Times New Roman"/>
          <w:sz w:val="24"/>
          <w:szCs w:val="24"/>
          <w:lang w:val="en-US"/>
        </w:rPr>
      </w:pPr>
    </w:p>
    <w:p w14:paraId="742E270C" w14:textId="299CF88A" w:rsidR="006120DE" w:rsidRPr="006120DE" w:rsidRDefault="006120DE" w:rsidP="001D3C34">
      <w:pPr>
        <w:jc w:val="center"/>
        <w:rPr>
          <w:rFonts w:ascii="Times New Roman" w:hAnsi="Times New Roman" w:cs="Times New Roman"/>
          <w:sz w:val="24"/>
          <w:szCs w:val="24"/>
          <w:lang w:val="en-US"/>
        </w:rPr>
      </w:pPr>
    </w:p>
    <w:p w14:paraId="05F77F4F" w14:textId="02DB9D85" w:rsidR="006120DE" w:rsidRPr="006120DE" w:rsidRDefault="006120DE" w:rsidP="001D3C34">
      <w:pPr>
        <w:jc w:val="center"/>
        <w:rPr>
          <w:rFonts w:ascii="Times New Roman" w:hAnsi="Times New Roman" w:cs="Times New Roman"/>
          <w:sz w:val="24"/>
          <w:szCs w:val="24"/>
          <w:lang w:val="en-US"/>
        </w:rPr>
      </w:pPr>
    </w:p>
    <w:p w14:paraId="3E36A40D" w14:textId="51404B0F" w:rsidR="006120DE" w:rsidRPr="006120DE" w:rsidRDefault="006120DE" w:rsidP="001D3C34">
      <w:pPr>
        <w:jc w:val="center"/>
        <w:rPr>
          <w:rFonts w:ascii="Times New Roman" w:hAnsi="Times New Roman" w:cs="Times New Roman"/>
          <w:sz w:val="24"/>
          <w:szCs w:val="24"/>
          <w:lang w:val="en-US"/>
        </w:rPr>
      </w:pPr>
    </w:p>
    <w:p w14:paraId="2A8C621B" w14:textId="669C6F9C" w:rsidR="006120DE" w:rsidRPr="006120DE" w:rsidRDefault="006120DE" w:rsidP="001D3C34">
      <w:pPr>
        <w:jc w:val="center"/>
        <w:rPr>
          <w:rFonts w:ascii="Times New Roman" w:hAnsi="Times New Roman" w:cs="Times New Roman"/>
          <w:sz w:val="24"/>
          <w:szCs w:val="24"/>
          <w:lang w:val="en-US"/>
        </w:rPr>
      </w:pPr>
    </w:p>
    <w:p w14:paraId="1A72B0A8" w14:textId="3CEFCF9C" w:rsidR="006120DE" w:rsidRPr="006120DE" w:rsidRDefault="006120DE" w:rsidP="001D3C34">
      <w:pPr>
        <w:jc w:val="center"/>
        <w:rPr>
          <w:rFonts w:ascii="Times New Roman" w:hAnsi="Times New Roman" w:cs="Times New Roman"/>
          <w:sz w:val="24"/>
          <w:szCs w:val="24"/>
          <w:lang w:val="en-US"/>
        </w:rPr>
      </w:pPr>
    </w:p>
    <w:p w14:paraId="56FC5E73" w14:textId="2AC04642" w:rsidR="006120DE" w:rsidRPr="006120DE" w:rsidRDefault="006120DE" w:rsidP="001D3C34">
      <w:pPr>
        <w:jc w:val="center"/>
        <w:rPr>
          <w:rFonts w:ascii="Times New Roman" w:hAnsi="Times New Roman" w:cs="Times New Roman"/>
          <w:sz w:val="24"/>
          <w:szCs w:val="24"/>
          <w:lang w:val="en-US"/>
        </w:rPr>
      </w:pPr>
    </w:p>
    <w:p w14:paraId="2D541BB5" w14:textId="0EB7BE68" w:rsidR="006120DE" w:rsidRPr="006120DE" w:rsidRDefault="006120DE" w:rsidP="001D3C34">
      <w:pPr>
        <w:jc w:val="center"/>
        <w:rPr>
          <w:rFonts w:ascii="Times New Roman" w:hAnsi="Times New Roman" w:cs="Times New Roman"/>
          <w:sz w:val="24"/>
          <w:szCs w:val="24"/>
          <w:lang w:val="en-US"/>
        </w:rPr>
      </w:pPr>
    </w:p>
    <w:p w14:paraId="3A10527B" w14:textId="1F390317" w:rsidR="006120DE" w:rsidRPr="006120DE" w:rsidRDefault="006120DE" w:rsidP="001D3C34">
      <w:pPr>
        <w:jc w:val="center"/>
        <w:rPr>
          <w:rFonts w:ascii="Times New Roman" w:hAnsi="Times New Roman" w:cs="Times New Roman"/>
          <w:sz w:val="24"/>
          <w:szCs w:val="24"/>
          <w:lang w:val="en-US"/>
        </w:rPr>
      </w:pPr>
    </w:p>
    <w:p w14:paraId="69384AFE" w14:textId="2FA1D09C" w:rsidR="006120DE" w:rsidRPr="006120DE" w:rsidRDefault="006120DE" w:rsidP="001D3C34">
      <w:pPr>
        <w:jc w:val="center"/>
        <w:rPr>
          <w:rFonts w:ascii="Times New Roman" w:hAnsi="Times New Roman" w:cs="Times New Roman"/>
          <w:sz w:val="24"/>
          <w:szCs w:val="24"/>
          <w:lang w:val="en-US"/>
        </w:rPr>
      </w:pPr>
    </w:p>
    <w:p w14:paraId="6DCCBE72" w14:textId="62B30A15" w:rsidR="006120DE" w:rsidRPr="006120DE" w:rsidRDefault="006120DE" w:rsidP="001D3C34">
      <w:pPr>
        <w:jc w:val="center"/>
        <w:rPr>
          <w:rFonts w:ascii="Times New Roman" w:hAnsi="Times New Roman" w:cs="Times New Roman"/>
          <w:sz w:val="24"/>
          <w:szCs w:val="24"/>
          <w:lang w:val="en-US"/>
        </w:rPr>
      </w:pPr>
    </w:p>
    <w:p w14:paraId="0996AC69" w14:textId="7460F762" w:rsidR="006120DE" w:rsidRPr="006120DE" w:rsidRDefault="006120DE" w:rsidP="001D3C34">
      <w:pPr>
        <w:jc w:val="center"/>
        <w:rPr>
          <w:rFonts w:ascii="Times New Roman" w:hAnsi="Times New Roman" w:cs="Times New Roman"/>
          <w:sz w:val="24"/>
          <w:szCs w:val="24"/>
          <w:lang w:val="en-US"/>
        </w:rPr>
      </w:pPr>
    </w:p>
    <w:p w14:paraId="46FF5021" w14:textId="4BB1E09F" w:rsidR="006120DE" w:rsidRPr="006120DE" w:rsidRDefault="006120DE" w:rsidP="001D3C34">
      <w:pPr>
        <w:jc w:val="center"/>
        <w:rPr>
          <w:rFonts w:ascii="Times New Roman" w:hAnsi="Times New Roman" w:cs="Times New Roman"/>
          <w:sz w:val="24"/>
          <w:szCs w:val="24"/>
          <w:lang w:val="en-US"/>
        </w:rPr>
      </w:pPr>
    </w:p>
    <w:p w14:paraId="02031D6A" w14:textId="4C8C2354" w:rsidR="006120DE" w:rsidRPr="006120DE" w:rsidRDefault="006120DE" w:rsidP="001D3C34">
      <w:pPr>
        <w:jc w:val="center"/>
        <w:rPr>
          <w:rFonts w:ascii="Times New Roman" w:hAnsi="Times New Roman" w:cs="Times New Roman"/>
          <w:sz w:val="24"/>
          <w:szCs w:val="24"/>
          <w:lang w:val="en-US"/>
        </w:rPr>
      </w:pPr>
    </w:p>
    <w:p w14:paraId="373433B9" w14:textId="68B10164" w:rsidR="006120DE" w:rsidRPr="006120DE" w:rsidRDefault="006120DE" w:rsidP="001D3C34">
      <w:pPr>
        <w:jc w:val="center"/>
        <w:rPr>
          <w:rFonts w:ascii="Times New Roman" w:hAnsi="Times New Roman" w:cs="Times New Roman"/>
          <w:sz w:val="24"/>
          <w:szCs w:val="24"/>
          <w:lang w:val="en-US"/>
        </w:rPr>
      </w:pPr>
    </w:p>
    <w:p w14:paraId="3FF9F9B4" w14:textId="73ED4E72" w:rsidR="006120DE" w:rsidRDefault="006120DE" w:rsidP="006120DE">
      <w:pPr>
        <w:rPr>
          <w:rFonts w:ascii="Times New Roman" w:hAnsi="Times New Roman" w:cs="Times New Roman"/>
          <w:sz w:val="24"/>
          <w:szCs w:val="24"/>
          <w:lang w:val="en-US"/>
        </w:rPr>
      </w:pPr>
    </w:p>
    <w:p w14:paraId="71E7665E" w14:textId="77777777" w:rsidR="006120DE" w:rsidRPr="006120DE" w:rsidRDefault="006120DE" w:rsidP="006120DE">
      <w:pPr>
        <w:rPr>
          <w:rFonts w:ascii="Times New Roman" w:hAnsi="Times New Roman" w:cs="Times New Roman"/>
          <w:sz w:val="24"/>
          <w:szCs w:val="24"/>
          <w:lang w:val="en-US"/>
        </w:rPr>
      </w:pPr>
    </w:p>
    <w:p w14:paraId="4B5E30FC" w14:textId="40A045BC" w:rsidR="001D3C34" w:rsidRPr="006120DE" w:rsidRDefault="001D3C34" w:rsidP="001D3C34">
      <w:pPr>
        <w:jc w:val="center"/>
        <w:rPr>
          <w:rFonts w:ascii="Times New Roman" w:hAnsi="Times New Roman" w:cs="Times New Roman"/>
          <w:sz w:val="24"/>
          <w:szCs w:val="24"/>
          <w:lang w:val="en-US"/>
        </w:rPr>
      </w:pPr>
      <w:r w:rsidRPr="006120DE">
        <w:rPr>
          <w:rFonts w:ascii="Times New Roman" w:hAnsi="Times New Roman" w:cs="Times New Roman"/>
          <w:sz w:val="24"/>
          <w:szCs w:val="24"/>
          <w:lang w:val="en-US"/>
        </w:rPr>
        <w:lastRenderedPageBreak/>
        <w:t>Dementia</w:t>
      </w:r>
    </w:p>
    <w:p w14:paraId="51FD1BB6" w14:textId="33C5BDF8" w:rsidR="00B91E36" w:rsidRPr="006120DE" w:rsidRDefault="00B91E36" w:rsidP="00B91E36">
      <w:pPr>
        <w:pStyle w:val="NormalWeb"/>
        <w:spacing w:before="0" w:beforeAutospacing="0" w:after="0" w:afterAutospacing="0" w:line="480" w:lineRule="auto"/>
        <w:ind w:firstLine="284"/>
      </w:pPr>
      <w:r w:rsidRPr="006120DE">
        <w:t xml:space="preserve">Dementia is a general term for a decline in mental ability due to disease or injury. The most common type of Dementia is Alzheimer's disease, which typically occurs in people over the age of 65. Other types of Dementia include vascular Dementia, which is caused by problems with blood flow to the brain, and Lewy body dementia, which is caused by the </w:t>
      </w:r>
      <w:proofErr w:type="spellStart"/>
      <w:r w:rsidRPr="006120DE">
        <w:t>buildup</w:t>
      </w:r>
      <w:proofErr w:type="spellEnd"/>
      <w:r w:rsidRPr="006120DE">
        <w:t xml:space="preserve"> of a protein in the brain. In 2015, an estimated 47.5 million people were living with Dementia worldwide. This number is projected to increase to 75.6 million by 2030. </w:t>
      </w:r>
      <w:r w:rsidR="00230AD7">
        <w:rPr>
          <w:lang w:val="en-US"/>
        </w:rPr>
        <w:t>“</w:t>
      </w:r>
      <w:r w:rsidRPr="006120DE">
        <w:t>Alzheimer's disease is the most common type of Dementia, accounting for 60–80% of cases. Vascular Dementia is the second most common type, accounting for 10–20% of cases. Dementia is most common in people over the age of 60</w:t>
      </w:r>
      <w:r w:rsidR="00230AD7">
        <w:rPr>
          <w:lang w:val="en-US"/>
        </w:rPr>
        <w:t xml:space="preserve">” </w:t>
      </w:r>
      <w:r w:rsidR="00230AD7" w:rsidRPr="006120DE">
        <w:rPr>
          <w:lang w:val="en-US"/>
        </w:rPr>
        <w:t>(Ebert et al., 2019)</w:t>
      </w:r>
      <w:r w:rsidRPr="006120DE">
        <w:t xml:space="preserve">. The risk of developing dementia increases with age, from 1 in 14 people over 65 to 1 in 6 people over 80. </w:t>
      </w:r>
    </w:p>
    <w:p w14:paraId="213709A2" w14:textId="5914177E" w:rsidR="00B91E36" w:rsidRPr="006120DE" w:rsidRDefault="00B91E36" w:rsidP="00B91E36">
      <w:pPr>
        <w:pStyle w:val="NormalWeb"/>
        <w:spacing w:before="0" w:beforeAutospacing="0" w:after="0" w:afterAutospacing="0" w:line="480" w:lineRule="auto"/>
        <w:ind w:firstLine="284"/>
      </w:pPr>
      <w:r w:rsidRPr="006120DE">
        <w:t>In the United States, it is estimated that around 5.7 million people have the condition. This number is expected to swell to nearly 14 million by 2050. The prevalence of Dementia is thought to be similar in other developed countries. Dementia is a leading cause of disability and dependency among older people. It can have a profound effect on individuals, families, and carers</w:t>
      </w:r>
      <w:r w:rsidR="006120DE">
        <w:rPr>
          <w:lang w:val="en-US"/>
        </w:rPr>
        <w:t xml:space="preserve"> </w:t>
      </w:r>
      <w:r w:rsidR="006120DE" w:rsidRPr="006120DE">
        <w:rPr>
          <w:lang w:val="en-US"/>
        </w:rPr>
        <w:t>(Ebert et al., 2019)</w:t>
      </w:r>
      <w:r w:rsidRPr="006120DE">
        <w:t>. The condition can lead to a decline in physical and mental abilities and can be emotionally and financially devastating. There is no known cure for Dementia, but there are treatments that can help to manage the symptoms and slow the progression of the condition. With the proper support, people with Dementia can live well. The countries most affected by Dementia are the United Kingdom, the United States, and other developed countries. </w:t>
      </w:r>
    </w:p>
    <w:p w14:paraId="4F137E28" w14:textId="39DBB3F3" w:rsidR="00B91E36" w:rsidRPr="006120DE" w:rsidRDefault="00B91E36" w:rsidP="00B91E36">
      <w:pPr>
        <w:pStyle w:val="NormalWeb"/>
        <w:spacing w:before="0" w:beforeAutospacing="0" w:after="0" w:afterAutospacing="0" w:line="480" w:lineRule="auto"/>
        <w:ind w:firstLine="284"/>
      </w:pPr>
    </w:p>
    <w:p w14:paraId="3C934EF0" w14:textId="7A4828F9" w:rsidR="00B91E36" w:rsidRPr="006120DE" w:rsidRDefault="00B91E36" w:rsidP="00B91E36">
      <w:pPr>
        <w:pStyle w:val="NormalWeb"/>
        <w:spacing w:before="0" w:beforeAutospacing="0" w:after="0" w:afterAutospacing="0" w:line="480" w:lineRule="auto"/>
        <w:ind w:firstLine="284"/>
      </w:pPr>
    </w:p>
    <w:p w14:paraId="3D58C5DA" w14:textId="11AB1D88" w:rsidR="00B91E36" w:rsidRPr="006120DE" w:rsidRDefault="00B91E36" w:rsidP="00B91E36">
      <w:pPr>
        <w:pStyle w:val="NormalWeb"/>
        <w:spacing w:before="0" w:beforeAutospacing="0" w:after="0" w:afterAutospacing="0" w:line="480" w:lineRule="auto"/>
        <w:ind w:firstLine="284"/>
      </w:pPr>
    </w:p>
    <w:p w14:paraId="6C989C02" w14:textId="77777777" w:rsidR="00B91E36" w:rsidRPr="006120DE" w:rsidRDefault="00B91E36" w:rsidP="00B91E36">
      <w:pPr>
        <w:pStyle w:val="NormalWeb"/>
        <w:spacing w:before="0" w:beforeAutospacing="0" w:after="0" w:afterAutospacing="0" w:line="480" w:lineRule="auto"/>
        <w:ind w:firstLine="284"/>
      </w:pPr>
    </w:p>
    <w:p w14:paraId="5779579A" w14:textId="77777777" w:rsidR="00B91E36" w:rsidRPr="006120DE" w:rsidRDefault="00B91E36" w:rsidP="00B91E36">
      <w:pPr>
        <w:pStyle w:val="NormalWeb"/>
        <w:spacing w:before="0" w:beforeAutospacing="0" w:after="0" w:afterAutospacing="0" w:line="480" w:lineRule="auto"/>
        <w:ind w:firstLine="284"/>
      </w:pPr>
      <w:r w:rsidRPr="006120DE">
        <w:rPr>
          <w:rStyle w:val="Strong"/>
        </w:rPr>
        <w:lastRenderedPageBreak/>
        <w:t>Public Safety Measures of Dementia </w:t>
      </w:r>
    </w:p>
    <w:p w14:paraId="6522A149" w14:textId="5FE6955F" w:rsidR="00B91E36" w:rsidRPr="006120DE" w:rsidRDefault="00B91E36" w:rsidP="00B91E36">
      <w:pPr>
        <w:pStyle w:val="NormalWeb"/>
        <w:spacing w:before="0" w:beforeAutospacing="0" w:after="0" w:afterAutospacing="0" w:line="480" w:lineRule="auto"/>
        <w:ind w:firstLine="284"/>
      </w:pPr>
      <w:r w:rsidRPr="006120DE">
        <w:t>There is no known cure for Dementia, but there are treatments that can help manage the symptoms of the disease</w:t>
      </w:r>
      <w:r w:rsidR="006120DE">
        <w:rPr>
          <w:lang w:val="en-US"/>
        </w:rPr>
        <w:t xml:space="preserve"> </w:t>
      </w:r>
      <w:r w:rsidR="006120DE" w:rsidRPr="006120DE">
        <w:rPr>
          <w:lang w:val="en-US"/>
        </w:rPr>
        <w:t>(Ebert et al., 2019)</w:t>
      </w:r>
      <w:r w:rsidRPr="006120DE">
        <w:t>. Public measures are also available to help support people with Dementia and their caregivers. Some of the public measures that are available include:</w:t>
      </w:r>
    </w:p>
    <w:p w14:paraId="7C924E66" w14:textId="77777777" w:rsidR="00B91E36" w:rsidRPr="006120DE" w:rsidRDefault="00B91E36" w:rsidP="00B91E36">
      <w:pPr>
        <w:pStyle w:val="NormalWeb"/>
        <w:spacing w:before="0" w:beforeAutospacing="0" w:after="0" w:afterAutospacing="0" w:line="480" w:lineRule="auto"/>
        <w:ind w:firstLine="284"/>
      </w:pPr>
      <w:r w:rsidRPr="006120DE">
        <w:t> - The National Dementia Helpline: This helpline provides information, support, and advice for people with Dementia, their families, and carers. </w:t>
      </w:r>
    </w:p>
    <w:p w14:paraId="13D699F1" w14:textId="77777777" w:rsidR="00B91E36" w:rsidRPr="006120DE" w:rsidRDefault="00B91E36" w:rsidP="00B91E36">
      <w:pPr>
        <w:pStyle w:val="NormalWeb"/>
        <w:spacing w:before="0" w:beforeAutospacing="0" w:after="0" w:afterAutospacing="0" w:line="480" w:lineRule="auto"/>
        <w:ind w:firstLine="284"/>
      </w:pPr>
      <w:r w:rsidRPr="006120DE">
        <w:t>- Dementia-Friendly Communities: These are communities that have been specifically designed to be more supportive and inclusive for people with Dementia.</w:t>
      </w:r>
    </w:p>
    <w:p w14:paraId="2ADC61D5" w14:textId="77777777" w:rsidR="00B91E36" w:rsidRPr="006120DE" w:rsidRDefault="00B91E36" w:rsidP="00B91E36">
      <w:pPr>
        <w:pStyle w:val="NormalWeb"/>
        <w:spacing w:before="0" w:beforeAutospacing="0" w:after="0" w:afterAutospacing="0" w:line="480" w:lineRule="auto"/>
        <w:ind w:firstLine="284"/>
      </w:pPr>
      <w:r w:rsidRPr="006120DE">
        <w:t> - The Dementia Carer Support Program: This program provides financial assistance to carers of people with Dementia. </w:t>
      </w:r>
    </w:p>
    <w:p w14:paraId="5705A97E" w14:textId="77777777" w:rsidR="00B91E36" w:rsidRPr="006120DE" w:rsidRDefault="00B91E36" w:rsidP="00B91E36">
      <w:pPr>
        <w:pStyle w:val="NormalWeb"/>
        <w:spacing w:before="0" w:beforeAutospacing="0" w:after="0" w:afterAutospacing="0" w:line="480" w:lineRule="auto"/>
        <w:ind w:firstLine="284"/>
      </w:pPr>
      <w:r w:rsidRPr="006120DE">
        <w:t>           The National Dementia Helpline is a service that provides information, support, and advice for people with Dementia, their families, and carers. The helpline is staffed by trained professionals who can provide information about Dementia, help connect callers to local services and support groups, and offer advice on how to manage the symptoms of the disease. Dementia-Friendly Communities are communities that have been specifically designed to be more supportive and inclusive of people with Dementia. These communities often have features such as clear signage, accessible transport, and support services available. The Dementia Carer Support Program is a government-funded program that provides financial assistance to carers of people with Dementia. The program provides up to $2000 per year to help cover the costs of caring for a person with Dementia. The National Disability Insurance Scheme (NDIS) is a government-funded program that provides funding for support and services for people with Dementia. The NDIS can provide personal care, home modifications, and transport funding.</w:t>
      </w:r>
    </w:p>
    <w:p w14:paraId="0F442663" w14:textId="77777777" w:rsidR="00B91E36" w:rsidRPr="006120DE" w:rsidRDefault="00B91E36" w:rsidP="00B91E36">
      <w:pPr>
        <w:pStyle w:val="NormalWeb"/>
        <w:spacing w:before="0" w:beforeAutospacing="0" w:after="0" w:afterAutospacing="0" w:line="480" w:lineRule="auto"/>
        <w:ind w:firstLine="284"/>
        <w:rPr>
          <w:b/>
          <w:bCs/>
        </w:rPr>
      </w:pPr>
      <w:r w:rsidRPr="006120DE">
        <w:rPr>
          <w:b/>
          <w:bCs/>
        </w:rPr>
        <w:lastRenderedPageBreak/>
        <w:t>Risk factors of Dementia</w:t>
      </w:r>
    </w:p>
    <w:p w14:paraId="44814EC0" w14:textId="291F65DD" w:rsidR="00B91E36" w:rsidRPr="006120DE" w:rsidRDefault="00B91E36" w:rsidP="00B91E36">
      <w:pPr>
        <w:pStyle w:val="NormalWeb"/>
        <w:spacing w:before="0" w:beforeAutospacing="0" w:after="0" w:afterAutospacing="0" w:line="480" w:lineRule="auto"/>
        <w:ind w:firstLine="284"/>
      </w:pPr>
      <w:r w:rsidRPr="006120DE">
        <w:t>Some risk factors for Dementia include age, family history, and lifestyle choices. Certain medical conditions and medications can also increase the risk of developing Dementia. Age: As a person ages, their risk for developing dementia increases because the brain cells begin to break down and die as a person age</w:t>
      </w:r>
      <w:r w:rsidR="006120DE">
        <w:rPr>
          <w:lang w:val="en-US"/>
        </w:rPr>
        <w:t xml:space="preserve"> </w:t>
      </w:r>
      <w:r w:rsidR="006120DE" w:rsidRPr="006120DE">
        <w:rPr>
          <w:lang w:val="en-US"/>
        </w:rPr>
        <w:t>(Ebert et al., 2019)</w:t>
      </w:r>
      <w:r w:rsidRPr="006120DE">
        <w:t>. Additionally, the blood vessels in the brain become less effective at delivering oxygen and nutrients to the brain cells. Family History: If a family member has Dementia, it increases a person's risk of developing the disease because there may be a genetic component to the disease. </w:t>
      </w:r>
    </w:p>
    <w:p w14:paraId="2FB6EABA" w14:textId="7B42ED99" w:rsidR="00B91E36" w:rsidRPr="006120DE" w:rsidRDefault="00B91E36" w:rsidP="00B91E36">
      <w:pPr>
        <w:pStyle w:val="NormalWeb"/>
        <w:spacing w:before="0" w:beforeAutospacing="0" w:after="0" w:afterAutospacing="0" w:line="480" w:lineRule="auto"/>
        <w:ind w:firstLine="284"/>
      </w:pPr>
      <w:r w:rsidRPr="006120DE">
        <w:t>Lifestyle Choices: Certain lifestyle choices, such as smoking and heavy drinking, can increase a person's risk for developing Dementia. Smoking damages the blood vessels in the brain, and heavy drinking can lead to brain damage. Medical Conditions: Certain medical conditions, such as Alzheimer's and Parkinson's disease, can increase the risk of developing Dementia. </w:t>
      </w:r>
      <w:r w:rsidRPr="006120DE">
        <w:rPr>
          <w:rStyle w:val="Emphasis"/>
        </w:rPr>
        <w:t>Alzheimer's disease</w:t>
      </w:r>
      <w:r w:rsidRPr="006120DE">
        <w:t> is a degenerative brain disorder that damages brain cells and leads to memory loss and cognitive decline</w:t>
      </w:r>
      <w:r w:rsidR="006120DE">
        <w:rPr>
          <w:lang w:val="en-US"/>
        </w:rPr>
        <w:t xml:space="preserve"> </w:t>
      </w:r>
      <w:r w:rsidR="006120DE" w:rsidRPr="006120DE">
        <w:rPr>
          <w:lang w:val="en-US"/>
        </w:rPr>
        <w:t>(Qazi, 2018)</w:t>
      </w:r>
      <w:r w:rsidRPr="006120DE">
        <w:t>. </w:t>
      </w:r>
      <w:r w:rsidR="00230AD7">
        <w:rPr>
          <w:lang w:val="en-US"/>
        </w:rPr>
        <w:t>“</w:t>
      </w:r>
      <w:r w:rsidRPr="006120DE">
        <w:rPr>
          <w:rStyle w:val="Emphasis"/>
        </w:rPr>
        <w:t>Parkinson's disease</w:t>
      </w:r>
      <w:r w:rsidRPr="006120DE">
        <w:t> is a neurological disorder that affects the brain's ability to control movement. Medications: Certain medications, such as antipsychotics and anticholinergics, can increase the risk of developing Dementia</w:t>
      </w:r>
      <w:r w:rsidR="00230AD7">
        <w:rPr>
          <w:lang w:val="en-US"/>
        </w:rPr>
        <w:t>”</w:t>
      </w:r>
      <w:r w:rsidR="00965E0D">
        <w:rPr>
          <w:lang w:val="en-US"/>
        </w:rPr>
        <w:t xml:space="preserve"> </w:t>
      </w:r>
      <w:r w:rsidR="00965E0D" w:rsidRPr="006120DE">
        <w:rPr>
          <w:lang w:val="en-US"/>
        </w:rPr>
        <w:t>(Ebert et al., 2019)</w:t>
      </w:r>
      <w:r w:rsidRPr="006120DE">
        <w:t>. Antipsychotics are typically used to treat schizophrenia and other mental. </w:t>
      </w:r>
    </w:p>
    <w:p w14:paraId="1757A648" w14:textId="77777777" w:rsidR="00B91E36" w:rsidRPr="006120DE" w:rsidRDefault="00B91E36" w:rsidP="00B91E36">
      <w:pPr>
        <w:pStyle w:val="NormalWeb"/>
        <w:spacing w:before="0" w:beforeAutospacing="0" w:after="0" w:afterAutospacing="0" w:line="480" w:lineRule="auto"/>
        <w:ind w:firstLine="284"/>
        <w:rPr>
          <w:b/>
          <w:bCs/>
        </w:rPr>
      </w:pPr>
      <w:r w:rsidRPr="006120DE">
        <w:rPr>
          <w:b/>
          <w:bCs/>
        </w:rPr>
        <w:t>Short Term public health consequences of Dementia</w:t>
      </w:r>
    </w:p>
    <w:p w14:paraId="1892E14A" w14:textId="77777777" w:rsidR="00B91E36" w:rsidRPr="006120DE" w:rsidRDefault="00B91E36" w:rsidP="00B91E36">
      <w:pPr>
        <w:pStyle w:val="NormalWeb"/>
        <w:spacing w:before="0" w:beforeAutospacing="0" w:after="0" w:afterAutospacing="0" w:line="480" w:lineRule="auto"/>
        <w:ind w:firstLine="284"/>
      </w:pPr>
      <w:r w:rsidRPr="006120DE">
        <w:t xml:space="preserve">There are many short-term public health consequences of Dementia in a health or social care setting. These can include an increased risk of falls, an increased risk of pressure sores, an increased risk of dehydration, an increased risk of malnutrition, and an increased risk of infection. Additionally, people with Dementia may become more isolated and withdrawn and have difficulty communicating their needs. Falls are common in people with Dementia, as they </w:t>
      </w:r>
      <w:r w:rsidRPr="006120DE">
        <w:lastRenderedPageBreak/>
        <w:t>may have impaired balance and coordination; this can lead to severe injuries, such as fractures or head trauma. </w:t>
      </w:r>
    </w:p>
    <w:p w14:paraId="27CE505E" w14:textId="75B1EA7E" w:rsidR="00B91E36" w:rsidRPr="006120DE" w:rsidRDefault="00B91E36" w:rsidP="00B91E36">
      <w:pPr>
        <w:pStyle w:val="NormalWeb"/>
        <w:spacing w:before="0" w:beforeAutospacing="0" w:after="0" w:afterAutospacing="0" w:line="480" w:lineRule="auto"/>
        <w:ind w:firstLine="284"/>
      </w:pPr>
      <w:r w:rsidRPr="006120DE">
        <w:t>Pressure sores can also develop due to immobility, as people with Dementia may be unable to move around to relieve pressure on their skin. Dehydration is another concern, as people with Dementia may not be able to communicate their thirst or may forget to drink. Malnutrition can also occur, as people with Dementia may not be able to prepare meals or may not have an appetite. Finally, people with Dementia are at an increased risk for infection, as they may have weakened immune systems and be unable to care for themselves properly</w:t>
      </w:r>
      <w:r w:rsidR="006120DE">
        <w:rPr>
          <w:lang w:val="en-US"/>
        </w:rPr>
        <w:t xml:space="preserve"> </w:t>
      </w:r>
      <w:r w:rsidR="006120DE" w:rsidRPr="006120DE">
        <w:rPr>
          <w:lang w:val="en-US"/>
        </w:rPr>
        <w:t>(Ebert et al., 2019)</w:t>
      </w:r>
      <w:r w:rsidRPr="006120DE">
        <w:t>. The short-term public health consequences of Dementia in a healthcare setting are increased mortality, morbidity, and disability. People with Dementia are also at increased risk for falls, pressure ulcers, and other injuries. People with Dementia are at increased risk for mortality, morbidity, and disability due to their condition. They are also more likely to fall, develop pressure ulcers, and suffer other injuries. These risks can lead to increased costs for healthcare services and decreased quality of life for patients with Dementia.</w:t>
      </w:r>
    </w:p>
    <w:p w14:paraId="30EDDD99" w14:textId="77777777" w:rsidR="00B91E36" w:rsidRPr="006120DE" w:rsidRDefault="00B91E36" w:rsidP="00B91E36">
      <w:pPr>
        <w:pStyle w:val="NormalWeb"/>
        <w:spacing w:before="0" w:beforeAutospacing="0" w:after="0" w:afterAutospacing="0" w:line="480" w:lineRule="auto"/>
        <w:ind w:firstLine="284"/>
      </w:pPr>
      <w:r w:rsidRPr="006120DE">
        <w:rPr>
          <w:rStyle w:val="Strong"/>
        </w:rPr>
        <w:t>Long-term public health consequences of Dementia</w:t>
      </w:r>
    </w:p>
    <w:p w14:paraId="305AF9F2" w14:textId="2F959D8F" w:rsidR="00B91E36" w:rsidRPr="006120DE" w:rsidRDefault="00B91E36" w:rsidP="00B91E36">
      <w:pPr>
        <w:pStyle w:val="NormalWeb"/>
        <w:spacing w:before="0" w:beforeAutospacing="0" w:after="0" w:afterAutospacing="0" w:line="480" w:lineRule="auto"/>
        <w:ind w:firstLine="284"/>
      </w:pPr>
      <w:r w:rsidRPr="006120DE">
        <w:t>Dementia can lead to a decline in physical and cognitive abilities, making it difficult for patients to perform activities of daily living. Additionally, Dementia can be accompanied by a decline in mental health, leading to depression, anxiety, and other mental health disorders. Dementia can also lead to increased social isolation and loneliness, as patients may have difficulty communicating with others and may be unable to participate in activities they once enjoyed</w:t>
      </w:r>
      <w:r w:rsidR="00DE604D">
        <w:rPr>
          <w:lang w:val="en-US"/>
        </w:rPr>
        <w:t xml:space="preserve"> </w:t>
      </w:r>
      <w:r w:rsidR="00DE604D" w:rsidRPr="006120DE">
        <w:rPr>
          <w:lang w:val="en-US"/>
        </w:rPr>
        <w:t>(Ebert et al., 2019)</w:t>
      </w:r>
      <w:r w:rsidRPr="006120DE">
        <w:t>. Additionally, patients with Dementia may be at increased risk for falls and other accidents, which can lead to injuries or even death. Finally, Dementia can be a financial burden on patients and their families, as the cost of care can be high.</w:t>
      </w:r>
    </w:p>
    <w:p w14:paraId="2D3377B5" w14:textId="65AE37EF" w:rsidR="00B91E36" w:rsidRPr="006120DE" w:rsidRDefault="00B91E36" w:rsidP="00B91E36">
      <w:pPr>
        <w:pStyle w:val="NormalWeb"/>
        <w:spacing w:before="0" w:beforeAutospacing="0" w:after="0" w:afterAutospacing="0" w:line="480" w:lineRule="auto"/>
        <w:ind w:firstLine="284"/>
      </w:pPr>
      <w:r w:rsidRPr="006120DE">
        <w:lastRenderedPageBreak/>
        <w:t>The long-term public health consequences of Dementia in a healthcare setting include an increased risk of falls, pressure sores, and infections. Additionally, people with Dementia are more likely to be admitted to a nursing home or other long-term care facility. The long-term public health consequences of Dementia in a healthcare setting can be divided into three main categories: physical, psychological, and social. Physical consequences include an increased risk of falls, pressure sores, and infections</w:t>
      </w:r>
      <w:r w:rsidR="006120DE">
        <w:rPr>
          <w:lang w:val="en-US"/>
        </w:rPr>
        <w:t xml:space="preserve"> </w:t>
      </w:r>
      <w:r w:rsidR="006120DE" w:rsidRPr="006120DE">
        <w:rPr>
          <w:lang w:val="en-US"/>
        </w:rPr>
        <w:t>(Qazi, 2018)</w:t>
      </w:r>
      <w:r w:rsidRPr="006120DE">
        <w:t>. People with Dementia are more likely to fall due to impaired balance and coordination. They are also at risk for pressure sores because they may be unable to move independently and are often incontinent. </w:t>
      </w:r>
    </w:p>
    <w:p w14:paraId="4B505A15" w14:textId="19CA433B" w:rsidR="006120DE" w:rsidRPr="006120DE" w:rsidRDefault="00B91E36" w:rsidP="00DE604D">
      <w:pPr>
        <w:pStyle w:val="NormalWeb"/>
        <w:spacing w:before="0" w:beforeAutospacing="0" w:after="0" w:afterAutospacing="0" w:line="480" w:lineRule="auto"/>
        <w:ind w:firstLine="284"/>
      </w:pPr>
      <w:r w:rsidRPr="006120DE">
        <w:t>Infections are a concern because people with Dementia may not be able to communicate when they are feeling ill and may not be able to follow instructions for hygiene. Psychological consequences of Dementia can include anxiety, depression, and delusions. People with Dementia may be anxious about their declining abilities and the changes in their lives. They may also become depressed due to the loss of independence and social isolation. Delusions are a type of mental illness that Dementia can cause. People with Dementia may lose friends and become isolated due to declining abilities. They may also put a strain on their family members who may need to provide care. Additionally, care for someone with Dementia can be costly.</w:t>
      </w:r>
    </w:p>
    <w:p w14:paraId="285EF0E2" w14:textId="6982A52C" w:rsidR="00B91E36" w:rsidRPr="006120DE" w:rsidRDefault="00B91E36" w:rsidP="00B91E36">
      <w:pPr>
        <w:pStyle w:val="NormalWeb"/>
        <w:spacing w:before="0" w:beforeAutospacing="0" w:after="0" w:afterAutospacing="0" w:line="480" w:lineRule="auto"/>
        <w:ind w:firstLine="284"/>
      </w:pPr>
      <w:r w:rsidRPr="006120DE">
        <w:t>The long-term public health consequences of Dementia in social care settings include increased dependency on formal and informal care, increased risk of falls and accidents, and increased incidence of mental health problems. The long-term public health consequences of Dementia in social care settings include increased dependency on formal and informal care, increased risk of falls and accidents, and increased incidence of mental health problems. Increased dependency on formal and informal care can lead to social isolation and strain on relationships</w:t>
      </w:r>
      <w:r w:rsidR="006120DE">
        <w:rPr>
          <w:lang w:val="en-US"/>
        </w:rPr>
        <w:t xml:space="preserve"> </w:t>
      </w:r>
      <w:r w:rsidR="006120DE" w:rsidRPr="006120DE">
        <w:rPr>
          <w:lang w:val="en-US"/>
        </w:rPr>
        <w:t>(Qazi, 2018)</w:t>
      </w:r>
      <w:r w:rsidRPr="006120DE">
        <w:t xml:space="preserve">. Increased risk of falls and accidents can lead to severe injuries, and </w:t>
      </w:r>
      <w:r w:rsidRPr="006120DE">
        <w:lastRenderedPageBreak/>
        <w:t>increased incidence of mental health problems can lead to anxiety and depression. The long-term public health consequences of Dementia in social care settings can hurt the overall health and well-being of people with Dementia. These consequences can lead to increased dependency on formal and informal care, increased risk of falls and accidents, and increased incidence of mental health problems. </w:t>
      </w:r>
    </w:p>
    <w:p w14:paraId="5D4BC82B" w14:textId="77777777" w:rsidR="00B91E36" w:rsidRPr="006120DE" w:rsidRDefault="00B91E36" w:rsidP="00B91E36">
      <w:pPr>
        <w:pStyle w:val="NormalWeb"/>
        <w:spacing w:before="0" w:beforeAutospacing="0" w:after="0" w:afterAutospacing="0" w:line="480" w:lineRule="auto"/>
        <w:ind w:firstLine="284"/>
      </w:pPr>
      <w:r w:rsidRPr="006120DE">
        <w:rPr>
          <w:rStyle w:val="Strong"/>
        </w:rPr>
        <w:t>Conclusion </w:t>
      </w:r>
    </w:p>
    <w:p w14:paraId="3F4B110F" w14:textId="22B3A8BD" w:rsidR="00B91E36" w:rsidRPr="006120DE" w:rsidRDefault="00B91E36" w:rsidP="00B91E36">
      <w:pPr>
        <w:pStyle w:val="NormalWeb"/>
        <w:spacing w:before="0" w:beforeAutospacing="0" w:after="0" w:afterAutospacing="0" w:line="480" w:lineRule="auto"/>
        <w:ind w:firstLine="284"/>
      </w:pPr>
      <w:r w:rsidRPr="006120DE">
        <w:t xml:space="preserve">According to the World Health Organization, </w:t>
      </w:r>
      <w:r w:rsidR="00230AD7">
        <w:rPr>
          <w:lang w:val="en-US"/>
        </w:rPr>
        <w:t>“</w:t>
      </w:r>
      <w:r w:rsidRPr="006120DE">
        <w:t>Dementia was the second leading cause of disability worldwide and the fifth leading cause of death. Dementia is projected to be the second-leading cause of disability by 2030 and the fourth-leading cause of death by 2050</w:t>
      </w:r>
      <w:r w:rsidR="00230AD7">
        <w:rPr>
          <w:lang w:val="en-US"/>
        </w:rPr>
        <w:t>”</w:t>
      </w:r>
      <w:r w:rsidRPr="006120DE">
        <w:t xml:space="preserve">. The causes of Dementia are mainly unknown. However, it is known that age is the most significant risk factor for developing the disease. The number of people with Dementia is expected to increase as the world's population ages. Other risk factors for Dementia include a family history of the disease, head injury, and chronic diseases such as Alzheimer's disease, Parkinson's disease, and stroke. </w:t>
      </w:r>
      <w:r w:rsidR="00230AD7">
        <w:rPr>
          <w:lang w:val="en-US"/>
        </w:rPr>
        <w:t>T</w:t>
      </w:r>
      <w:proofErr w:type="spellStart"/>
      <w:r w:rsidRPr="006120DE">
        <w:t>reatment</w:t>
      </w:r>
      <w:proofErr w:type="spellEnd"/>
      <w:r w:rsidRPr="006120DE">
        <w:t xml:space="preserve"> can help improve the quality of life for people with Dementia and their caregivers. There is no one-size-fits-all approach to Dementia. However, there are several initiatives that countries are taking to address the disease. These initiatives include: Creating national plans to address Dementia: Many countries have developed national plans to address the challenges posed by Dementia. </w:t>
      </w:r>
    </w:p>
    <w:p w14:paraId="3DDA3475" w14:textId="0229D353" w:rsidR="00B91E36" w:rsidRDefault="006120DE" w:rsidP="00B91E36">
      <w:pPr>
        <w:pStyle w:val="NormalWeb"/>
        <w:spacing w:before="0" w:beforeAutospacing="0" w:after="0" w:afterAutospacing="0" w:line="480" w:lineRule="auto"/>
        <w:ind w:firstLine="284"/>
      </w:pPr>
      <w:r>
        <w:rPr>
          <w:lang w:val="en-US"/>
        </w:rPr>
        <w:t>T</w:t>
      </w:r>
      <w:proofErr w:type="spellStart"/>
      <w:r w:rsidR="00B91E36" w:rsidRPr="006120DE">
        <w:t>hese</w:t>
      </w:r>
      <w:proofErr w:type="spellEnd"/>
      <w:r w:rsidR="00B91E36" w:rsidRPr="006120DE">
        <w:t xml:space="preserve"> plans typically involve a multi-sectoral approach and aim to improve access to diagnosis and treatment, support caregivers, and promote healthy aging. Improving access to diagnosis and treatment: One of the main goals of national dementia plans is to improve access to diagnosis and treatment. It can be done by increasing the number of healthcare providers trained to diagnose and treat Dementia, as well as improving the availability of dementia </w:t>
      </w:r>
      <w:r w:rsidR="00B91E36" w:rsidRPr="006120DE">
        <w:lastRenderedPageBreak/>
        <w:t>services. Improving support for caregivers: Caregivers play a vital role in caring for people with Dementia. However, they often face challenges such as a lack of knowledge about the disease, financial stress, and difficulty accessing support services. National dementia plans typically aim to improve support for caregivers by providing training and respite care, as well as financial and legal assistance. Developing policies to promote healthy aging: Another goal of national dementia plans is to promote healthy aging; this can be done through policies that encourage healthy lifestyle choices, such as physical activity and healthy eating. Additionally, countries can develop policies to reduce the risk of cognitive declines, such as reducing air pollution and improving access to education.</w:t>
      </w:r>
    </w:p>
    <w:p w14:paraId="199CB7F9" w14:textId="2C4A945E" w:rsidR="006120DE" w:rsidRDefault="006120DE" w:rsidP="00B91E36">
      <w:pPr>
        <w:pStyle w:val="NormalWeb"/>
        <w:spacing w:before="0" w:beforeAutospacing="0" w:after="0" w:afterAutospacing="0" w:line="480" w:lineRule="auto"/>
        <w:ind w:firstLine="284"/>
      </w:pPr>
    </w:p>
    <w:p w14:paraId="442A9A83" w14:textId="31766E8E" w:rsidR="006120DE" w:rsidRDefault="006120DE" w:rsidP="00B91E36">
      <w:pPr>
        <w:pStyle w:val="NormalWeb"/>
        <w:spacing w:before="0" w:beforeAutospacing="0" w:after="0" w:afterAutospacing="0" w:line="480" w:lineRule="auto"/>
        <w:ind w:firstLine="284"/>
      </w:pPr>
    </w:p>
    <w:p w14:paraId="277C04B2" w14:textId="5BCCE299" w:rsidR="006120DE" w:rsidRDefault="006120DE" w:rsidP="00B91E36">
      <w:pPr>
        <w:pStyle w:val="NormalWeb"/>
        <w:spacing w:before="0" w:beforeAutospacing="0" w:after="0" w:afterAutospacing="0" w:line="480" w:lineRule="auto"/>
        <w:ind w:firstLine="284"/>
      </w:pPr>
    </w:p>
    <w:p w14:paraId="5E1E01CA" w14:textId="77777777" w:rsidR="006120DE" w:rsidRDefault="006120DE" w:rsidP="00B91E36">
      <w:pPr>
        <w:pStyle w:val="NormalWeb"/>
        <w:spacing w:before="0" w:beforeAutospacing="0" w:after="0" w:afterAutospacing="0" w:line="480" w:lineRule="auto"/>
        <w:ind w:firstLine="284"/>
      </w:pPr>
    </w:p>
    <w:p w14:paraId="7983790D" w14:textId="77777777" w:rsidR="006120DE" w:rsidRPr="006120DE" w:rsidRDefault="006120DE" w:rsidP="006120DE">
      <w:pPr>
        <w:pStyle w:val="NormalWeb"/>
        <w:spacing w:before="0" w:beforeAutospacing="0" w:after="0" w:afterAutospacing="0" w:line="480" w:lineRule="auto"/>
        <w:ind w:firstLine="284"/>
      </w:pPr>
      <w:r w:rsidRPr="006120DE">
        <w:t>Dementia affects people of all ages but is most common in older adults. The disease can lead to a decline in cognitive and physical function, as well as a decline in mental and emotional well-being. Dementia can also significantly impact caregivers, who often face challenges such as a lack of knowledge about the disease, financial stress, and difficulty accessing support services. </w:t>
      </w:r>
      <w:r w:rsidRPr="006120DE">
        <w:rPr>
          <w:rStyle w:val="Emphasis"/>
        </w:rPr>
        <w:t>Dementia</w:t>
      </w:r>
      <w:r w:rsidRPr="006120DE">
        <w:t> is a degenerative brain disease that causes a decline in cognitive function and physical abilities. The disease can lead to a decline in mental and emotional well-being, as well as a decline in quality of life. There is no known cure for Dementia, but there are treatments that can help manage the symptoms of the disease. These treatments can help improve the quality of life for people with Dementia and their caregivers.</w:t>
      </w:r>
    </w:p>
    <w:p w14:paraId="43C7D14C" w14:textId="77777777" w:rsidR="006120DE" w:rsidRPr="006120DE" w:rsidRDefault="006120DE" w:rsidP="006120DE">
      <w:pPr>
        <w:pStyle w:val="NormalWeb"/>
        <w:spacing w:before="0" w:beforeAutospacing="0" w:after="0" w:afterAutospacing="0"/>
      </w:pPr>
      <w:r w:rsidRPr="006120DE">
        <w:t> </w:t>
      </w:r>
    </w:p>
    <w:p w14:paraId="10B13679" w14:textId="77777777" w:rsidR="006120DE" w:rsidRDefault="006120DE" w:rsidP="00B91E36">
      <w:pPr>
        <w:pStyle w:val="NormalWeb"/>
        <w:spacing w:before="0" w:beforeAutospacing="0" w:after="0" w:afterAutospacing="0" w:line="480" w:lineRule="auto"/>
        <w:ind w:firstLine="284"/>
      </w:pPr>
    </w:p>
    <w:p w14:paraId="6DA1141D" w14:textId="578D81D6" w:rsidR="006120DE" w:rsidRDefault="006120DE" w:rsidP="00B91E36">
      <w:pPr>
        <w:pStyle w:val="NormalWeb"/>
        <w:spacing w:before="0" w:beforeAutospacing="0" w:after="0" w:afterAutospacing="0" w:line="480" w:lineRule="auto"/>
        <w:ind w:firstLine="284"/>
      </w:pPr>
    </w:p>
    <w:p w14:paraId="6ABADEC2" w14:textId="1E00A786" w:rsidR="006120DE" w:rsidRDefault="006120DE" w:rsidP="00B91E36">
      <w:pPr>
        <w:pStyle w:val="NormalWeb"/>
        <w:spacing w:before="0" w:beforeAutospacing="0" w:after="0" w:afterAutospacing="0" w:line="480" w:lineRule="auto"/>
        <w:ind w:firstLine="284"/>
      </w:pPr>
    </w:p>
    <w:p w14:paraId="1A277A80" w14:textId="77934A87" w:rsidR="006120DE" w:rsidRDefault="006120DE" w:rsidP="00B91E36">
      <w:pPr>
        <w:pStyle w:val="NormalWeb"/>
        <w:spacing w:before="0" w:beforeAutospacing="0" w:after="0" w:afterAutospacing="0" w:line="480" w:lineRule="auto"/>
        <w:ind w:firstLine="284"/>
      </w:pPr>
    </w:p>
    <w:p w14:paraId="26E22BAD" w14:textId="428740F4" w:rsidR="006120DE" w:rsidRDefault="006120DE" w:rsidP="00B91E36">
      <w:pPr>
        <w:pStyle w:val="NormalWeb"/>
        <w:spacing w:before="0" w:beforeAutospacing="0" w:after="0" w:afterAutospacing="0" w:line="480" w:lineRule="auto"/>
        <w:ind w:firstLine="284"/>
      </w:pPr>
    </w:p>
    <w:p w14:paraId="59D3A10A" w14:textId="26D5D2A7" w:rsidR="006120DE" w:rsidRDefault="006120DE" w:rsidP="00B91E36">
      <w:pPr>
        <w:pStyle w:val="NormalWeb"/>
        <w:spacing w:before="0" w:beforeAutospacing="0" w:after="0" w:afterAutospacing="0" w:line="480" w:lineRule="auto"/>
        <w:ind w:firstLine="284"/>
      </w:pPr>
    </w:p>
    <w:p w14:paraId="73FF1839" w14:textId="1C512E75" w:rsidR="006120DE" w:rsidRDefault="006120DE" w:rsidP="00B91E36">
      <w:pPr>
        <w:pStyle w:val="NormalWeb"/>
        <w:spacing w:before="0" w:beforeAutospacing="0" w:after="0" w:afterAutospacing="0" w:line="480" w:lineRule="auto"/>
        <w:ind w:firstLine="284"/>
      </w:pPr>
    </w:p>
    <w:p w14:paraId="716FF9C5" w14:textId="6FCDEE67" w:rsidR="006120DE" w:rsidRDefault="006120DE" w:rsidP="00B91E36">
      <w:pPr>
        <w:pStyle w:val="NormalWeb"/>
        <w:spacing w:before="0" w:beforeAutospacing="0" w:after="0" w:afterAutospacing="0" w:line="480" w:lineRule="auto"/>
        <w:ind w:firstLine="284"/>
      </w:pPr>
    </w:p>
    <w:p w14:paraId="4A3FDEBA" w14:textId="0F506269" w:rsidR="006120DE" w:rsidRDefault="006120DE" w:rsidP="00B91E36">
      <w:pPr>
        <w:pStyle w:val="NormalWeb"/>
        <w:spacing w:before="0" w:beforeAutospacing="0" w:after="0" w:afterAutospacing="0" w:line="480" w:lineRule="auto"/>
        <w:ind w:firstLine="284"/>
      </w:pPr>
    </w:p>
    <w:p w14:paraId="19DC0BA5" w14:textId="29B786F2" w:rsidR="006120DE" w:rsidRDefault="006120DE" w:rsidP="00B91E36">
      <w:pPr>
        <w:pStyle w:val="NormalWeb"/>
        <w:spacing w:before="0" w:beforeAutospacing="0" w:after="0" w:afterAutospacing="0" w:line="480" w:lineRule="auto"/>
        <w:ind w:firstLine="284"/>
      </w:pPr>
    </w:p>
    <w:p w14:paraId="00C0A8C4" w14:textId="7A17192D" w:rsidR="006120DE" w:rsidRDefault="006120DE" w:rsidP="00B91E36">
      <w:pPr>
        <w:pStyle w:val="NormalWeb"/>
        <w:spacing w:before="0" w:beforeAutospacing="0" w:after="0" w:afterAutospacing="0" w:line="480" w:lineRule="auto"/>
        <w:ind w:firstLine="284"/>
      </w:pPr>
    </w:p>
    <w:p w14:paraId="632DD978" w14:textId="70FCBB37" w:rsidR="006120DE" w:rsidRDefault="006120DE" w:rsidP="00B91E36">
      <w:pPr>
        <w:pStyle w:val="NormalWeb"/>
        <w:spacing w:before="0" w:beforeAutospacing="0" w:after="0" w:afterAutospacing="0" w:line="480" w:lineRule="auto"/>
        <w:ind w:firstLine="284"/>
      </w:pPr>
    </w:p>
    <w:p w14:paraId="2AA71907" w14:textId="6777F8AF" w:rsidR="006120DE" w:rsidRDefault="006120DE" w:rsidP="00B91E36">
      <w:pPr>
        <w:pStyle w:val="NormalWeb"/>
        <w:spacing w:before="0" w:beforeAutospacing="0" w:after="0" w:afterAutospacing="0" w:line="480" w:lineRule="auto"/>
        <w:ind w:firstLine="284"/>
      </w:pPr>
    </w:p>
    <w:p w14:paraId="1D452F07" w14:textId="77777777" w:rsidR="006120DE" w:rsidRDefault="006120DE" w:rsidP="00B91E36">
      <w:pPr>
        <w:pStyle w:val="NormalWeb"/>
        <w:spacing w:before="0" w:beforeAutospacing="0" w:after="0" w:afterAutospacing="0" w:line="480" w:lineRule="auto"/>
        <w:ind w:firstLine="284"/>
      </w:pPr>
    </w:p>
    <w:p w14:paraId="4D983DC4" w14:textId="28507AD1" w:rsidR="006120DE" w:rsidRDefault="006120DE" w:rsidP="006120DE">
      <w:pPr>
        <w:pStyle w:val="NormalWeb"/>
        <w:spacing w:before="0" w:beforeAutospacing="0" w:after="0" w:afterAutospacing="0" w:line="480" w:lineRule="auto"/>
        <w:ind w:firstLine="284"/>
        <w:jc w:val="center"/>
        <w:rPr>
          <w:lang w:val="en-US"/>
        </w:rPr>
      </w:pPr>
      <w:r>
        <w:rPr>
          <w:lang w:val="en-US"/>
        </w:rPr>
        <w:t xml:space="preserve">References </w:t>
      </w:r>
    </w:p>
    <w:p w14:paraId="36BCEBCB" w14:textId="77777777" w:rsidR="006120DE" w:rsidRDefault="006120DE" w:rsidP="006120DE">
      <w:pPr>
        <w:pStyle w:val="NormalWeb"/>
        <w:spacing w:before="0" w:beforeAutospacing="0" w:after="0" w:afterAutospacing="0" w:line="480" w:lineRule="auto"/>
        <w:ind w:left="720" w:hanging="720"/>
      </w:pPr>
      <w:r>
        <w:t xml:space="preserve">Ebert, A. R., </w:t>
      </w:r>
      <w:proofErr w:type="spellStart"/>
      <w:r>
        <w:t>Kulibert</w:t>
      </w:r>
      <w:proofErr w:type="spellEnd"/>
      <w:r>
        <w:t xml:space="preserve">, D., &amp; McFadden, S. H. (2019). Effects of dementia knowledge and dementia fear on comfort with people having dementia: Implications for dementia-friendly communities. </w:t>
      </w:r>
      <w:r>
        <w:rPr>
          <w:i/>
          <w:iCs/>
        </w:rPr>
        <w:t>Dementia</w:t>
      </w:r>
      <w:r>
        <w:t>, 147130121982770. https://doi.org/10.1177/1471301219827708</w:t>
      </w:r>
    </w:p>
    <w:p w14:paraId="18D43F19" w14:textId="77777777" w:rsidR="006120DE" w:rsidRDefault="006120DE" w:rsidP="006120DE">
      <w:pPr>
        <w:pStyle w:val="NormalWeb"/>
        <w:spacing w:before="0" w:beforeAutospacing="0" w:after="0" w:afterAutospacing="0" w:line="480" w:lineRule="auto"/>
        <w:ind w:left="720" w:hanging="720"/>
      </w:pPr>
      <w:r>
        <w:t xml:space="preserve">Qazi, A. (2018). Dementia Crisis Support Team: An Innovative Model of Dementia Care </w:t>
      </w:r>
      <w:proofErr w:type="gramStart"/>
      <w:r>
        <w:t>In</w:t>
      </w:r>
      <w:proofErr w:type="gramEnd"/>
      <w:r>
        <w:t xml:space="preserve"> The Community. </w:t>
      </w:r>
      <w:r>
        <w:rPr>
          <w:i/>
          <w:iCs/>
        </w:rPr>
        <w:t>Alzheimer’s &amp; Dementia</w:t>
      </w:r>
      <w:r>
        <w:t xml:space="preserve">, </w:t>
      </w:r>
      <w:r>
        <w:rPr>
          <w:i/>
          <w:iCs/>
        </w:rPr>
        <w:t>10</w:t>
      </w:r>
      <w:r>
        <w:t>(4), P568. https://doi.org/10.1016/j.jalz.2014.05.931</w:t>
      </w:r>
    </w:p>
    <w:p w14:paraId="32847B98" w14:textId="77777777" w:rsidR="006120DE" w:rsidRPr="006120DE" w:rsidRDefault="006120DE" w:rsidP="006120DE">
      <w:pPr>
        <w:pStyle w:val="NormalWeb"/>
        <w:spacing w:before="0" w:beforeAutospacing="0" w:after="0" w:afterAutospacing="0" w:line="480" w:lineRule="auto"/>
        <w:ind w:firstLine="284"/>
        <w:rPr>
          <w:lang w:val="en-US"/>
        </w:rPr>
      </w:pPr>
    </w:p>
    <w:p w14:paraId="1755EBD2" w14:textId="564483DF" w:rsidR="00B91E36" w:rsidRPr="006120DE" w:rsidRDefault="00B91E36" w:rsidP="00B91E36">
      <w:pPr>
        <w:pStyle w:val="NormalWeb"/>
        <w:spacing w:before="0" w:beforeAutospacing="0" w:after="0" w:afterAutospacing="0" w:line="480" w:lineRule="auto"/>
        <w:ind w:firstLine="284"/>
      </w:pPr>
    </w:p>
    <w:p w14:paraId="1D83DEC6" w14:textId="670626D2" w:rsidR="00B91E36" w:rsidRPr="006120DE" w:rsidRDefault="00B91E36" w:rsidP="00B91E36">
      <w:pPr>
        <w:pStyle w:val="NormalWeb"/>
        <w:spacing w:before="0" w:beforeAutospacing="0" w:after="0" w:afterAutospacing="0" w:line="480" w:lineRule="auto"/>
        <w:ind w:firstLine="284"/>
      </w:pPr>
    </w:p>
    <w:p w14:paraId="720C3EC5" w14:textId="5AD10EC4" w:rsidR="00B91E36" w:rsidRPr="006120DE" w:rsidRDefault="00B91E36" w:rsidP="00B91E36">
      <w:pPr>
        <w:pStyle w:val="NormalWeb"/>
        <w:spacing w:before="0" w:beforeAutospacing="0" w:after="0" w:afterAutospacing="0" w:line="480" w:lineRule="auto"/>
        <w:ind w:firstLine="284"/>
      </w:pPr>
    </w:p>
    <w:p w14:paraId="21305124" w14:textId="55A5A70C" w:rsidR="00B91E36" w:rsidRPr="006120DE" w:rsidRDefault="00B91E36" w:rsidP="00B91E36">
      <w:pPr>
        <w:pStyle w:val="NormalWeb"/>
        <w:spacing w:before="0" w:beforeAutospacing="0" w:after="0" w:afterAutospacing="0" w:line="480" w:lineRule="auto"/>
        <w:ind w:firstLine="284"/>
      </w:pPr>
    </w:p>
    <w:p w14:paraId="4F065073" w14:textId="4049247E" w:rsidR="00B91E36" w:rsidRPr="006120DE" w:rsidRDefault="00B91E36" w:rsidP="00B91E36">
      <w:pPr>
        <w:pStyle w:val="NormalWeb"/>
        <w:spacing w:before="0" w:beforeAutospacing="0" w:after="0" w:afterAutospacing="0" w:line="480" w:lineRule="auto"/>
        <w:ind w:firstLine="284"/>
      </w:pPr>
    </w:p>
    <w:p w14:paraId="5109D202" w14:textId="00CA8793" w:rsidR="00B91E36" w:rsidRPr="006120DE" w:rsidRDefault="00B91E36" w:rsidP="00B91E36">
      <w:pPr>
        <w:pStyle w:val="NormalWeb"/>
        <w:spacing w:before="0" w:beforeAutospacing="0" w:after="0" w:afterAutospacing="0" w:line="480" w:lineRule="auto"/>
        <w:ind w:firstLine="284"/>
      </w:pPr>
    </w:p>
    <w:p w14:paraId="74BFB4A4" w14:textId="77777777" w:rsidR="00B91E36" w:rsidRPr="006120DE" w:rsidRDefault="00B91E36" w:rsidP="00B91E36">
      <w:pPr>
        <w:pStyle w:val="NormalWeb"/>
        <w:spacing w:before="0" w:beforeAutospacing="0" w:after="0" w:afterAutospacing="0" w:line="480" w:lineRule="auto"/>
        <w:ind w:firstLine="284"/>
      </w:pPr>
    </w:p>
    <w:p w14:paraId="675F912F" w14:textId="77777777" w:rsidR="00EC66F1" w:rsidRPr="006120DE" w:rsidRDefault="00EC66F1">
      <w:pPr>
        <w:rPr>
          <w:rFonts w:ascii="Times New Roman" w:hAnsi="Times New Roman" w:cs="Times New Roman"/>
          <w:sz w:val="24"/>
          <w:szCs w:val="24"/>
          <w:shd w:val="clear" w:color="auto" w:fill="FFFFFF"/>
          <w:lang w:val="en-US"/>
        </w:rPr>
      </w:pPr>
    </w:p>
    <w:p w14:paraId="4E588C92" w14:textId="6650E98F" w:rsidR="00EC66F1" w:rsidRPr="006120DE" w:rsidRDefault="00EC66F1">
      <w:pPr>
        <w:rPr>
          <w:rFonts w:ascii="Times New Roman" w:hAnsi="Times New Roman" w:cs="Times New Roman"/>
          <w:sz w:val="24"/>
          <w:szCs w:val="24"/>
          <w:shd w:val="clear" w:color="auto" w:fill="FFFFFF"/>
          <w:lang w:val="en-US"/>
        </w:rPr>
      </w:pPr>
      <w:r w:rsidRPr="006120DE">
        <w:rPr>
          <w:rFonts w:ascii="Times New Roman" w:hAnsi="Times New Roman" w:cs="Times New Roman"/>
          <w:sz w:val="24"/>
          <w:szCs w:val="24"/>
          <w:shd w:val="clear" w:color="auto" w:fill="FFFFFF"/>
          <w:lang w:val="en-US"/>
        </w:rPr>
        <w:t xml:space="preserve"> </w:t>
      </w:r>
    </w:p>
    <w:p w14:paraId="40E03482" w14:textId="77777777" w:rsidR="00EC66F1" w:rsidRPr="006120DE" w:rsidRDefault="00EC66F1">
      <w:pPr>
        <w:rPr>
          <w:rFonts w:ascii="Times New Roman" w:hAnsi="Times New Roman" w:cs="Times New Roman"/>
          <w:sz w:val="24"/>
          <w:szCs w:val="24"/>
          <w:shd w:val="clear" w:color="auto" w:fill="FFFFFF"/>
          <w:lang w:val="en-US"/>
        </w:rPr>
      </w:pPr>
    </w:p>
    <w:p w14:paraId="64BADC60" w14:textId="77777777" w:rsidR="001D3C34" w:rsidRPr="006120DE" w:rsidRDefault="001D3C34">
      <w:pPr>
        <w:rPr>
          <w:rFonts w:ascii="Times New Roman" w:hAnsi="Times New Roman" w:cs="Times New Roman"/>
          <w:sz w:val="24"/>
          <w:szCs w:val="24"/>
        </w:rPr>
      </w:pPr>
    </w:p>
    <w:sectPr w:rsidR="001D3C34" w:rsidRPr="006120DE">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F719D" w14:textId="77777777" w:rsidR="00902876" w:rsidRDefault="00902876" w:rsidP="00B91E36">
      <w:pPr>
        <w:spacing w:after="0" w:line="240" w:lineRule="auto"/>
      </w:pPr>
      <w:r>
        <w:separator/>
      </w:r>
    </w:p>
  </w:endnote>
  <w:endnote w:type="continuationSeparator" w:id="0">
    <w:p w14:paraId="3A1532F0" w14:textId="77777777" w:rsidR="00902876" w:rsidRDefault="00902876" w:rsidP="00B91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38449" w14:textId="77777777" w:rsidR="00902876" w:rsidRDefault="00902876" w:rsidP="00B91E36">
      <w:pPr>
        <w:spacing w:after="0" w:line="240" w:lineRule="auto"/>
      </w:pPr>
      <w:r>
        <w:separator/>
      </w:r>
    </w:p>
  </w:footnote>
  <w:footnote w:type="continuationSeparator" w:id="0">
    <w:p w14:paraId="6EE44F4D" w14:textId="77777777" w:rsidR="00902876" w:rsidRDefault="00902876" w:rsidP="00B91E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147742702"/>
      <w:docPartObj>
        <w:docPartGallery w:val="Page Numbers (Top of Page)"/>
        <w:docPartUnique/>
      </w:docPartObj>
    </w:sdtPr>
    <w:sdtEndPr>
      <w:rPr>
        <w:noProof/>
      </w:rPr>
    </w:sdtEndPr>
    <w:sdtContent>
      <w:p w14:paraId="5FF7198A" w14:textId="5F829B60" w:rsidR="00B91E36" w:rsidRPr="006120DE" w:rsidRDefault="00B91E36">
        <w:pPr>
          <w:pStyle w:val="Header"/>
          <w:jc w:val="right"/>
          <w:rPr>
            <w:rFonts w:ascii="Times New Roman" w:hAnsi="Times New Roman" w:cs="Times New Roman"/>
            <w:sz w:val="24"/>
            <w:szCs w:val="24"/>
          </w:rPr>
        </w:pPr>
        <w:r w:rsidRPr="006120DE">
          <w:rPr>
            <w:rFonts w:ascii="Times New Roman" w:hAnsi="Times New Roman" w:cs="Times New Roman"/>
            <w:sz w:val="24"/>
            <w:szCs w:val="24"/>
          </w:rPr>
          <w:fldChar w:fldCharType="begin"/>
        </w:r>
        <w:r w:rsidRPr="006120DE">
          <w:rPr>
            <w:rFonts w:ascii="Times New Roman" w:hAnsi="Times New Roman" w:cs="Times New Roman"/>
            <w:sz w:val="24"/>
            <w:szCs w:val="24"/>
          </w:rPr>
          <w:instrText xml:space="preserve"> PAGE   \* MERGEFORMAT </w:instrText>
        </w:r>
        <w:r w:rsidRPr="006120DE">
          <w:rPr>
            <w:rFonts w:ascii="Times New Roman" w:hAnsi="Times New Roman" w:cs="Times New Roman"/>
            <w:sz w:val="24"/>
            <w:szCs w:val="24"/>
          </w:rPr>
          <w:fldChar w:fldCharType="separate"/>
        </w:r>
        <w:r w:rsidRPr="006120DE">
          <w:rPr>
            <w:rFonts w:ascii="Times New Roman" w:hAnsi="Times New Roman" w:cs="Times New Roman"/>
            <w:noProof/>
            <w:sz w:val="24"/>
            <w:szCs w:val="24"/>
          </w:rPr>
          <w:t>2</w:t>
        </w:r>
        <w:r w:rsidRPr="006120DE">
          <w:rPr>
            <w:rFonts w:ascii="Times New Roman" w:hAnsi="Times New Roman" w:cs="Times New Roman"/>
            <w:noProof/>
            <w:sz w:val="24"/>
            <w:szCs w:val="24"/>
          </w:rPr>
          <w:fldChar w:fldCharType="end"/>
        </w:r>
      </w:p>
    </w:sdtContent>
  </w:sdt>
  <w:p w14:paraId="355ACDAF" w14:textId="77777777" w:rsidR="00B91E36" w:rsidRDefault="00B91E3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143"/>
    <w:rsid w:val="000E60F2"/>
    <w:rsid w:val="001B0B3F"/>
    <w:rsid w:val="001D3C34"/>
    <w:rsid w:val="00230AD7"/>
    <w:rsid w:val="004B4B11"/>
    <w:rsid w:val="006120DE"/>
    <w:rsid w:val="00721877"/>
    <w:rsid w:val="00902876"/>
    <w:rsid w:val="00965E0D"/>
    <w:rsid w:val="00B40143"/>
    <w:rsid w:val="00B42ACA"/>
    <w:rsid w:val="00B91E36"/>
    <w:rsid w:val="00D372AB"/>
    <w:rsid w:val="00DE604D"/>
    <w:rsid w:val="00EC66F1"/>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5CBC2"/>
  <w15:chartTrackingRefBased/>
  <w15:docId w15:val="{808F5074-1949-45F1-836F-AAB106A4F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91E36"/>
    <w:pPr>
      <w:spacing w:before="100" w:beforeAutospacing="1" w:after="100" w:afterAutospacing="1" w:line="240" w:lineRule="auto"/>
    </w:pPr>
    <w:rPr>
      <w:rFonts w:ascii="Times New Roman" w:eastAsia="Times New Roman" w:hAnsi="Times New Roman" w:cs="Times New Roman"/>
      <w:sz w:val="24"/>
      <w:szCs w:val="24"/>
      <w:lang w:eastAsia="en-KE"/>
    </w:rPr>
  </w:style>
  <w:style w:type="character" w:styleId="Strong">
    <w:name w:val="Strong"/>
    <w:basedOn w:val="DefaultParagraphFont"/>
    <w:uiPriority w:val="22"/>
    <w:qFormat/>
    <w:rsid w:val="00B91E36"/>
    <w:rPr>
      <w:b/>
      <w:bCs/>
    </w:rPr>
  </w:style>
  <w:style w:type="character" w:styleId="Emphasis">
    <w:name w:val="Emphasis"/>
    <w:basedOn w:val="DefaultParagraphFont"/>
    <w:uiPriority w:val="20"/>
    <w:qFormat/>
    <w:rsid w:val="00B91E36"/>
    <w:rPr>
      <w:i/>
      <w:iCs/>
    </w:rPr>
  </w:style>
  <w:style w:type="paragraph" w:styleId="Header">
    <w:name w:val="header"/>
    <w:basedOn w:val="Normal"/>
    <w:link w:val="HeaderChar"/>
    <w:uiPriority w:val="99"/>
    <w:unhideWhenUsed/>
    <w:rsid w:val="00B91E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1E36"/>
  </w:style>
  <w:style w:type="paragraph" w:styleId="Footer">
    <w:name w:val="footer"/>
    <w:basedOn w:val="Normal"/>
    <w:link w:val="FooterChar"/>
    <w:uiPriority w:val="99"/>
    <w:unhideWhenUsed/>
    <w:rsid w:val="00B91E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1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0973210">
      <w:bodyDiv w:val="1"/>
      <w:marLeft w:val="0"/>
      <w:marRight w:val="0"/>
      <w:marTop w:val="0"/>
      <w:marBottom w:val="0"/>
      <w:divBdr>
        <w:top w:val="none" w:sz="0" w:space="0" w:color="auto"/>
        <w:left w:val="none" w:sz="0" w:space="0" w:color="auto"/>
        <w:bottom w:val="none" w:sz="0" w:space="0" w:color="auto"/>
        <w:right w:val="none" w:sz="0" w:space="0" w:color="auto"/>
      </w:divBdr>
    </w:div>
    <w:div w:id="1355382073">
      <w:bodyDiv w:val="1"/>
      <w:marLeft w:val="0"/>
      <w:marRight w:val="0"/>
      <w:marTop w:val="0"/>
      <w:marBottom w:val="0"/>
      <w:divBdr>
        <w:top w:val="none" w:sz="0" w:space="0" w:color="auto"/>
        <w:left w:val="none" w:sz="0" w:space="0" w:color="auto"/>
        <w:bottom w:val="none" w:sz="0" w:space="0" w:color="auto"/>
        <w:right w:val="none" w:sz="0" w:space="0" w:color="auto"/>
      </w:divBdr>
      <w:divsChild>
        <w:div w:id="624624552">
          <w:marLeft w:val="0"/>
          <w:marRight w:val="0"/>
          <w:marTop w:val="0"/>
          <w:marBottom w:val="0"/>
          <w:divBdr>
            <w:top w:val="none" w:sz="0" w:space="0" w:color="auto"/>
            <w:left w:val="none" w:sz="0" w:space="0" w:color="auto"/>
            <w:bottom w:val="none" w:sz="0" w:space="0" w:color="auto"/>
            <w:right w:val="none" w:sz="0" w:space="0" w:color="auto"/>
          </w:divBdr>
        </w:div>
      </w:divsChild>
    </w:div>
    <w:div w:id="2047100083">
      <w:bodyDiv w:val="1"/>
      <w:marLeft w:val="0"/>
      <w:marRight w:val="0"/>
      <w:marTop w:val="0"/>
      <w:marBottom w:val="0"/>
      <w:divBdr>
        <w:top w:val="none" w:sz="0" w:space="0" w:color="auto"/>
        <w:left w:val="none" w:sz="0" w:space="0" w:color="auto"/>
        <w:bottom w:val="none" w:sz="0" w:space="0" w:color="auto"/>
        <w:right w:val="none" w:sz="0" w:space="0" w:color="auto"/>
      </w:divBdr>
      <w:divsChild>
        <w:div w:id="13072730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505</TotalTime>
  <Pages>10</Pages>
  <Words>2056</Words>
  <Characters>11723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2022-11-22T19:53:00Z</dcterms:created>
  <dcterms:modified xsi:type="dcterms:W3CDTF">2022-11-23T04:20:00Z</dcterms:modified>
</cp:coreProperties>
</file>