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3475F0" w14:textId="77777777" w:rsidR="000E5D22" w:rsidRDefault="000E5D22" w:rsidP="00C05501">
      <w:pPr>
        <w:jc w:val="center"/>
        <w:rPr>
          <w:b/>
          <w:u w:val="single"/>
        </w:rPr>
      </w:pPr>
    </w:p>
    <w:p w14:paraId="306585BC" w14:textId="5D277EB3" w:rsidR="00C05501" w:rsidRDefault="00C05501" w:rsidP="00C05501">
      <w:pPr>
        <w:jc w:val="center"/>
        <w:rPr>
          <w:b/>
          <w:u w:val="single"/>
        </w:rPr>
      </w:pPr>
      <w:r>
        <w:rPr>
          <w:b/>
          <w:u w:val="single"/>
        </w:rPr>
        <w:t>A critical evaluation and identification of the next teaching and learning steps focusing on a case study of an individual learner or a group of learners, based on an observed critical incident.</w:t>
      </w:r>
    </w:p>
    <w:p w14:paraId="3B87BA83" w14:textId="2D30F692" w:rsidR="00C05501" w:rsidRDefault="00C05501" w:rsidP="00C05501">
      <w:pPr>
        <w:rPr>
          <w:b/>
          <w:u w:val="single"/>
        </w:rPr>
      </w:pPr>
      <w:r>
        <w:rPr>
          <w:b/>
          <w:u w:val="single"/>
        </w:rPr>
        <w:t>Introduction</w:t>
      </w:r>
    </w:p>
    <w:p w14:paraId="4A70040C" w14:textId="5F6307ED" w:rsidR="00C05501" w:rsidRPr="00C05501" w:rsidRDefault="00C05501" w:rsidP="00C05501">
      <w:r>
        <w:t>Wales is currently going through a curriculum reform based on the recommendations made by Professor Graham Donaldson in his independent review of Wales’s curriculum and assessment arrangements, Successful Futures</w:t>
      </w:r>
      <w:sdt>
        <w:sdtPr>
          <w:id w:val="732276445"/>
          <w:citation/>
        </w:sdtPr>
        <w:sdtEndPr/>
        <w:sdtContent>
          <w:r>
            <w:fldChar w:fldCharType="begin"/>
          </w:r>
          <w:r>
            <w:instrText xml:space="preserve"> CITATION Don15 \l 2057 </w:instrText>
          </w:r>
          <w:r>
            <w:fldChar w:fldCharType="separate"/>
          </w:r>
          <w:r>
            <w:rPr>
              <w:noProof/>
            </w:rPr>
            <w:t xml:space="preserve"> </w:t>
          </w:r>
          <w:r w:rsidRPr="00C05501">
            <w:rPr>
              <w:noProof/>
            </w:rPr>
            <w:t>(Donaldson, 2015)</w:t>
          </w:r>
          <w:r>
            <w:fldChar w:fldCharType="end"/>
          </w:r>
        </w:sdtContent>
      </w:sdt>
      <w:r>
        <w:t>. This review was conducted on the back of previous failures within the Welsh education system which saw it score lowest in Mathematics, English an</w:t>
      </w:r>
      <w:r w:rsidR="00BB0476">
        <w:t>d</w:t>
      </w:r>
      <w:r>
        <w:t xml:space="preserve"> Science Pisa Scores when compared to the rest of the countries within the United Kingdom in 2015</w:t>
      </w:r>
      <w:sdt>
        <w:sdtPr>
          <w:id w:val="-1065795115"/>
          <w:citation/>
        </w:sdtPr>
        <w:sdtEndPr/>
        <w:sdtContent>
          <w:r>
            <w:fldChar w:fldCharType="begin"/>
          </w:r>
          <w:r>
            <w:instrText xml:space="preserve"> CITATION Jer16 \l 2057 </w:instrText>
          </w:r>
          <w:r>
            <w:fldChar w:fldCharType="separate"/>
          </w:r>
          <w:r>
            <w:rPr>
              <w:noProof/>
            </w:rPr>
            <w:t xml:space="preserve"> </w:t>
          </w:r>
          <w:r w:rsidRPr="00C05501">
            <w:rPr>
              <w:noProof/>
            </w:rPr>
            <w:t>(Jerrim &amp; Shure, 2016)</w:t>
          </w:r>
          <w:r>
            <w:fldChar w:fldCharType="end"/>
          </w:r>
        </w:sdtContent>
      </w:sdt>
      <w:r>
        <w:t xml:space="preserve">.  </w:t>
      </w:r>
      <w:r w:rsidR="00BB0476">
        <w:t>T</w:t>
      </w:r>
      <w:r>
        <w:t>he new curriculum in Wales is not due to be implemented until 2022 and will have  four new purposes, six new areas of learning and three cross-circular responsibilities</w:t>
      </w:r>
      <w:sdt>
        <w:sdtPr>
          <w:id w:val="1736128600"/>
          <w:citation/>
        </w:sdtPr>
        <w:sdtEndPr/>
        <w:sdtContent>
          <w:r>
            <w:fldChar w:fldCharType="begin"/>
          </w:r>
          <w:r>
            <w:instrText xml:space="preserve"> CITATION Wel17 \l 2057 </w:instrText>
          </w:r>
          <w:r>
            <w:fldChar w:fldCharType="separate"/>
          </w:r>
          <w:r>
            <w:rPr>
              <w:noProof/>
            </w:rPr>
            <w:t xml:space="preserve"> </w:t>
          </w:r>
          <w:r w:rsidRPr="00C05501">
            <w:rPr>
              <w:noProof/>
            </w:rPr>
            <w:t>(Welsh Government, 2017)</w:t>
          </w:r>
          <w:r>
            <w:fldChar w:fldCharType="end"/>
          </w:r>
        </w:sdtContent>
      </w:sdt>
      <w:r>
        <w:t>. This report will look to identify the next teaching and learning steps</w:t>
      </w:r>
      <w:r w:rsidR="0021064F">
        <w:t xml:space="preserve"> in order </w:t>
      </w:r>
      <w:r w:rsidR="001868CE">
        <w:t>to help improve the holistic development,</w:t>
      </w:r>
      <w:r>
        <w:t xml:space="preserve"> for a group of learners</w:t>
      </w:r>
      <w:r w:rsidR="0021064F">
        <w:t>. This will be</w:t>
      </w:r>
      <w:r>
        <w:t xml:space="preserve"> based on an observed critical incident</w:t>
      </w:r>
      <w:r w:rsidR="00C77649">
        <w:t xml:space="preserve"> with reference to the new curriculum</w:t>
      </w:r>
      <w:r>
        <w:t xml:space="preserve">. A critical incident is a situation within a classroom which has been observed and deemed significant by the observer for </w:t>
      </w:r>
      <w:r w:rsidR="00CD7E02">
        <w:t xml:space="preserve">further </w:t>
      </w:r>
      <w:r>
        <w:t>analysis</w:t>
      </w:r>
      <w:sdt>
        <w:sdtPr>
          <w:id w:val="-1875294308"/>
          <w:citation/>
        </w:sdtPr>
        <w:sdtEndPr/>
        <w:sdtContent>
          <w:r>
            <w:fldChar w:fldCharType="begin"/>
          </w:r>
          <w:r>
            <w:instrText xml:space="preserve"> CITATION Tri93 \l 2057 </w:instrText>
          </w:r>
          <w:r>
            <w:fldChar w:fldCharType="separate"/>
          </w:r>
          <w:r>
            <w:rPr>
              <w:noProof/>
            </w:rPr>
            <w:t xml:space="preserve"> </w:t>
          </w:r>
          <w:r w:rsidRPr="00C05501">
            <w:rPr>
              <w:noProof/>
            </w:rPr>
            <w:t>(Tripp, 1993)</w:t>
          </w:r>
          <w:r>
            <w:fldChar w:fldCharType="end"/>
          </w:r>
        </w:sdtContent>
      </w:sdt>
      <w:r>
        <w:t xml:space="preserve"> This report will look to link the observed critical incident to the new curriculum, in particular the four new purposes</w:t>
      </w:r>
      <w:r w:rsidR="00597DD3">
        <w:t xml:space="preserve">. The observed critical incident in this report leads onto a discussion about whether technology is </w:t>
      </w:r>
      <w:r w:rsidR="00FB482C">
        <w:t>beneficial</w:t>
      </w:r>
      <w:r w:rsidR="00597DD3">
        <w:t xml:space="preserve"> or a hinderance within the classroom?</w:t>
      </w:r>
      <w:r w:rsidR="00A46AA3">
        <w:t xml:space="preserve"> Does pupil voice help enhance the learning experience</w:t>
      </w:r>
      <w:r w:rsidR="00597DD3">
        <w:t>? Which then leads onto whether a college environment or a sixth-form environment is better for learning?</w:t>
      </w:r>
    </w:p>
    <w:p w14:paraId="3E9361D7" w14:textId="46BF351D" w:rsidR="00B66F47" w:rsidRDefault="00B66F47">
      <w:pPr>
        <w:rPr>
          <w:b/>
          <w:u w:val="single"/>
        </w:rPr>
      </w:pPr>
      <w:r>
        <w:rPr>
          <w:b/>
          <w:u w:val="single"/>
        </w:rPr>
        <w:t>School Observation</w:t>
      </w:r>
    </w:p>
    <w:p w14:paraId="3F05A3B9" w14:textId="481F470F" w:rsidR="00B66F47" w:rsidRPr="00B66F47" w:rsidRDefault="00C2166A">
      <w:r>
        <w:t>A</w:t>
      </w:r>
      <w:r w:rsidR="00B66F47">
        <w:t xml:space="preserve"> case study based on a</w:t>
      </w:r>
      <w:r w:rsidR="00AC6BD6">
        <w:t>n observed</w:t>
      </w:r>
      <w:r w:rsidR="00B66F47">
        <w:t xml:space="preserve"> critical incident</w:t>
      </w:r>
      <w:r>
        <w:t xml:space="preserve"> was based on </w:t>
      </w:r>
      <w:r w:rsidR="00B66F47">
        <w:t>observations</w:t>
      </w:r>
      <w:r>
        <w:t xml:space="preserve"> which</w:t>
      </w:r>
      <w:r w:rsidR="00B66F47">
        <w:t xml:space="preserve"> occurred within</w:t>
      </w:r>
      <w:r w:rsidR="00B81D6E">
        <w:t xml:space="preserve"> a college in S</w:t>
      </w:r>
      <w:r w:rsidR="00AC4B3B">
        <w:t>outh Wales</w:t>
      </w:r>
      <w:r w:rsidR="00B66F47">
        <w:t>.</w:t>
      </w:r>
      <w:r w:rsidR="0021064F">
        <w:t xml:space="preserve"> The college in this assignment will be referred to as College X.</w:t>
      </w:r>
      <w:r w:rsidR="00B66F47">
        <w:t xml:space="preserve"> </w:t>
      </w:r>
      <w:r w:rsidR="0021064F">
        <w:t>College X</w:t>
      </w:r>
      <w:r w:rsidR="00B66F47">
        <w:t xml:space="preserve"> is for pupils between the ages of 16-18 years old. </w:t>
      </w:r>
      <w:r w:rsidR="0021064F">
        <w:t>College X</w:t>
      </w:r>
      <w:r w:rsidR="00B66F47">
        <w:t xml:space="preserve"> offers 40 different A-Level Subjects as well as 40 vocational courses and allows students to study either full-time or even some part-time courses whilst being based across six locations across the cit</w:t>
      </w:r>
      <w:r w:rsidR="009678FF">
        <w:t>y</w:t>
      </w:r>
      <w:r w:rsidR="0021064F">
        <w:t xml:space="preserve"> (College X Website, 2019). </w:t>
      </w:r>
      <w:r w:rsidR="00B66F47">
        <w:t xml:space="preserve">The campus </w:t>
      </w:r>
      <w:r w:rsidR="009678FF">
        <w:t>where the observations occurred is</w:t>
      </w:r>
      <w:r w:rsidR="00B66F47">
        <w:t xml:space="preserve"> where A Level provision is provided</w:t>
      </w:r>
      <w:sdt>
        <w:sdtPr>
          <w:id w:val="-125854078"/>
          <w:citation/>
        </w:sdtPr>
        <w:sdtEndPr/>
        <w:sdtContent>
          <w:r w:rsidR="00B66F47">
            <w:fldChar w:fldCharType="begin"/>
          </w:r>
          <w:r w:rsidR="00B66F47">
            <w:instrText xml:space="preserve"> CITATION Est18 \l 2057 </w:instrText>
          </w:r>
          <w:r w:rsidR="00B66F47">
            <w:fldChar w:fldCharType="separate"/>
          </w:r>
          <w:r w:rsidR="00B66F47">
            <w:rPr>
              <w:noProof/>
            </w:rPr>
            <w:t xml:space="preserve"> </w:t>
          </w:r>
          <w:r w:rsidR="00B66F47" w:rsidRPr="00B66F47">
            <w:rPr>
              <w:noProof/>
            </w:rPr>
            <w:t>(Estyn, 2018)</w:t>
          </w:r>
          <w:r w:rsidR="00B66F47">
            <w:fldChar w:fldCharType="end"/>
          </w:r>
        </w:sdtContent>
      </w:sdt>
      <w:r w:rsidR="00B66F47">
        <w:t xml:space="preserve">. The nature of college life is identifiable through it being said that pupils have greater freedom than in school life and teachers being called ‘lecturers’ within the </w:t>
      </w:r>
      <w:r w:rsidR="0021064F">
        <w:t>college (College X Parent’s Zone, 2019)</w:t>
      </w:r>
      <w:r w:rsidR="00B66F47">
        <w:t>. Furthermore, according to an Estyn report from 2018 learners’ results were above the national comparator, with the college as a whole being ranked ‘Good’</w:t>
      </w:r>
      <w:sdt>
        <w:sdtPr>
          <w:id w:val="1853994776"/>
          <w:citation/>
        </w:sdtPr>
        <w:sdtEndPr/>
        <w:sdtContent>
          <w:r w:rsidR="00B66F47">
            <w:fldChar w:fldCharType="begin"/>
          </w:r>
          <w:r w:rsidR="00B66F47">
            <w:instrText xml:space="preserve"> CITATION Est18 \l 2057 </w:instrText>
          </w:r>
          <w:r w:rsidR="00B66F47">
            <w:fldChar w:fldCharType="separate"/>
          </w:r>
          <w:r w:rsidR="00B66F47">
            <w:rPr>
              <w:noProof/>
            </w:rPr>
            <w:t xml:space="preserve"> </w:t>
          </w:r>
          <w:r w:rsidR="00B66F47" w:rsidRPr="00B66F47">
            <w:rPr>
              <w:noProof/>
            </w:rPr>
            <w:t>(Estyn, 2018)</w:t>
          </w:r>
          <w:r w:rsidR="00B66F47">
            <w:fldChar w:fldCharType="end"/>
          </w:r>
        </w:sdtContent>
      </w:sdt>
      <w:r w:rsidR="00B66F47">
        <w:t xml:space="preserve">. However, the report suggests that not all pupil’s potential is </w:t>
      </w:r>
      <w:r w:rsidR="00D737AF">
        <w:t>achieved</w:t>
      </w:r>
      <w:r w:rsidR="00B66F47">
        <w:t xml:space="preserve"> with some pupils being left behind</w:t>
      </w:r>
      <w:sdt>
        <w:sdtPr>
          <w:id w:val="554588916"/>
          <w:citation/>
        </w:sdtPr>
        <w:sdtEndPr/>
        <w:sdtContent>
          <w:r w:rsidR="00B66F47">
            <w:fldChar w:fldCharType="begin"/>
          </w:r>
          <w:r w:rsidR="00B66F47">
            <w:instrText xml:space="preserve"> CITATION Est18 \l 2057 </w:instrText>
          </w:r>
          <w:r w:rsidR="00B66F47">
            <w:fldChar w:fldCharType="separate"/>
          </w:r>
          <w:r w:rsidR="00B66F47">
            <w:rPr>
              <w:noProof/>
            </w:rPr>
            <w:t xml:space="preserve"> </w:t>
          </w:r>
          <w:r w:rsidR="00B66F47" w:rsidRPr="00B66F47">
            <w:rPr>
              <w:noProof/>
            </w:rPr>
            <w:t>(Estyn, 2018)</w:t>
          </w:r>
          <w:r w:rsidR="00B66F47">
            <w:fldChar w:fldCharType="end"/>
          </w:r>
        </w:sdtContent>
      </w:sdt>
      <w:r w:rsidR="00B66F47">
        <w:t>. Furthermore, only a few learning areas encourage linguistic development for the Welsh language</w:t>
      </w:r>
      <w:sdt>
        <w:sdtPr>
          <w:id w:val="1377427004"/>
          <w:citation/>
        </w:sdtPr>
        <w:sdtEndPr/>
        <w:sdtContent>
          <w:r w:rsidR="00B66F47">
            <w:fldChar w:fldCharType="begin"/>
          </w:r>
          <w:r w:rsidR="00B66F47">
            <w:instrText xml:space="preserve"> CITATION Est18 \l 2057 </w:instrText>
          </w:r>
          <w:r w:rsidR="00B66F47">
            <w:fldChar w:fldCharType="separate"/>
          </w:r>
          <w:r w:rsidR="00B66F47">
            <w:rPr>
              <w:noProof/>
            </w:rPr>
            <w:t xml:space="preserve"> </w:t>
          </w:r>
          <w:r w:rsidR="00B66F47" w:rsidRPr="00B66F47">
            <w:rPr>
              <w:noProof/>
            </w:rPr>
            <w:t>(Estyn, 2018)</w:t>
          </w:r>
          <w:r w:rsidR="00B66F47">
            <w:fldChar w:fldCharType="end"/>
          </w:r>
        </w:sdtContent>
      </w:sdt>
      <w:r w:rsidR="00B66F47">
        <w:t>.</w:t>
      </w:r>
      <w:r w:rsidR="0021064F">
        <w:t xml:space="preserve"> The specific classes being observed were AS Level and A2 level classes with a range of twelve to twenty mixed-gendered pupils in each class.</w:t>
      </w:r>
    </w:p>
    <w:p w14:paraId="74089ABD" w14:textId="4477AF78" w:rsidR="00C42A51" w:rsidRDefault="00855069">
      <w:pPr>
        <w:rPr>
          <w:b/>
          <w:u w:val="single"/>
        </w:rPr>
      </w:pPr>
      <w:r>
        <w:rPr>
          <w:b/>
          <w:u w:val="single"/>
        </w:rPr>
        <w:t>Methodology</w:t>
      </w:r>
    </w:p>
    <w:p w14:paraId="0925386E" w14:textId="18AD0527" w:rsidR="00855069" w:rsidRDefault="00855069">
      <w:r>
        <w:t>To identify, understand and evaluate the next teaching and learning steps for the students, it was important to adopt an observational approach to the research. An observational approach sees a retrospective or prospective study where the investigator observes the natural course of events with or without control groups according to the National Institute for Health and Care Excellence</w:t>
      </w:r>
      <w:sdt>
        <w:sdtPr>
          <w:id w:val="-2126068359"/>
          <w:citation/>
        </w:sdtPr>
        <w:sdtEndPr/>
        <w:sdtContent>
          <w:r>
            <w:fldChar w:fldCharType="begin"/>
          </w:r>
          <w:r>
            <w:instrText xml:space="preserve"> CITATION Nat19 \l 2057 </w:instrText>
          </w:r>
          <w:r>
            <w:fldChar w:fldCharType="separate"/>
          </w:r>
          <w:r>
            <w:rPr>
              <w:noProof/>
            </w:rPr>
            <w:t xml:space="preserve"> </w:t>
          </w:r>
          <w:r w:rsidRPr="00855069">
            <w:rPr>
              <w:noProof/>
            </w:rPr>
            <w:t>(National Institute for Health and Care Excellence, 2019)</w:t>
          </w:r>
          <w:r>
            <w:fldChar w:fldCharType="end"/>
          </w:r>
        </w:sdtContent>
      </w:sdt>
      <w:r>
        <w:t>.</w:t>
      </w:r>
      <w:r w:rsidR="002C21DB">
        <w:t xml:space="preserve"> Observation studies tend to be involved with an ethnographic methodology</w:t>
      </w:r>
      <w:r w:rsidR="00926A83">
        <w:t xml:space="preserve"> to research</w:t>
      </w:r>
      <w:r w:rsidR="002C21DB">
        <w:t xml:space="preserve"> and aim to provide a detailed understanding of the environment and context the observations </w:t>
      </w:r>
      <w:r w:rsidR="002C21DB">
        <w:lastRenderedPageBreak/>
        <w:t>are taking place in</w:t>
      </w:r>
      <w:sdt>
        <w:sdtPr>
          <w:id w:val="-301848114"/>
          <w:citation/>
        </w:sdtPr>
        <w:sdtEndPr/>
        <w:sdtContent>
          <w:r w:rsidR="002C21DB">
            <w:fldChar w:fldCharType="begin"/>
          </w:r>
          <w:r w:rsidR="002C21DB">
            <w:instrText xml:space="preserve"> CITATION Bry15 \l 2057 </w:instrText>
          </w:r>
          <w:r w:rsidR="002C21DB">
            <w:fldChar w:fldCharType="separate"/>
          </w:r>
          <w:r w:rsidR="002C21DB">
            <w:rPr>
              <w:noProof/>
            </w:rPr>
            <w:t xml:space="preserve"> </w:t>
          </w:r>
          <w:r w:rsidR="002C21DB" w:rsidRPr="002C21DB">
            <w:rPr>
              <w:noProof/>
            </w:rPr>
            <w:t>(Bryant, 2015)</w:t>
          </w:r>
          <w:r w:rsidR="002C21DB">
            <w:fldChar w:fldCharType="end"/>
          </w:r>
        </w:sdtContent>
      </w:sdt>
      <w:r w:rsidR="002C21DB">
        <w:t>.</w:t>
      </w:r>
      <w:r w:rsidR="00926A83">
        <w:t xml:space="preserve"> Furthermore, </w:t>
      </w:r>
      <w:r w:rsidR="00C2166A">
        <w:t>observations are</w:t>
      </w:r>
      <w:r w:rsidR="00926A83">
        <w:t xml:space="preserve"> not confined to one topic area and is a flexible research approach</w:t>
      </w:r>
      <w:r w:rsidR="00D737AF">
        <w:t xml:space="preserve"> due to the two types of observational methods</w:t>
      </w:r>
      <w:sdt>
        <w:sdtPr>
          <w:id w:val="-1552306197"/>
          <w:citation/>
        </w:sdtPr>
        <w:sdtEndPr/>
        <w:sdtContent>
          <w:r w:rsidR="00926A83">
            <w:fldChar w:fldCharType="begin"/>
          </w:r>
          <w:r w:rsidR="00926A83">
            <w:instrText xml:space="preserve"> CITATION Bla16 \l 2057 </w:instrText>
          </w:r>
          <w:r w:rsidR="00926A83">
            <w:fldChar w:fldCharType="separate"/>
          </w:r>
          <w:r w:rsidR="00926A83">
            <w:rPr>
              <w:noProof/>
            </w:rPr>
            <w:t xml:space="preserve"> </w:t>
          </w:r>
          <w:r w:rsidR="00926A83" w:rsidRPr="00926A83">
            <w:rPr>
              <w:noProof/>
            </w:rPr>
            <w:t>(Blandford., et al., 2016)</w:t>
          </w:r>
          <w:r w:rsidR="00926A83">
            <w:fldChar w:fldCharType="end"/>
          </w:r>
        </w:sdtContent>
      </w:sdt>
      <w:r w:rsidR="00C2166A">
        <w:t>. Observations are also</w:t>
      </w:r>
      <w:r w:rsidR="000B1DD8">
        <w:t xml:space="preserve"> cheap and quicker</w:t>
      </w:r>
      <w:r w:rsidR="00C2166A">
        <w:t xml:space="preserve"> to do</w:t>
      </w:r>
      <w:r w:rsidR="000B1DD8">
        <w:t xml:space="preserve"> compared to an experimental research approach</w:t>
      </w:r>
      <w:sdt>
        <w:sdtPr>
          <w:id w:val="-1732296305"/>
          <w:citation/>
        </w:sdtPr>
        <w:sdtEndPr/>
        <w:sdtContent>
          <w:r w:rsidR="000B1DD8">
            <w:fldChar w:fldCharType="begin"/>
          </w:r>
          <w:r w:rsidR="000B1DD8">
            <w:instrText xml:space="preserve"> CITATION Man03 \l 2057 </w:instrText>
          </w:r>
          <w:r w:rsidR="000B1DD8">
            <w:fldChar w:fldCharType="separate"/>
          </w:r>
          <w:r w:rsidR="000B1DD8">
            <w:rPr>
              <w:noProof/>
            </w:rPr>
            <w:t xml:space="preserve"> </w:t>
          </w:r>
          <w:r w:rsidR="000B1DD8" w:rsidRPr="000B1DD8">
            <w:rPr>
              <w:noProof/>
            </w:rPr>
            <w:t>(Mann, 2003)</w:t>
          </w:r>
          <w:r w:rsidR="000B1DD8">
            <w:fldChar w:fldCharType="end"/>
          </w:r>
        </w:sdtContent>
      </w:sdt>
      <w:r w:rsidR="00926A83">
        <w:t>.</w:t>
      </w:r>
      <w:r w:rsidR="00D737AF">
        <w:t xml:space="preserve"> The study was a non-participant observation</w:t>
      </w:r>
      <w:r w:rsidR="00C2166A">
        <w:t>,</w:t>
      </w:r>
      <w:r w:rsidR="00D737AF">
        <w:t xml:space="preserve"> which is when a researcher observes a situation from the outside, looking </w:t>
      </w:r>
      <w:r w:rsidR="00C2166A">
        <w:t>onto</w:t>
      </w:r>
      <w:r w:rsidR="00D737AF">
        <w:t xml:space="preserve"> the</w:t>
      </w:r>
      <w:r w:rsidR="00C2166A">
        <w:t xml:space="preserve"> unfolding</w:t>
      </w:r>
      <w:r w:rsidR="00D737AF">
        <w:t xml:space="preserve"> situation</w:t>
      </w:r>
      <w:sdt>
        <w:sdtPr>
          <w:id w:val="1054733361"/>
          <w:citation/>
        </w:sdtPr>
        <w:sdtEndPr/>
        <w:sdtContent>
          <w:r w:rsidR="00D737AF">
            <w:fldChar w:fldCharType="begin"/>
          </w:r>
          <w:r w:rsidR="00D737AF">
            <w:instrText xml:space="preserve"> CITATION Dav07 \l 2057 </w:instrText>
          </w:r>
          <w:r w:rsidR="00D737AF">
            <w:fldChar w:fldCharType="separate"/>
          </w:r>
          <w:r w:rsidR="00D737AF">
            <w:rPr>
              <w:noProof/>
            </w:rPr>
            <w:t xml:space="preserve"> </w:t>
          </w:r>
          <w:r w:rsidR="00D737AF" w:rsidRPr="00D737AF">
            <w:rPr>
              <w:noProof/>
            </w:rPr>
            <w:t>(Davies, 2007)</w:t>
          </w:r>
          <w:r w:rsidR="00D737AF">
            <w:fldChar w:fldCharType="end"/>
          </w:r>
        </w:sdtContent>
      </w:sdt>
      <w:r w:rsidR="00D737AF">
        <w:t>.</w:t>
      </w:r>
      <w:r w:rsidR="00926A83">
        <w:t xml:space="preserve"> </w:t>
      </w:r>
      <w:r w:rsidR="00D737AF">
        <w:t>The</w:t>
      </w:r>
      <w:r w:rsidR="00926A83">
        <w:t xml:space="preserve"> advantages of</w:t>
      </w:r>
      <w:r w:rsidR="00D737AF">
        <w:t xml:space="preserve"> using non-participant</w:t>
      </w:r>
      <w:r w:rsidR="00926A83">
        <w:t xml:space="preserve"> observational studies include being more focused and being less obtrusive, leading to lower levels of bias when compared to using a participant observation research method</w:t>
      </w:r>
      <w:sdt>
        <w:sdtPr>
          <w:id w:val="337500602"/>
          <w:citation/>
        </w:sdtPr>
        <w:sdtEndPr/>
        <w:sdtContent>
          <w:r w:rsidR="00926A83">
            <w:fldChar w:fldCharType="begin"/>
          </w:r>
          <w:r w:rsidR="00926A83">
            <w:instrText xml:space="preserve"> CITATION Soc19 \l 2057 </w:instrText>
          </w:r>
          <w:r w:rsidR="00926A83">
            <w:fldChar w:fldCharType="separate"/>
          </w:r>
          <w:r w:rsidR="00926A83">
            <w:rPr>
              <w:noProof/>
            </w:rPr>
            <w:t xml:space="preserve"> </w:t>
          </w:r>
          <w:r w:rsidR="00926A83" w:rsidRPr="00926A83">
            <w:rPr>
              <w:noProof/>
            </w:rPr>
            <w:t>(Social Research Methods, 2019)</w:t>
          </w:r>
          <w:r w:rsidR="00926A83">
            <w:fldChar w:fldCharType="end"/>
          </w:r>
        </w:sdtContent>
      </w:sdt>
      <w:r w:rsidR="00926A83">
        <w:t xml:space="preserve">. However, disadvantages of using </w:t>
      </w:r>
      <w:r w:rsidR="00F057CB">
        <w:t xml:space="preserve">the </w:t>
      </w:r>
      <w:r w:rsidR="00926A83">
        <w:t>approach include</w:t>
      </w:r>
      <w:r w:rsidR="00F057CB">
        <w:t>,</w:t>
      </w:r>
      <w:r w:rsidR="00926A83">
        <w:t xml:space="preserve"> not </w:t>
      </w:r>
      <w:r w:rsidR="000B1DD8">
        <w:t xml:space="preserve">having full </w:t>
      </w:r>
      <w:r w:rsidR="00926A83">
        <w:t>understanding</w:t>
      </w:r>
      <w:r w:rsidR="000B1DD8">
        <w:t xml:space="preserve"> </w:t>
      </w:r>
      <w:r w:rsidR="00926A83">
        <w:t>without complimentary interviews to put meaning to the observations</w:t>
      </w:r>
      <w:r w:rsidR="001976FC">
        <w:t xml:space="preserve"> made</w:t>
      </w:r>
      <w:r w:rsidR="00926A83">
        <w:t xml:space="preserve"> and the ‘Hawthorne Effect’ where participants behaviour alter</w:t>
      </w:r>
      <w:r w:rsidR="001976FC">
        <w:t xml:space="preserve">s </w:t>
      </w:r>
      <w:r w:rsidR="00926A83">
        <w:t>or change</w:t>
      </w:r>
      <w:r w:rsidR="001976FC">
        <w:t xml:space="preserve">s </w:t>
      </w:r>
      <w:r w:rsidR="00926A83">
        <w:t>due to the presence of someone observing their usual environment</w:t>
      </w:r>
      <w:sdt>
        <w:sdtPr>
          <w:id w:val="-1067487258"/>
          <w:citation/>
        </w:sdtPr>
        <w:sdtEndPr/>
        <w:sdtContent>
          <w:r w:rsidR="00926A83">
            <w:fldChar w:fldCharType="begin"/>
          </w:r>
          <w:r w:rsidR="00926A83">
            <w:instrText xml:space="preserve"> CITATION Bla16 \l 2057 </w:instrText>
          </w:r>
          <w:r w:rsidR="00926A83">
            <w:fldChar w:fldCharType="separate"/>
          </w:r>
          <w:r w:rsidR="00926A83">
            <w:rPr>
              <w:noProof/>
            </w:rPr>
            <w:t xml:space="preserve"> </w:t>
          </w:r>
          <w:r w:rsidR="00926A83" w:rsidRPr="00926A83">
            <w:rPr>
              <w:noProof/>
            </w:rPr>
            <w:t>(Blandford., et al., 2016)</w:t>
          </w:r>
          <w:r w:rsidR="00926A83">
            <w:fldChar w:fldCharType="end"/>
          </w:r>
        </w:sdtContent>
      </w:sdt>
      <w:r w:rsidR="001976FC">
        <w:t xml:space="preserve">. Furthermore, if observations are not followed up or </w:t>
      </w:r>
      <w:r w:rsidR="00F057CB">
        <w:t>not</w:t>
      </w:r>
      <w:r w:rsidR="001976FC">
        <w:t xml:space="preserve"> taken regularly</w:t>
      </w:r>
      <w:r w:rsidR="00F057CB">
        <w:t>,</w:t>
      </w:r>
      <w:r w:rsidR="001976FC">
        <w:t xml:space="preserve"> this results in the observations being a cross-sectional piece of research which is not as accurate</w:t>
      </w:r>
      <w:r w:rsidR="00F057CB">
        <w:t>.</w:t>
      </w:r>
      <w:r w:rsidR="001976FC">
        <w:t xml:space="preserve"> </w:t>
      </w:r>
      <w:r w:rsidR="00F057CB">
        <w:t>This is because</w:t>
      </w:r>
      <w:r w:rsidR="001976FC">
        <w:t xml:space="preserve"> observ</w:t>
      </w:r>
      <w:r w:rsidR="00F057CB">
        <w:t>ations of</w:t>
      </w:r>
      <w:r w:rsidR="001976FC">
        <w:t xml:space="preserve"> the target population</w:t>
      </w:r>
      <w:r w:rsidR="00F057CB">
        <w:t xml:space="preserve"> are</w:t>
      </w:r>
      <w:r w:rsidR="001976FC">
        <w:t xml:space="preserve"> at one point in time and this lack of detail results in a difficulty to distinguish between cause and effect between variables which have association</w:t>
      </w:r>
      <w:sdt>
        <w:sdtPr>
          <w:id w:val="-1185055252"/>
          <w:citation/>
        </w:sdtPr>
        <w:sdtEndPr/>
        <w:sdtContent>
          <w:r w:rsidR="001976FC">
            <w:fldChar w:fldCharType="begin"/>
          </w:r>
          <w:r w:rsidR="001976FC">
            <w:instrText xml:space="preserve"> CITATION Man03 \l 2057 </w:instrText>
          </w:r>
          <w:r w:rsidR="001976FC">
            <w:fldChar w:fldCharType="separate"/>
          </w:r>
          <w:r w:rsidR="001976FC">
            <w:rPr>
              <w:noProof/>
            </w:rPr>
            <w:t xml:space="preserve"> </w:t>
          </w:r>
          <w:r w:rsidR="001976FC" w:rsidRPr="001976FC">
            <w:rPr>
              <w:noProof/>
            </w:rPr>
            <w:t>(Mann, 2003)</w:t>
          </w:r>
          <w:r w:rsidR="001976FC">
            <w:fldChar w:fldCharType="end"/>
          </w:r>
        </w:sdtContent>
      </w:sdt>
      <w:r w:rsidR="001976FC">
        <w:t>.</w:t>
      </w:r>
    </w:p>
    <w:p w14:paraId="189B7F34" w14:textId="206BA26B" w:rsidR="000B1DD8" w:rsidRDefault="000B1DD8"/>
    <w:p w14:paraId="5C42A302" w14:textId="123B0960" w:rsidR="000B1DD8" w:rsidRDefault="000B1DD8">
      <w:r>
        <w:t>An observational approach to research is the best approach to undertake the studying of what is known as a ‘critical incident’. A critical incident is produced by how the observer views and interprets what they deem a significant situation within the classroom</w:t>
      </w:r>
      <w:r w:rsidR="004E5092">
        <w:t xml:space="preserve"> based on their observations</w:t>
      </w:r>
      <w:sdt>
        <w:sdtPr>
          <w:id w:val="1477026279"/>
          <w:citation/>
        </w:sdtPr>
        <w:sdtEndPr/>
        <w:sdtContent>
          <w:r>
            <w:fldChar w:fldCharType="begin"/>
          </w:r>
          <w:r>
            <w:instrText xml:space="preserve"> CITATION Tri93 \l 2057 </w:instrText>
          </w:r>
          <w:r>
            <w:fldChar w:fldCharType="separate"/>
          </w:r>
          <w:r>
            <w:rPr>
              <w:noProof/>
            </w:rPr>
            <w:t xml:space="preserve"> </w:t>
          </w:r>
          <w:r w:rsidRPr="000B1DD8">
            <w:rPr>
              <w:noProof/>
            </w:rPr>
            <w:t>(Tripp, 1993)</w:t>
          </w:r>
          <w:r>
            <w:fldChar w:fldCharType="end"/>
          </w:r>
        </w:sdtContent>
      </w:sdt>
      <w:r>
        <w:t>.</w:t>
      </w:r>
      <w:r w:rsidR="004E5092">
        <w:t xml:space="preserve"> These situations can be formulated previously as a hypothesis or could be unexpected within the classroom environment</w:t>
      </w:r>
      <w:sdt>
        <w:sdtPr>
          <w:id w:val="-953471144"/>
          <w:citation/>
        </w:sdtPr>
        <w:sdtEndPr/>
        <w:sdtContent>
          <w:r w:rsidR="004E5092">
            <w:fldChar w:fldCharType="begin"/>
          </w:r>
          <w:r w:rsidR="004E5092">
            <w:instrText xml:space="preserve"> CITATION Tri93 \l 2057 </w:instrText>
          </w:r>
          <w:r w:rsidR="004E5092">
            <w:fldChar w:fldCharType="separate"/>
          </w:r>
          <w:r w:rsidR="004E5092">
            <w:rPr>
              <w:noProof/>
            </w:rPr>
            <w:t xml:space="preserve"> </w:t>
          </w:r>
          <w:r w:rsidR="004E5092" w:rsidRPr="004E5092">
            <w:rPr>
              <w:noProof/>
            </w:rPr>
            <w:t>(Tripp, 1993)</w:t>
          </w:r>
          <w:r w:rsidR="004E5092">
            <w:fldChar w:fldCharType="end"/>
          </w:r>
        </w:sdtContent>
      </w:sdt>
      <w:r w:rsidR="004E5092">
        <w:t>. Critical incident analysis can help improve a teacher’s professional judgement which includes improved reflection, interpretation and wisdom</w:t>
      </w:r>
      <w:sdt>
        <w:sdtPr>
          <w:id w:val="1533460420"/>
          <w:citation/>
        </w:sdtPr>
        <w:sdtEndPr/>
        <w:sdtContent>
          <w:r w:rsidR="004E5092">
            <w:fldChar w:fldCharType="begin"/>
          </w:r>
          <w:r w:rsidR="004E5092">
            <w:instrText xml:space="preserve"> CITATION Tri93 \l 2057 </w:instrText>
          </w:r>
          <w:r w:rsidR="004E5092">
            <w:fldChar w:fldCharType="separate"/>
          </w:r>
          <w:r w:rsidR="004E5092">
            <w:rPr>
              <w:noProof/>
            </w:rPr>
            <w:t xml:space="preserve"> </w:t>
          </w:r>
          <w:r w:rsidR="004E5092" w:rsidRPr="004E5092">
            <w:rPr>
              <w:noProof/>
            </w:rPr>
            <w:t>(Tripp, 1993)</w:t>
          </w:r>
          <w:r w:rsidR="004E5092">
            <w:fldChar w:fldCharType="end"/>
          </w:r>
        </w:sdtContent>
      </w:sdt>
      <w:r w:rsidR="004E5092">
        <w:t>. Furthermore, it provides context-rich, first-hand perspectives on human activities and their significance</w:t>
      </w:r>
      <w:sdt>
        <w:sdtPr>
          <w:id w:val="1208377601"/>
          <w:citation/>
        </w:sdtPr>
        <w:sdtEndPr/>
        <w:sdtContent>
          <w:r w:rsidR="004E5092">
            <w:fldChar w:fldCharType="begin"/>
          </w:r>
          <w:r w:rsidR="004E5092">
            <w:instrText xml:space="preserve"> CITATION Hug07 \l 2057 </w:instrText>
          </w:r>
          <w:r w:rsidR="004E5092">
            <w:fldChar w:fldCharType="separate"/>
          </w:r>
          <w:r w:rsidR="004E5092">
            <w:rPr>
              <w:noProof/>
            </w:rPr>
            <w:t xml:space="preserve"> </w:t>
          </w:r>
          <w:r w:rsidR="004E5092" w:rsidRPr="004E5092">
            <w:rPr>
              <w:noProof/>
            </w:rPr>
            <w:t>(Hughes, 2007)</w:t>
          </w:r>
          <w:r w:rsidR="004E5092">
            <w:fldChar w:fldCharType="end"/>
          </w:r>
        </w:sdtContent>
      </w:sdt>
      <w:r w:rsidR="004E5092">
        <w:t>. However, it does lack strong theoretical underpinning when compared to other research methods whilst also lacking generalisability due to it being a cross-sectional research method</w:t>
      </w:r>
      <w:r w:rsidR="00FD7100">
        <w:t xml:space="preserve"> where a classroom environment is studied in one place at one time</w:t>
      </w:r>
      <w:sdt>
        <w:sdtPr>
          <w:id w:val="-120309221"/>
          <w:citation/>
        </w:sdtPr>
        <w:sdtEndPr/>
        <w:sdtContent>
          <w:r w:rsidR="004E5092">
            <w:fldChar w:fldCharType="begin"/>
          </w:r>
          <w:r w:rsidR="004E5092">
            <w:instrText xml:space="preserve"> CITATION Hug07 \l 2057 </w:instrText>
          </w:r>
          <w:r w:rsidR="004E5092">
            <w:fldChar w:fldCharType="separate"/>
          </w:r>
          <w:r w:rsidR="004E5092">
            <w:rPr>
              <w:noProof/>
            </w:rPr>
            <w:t xml:space="preserve"> </w:t>
          </w:r>
          <w:r w:rsidR="004E5092" w:rsidRPr="004E5092">
            <w:rPr>
              <w:noProof/>
            </w:rPr>
            <w:t>(Hughes, 2007)</w:t>
          </w:r>
          <w:r w:rsidR="004E5092">
            <w:fldChar w:fldCharType="end"/>
          </w:r>
        </w:sdtContent>
      </w:sdt>
      <w:r w:rsidR="004E5092">
        <w:t>.</w:t>
      </w:r>
      <w:r w:rsidR="00FD7100">
        <w:t xml:space="preserve"> </w:t>
      </w:r>
    </w:p>
    <w:p w14:paraId="7DE35F2B" w14:textId="16C6F6C6" w:rsidR="00FD7100" w:rsidRDefault="00FD7100"/>
    <w:p w14:paraId="69F5D109" w14:textId="011C70C6" w:rsidR="00FD7100" w:rsidRDefault="00FD7100">
      <w:r>
        <w:t>The analysis of a critical incident helps create a case-study which is a common research method when interpreting qualitative data</w:t>
      </w:r>
      <w:sdt>
        <w:sdtPr>
          <w:id w:val="107244414"/>
          <w:citation/>
        </w:sdtPr>
        <w:sdtEndPr/>
        <w:sdtContent>
          <w:r>
            <w:fldChar w:fldCharType="begin"/>
          </w:r>
          <w:r>
            <w:instrText xml:space="preserve"> CITATION Mon19 \l 2057 </w:instrText>
          </w:r>
          <w:r>
            <w:fldChar w:fldCharType="separate"/>
          </w:r>
          <w:r>
            <w:rPr>
              <w:noProof/>
            </w:rPr>
            <w:t xml:space="preserve"> </w:t>
          </w:r>
          <w:r w:rsidRPr="00FD7100">
            <w:rPr>
              <w:noProof/>
            </w:rPr>
            <w:t>(Montes-Rodriguez, 2019)</w:t>
          </w:r>
          <w:r>
            <w:fldChar w:fldCharType="end"/>
          </w:r>
        </w:sdtContent>
      </w:sdt>
      <w:r>
        <w:t>. A case study can be defined as an intensive study about a person, group of people or population which aims to generalise to a wider population</w:t>
      </w:r>
      <w:sdt>
        <w:sdtPr>
          <w:id w:val="167220204"/>
          <w:citation/>
        </w:sdtPr>
        <w:sdtEndPr/>
        <w:sdtContent>
          <w:r>
            <w:fldChar w:fldCharType="begin"/>
          </w:r>
          <w:r>
            <w:instrText xml:space="preserve"> CITATION Hea18 \l 2057 </w:instrText>
          </w:r>
          <w:r>
            <w:fldChar w:fldCharType="separate"/>
          </w:r>
          <w:r>
            <w:rPr>
              <w:noProof/>
            </w:rPr>
            <w:t xml:space="preserve"> </w:t>
          </w:r>
          <w:r w:rsidRPr="00FD7100">
            <w:rPr>
              <w:noProof/>
            </w:rPr>
            <w:t>(Heale &amp; Twycross, 2018)</w:t>
          </w:r>
          <w:r>
            <w:fldChar w:fldCharType="end"/>
          </w:r>
        </w:sdtContent>
      </w:sdt>
      <w:r>
        <w:t>.</w:t>
      </w:r>
      <w:r w:rsidR="003C264E">
        <w:t xml:space="preserve"> There is no single way to create a case study and can use multiple methods, demonstrating flexibility to the approach</w:t>
      </w:r>
      <w:sdt>
        <w:sdtPr>
          <w:id w:val="1746453461"/>
          <w:citation/>
        </w:sdtPr>
        <w:sdtEndPr/>
        <w:sdtContent>
          <w:r w:rsidR="003C264E">
            <w:fldChar w:fldCharType="begin"/>
          </w:r>
          <w:r w:rsidR="003C264E">
            <w:instrText xml:space="preserve"> CITATION Soc19 \l 2057 </w:instrText>
          </w:r>
          <w:r w:rsidR="003C264E">
            <w:fldChar w:fldCharType="separate"/>
          </w:r>
          <w:r w:rsidR="003C264E">
            <w:rPr>
              <w:noProof/>
            </w:rPr>
            <w:t xml:space="preserve"> </w:t>
          </w:r>
          <w:r w:rsidR="003C264E" w:rsidRPr="003C264E">
            <w:rPr>
              <w:noProof/>
            </w:rPr>
            <w:t>(Social Research Methods, 2019)</w:t>
          </w:r>
          <w:r w:rsidR="003C264E">
            <w:fldChar w:fldCharType="end"/>
          </w:r>
        </w:sdtContent>
      </w:sdt>
      <w:r w:rsidR="003C264E">
        <w:t>. Moreover, it can provide rich qualitative information</w:t>
      </w:r>
      <w:sdt>
        <w:sdtPr>
          <w:id w:val="-519399068"/>
          <w:citation/>
        </w:sdtPr>
        <w:sdtEndPr/>
        <w:sdtContent>
          <w:r w:rsidR="003C264E">
            <w:fldChar w:fldCharType="begin"/>
          </w:r>
          <w:r w:rsidR="003C264E">
            <w:instrText xml:space="preserve"> CITATION Hea18 \l 2057 </w:instrText>
          </w:r>
          <w:r w:rsidR="003C264E">
            <w:fldChar w:fldCharType="separate"/>
          </w:r>
          <w:r w:rsidR="003C264E">
            <w:rPr>
              <w:noProof/>
            </w:rPr>
            <w:t xml:space="preserve"> </w:t>
          </w:r>
          <w:r w:rsidR="003C264E" w:rsidRPr="003C264E">
            <w:rPr>
              <w:noProof/>
            </w:rPr>
            <w:t>(Heale &amp; Twycross, 2018)</w:t>
          </w:r>
          <w:r w:rsidR="003C264E">
            <w:fldChar w:fldCharType="end"/>
          </w:r>
        </w:sdtContent>
      </w:sdt>
      <w:r w:rsidR="003C264E">
        <w:t xml:space="preserve"> as well as access to investigations which would otherwise be impractical</w:t>
      </w:r>
      <w:sdt>
        <w:sdtPr>
          <w:id w:val="683246255"/>
          <w:citation/>
        </w:sdtPr>
        <w:sdtEndPr/>
        <w:sdtContent>
          <w:r w:rsidR="003C264E">
            <w:fldChar w:fldCharType="begin"/>
          </w:r>
          <w:r w:rsidR="003C264E">
            <w:instrText xml:space="preserve"> CITATION McL19 \l 2057 </w:instrText>
          </w:r>
          <w:r w:rsidR="003C264E">
            <w:fldChar w:fldCharType="separate"/>
          </w:r>
          <w:r w:rsidR="003C264E">
            <w:rPr>
              <w:noProof/>
            </w:rPr>
            <w:t xml:space="preserve"> </w:t>
          </w:r>
          <w:r w:rsidR="003C264E" w:rsidRPr="003C264E">
            <w:rPr>
              <w:noProof/>
            </w:rPr>
            <w:t>(McLeod, 2019)</w:t>
          </w:r>
          <w:r w:rsidR="003C264E">
            <w:fldChar w:fldCharType="end"/>
          </w:r>
        </w:sdtContent>
      </w:sdt>
      <w:r w:rsidR="003C264E">
        <w:t>. However, despite the aim of a case study is try and generalise it is difficult to generalise to a wider population</w:t>
      </w:r>
      <w:r w:rsidR="00D737AF">
        <w:t>.</w:t>
      </w:r>
      <w:r w:rsidR="003C264E">
        <w:t xml:space="preserve"> </w:t>
      </w:r>
      <w:r w:rsidR="00D737AF">
        <w:t>F</w:t>
      </w:r>
      <w:r w:rsidR="003C264E">
        <w:t>urthermore</w:t>
      </w:r>
      <w:r w:rsidR="00D737AF">
        <w:t>,</w:t>
      </w:r>
      <w:r w:rsidR="003C264E">
        <w:t xml:space="preserve"> like critical incident analysis it is cross-sectional</w:t>
      </w:r>
      <w:sdt>
        <w:sdtPr>
          <w:id w:val="2000605199"/>
          <w:citation/>
        </w:sdtPr>
        <w:sdtEndPr/>
        <w:sdtContent>
          <w:r w:rsidR="003C264E">
            <w:fldChar w:fldCharType="begin"/>
          </w:r>
          <w:r w:rsidR="003C264E">
            <w:instrText xml:space="preserve"> CITATION McL19 \l 2057 </w:instrText>
          </w:r>
          <w:r w:rsidR="003C264E">
            <w:fldChar w:fldCharType="separate"/>
          </w:r>
          <w:r w:rsidR="003C264E">
            <w:rPr>
              <w:noProof/>
            </w:rPr>
            <w:t xml:space="preserve"> </w:t>
          </w:r>
          <w:r w:rsidR="003C264E" w:rsidRPr="003C264E">
            <w:rPr>
              <w:noProof/>
            </w:rPr>
            <w:t>(McLeod, 2019)</w:t>
          </w:r>
          <w:r w:rsidR="003C264E">
            <w:fldChar w:fldCharType="end"/>
          </w:r>
        </w:sdtContent>
      </w:sdt>
      <w:r w:rsidR="003C264E">
        <w:t>. Additionally, they are not reliable, are time-consuming and can be heavily impacted by researcher bias</w:t>
      </w:r>
      <w:sdt>
        <w:sdtPr>
          <w:id w:val="805426697"/>
          <w:citation/>
        </w:sdtPr>
        <w:sdtEndPr/>
        <w:sdtContent>
          <w:r w:rsidR="003C264E">
            <w:fldChar w:fldCharType="begin"/>
          </w:r>
          <w:r w:rsidR="003C264E">
            <w:instrText xml:space="preserve"> CITATION McL19 \l 2057 </w:instrText>
          </w:r>
          <w:r w:rsidR="003C264E">
            <w:fldChar w:fldCharType="separate"/>
          </w:r>
          <w:r w:rsidR="003C264E">
            <w:rPr>
              <w:noProof/>
            </w:rPr>
            <w:t xml:space="preserve"> </w:t>
          </w:r>
          <w:r w:rsidR="003C264E" w:rsidRPr="003C264E">
            <w:rPr>
              <w:noProof/>
            </w:rPr>
            <w:t>(McLeod, 2019)</w:t>
          </w:r>
          <w:r w:rsidR="003C264E">
            <w:fldChar w:fldCharType="end"/>
          </w:r>
        </w:sdtContent>
      </w:sdt>
      <w:r w:rsidR="003C264E">
        <w:t>.</w:t>
      </w:r>
      <w:r w:rsidR="003E14B4">
        <w:t xml:space="preserve"> The case study in this study</w:t>
      </w:r>
      <w:r w:rsidR="00D737AF">
        <w:t xml:space="preserve"> </w:t>
      </w:r>
      <w:r w:rsidR="003E14B4">
        <w:t>c</w:t>
      </w:r>
      <w:r w:rsidR="00D737AF">
        <w:t xml:space="preserve">annot be triangulated, </w:t>
      </w:r>
      <w:r w:rsidR="003E14B4">
        <w:t>unlike in</w:t>
      </w:r>
      <w:r w:rsidR="00D737AF">
        <w:t xml:space="preserve"> a normal case study, as only one research method </w:t>
      </w:r>
      <w:r w:rsidR="009E1BCD">
        <w:t>was</w:t>
      </w:r>
      <w:r w:rsidR="00D737AF">
        <w:t xml:space="preserve"> used.</w:t>
      </w:r>
    </w:p>
    <w:p w14:paraId="345FF5BF" w14:textId="591E39E6" w:rsidR="000B1DD8" w:rsidRDefault="000B1DD8"/>
    <w:p w14:paraId="77A01EF8" w14:textId="16C5B5DF" w:rsidR="00FD7100" w:rsidRDefault="00A228FF">
      <w:pPr>
        <w:rPr>
          <w:b/>
          <w:u w:val="single"/>
        </w:rPr>
      </w:pPr>
      <w:r>
        <w:rPr>
          <w:b/>
          <w:u w:val="single"/>
        </w:rPr>
        <w:t>Critical Incident Linked to Donaldson’s four purposes.</w:t>
      </w:r>
    </w:p>
    <w:p w14:paraId="415A6C4E" w14:textId="77777777" w:rsidR="00610C7E" w:rsidRDefault="00A228FF">
      <w:r>
        <w:t xml:space="preserve">The incident chosen involved </w:t>
      </w:r>
      <w:r w:rsidR="00610C7E">
        <w:t>a</w:t>
      </w:r>
      <w:r>
        <w:t xml:space="preserve"> teacher in a A2 class</w:t>
      </w:r>
      <w:r w:rsidR="00610C7E">
        <w:t>.</w:t>
      </w:r>
      <w:r>
        <w:t xml:space="preserve"> </w:t>
      </w:r>
      <w:r w:rsidR="00610C7E">
        <w:t xml:space="preserve"> A</w:t>
      </w:r>
      <w:r>
        <w:t xml:space="preserve"> question was asked by a pupil which the teacher could not answer as th</w:t>
      </w:r>
      <w:r w:rsidR="00610C7E">
        <w:t>ey</w:t>
      </w:r>
      <w:r>
        <w:t xml:space="preserve"> </w:t>
      </w:r>
      <w:r w:rsidR="00610C7E">
        <w:t>did not have the knowledge</w:t>
      </w:r>
      <w:r>
        <w:t>. It is important to note</w:t>
      </w:r>
      <w:r w:rsidR="00610C7E">
        <w:t>,</w:t>
      </w:r>
      <w:r>
        <w:t xml:space="preserve"> </w:t>
      </w:r>
      <w:r>
        <w:lastRenderedPageBreak/>
        <w:t xml:space="preserve">that the college has a culture where pupils have their phones out on the desk even if they are not </w:t>
      </w:r>
      <w:r w:rsidR="00610C7E">
        <w:t>using</w:t>
      </w:r>
      <w:r>
        <w:t xml:space="preserve"> them.</w:t>
      </w:r>
      <w:r w:rsidR="00610C7E">
        <w:t xml:space="preserve"> This itself creates challenges where phones and the distractions they create are right in front of the pupils.</w:t>
      </w:r>
      <w:r>
        <w:t xml:space="preserve"> In order to help answer the knowledge gap</w:t>
      </w:r>
      <w:r w:rsidR="00610C7E">
        <w:t>,</w:t>
      </w:r>
      <w:r>
        <w:t xml:space="preserve"> the teacher allowed a pupil at the front of the class, near to where she was standing in the classroom, to go on </w:t>
      </w:r>
      <w:r w:rsidR="00610C7E">
        <w:t xml:space="preserve">their </w:t>
      </w:r>
      <w:r>
        <w:t xml:space="preserve">phone and use the internet to find out the answer. </w:t>
      </w:r>
      <w:r w:rsidR="002E649D">
        <w:t>The pupil achieved this and informed the rest of their peers of the answer. This demonstrated the pupil using</w:t>
      </w:r>
      <w:r w:rsidR="00610C7E">
        <w:t xml:space="preserve"> a</w:t>
      </w:r>
      <w:r w:rsidR="002E649D">
        <w:t xml:space="preserve"> peer teaching</w:t>
      </w:r>
      <w:r w:rsidR="00610C7E">
        <w:t xml:space="preserve"> method</w:t>
      </w:r>
      <w:r w:rsidR="002E649D">
        <w:t xml:space="preserve"> within the classroom.</w:t>
      </w:r>
      <w:r w:rsidR="00210E7A">
        <w:t xml:space="preserve"> This relates to one of the four principles of the new Welsh curriculum where the education system helps to create ambitious capable learners</w:t>
      </w:r>
      <w:sdt>
        <w:sdtPr>
          <w:id w:val="476113687"/>
          <w:citation/>
        </w:sdtPr>
        <w:sdtEndPr/>
        <w:sdtContent>
          <w:r w:rsidR="00210E7A">
            <w:fldChar w:fldCharType="begin"/>
          </w:r>
          <w:r w:rsidR="00210E7A">
            <w:instrText xml:space="preserve"> CITATION Don15 \l 2057 </w:instrText>
          </w:r>
          <w:r w:rsidR="00210E7A">
            <w:fldChar w:fldCharType="separate"/>
          </w:r>
          <w:r w:rsidR="00210E7A">
            <w:rPr>
              <w:noProof/>
            </w:rPr>
            <w:t xml:space="preserve"> </w:t>
          </w:r>
          <w:r w:rsidR="00210E7A" w:rsidRPr="00210E7A">
            <w:rPr>
              <w:noProof/>
            </w:rPr>
            <w:t>(Donaldson, 2015)</w:t>
          </w:r>
          <w:r w:rsidR="00210E7A">
            <w:fldChar w:fldCharType="end"/>
          </w:r>
        </w:sdtContent>
      </w:sdt>
      <w:r w:rsidR="00210E7A">
        <w:t>.</w:t>
      </w:r>
      <w:r w:rsidR="00635EF7">
        <w:t xml:space="preserve"> This is due to the learner</w:t>
      </w:r>
      <w:r w:rsidR="00610C7E">
        <w:t xml:space="preserve"> matching criteria such as</w:t>
      </w:r>
      <w:r w:rsidR="00635EF7">
        <w:t xml:space="preserve"> demonstrating the desire to overcome the challenge of learning from searching online, </w:t>
      </w:r>
      <w:r w:rsidR="00610C7E">
        <w:t>having</w:t>
      </w:r>
      <w:r w:rsidR="00635EF7">
        <w:t xml:space="preserve"> the capability to problem-solve, being able to explain the concept and information learnt</w:t>
      </w:r>
      <w:r w:rsidR="00610C7E">
        <w:t xml:space="preserve"> </w:t>
      </w:r>
      <w:r w:rsidR="00635EF7">
        <w:t xml:space="preserve">to their peers and using technology to able their learning through analysing the information online, deciding the credible sources and teaching </w:t>
      </w:r>
      <w:r w:rsidR="00610C7E">
        <w:t>the information to</w:t>
      </w:r>
      <w:r w:rsidR="00635EF7">
        <w:t xml:space="preserve"> their peers </w:t>
      </w:r>
      <w:sdt>
        <w:sdtPr>
          <w:id w:val="-1821188260"/>
          <w:citation/>
        </w:sdtPr>
        <w:sdtEndPr/>
        <w:sdtContent>
          <w:r w:rsidR="00635EF7">
            <w:fldChar w:fldCharType="begin"/>
          </w:r>
          <w:r w:rsidR="00635EF7">
            <w:instrText xml:space="preserve"> CITATION Wel15 \l 2057 </w:instrText>
          </w:r>
          <w:r w:rsidR="00635EF7">
            <w:fldChar w:fldCharType="separate"/>
          </w:r>
          <w:r w:rsidR="00635EF7" w:rsidRPr="00635EF7">
            <w:rPr>
              <w:noProof/>
            </w:rPr>
            <w:t>(Welsh Government, 2015)</w:t>
          </w:r>
          <w:r w:rsidR="00635EF7">
            <w:fldChar w:fldCharType="end"/>
          </w:r>
        </w:sdtContent>
      </w:sdt>
      <w:r w:rsidR="00635EF7">
        <w:t>.</w:t>
      </w:r>
    </w:p>
    <w:p w14:paraId="3D45BD3E" w14:textId="77777777" w:rsidR="00610C7E" w:rsidRDefault="00610C7E"/>
    <w:p w14:paraId="39DEE99A" w14:textId="22CB77BF" w:rsidR="00A228FF" w:rsidRPr="00A228FF" w:rsidRDefault="002E649D">
      <w:r>
        <w:t>However, once the peer teaching was complete</w:t>
      </w:r>
      <w:r w:rsidR="00610C7E">
        <w:t>,</w:t>
      </w:r>
      <w:r>
        <w:t xml:space="preserve"> the pupil </w:t>
      </w:r>
      <w:r w:rsidR="00610C7E">
        <w:t>continued on</w:t>
      </w:r>
      <w:r>
        <w:t xml:space="preserve"> their phone whilst smiling</w:t>
      </w:r>
      <w:r w:rsidR="00610C7E">
        <w:t xml:space="preserve">. This occurred </w:t>
      </w:r>
      <w:r>
        <w:t>as</w:t>
      </w:r>
      <w:r w:rsidR="00610C7E">
        <w:t xml:space="preserve"> </w:t>
      </w:r>
      <w:r>
        <w:t>the teacher was explaining the</w:t>
      </w:r>
      <w:r w:rsidR="00610C7E">
        <w:t xml:space="preserve"> next</w:t>
      </w:r>
      <w:r>
        <w:t xml:space="preserve"> task </w:t>
      </w:r>
      <w:r w:rsidR="00610C7E">
        <w:t>to the pupil</w:t>
      </w:r>
      <w:r>
        <w:t>. Th</w:t>
      </w:r>
      <w:r w:rsidR="00610C7E">
        <w:t xml:space="preserve">rough the pupil smiling at their phone and not giving eye contact to the teacher, this </w:t>
      </w:r>
      <w:r>
        <w:t xml:space="preserve">demonstrated that the pupil was </w:t>
      </w:r>
      <w:r w:rsidR="007148E4">
        <w:t xml:space="preserve">not engaged with </w:t>
      </w:r>
      <w:r>
        <w:t xml:space="preserve">the teacher’s explanation. </w:t>
      </w:r>
      <w:r w:rsidR="00F24B7F">
        <w:t>W</w:t>
      </w:r>
      <w:r>
        <w:t xml:space="preserve">hen the pupil started the </w:t>
      </w:r>
      <w:r w:rsidR="0077704E">
        <w:t>task,</w:t>
      </w:r>
      <w:r>
        <w:t xml:space="preserve"> they</w:t>
      </w:r>
      <w:r w:rsidR="003D24C6">
        <w:t xml:space="preserve"> disrupted</w:t>
      </w:r>
      <w:r>
        <w:t xml:space="preserve"> other pupils as they did not know what the task was as they were not engaged with the teacher’s previous explanation</w:t>
      </w:r>
      <w:r w:rsidR="00635EF7">
        <w:t xml:space="preserve">. </w:t>
      </w:r>
      <w:r w:rsidR="00F24B7F">
        <w:t>This proves that the pupil did not match the criteria of being ready to learn throughout their lives which is</w:t>
      </w:r>
      <w:r w:rsidR="003D24C6">
        <w:t xml:space="preserve"> a </w:t>
      </w:r>
      <w:r w:rsidR="00F24B7F">
        <w:t>part of</w:t>
      </w:r>
      <w:r w:rsidR="003D24C6">
        <w:t xml:space="preserve"> the criteria of</w:t>
      </w:r>
      <w:r w:rsidR="00F24B7F">
        <w:t xml:space="preserve"> being an ambitious capable learner</w:t>
      </w:r>
      <w:sdt>
        <w:sdtPr>
          <w:id w:val="-131408661"/>
          <w:citation/>
        </w:sdtPr>
        <w:sdtEndPr/>
        <w:sdtContent>
          <w:r w:rsidR="00F24B7F">
            <w:fldChar w:fldCharType="begin"/>
          </w:r>
          <w:r w:rsidR="00F24B7F">
            <w:instrText xml:space="preserve"> CITATION Wel15 \l 2057 </w:instrText>
          </w:r>
          <w:r w:rsidR="00F24B7F">
            <w:fldChar w:fldCharType="separate"/>
          </w:r>
          <w:r w:rsidR="00F24B7F">
            <w:rPr>
              <w:noProof/>
            </w:rPr>
            <w:t xml:space="preserve"> </w:t>
          </w:r>
          <w:r w:rsidR="00F24B7F" w:rsidRPr="00F24B7F">
            <w:rPr>
              <w:noProof/>
            </w:rPr>
            <w:t>(Welsh Government, 2015)</w:t>
          </w:r>
          <w:r w:rsidR="00F24B7F">
            <w:fldChar w:fldCharType="end"/>
          </w:r>
        </w:sdtContent>
      </w:sdt>
      <w:r w:rsidR="00F24B7F">
        <w:t>.</w:t>
      </w:r>
      <w:r w:rsidR="00E31CB4">
        <w:t xml:space="preserve"> However, without the use of the phone the pupil would not have been able to contribute to the giving of their skills</w:t>
      </w:r>
      <w:r w:rsidR="00F43C6F">
        <w:t xml:space="preserve"> to the benefit of others</w:t>
      </w:r>
      <w:r w:rsidR="00E31CB4">
        <w:t xml:space="preserve"> which is a part of the criteria of learners being enterprising, creative contributors</w:t>
      </w:r>
      <w:r w:rsidR="00F43C6F">
        <w:t>,</w:t>
      </w:r>
      <w:r w:rsidR="00E31CB4">
        <w:t xml:space="preserve"> another of the four purposes</w:t>
      </w:r>
      <w:sdt>
        <w:sdtPr>
          <w:id w:val="676626060"/>
          <w:citation/>
        </w:sdtPr>
        <w:sdtEndPr/>
        <w:sdtContent>
          <w:r w:rsidR="00E31CB4">
            <w:fldChar w:fldCharType="begin"/>
          </w:r>
          <w:r w:rsidR="00E31CB4">
            <w:instrText xml:space="preserve"> CITATION Wel15 \l 2057 </w:instrText>
          </w:r>
          <w:r w:rsidR="00E31CB4">
            <w:fldChar w:fldCharType="separate"/>
          </w:r>
          <w:r w:rsidR="00E31CB4">
            <w:rPr>
              <w:noProof/>
            </w:rPr>
            <w:t xml:space="preserve"> </w:t>
          </w:r>
          <w:r w:rsidR="00E31CB4" w:rsidRPr="00E31CB4">
            <w:rPr>
              <w:noProof/>
            </w:rPr>
            <w:t>(Welsh Government, 2015)</w:t>
          </w:r>
          <w:r w:rsidR="00E31CB4">
            <w:fldChar w:fldCharType="end"/>
          </w:r>
        </w:sdtContent>
      </w:sdt>
      <w:r w:rsidR="00E31CB4">
        <w:t>. Although, if the learner continued on their phone as they did in the classroom in a workplace, they would not achieve the criteria of being able to play a full part in work.</w:t>
      </w:r>
      <w:r w:rsidR="00F43C6F">
        <w:t xml:space="preserve"> Being able to play a full part in work, is part of the criteria of being enterprising and creative contributors</w:t>
      </w:r>
      <w:sdt>
        <w:sdtPr>
          <w:id w:val="2110394152"/>
          <w:citation/>
        </w:sdtPr>
        <w:sdtEndPr/>
        <w:sdtContent>
          <w:r w:rsidR="00F43C6F">
            <w:fldChar w:fldCharType="begin"/>
          </w:r>
          <w:r w:rsidR="00F43C6F">
            <w:instrText xml:space="preserve"> CITATION Wel15 \l 2057 </w:instrText>
          </w:r>
          <w:r w:rsidR="00F43C6F">
            <w:fldChar w:fldCharType="separate"/>
          </w:r>
          <w:r w:rsidR="00F43C6F">
            <w:rPr>
              <w:noProof/>
            </w:rPr>
            <w:t xml:space="preserve"> </w:t>
          </w:r>
          <w:r w:rsidR="00F43C6F" w:rsidRPr="00F43C6F">
            <w:rPr>
              <w:noProof/>
            </w:rPr>
            <w:t>(Welsh Government, 2015)</w:t>
          </w:r>
          <w:r w:rsidR="00F43C6F">
            <w:fldChar w:fldCharType="end"/>
          </w:r>
        </w:sdtContent>
      </w:sdt>
      <w:r w:rsidR="00F43C6F">
        <w:t xml:space="preserve">. </w:t>
      </w:r>
      <w:r w:rsidR="00E31CB4">
        <w:t>This is because, as demonstrated in the classroom the pupil was not fully engaged in the task at hand. As shown, the pupil involved could achieve some aspects of the four purposes by originally engaging in helping their</w:t>
      </w:r>
      <w:r w:rsidR="00F43C6F">
        <w:t xml:space="preserve"> learning</w:t>
      </w:r>
      <w:r w:rsidR="00E31CB4">
        <w:t xml:space="preserve"> and othe</w:t>
      </w:r>
      <w:r w:rsidR="00F43C6F">
        <w:t>r pupil’s</w:t>
      </w:r>
      <w:r w:rsidR="00E31CB4">
        <w:t xml:space="preserve"> learning. However, by staying on their phone</w:t>
      </w:r>
      <w:r w:rsidR="00F43C6F">
        <w:t>,</w:t>
      </w:r>
      <w:r w:rsidR="00E31CB4">
        <w:t xml:space="preserve"> they were not engaged with the task at hand</w:t>
      </w:r>
      <w:r w:rsidR="00F43C6F">
        <w:t>.</w:t>
      </w:r>
      <w:r w:rsidR="00E31CB4">
        <w:t xml:space="preserve"> </w:t>
      </w:r>
      <w:r w:rsidR="00F43C6F">
        <w:t>This</w:t>
      </w:r>
      <w:r w:rsidR="00E31CB4">
        <w:t xml:space="preserve"> would</w:t>
      </w:r>
      <w:r w:rsidR="00F43C6F">
        <w:t xml:space="preserve"> result in the pupil</w:t>
      </w:r>
      <w:r w:rsidR="00E31CB4">
        <w:t xml:space="preserve"> not achiev</w:t>
      </w:r>
      <w:r w:rsidR="00F43C6F">
        <w:t>ing</w:t>
      </w:r>
      <w:r w:rsidR="00E31CB4">
        <w:t xml:space="preserve"> any of the four principles</w:t>
      </w:r>
      <w:r w:rsidR="00F43C6F">
        <w:t>, let alone</w:t>
      </w:r>
      <w:r w:rsidR="00E31CB4">
        <w:t xml:space="preserve"> being</w:t>
      </w:r>
      <w:r w:rsidR="00F43C6F">
        <w:t xml:space="preserve"> an</w:t>
      </w:r>
      <w:r w:rsidR="00E31CB4">
        <w:t xml:space="preserve"> ambitious and capable learner</w:t>
      </w:r>
      <w:r w:rsidR="00F43C6F">
        <w:t>.</w:t>
      </w:r>
    </w:p>
    <w:p w14:paraId="293A4B24" w14:textId="77777777" w:rsidR="000B1DD8" w:rsidRDefault="000B1DD8"/>
    <w:p w14:paraId="595557F9" w14:textId="3488D70A" w:rsidR="001976FC" w:rsidRDefault="00A46AA3">
      <w:pPr>
        <w:rPr>
          <w:b/>
          <w:u w:val="single"/>
        </w:rPr>
      </w:pPr>
      <w:r>
        <w:rPr>
          <w:b/>
          <w:u w:val="single"/>
        </w:rPr>
        <w:t>Literature Review</w:t>
      </w:r>
    </w:p>
    <w:p w14:paraId="00AE7B85" w14:textId="5B651366" w:rsidR="00A46AA3" w:rsidRDefault="00A46AA3">
      <w:r>
        <w:t xml:space="preserve">Based on the observed critical incident, three key themes emerged which will be looked into in further detail, Whether, technology is </w:t>
      </w:r>
      <w:r w:rsidR="00FB482C">
        <w:t>beneficial</w:t>
      </w:r>
      <w:r>
        <w:t xml:space="preserve"> or </w:t>
      </w:r>
      <w:r w:rsidR="00FB482C">
        <w:t>a hinderance</w:t>
      </w:r>
      <w:r>
        <w:t xml:space="preserve"> within the classroom? Does pupil voice enhance the learning experience? And finally, if a sixth-form environment or a college environment is better?</w:t>
      </w:r>
    </w:p>
    <w:p w14:paraId="4FA6264A" w14:textId="3417D6DA" w:rsidR="00FB482C" w:rsidRDefault="00FB482C"/>
    <w:p w14:paraId="119A273D" w14:textId="70A87F4D" w:rsidR="00FB482C" w:rsidRDefault="006232C5">
      <w:pPr>
        <w:rPr>
          <w:b/>
          <w:u w:val="single"/>
        </w:rPr>
      </w:pPr>
      <w:r>
        <w:rPr>
          <w:b/>
          <w:u w:val="single"/>
        </w:rPr>
        <w:t>Is technology beneficial or a hinderance within the classroom?</w:t>
      </w:r>
    </w:p>
    <w:p w14:paraId="57C0E63B" w14:textId="11F45822" w:rsidR="006232C5" w:rsidRPr="00FB7A01" w:rsidRDefault="006232C5">
      <w:pPr>
        <w:rPr>
          <w:b/>
          <w:u w:val="single"/>
        </w:rPr>
      </w:pPr>
      <w:r>
        <w:t>The observed critical incident demonstrated that technology can be both beneficial and a hinderance within the classroom. Technology is defined by the Cambridge Dictionary as the practical use of scientific discoveries</w:t>
      </w:r>
      <w:sdt>
        <w:sdtPr>
          <w:id w:val="-209192530"/>
          <w:citation/>
        </w:sdtPr>
        <w:sdtEndPr/>
        <w:sdtContent>
          <w:r>
            <w:fldChar w:fldCharType="begin"/>
          </w:r>
          <w:r>
            <w:instrText xml:space="preserve"> CITATION Cam19 \l 2057 </w:instrText>
          </w:r>
          <w:r>
            <w:fldChar w:fldCharType="separate"/>
          </w:r>
          <w:r>
            <w:rPr>
              <w:noProof/>
            </w:rPr>
            <w:t xml:space="preserve"> </w:t>
          </w:r>
          <w:r w:rsidRPr="006232C5">
            <w:rPr>
              <w:noProof/>
            </w:rPr>
            <w:t>(Cambridge Dictionary, 2019)</w:t>
          </w:r>
          <w:r>
            <w:fldChar w:fldCharType="end"/>
          </w:r>
        </w:sdtContent>
      </w:sdt>
      <w:r>
        <w:t>. Past studies have shown technology in the classroom to be limited to just computers</w:t>
      </w:r>
      <w:sdt>
        <w:sdtPr>
          <w:id w:val="-504666853"/>
          <w:citation/>
        </w:sdtPr>
        <w:sdtEndPr/>
        <w:sdtContent>
          <w:r>
            <w:fldChar w:fldCharType="begin"/>
          </w:r>
          <w:r>
            <w:instrText xml:space="preserve"> CITATION Cau10 \l 2057 </w:instrText>
          </w:r>
          <w:r>
            <w:fldChar w:fldCharType="separate"/>
          </w:r>
          <w:r>
            <w:rPr>
              <w:noProof/>
            </w:rPr>
            <w:t xml:space="preserve"> </w:t>
          </w:r>
          <w:r w:rsidRPr="006232C5">
            <w:rPr>
              <w:noProof/>
            </w:rPr>
            <w:t>(Cauley, et al., 2010)</w:t>
          </w:r>
          <w:r>
            <w:fldChar w:fldCharType="end"/>
          </w:r>
        </w:sdtContent>
      </w:sdt>
      <w:r>
        <w:t xml:space="preserve">, however, </w:t>
      </w:r>
      <w:r>
        <w:lastRenderedPageBreak/>
        <w:t>more recent studies have even included virtual reality and augmented technologies into the classroom</w:t>
      </w:r>
      <w:sdt>
        <w:sdtPr>
          <w:id w:val="129989213"/>
          <w:citation/>
        </w:sdtPr>
        <w:sdtEndPr/>
        <w:sdtContent>
          <w:r>
            <w:fldChar w:fldCharType="begin"/>
          </w:r>
          <w:r>
            <w:instrText xml:space="preserve"> CITATION Mat18 \l 2057 </w:instrText>
          </w:r>
          <w:r>
            <w:fldChar w:fldCharType="separate"/>
          </w:r>
          <w:r>
            <w:rPr>
              <w:noProof/>
            </w:rPr>
            <w:t xml:space="preserve"> </w:t>
          </w:r>
          <w:r w:rsidRPr="006232C5">
            <w:rPr>
              <w:noProof/>
            </w:rPr>
            <w:t>(Matheson, 2018)</w:t>
          </w:r>
          <w:r>
            <w:fldChar w:fldCharType="end"/>
          </w:r>
        </w:sdtContent>
      </w:sdt>
      <w:r>
        <w:t>.</w:t>
      </w:r>
      <w:r w:rsidR="00206322">
        <w:t xml:space="preserve"> Technology has been deemed ‘essential’ and is highly recommended to be used especially in the subject of mathematics</w:t>
      </w:r>
      <w:sdt>
        <w:sdtPr>
          <w:id w:val="1262110939"/>
          <w:citation/>
        </w:sdtPr>
        <w:sdtEndPr/>
        <w:sdtContent>
          <w:r w:rsidR="00206322">
            <w:fldChar w:fldCharType="begin"/>
          </w:r>
          <w:r w:rsidR="00206322">
            <w:instrText xml:space="preserve"> CITATION She10 \l 2057 </w:instrText>
          </w:r>
          <w:r w:rsidR="00206322">
            <w:fldChar w:fldCharType="separate"/>
          </w:r>
          <w:r w:rsidR="00206322">
            <w:rPr>
              <w:noProof/>
            </w:rPr>
            <w:t xml:space="preserve"> </w:t>
          </w:r>
          <w:r w:rsidR="00206322" w:rsidRPr="00206322">
            <w:rPr>
              <w:noProof/>
            </w:rPr>
            <w:t>(Sheehan &amp; Nillas, 2010)</w:t>
          </w:r>
          <w:r w:rsidR="00206322">
            <w:fldChar w:fldCharType="end"/>
          </w:r>
        </w:sdtContent>
      </w:sdt>
      <w:r w:rsidR="00206322">
        <w:t>.</w:t>
      </w:r>
      <w:r w:rsidR="008319F2">
        <w:t>In the case of the critical incident, the technology used within the classroom was the pupil’s mobile phone.</w:t>
      </w:r>
      <w:r w:rsidR="00C34568">
        <w:t xml:space="preserve"> The critical incident demonstrated both an advantage, as a pupil was able to fill a knowledge gap and peer teach to others, and a disadvantage, as this technology then distracted the pupil from their task, to the use of technology in the classroom.</w:t>
      </w:r>
      <w:r w:rsidR="00791F7B">
        <w:t xml:space="preserve"> </w:t>
      </w:r>
      <w:r w:rsidR="00E62722">
        <w:t>This is also demonstrated through Muir 2007 who showed that technology in the classroom can lead to innovation in teaching and learning but it can cause issues due to its ease of access</w:t>
      </w:r>
      <w:sdt>
        <w:sdtPr>
          <w:id w:val="-2090688443"/>
          <w:citation/>
        </w:sdtPr>
        <w:sdtEndPr/>
        <w:sdtContent>
          <w:r w:rsidR="00E62722">
            <w:fldChar w:fldCharType="begin"/>
          </w:r>
          <w:r w:rsidR="00E62722">
            <w:instrText xml:space="preserve"> CITATION She10 \l 2057 </w:instrText>
          </w:r>
          <w:r w:rsidR="00E62722">
            <w:fldChar w:fldCharType="separate"/>
          </w:r>
          <w:r w:rsidR="00E62722">
            <w:rPr>
              <w:noProof/>
            </w:rPr>
            <w:t xml:space="preserve"> </w:t>
          </w:r>
          <w:r w:rsidR="00E62722" w:rsidRPr="00E62722">
            <w:rPr>
              <w:noProof/>
            </w:rPr>
            <w:t>(Sheehan &amp; Nillas, 2010)</w:t>
          </w:r>
          <w:r w:rsidR="00E62722">
            <w:fldChar w:fldCharType="end"/>
          </w:r>
        </w:sdtContent>
      </w:sdt>
      <w:r w:rsidR="00E62722">
        <w:t>.</w:t>
      </w:r>
      <w:r w:rsidR="00FB7A01">
        <w:t xml:space="preserve"> </w:t>
      </w:r>
      <w:r w:rsidR="006E022E">
        <w:t>Furthermore, most K-12 schools in the USA ban the use of mobile phones due to the perception that they are disruptive</w:t>
      </w:r>
      <w:sdt>
        <w:sdtPr>
          <w:id w:val="2109157964"/>
          <w:citation/>
        </w:sdtPr>
        <w:sdtEndPr/>
        <w:sdtContent>
          <w:r w:rsidR="006E022E">
            <w:fldChar w:fldCharType="begin"/>
          </w:r>
          <w:r w:rsidR="006E022E">
            <w:instrText xml:space="preserve">CITATION Bla \l 2057 </w:instrText>
          </w:r>
          <w:r w:rsidR="006E022E">
            <w:fldChar w:fldCharType="separate"/>
          </w:r>
          <w:r w:rsidR="006E022E">
            <w:rPr>
              <w:noProof/>
            </w:rPr>
            <w:t xml:space="preserve"> </w:t>
          </w:r>
          <w:r w:rsidR="006E022E" w:rsidRPr="006E022E">
            <w:rPr>
              <w:noProof/>
            </w:rPr>
            <w:t>(Blanche, et al., 2015)</w:t>
          </w:r>
          <w:r w:rsidR="006E022E">
            <w:fldChar w:fldCharType="end"/>
          </w:r>
        </w:sdtContent>
      </w:sdt>
      <w:r w:rsidR="006E022E">
        <w:t>.</w:t>
      </w:r>
    </w:p>
    <w:p w14:paraId="4FF15E9C" w14:textId="79C76D05" w:rsidR="00791F7B" w:rsidRDefault="00791F7B"/>
    <w:p w14:paraId="72AE5DA9" w14:textId="795BE5F5" w:rsidR="00791F7B" w:rsidRDefault="00791F7B">
      <w:r>
        <w:t>Another, advantage of using technology in the classroom is that it offers the teacher a wider range of teaching techniques, whether they decide to use direct teaching or more interactive teaching strategies which can include the use of self-directive software</w:t>
      </w:r>
      <w:sdt>
        <w:sdtPr>
          <w:id w:val="124825039"/>
          <w:citation/>
        </w:sdtPr>
        <w:sdtEndPr/>
        <w:sdtContent>
          <w:r>
            <w:fldChar w:fldCharType="begin"/>
          </w:r>
          <w:r>
            <w:instrText xml:space="preserve"> CITATION McL12 \l 2057 </w:instrText>
          </w:r>
          <w:r>
            <w:fldChar w:fldCharType="separate"/>
          </w:r>
          <w:r>
            <w:rPr>
              <w:noProof/>
            </w:rPr>
            <w:t xml:space="preserve"> </w:t>
          </w:r>
          <w:r w:rsidRPr="00791F7B">
            <w:rPr>
              <w:noProof/>
            </w:rPr>
            <w:t>(McLeod, et al., 2012)</w:t>
          </w:r>
          <w:r>
            <w:fldChar w:fldCharType="end"/>
          </w:r>
        </w:sdtContent>
      </w:sdt>
      <w:r>
        <w:t>.</w:t>
      </w:r>
      <w:r w:rsidR="00206322">
        <w:t xml:space="preserve"> By providing a different teaching technique this can help change the learning environment which has shown to increase participation and productivity within lessons</w:t>
      </w:r>
      <w:sdt>
        <w:sdtPr>
          <w:id w:val="-1273087224"/>
          <w:citation/>
        </w:sdtPr>
        <w:sdtEndPr/>
        <w:sdtContent>
          <w:r w:rsidR="00206322">
            <w:fldChar w:fldCharType="begin"/>
          </w:r>
          <w:r w:rsidR="00206322">
            <w:instrText xml:space="preserve"> CITATION She10 \l 2057 </w:instrText>
          </w:r>
          <w:r w:rsidR="00206322">
            <w:fldChar w:fldCharType="separate"/>
          </w:r>
          <w:r w:rsidR="00206322">
            <w:rPr>
              <w:noProof/>
            </w:rPr>
            <w:t xml:space="preserve"> </w:t>
          </w:r>
          <w:r w:rsidR="00206322" w:rsidRPr="00206322">
            <w:rPr>
              <w:noProof/>
            </w:rPr>
            <w:t>(Sheehan &amp; Nillas, 2010)</w:t>
          </w:r>
          <w:r w:rsidR="00206322">
            <w:fldChar w:fldCharType="end"/>
          </w:r>
        </w:sdtContent>
      </w:sdt>
      <w:r w:rsidR="00206322">
        <w:t>.</w:t>
      </w:r>
      <w:r w:rsidR="00462B91">
        <w:t xml:space="preserve"> However, the same paper also considers the disadvantage of using technology as according to </w:t>
      </w:r>
      <w:proofErr w:type="spellStart"/>
      <w:r w:rsidR="00462B91">
        <w:t>Mechele</w:t>
      </w:r>
      <w:proofErr w:type="spellEnd"/>
      <w:r w:rsidR="00462B91">
        <w:t xml:space="preserve"> Seville, having too much technology within the classroom can enable pupils to cheat and plagiarise pieces of work</w:t>
      </w:r>
      <w:sdt>
        <w:sdtPr>
          <w:id w:val="807746039"/>
          <w:citation/>
        </w:sdtPr>
        <w:sdtEndPr/>
        <w:sdtContent>
          <w:r w:rsidR="00462B91">
            <w:fldChar w:fldCharType="begin"/>
          </w:r>
          <w:r w:rsidR="00462B91">
            <w:instrText xml:space="preserve"> CITATION McL12 \l 2057 </w:instrText>
          </w:r>
          <w:r w:rsidR="00462B91">
            <w:fldChar w:fldCharType="separate"/>
          </w:r>
          <w:r w:rsidR="00462B91">
            <w:rPr>
              <w:noProof/>
            </w:rPr>
            <w:t xml:space="preserve"> </w:t>
          </w:r>
          <w:r w:rsidR="00462B91" w:rsidRPr="00462B91">
            <w:rPr>
              <w:noProof/>
            </w:rPr>
            <w:t>(McLeod, et al., 2012)</w:t>
          </w:r>
          <w:r w:rsidR="00462B91">
            <w:fldChar w:fldCharType="end"/>
          </w:r>
        </w:sdtContent>
      </w:sdt>
      <w:r w:rsidR="00462B91">
        <w:t>. Furthermore, other disadvantages considered by the McLeod paper include teacher’s having a lack of training for technology and the technology itself becoming a distraction within the classroom</w:t>
      </w:r>
      <w:sdt>
        <w:sdtPr>
          <w:id w:val="1037398905"/>
          <w:citation/>
        </w:sdtPr>
        <w:sdtEndPr/>
        <w:sdtContent>
          <w:r w:rsidR="00462B91">
            <w:fldChar w:fldCharType="begin"/>
          </w:r>
          <w:r w:rsidR="00462B91">
            <w:instrText xml:space="preserve"> CITATION McL12 \l 2057 </w:instrText>
          </w:r>
          <w:r w:rsidR="00462B91">
            <w:fldChar w:fldCharType="separate"/>
          </w:r>
          <w:r w:rsidR="00462B91">
            <w:rPr>
              <w:noProof/>
            </w:rPr>
            <w:t xml:space="preserve"> </w:t>
          </w:r>
          <w:r w:rsidR="00462B91" w:rsidRPr="00462B91">
            <w:rPr>
              <w:noProof/>
            </w:rPr>
            <w:t>(McLeod, et al., 2012)</w:t>
          </w:r>
          <w:r w:rsidR="00462B91">
            <w:fldChar w:fldCharType="end"/>
          </w:r>
        </w:sdtContent>
      </w:sdt>
      <w:r w:rsidR="00462B91">
        <w:t>. This was illustrated in the observed critical incident. Nevertheless, this paper was written in 2012 and does not consider recent developments in teacher education where digital competency is considered</w:t>
      </w:r>
      <w:r w:rsidR="008906E0">
        <w:t xml:space="preserve"> key</w:t>
      </w:r>
      <w:r w:rsidR="00462B91">
        <w:t xml:space="preserve"> in the new curriculum in Wales</w:t>
      </w:r>
      <w:sdt>
        <w:sdtPr>
          <w:id w:val="553892010"/>
          <w:citation/>
        </w:sdtPr>
        <w:sdtEndPr/>
        <w:sdtContent>
          <w:r w:rsidR="00D75727">
            <w:fldChar w:fldCharType="begin"/>
          </w:r>
          <w:r w:rsidR="00D75727">
            <w:instrText xml:space="preserve"> CITATION Don15 \l 2057 </w:instrText>
          </w:r>
          <w:r w:rsidR="00D75727">
            <w:fldChar w:fldCharType="separate"/>
          </w:r>
          <w:r w:rsidR="00D75727">
            <w:rPr>
              <w:noProof/>
            </w:rPr>
            <w:t xml:space="preserve"> </w:t>
          </w:r>
          <w:r w:rsidR="00D75727" w:rsidRPr="00D75727">
            <w:rPr>
              <w:noProof/>
            </w:rPr>
            <w:t>(Donaldson, 2015)</w:t>
          </w:r>
          <w:r w:rsidR="00D75727">
            <w:fldChar w:fldCharType="end"/>
          </w:r>
        </w:sdtContent>
      </w:sdt>
      <w:r w:rsidR="00D75727">
        <w:t xml:space="preserve">. </w:t>
      </w:r>
      <w:r w:rsidR="00462B91">
        <w:t>Additionally, this paper was written from an American perspective and does not consider</w:t>
      </w:r>
      <w:r w:rsidR="008906E0">
        <w:t xml:space="preserve"> the curriculum</w:t>
      </w:r>
      <w:r w:rsidR="00462B91">
        <w:t xml:space="preserve"> developments made in Wales.</w:t>
      </w:r>
      <w:r w:rsidR="000F74B0">
        <w:t xml:space="preserve"> Although, the paper does make good links to teacher training</w:t>
      </w:r>
      <w:r w:rsidR="008906E0">
        <w:t>,</w:t>
      </w:r>
      <w:r w:rsidR="000F74B0">
        <w:t xml:space="preserve"> which has been made a prerequisite </w:t>
      </w:r>
      <w:r w:rsidR="008906E0">
        <w:t xml:space="preserve">of </w:t>
      </w:r>
      <w:r w:rsidR="000F74B0">
        <w:t xml:space="preserve">how well technology is integrated into a classroom environment according to </w:t>
      </w:r>
      <w:proofErr w:type="spellStart"/>
      <w:r w:rsidR="000F74B0">
        <w:t>Ertmer</w:t>
      </w:r>
      <w:proofErr w:type="spellEnd"/>
      <w:r w:rsidR="000F74B0">
        <w:t xml:space="preserve"> et al 2012</w:t>
      </w:r>
      <w:r w:rsidR="008906E0">
        <w:t>,</w:t>
      </w:r>
      <w:r w:rsidR="000F74B0">
        <w:t xml:space="preserve"> alongside resources and the teacher’s attitudes and beliefs</w:t>
      </w:r>
      <w:sdt>
        <w:sdtPr>
          <w:id w:val="1556270617"/>
          <w:citation/>
        </w:sdtPr>
        <w:sdtEndPr/>
        <w:sdtContent>
          <w:r w:rsidR="000F74B0">
            <w:fldChar w:fldCharType="begin"/>
          </w:r>
          <w:r w:rsidR="000F74B0">
            <w:instrText xml:space="preserve"> CITATION Chi13 \l 2057 </w:instrText>
          </w:r>
          <w:r w:rsidR="000F74B0">
            <w:fldChar w:fldCharType="separate"/>
          </w:r>
          <w:r w:rsidR="000F74B0">
            <w:rPr>
              <w:noProof/>
            </w:rPr>
            <w:t xml:space="preserve"> </w:t>
          </w:r>
          <w:r w:rsidR="000F74B0" w:rsidRPr="000F74B0">
            <w:rPr>
              <w:noProof/>
            </w:rPr>
            <w:t>(Chien, 2013)</w:t>
          </w:r>
          <w:r w:rsidR="000F74B0">
            <w:fldChar w:fldCharType="end"/>
          </w:r>
        </w:sdtContent>
      </w:sdt>
      <w:r w:rsidR="000F74B0">
        <w:t>. The paper further explains how well technology is integrated into the classroom is what determines whether it is a hinderance or beneficial within the classroom</w:t>
      </w:r>
      <w:sdt>
        <w:sdtPr>
          <w:id w:val="-1656374786"/>
          <w:citation/>
        </w:sdtPr>
        <w:sdtEndPr/>
        <w:sdtContent>
          <w:r w:rsidR="000F74B0">
            <w:fldChar w:fldCharType="begin"/>
          </w:r>
          <w:r w:rsidR="000F74B0">
            <w:instrText xml:space="preserve"> CITATION Chi13 \l 2057 </w:instrText>
          </w:r>
          <w:r w:rsidR="000F74B0">
            <w:fldChar w:fldCharType="separate"/>
          </w:r>
          <w:r w:rsidR="000F74B0">
            <w:rPr>
              <w:noProof/>
            </w:rPr>
            <w:t xml:space="preserve"> </w:t>
          </w:r>
          <w:r w:rsidR="000F74B0" w:rsidRPr="000F74B0">
            <w:rPr>
              <w:noProof/>
            </w:rPr>
            <w:t>(Chien, 2013)</w:t>
          </w:r>
          <w:r w:rsidR="000F74B0">
            <w:fldChar w:fldCharType="end"/>
          </w:r>
        </w:sdtContent>
      </w:sdt>
      <w:r w:rsidR="000F74B0">
        <w:t>.</w:t>
      </w:r>
      <w:r w:rsidR="006E022E">
        <w:t xml:space="preserve"> Further demonstrated by other literature which suggests texting can improve student’s vocabulary and reading ability as well as encouraging collaboration between students and teachers</w:t>
      </w:r>
      <w:sdt>
        <w:sdtPr>
          <w:id w:val="757099787"/>
          <w:citation/>
        </w:sdtPr>
        <w:sdtEndPr/>
        <w:sdtContent>
          <w:r w:rsidR="006E022E">
            <w:fldChar w:fldCharType="begin"/>
          </w:r>
          <w:r w:rsidR="006E022E">
            <w:instrText xml:space="preserve"> CITATION Bla \l 2057 </w:instrText>
          </w:r>
          <w:r w:rsidR="006E022E">
            <w:fldChar w:fldCharType="separate"/>
          </w:r>
          <w:r w:rsidR="006E022E">
            <w:rPr>
              <w:noProof/>
            </w:rPr>
            <w:t xml:space="preserve"> </w:t>
          </w:r>
          <w:r w:rsidR="006E022E" w:rsidRPr="006E022E">
            <w:rPr>
              <w:noProof/>
            </w:rPr>
            <w:t>(Blanche, et al., 2015)</w:t>
          </w:r>
          <w:r w:rsidR="006E022E">
            <w:fldChar w:fldCharType="end"/>
          </w:r>
        </w:sdtContent>
      </w:sdt>
      <w:r w:rsidR="006E022E">
        <w:t>.</w:t>
      </w:r>
    </w:p>
    <w:p w14:paraId="053C90FA" w14:textId="7F9276FF" w:rsidR="000F74B0" w:rsidRDefault="000F74B0"/>
    <w:p w14:paraId="30EC0CF9" w14:textId="0DF22247" w:rsidR="000F74B0" w:rsidRDefault="00DE58A8">
      <w:pPr>
        <w:rPr>
          <w:b/>
          <w:u w:val="single"/>
        </w:rPr>
      </w:pPr>
      <w:r>
        <w:rPr>
          <w:b/>
          <w:u w:val="single"/>
        </w:rPr>
        <w:t>Does pupil voice enhance the learning experience?</w:t>
      </w:r>
    </w:p>
    <w:p w14:paraId="17D0E5F9" w14:textId="06E63223" w:rsidR="00BE72E8" w:rsidRDefault="00DE58A8">
      <w:r>
        <w:t>Alongside technology within the classroom, what created the observed critical incident was the pupil</w:t>
      </w:r>
      <w:r w:rsidR="005200EA">
        <w:t xml:space="preserve"> </w:t>
      </w:r>
      <w:r>
        <w:t>having a voice and using that voice to help teach other pupils within the classroom environment.</w:t>
      </w:r>
      <w:r w:rsidR="00C7408B">
        <w:t xml:space="preserve"> </w:t>
      </w:r>
      <w:r w:rsidR="00242002">
        <w:t>Pupil voice refers to the ways of listening to the views of pupils and/or involving in pupils in the decision-making process within the school environment</w:t>
      </w:r>
      <w:sdt>
        <w:sdtPr>
          <w:id w:val="-160615567"/>
          <w:citation/>
        </w:sdtPr>
        <w:sdtEndPr/>
        <w:sdtContent>
          <w:r w:rsidR="00242002">
            <w:fldChar w:fldCharType="begin"/>
          </w:r>
          <w:r w:rsidR="00242002">
            <w:instrText xml:space="preserve"> CITATION Dep14 \l 2057 </w:instrText>
          </w:r>
          <w:r w:rsidR="00242002">
            <w:fldChar w:fldCharType="separate"/>
          </w:r>
          <w:r w:rsidR="00242002">
            <w:rPr>
              <w:noProof/>
            </w:rPr>
            <w:t xml:space="preserve"> </w:t>
          </w:r>
          <w:r w:rsidR="00242002" w:rsidRPr="00242002">
            <w:rPr>
              <w:noProof/>
            </w:rPr>
            <w:t>(Department for Education, 2014)</w:t>
          </w:r>
          <w:r w:rsidR="00242002">
            <w:fldChar w:fldCharType="end"/>
          </w:r>
        </w:sdtContent>
      </w:sdt>
      <w:r w:rsidR="00242002">
        <w:t>.</w:t>
      </w:r>
      <w:r w:rsidR="00556A6B">
        <w:t xml:space="preserve"> Pupil voice links to social constructivism where knowledge is gained through collaboration, unlike constructivist theory which suggests knowledge is gained individually</w:t>
      </w:r>
      <w:sdt>
        <w:sdtPr>
          <w:id w:val="634148349"/>
          <w:citation/>
        </w:sdtPr>
        <w:sdtContent>
          <w:r w:rsidR="00556A6B">
            <w:fldChar w:fldCharType="begin"/>
          </w:r>
          <w:r w:rsidR="00556A6B">
            <w:instrText xml:space="preserve"> CITATION Alt17 \l 2057 </w:instrText>
          </w:r>
          <w:r w:rsidR="00556A6B">
            <w:fldChar w:fldCharType="separate"/>
          </w:r>
          <w:r w:rsidR="00556A6B">
            <w:rPr>
              <w:noProof/>
            </w:rPr>
            <w:t xml:space="preserve"> </w:t>
          </w:r>
          <w:r w:rsidR="00556A6B" w:rsidRPr="00556A6B">
            <w:rPr>
              <w:noProof/>
            </w:rPr>
            <w:t>(Alt, 2017)</w:t>
          </w:r>
          <w:r w:rsidR="00556A6B">
            <w:fldChar w:fldCharType="end"/>
          </w:r>
        </w:sdtContent>
      </w:sdt>
      <w:r w:rsidR="00556A6B">
        <w:t>.</w:t>
      </w:r>
      <w:r w:rsidR="005B40BF">
        <w:t xml:space="preserve"> </w:t>
      </w:r>
      <w:r w:rsidR="00556A6B">
        <w:t>P</w:t>
      </w:r>
      <w:r w:rsidR="005B40BF">
        <w:t xml:space="preserve">upil voice </w:t>
      </w:r>
      <w:r w:rsidR="00BE72E8">
        <w:t>has a greater impact</w:t>
      </w:r>
      <w:r w:rsidR="005B40BF">
        <w:t xml:space="preserve"> now</w:t>
      </w:r>
      <w:r w:rsidR="005200EA">
        <w:t>,</w:t>
      </w:r>
      <w:r w:rsidR="00556A6B">
        <w:t xml:space="preserve"> compared to previous decades, </w:t>
      </w:r>
      <w:bookmarkStart w:id="0" w:name="_GoBack"/>
      <w:bookmarkEnd w:id="0"/>
      <w:r w:rsidR="005B40BF">
        <w:t xml:space="preserve"> as technology enables students to easily access and challenge information</w:t>
      </w:r>
      <w:sdt>
        <w:sdtPr>
          <w:id w:val="-1856798543"/>
          <w:citation/>
        </w:sdtPr>
        <w:sdtEndPr/>
        <w:sdtContent>
          <w:r w:rsidR="005B40BF">
            <w:fldChar w:fldCharType="begin"/>
          </w:r>
          <w:r w:rsidR="005B40BF">
            <w:instrText xml:space="preserve"> CITATION Sul13 \l 2057 </w:instrText>
          </w:r>
          <w:r w:rsidR="005B40BF">
            <w:fldChar w:fldCharType="separate"/>
          </w:r>
          <w:r w:rsidR="005B40BF">
            <w:rPr>
              <w:noProof/>
            </w:rPr>
            <w:t xml:space="preserve"> </w:t>
          </w:r>
          <w:r w:rsidR="005B40BF" w:rsidRPr="005B40BF">
            <w:rPr>
              <w:noProof/>
            </w:rPr>
            <w:t>(Sulla, 2013)</w:t>
          </w:r>
          <w:r w:rsidR="005B40BF">
            <w:fldChar w:fldCharType="end"/>
          </w:r>
        </w:sdtContent>
      </w:sdt>
      <w:r w:rsidR="005B40BF">
        <w:t xml:space="preserve">. </w:t>
      </w:r>
      <w:r w:rsidR="00BE72E8">
        <w:t>A</w:t>
      </w:r>
      <w:r w:rsidR="00E2496B">
        <w:t>lso known as coproduction</w:t>
      </w:r>
      <w:r w:rsidR="00BE72E8">
        <w:t>, pupil voice</w:t>
      </w:r>
      <w:r w:rsidR="00E2496B">
        <w:t xml:space="preserve"> aims to help break the cycle of disengagement for pupils</w:t>
      </w:r>
      <w:sdt>
        <w:sdtPr>
          <w:id w:val="2097737863"/>
          <w:citation/>
        </w:sdtPr>
        <w:sdtEndPr/>
        <w:sdtContent>
          <w:r w:rsidR="00E2496B">
            <w:fldChar w:fldCharType="begin"/>
          </w:r>
          <w:r w:rsidR="00E2496B">
            <w:instrText xml:space="preserve"> CITATION Wyb16 \l 2057 </w:instrText>
          </w:r>
          <w:r w:rsidR="00E2496B">
            <w:fldChar w:fldCharType="separate"/>
          </w:r>
          <w:r w:rsidR="00E2496B">
            <w:rPr>
              <w:noProof/>
            </w:rPr>
            <w:t xml:space="preserve"> </w:t>
          </w:r>
          <w:r w:rsidR="00E2496B" w:rsidRPr="00E2496B">
            <w:rPr>
              <w:noProof/>
            </w:rPr>
            <w:t>(Wybron &amp; Paget, 2016)</w:t>
          </w:r>
          <w:r w:rsidR="00E2496B">
            <w:fldChar w:fldCharType="end"/>
          </w:r>
        </w:sdtContent>
      </w:sdt>
      <w:r w:rsidR="00BE72E8">
        <w:t xml:space="preserve"> whilst also helping to give </w:t>
      </w:r>
      <w:r w:rsidR="00BE72E8">
        <w:lastRenderedPageBreak/>
        <w:t>disadvantaged pupils a voice</w:t>
      </w:r>
      <w:sdt>
        <w:sdtPr>
          <w:id w:val="234370667"/>
          <w:citation/>
        </w:sdtPr>
        <w:sdtEndPr/>
        <w:sdtContent>
          <w:r w:rsidR="00BE72E8">
            <w:fldChar w:fldCharType="begin"/>
          </w:r>
          <w:r w:rsidR="00BE72E8">
            <w:instrText xml:space="preserve"> CITATION Flu07 \l 2057 </w:instrText>
          </w:r>
          <w:r w:rsidR="00BE72E8">
            <w:fldChar w:fldCharType="separate"/>
          </w:r>
          <w:r w:rsidR="00BE72E8">
            <w:rPr>
              <w:noProof/>
            </w:rPr>
            <w:t xml:space="preserve"> </w:t>
          </w:r>
          <w:r w:rsidR="00BE72E8" w:rsidRPr="00BE72E8">
            <w:rPr>
              <w:noProof/>
            </w:rPr>
            <w:t>(Flutter, 2007)</w:t>
          </w:r>
          <w:r w:rsidR="00BE72E8">
            <w:fldChar w:fldCharType="end"/>
          </w:r>
        </w:sdtContent>
      </w:sdt>
      <w:r w:rsidR="00E2496B">
        <w:t>.</w:t>
      </w:r>
      <w:r w:rsidR="000E5D22">
        <w:t xml:space="preserve"> However, student success is still dependent on structures within the schooling system and</w:t>
      </w:r>
      <w:r w:rsidR="00BE72E8">
        <w:t xml:space="preserve"> a</w:t>
      </w:r>
      <w:r w:rsidR="000E5D22">
        <w:t xml:space="preserve"> teacher’s guidance and feedback</w:t>
      </w:r>
      <w:sdt>
        <w:sdtPr>
          <w:id w:val="1125348483"/>
          <w:citation/>
        </w:sdtPr>
        <w:sdtEndPr/>
        <w:sdtContent>
          <w:r w:rsidR="000E5D22">
            <w:fldChar w:fldCharType="begin"/>
          </w:r>
          <w:r w:rsidR="000E5D22">
            <w:instrText xml:space="preserve"> CITATION Sul13 \l 2057 </w:instrText>
          </w:r>
          <w:r w:rsidR="000E5D22">
            <w:fldChar w:fldCharType="separate"/>
          </w:r>
          <w:r w:rsidR="000E5D22">
            <w:rPr>
              <w:noProof/>
            </w:rPr>
            <w:t xml:space="preserve"> </w:t>
          </w:r>
          <w:r w:rsidR="000E5D22" w:rsidRPr="000E5D22">
            <w:rPr>
              <w:noProof/>
            </w:rPr>
            <w:t>(Sulla, 2013)</w:t>
          </w:r>
          <w:r w:rsidR="000E5D22">
            <w:fldChar w:fldCharType="end"/>
          </w:r>
        </w:sdtContent>
      </w:sdt>
      <w:r w:rsidR="000E5D22">
        <w:t xml:space="preserve">. </w:t>
      </w:r>
      <w:r w:rsidR="00E2496B">
        <w:t xml:space="preserve">The study done by </w:t>
      </w:r>
      <w:proofErr w:type="spellStart"/>
      <w:r w:rsidR="00E2496B">
        <w:t>Wybron</w:t>
      </w:r>
      <w:proofErr w:type="spellEnd"/>
      <w:r w:rsidR="00E2496B">
        <w:t xml:space="preserve"> &amp; Paget in 2016 showed by giving pupils power, pupils felt more involved and more active in school life due to their increased amount of interactions</w:t>
      </w:r>
      <w:sdt>
        <w:sdtPr>
          <w:id w:val="1044176550"/>
          <w:citation/>
        </w:sdtPr>
        <w:sdtEndPr/>
        <w:sdtContent>
          <w:r w:rsidR="00E2496B">
            <w:fldChar w:fldCharType="begin"/>
          </w:r>
          <w:r w:rsidR="00E2496B">
            <w:instrText xml:space="preserve"> CITATION Wyb16 \l 2057 </w:instrText>
          </w:r>
          <w:r w:rsidR="00E2496B">
            <w:fldChar w:fldCharType="separate"/>
          </w:r>
          <w:r w:rsidR="00E2496B">
            <w:rPr>
              <w:noProof/>
            </w:rPr>
            <w:t xml:space="preserve"> </w:t>
          </w:r>
          <w:r w:rsidR="00E2496B" w:rsidRPr="00E2496B">
            <w:rPr>
              <w:noProof/>
            </w:rPr>
            <w:t>(Wybron &amp; Paget, 2016)</w:t>
          </w:r>
          <w:r w:rsidR="00E2496B">
            <w:fldChar w:fldCharType="end"/>
          </w:r>
        </w:sdtContent>
      </w:sdt>
      <w:r w:rsidR="00E2496B">
        <w:t>.</w:t>
      </w:r>
      <w:r w:rsidR="004A6C5D">
        <w:t xml:space="preserve"> This is because pupils are treated as a partner in learning instead of a passive recipient</w:t>
      </w:r>
      <w:sdt>
        <w:sdtPr>
          <w:id w:val="291798212"/>
          <w:citation/>
        </w:sdtPr>
        <w:sdtEndPr/>
        <w:sdtContent>
          <w:r w:rsidR="004A6C5D">
            <w:fldChar w:fldCharType="begin"/>
          </w:r>
          <w:r w:rsidR="004A6C5D">
            <w:instrText xml:space="preserve"> CITATION Woo11 \l 2057 </w:instrText>
          </w:r>
          <w:r w:rsidR="004A6C5D">
            <w:fldChar w:fldCharType="separate"/>
          </w:r>
          <w:r w:rsidR="004A6C5D">
            <w:rPr>
              <w:noProof/>
            </w:rPr>
            <w:t xml:space="preserve"> </w:t>
          </w:r>
          <w:r w:rsidR="004A6C5D" w:rsidRPr="004A6C5D">
            <w:rPr>
              <w:noProof/>
            </w:rPr>
            <w:t>(Wood, 2011)</w:t>
          </w:r>
          <w:r w:rsidR="004A6C5D">
            <w:fldChar w:fldCharType="end"/>
          </w:r>
        </w:sdtContent>
      </w:sdt>
      <w:r w:rsidR="004A6C5D">
        <w:t xml:space="preserve">. </w:t>
      </w:r>
      <w:r w:rsidR="00E2496B">
        <w:t>Moreover, it also encouraged roles such as ‘strict teacher’ and ‘naughty student’ to be challenged and meant that some relationships were established or improved</w:t>
      </w:r>
      <w:sdt>
        <w:sdtPr>
          <w:id w:val="1592817603"/>
          <w:citation/>
        </w:sdtPr>
        <w:sdtEndPr/>
        <w:sdtContent>
          <w:r w:rsidR="00E2496B">
            <w:fldChar w:fldCharType="begin"/>
          </w:r>
          <w:r w:rsidR="00E2496B">
            <w:instrText xml:space="preserve"> CITATION Wyb16 \l 2057 </w:instrText>
          </w:r>
          <w:r w:rsidR="00E2496B">
            <w:fldChar w:fldCharType="separate"/>
          </w:r>
          <w:r w:rsidR="00E2496B">
            <w:rPr>
              <w:noProof/>
            </w:rPr>
            <w:t xml:space="preserve"> </w:t>
          </w:r>
          <w:r w:rsidR="00E2496B" w:rsidRPr="00E2496B">
            <w:rPr>
              <w:noProof/>
            </w:rPr>
            <w:t>(Wybron &amp; Paget, 2016)</w:t>
          </w:r>
          <w:r w:rsidR="00E2496B">
            <w:fldChar w:fldCharType="end"/>
          </w:r>
        </w:sdtContent>
      </w:sdt>
      <w:r w:rsidR="00E2496B">
        <w:t>.</w:t>
      </w:r>
      <w:r w:rsidR="00BE72E8">
        <w:t xml:space="preserve"> Similarly, case studies were carried out at other schools which found that pupil voice had a positive impact on student’s enjoyment, confidence and educational attainment of specific subjects which introduced a pupil voice approach compared to other subjects who did not</w:t>
      </w:r>
      <w:sdt>
        <w:sdtPr>
          <w:id w:val="-1513297584"/>
          <w:citation/>
        </w:sdtPr>
        <w:sdtEndPr/>
        <w:sdtContent>
          <w:r w:rsidR="00BE72E8">
            <w:fldChar w:fldCharType="begin"/>
          </w:r>
          <w:r w:rsidR="00BE72E8">
            <w:instrText xml:space="preserve"> CITATION Flu07 \l 2057 </w:instrText>
          </w:r>
          <w:r w:rsidR="00BE72E8">
            <w:fldChar w:fldCharType="separate"/>
          </w:r>
          <w:r w:rsidR="00BE72E8">
            <w:rPr>
              <w:noProof/>
            </w:rPr>
            <w:t xml:space="preserve"> </w:t>
          </w:r>
          <w:r w:rsidR="00BE72E8" w:rsidRPr="00BE72E8">
            <w:rPr>
              <w:noProof/>
            </w:rPr>
            <w:t>(Flutter, 2007)</w:t>
          </w:r>
          <w:r w:rsidR="00BE72E8">
            <w:fldChar w:fldCharType="end"/>
          </w:r>
        </w:sdtContent>
      </w:sdt>
      <w:r w:rsidR="00BE72E8">
        <w:t>.</w:t>
      </w:r>
      <w:r w:rsidR="000E5D22">
        <w:t xml:space="preserve"> </w:t>
      </w:r>
      <w:r w:rsidR="00BE72E8">
        <w:t>Furthermore, pupil voice enables teachers to be reflective about their practise and can help teachers improve their own practise</w:t>
      </w:r>
      <w:sdt>
        <w:sdtPr>
          <w:id w:val="1827466658"/>
          <w:citation/>
        </w:sdtPr>
        <w:sdtEndPr/>
        <w:sdtContent>
          <w:r w:rsidR="00BE72E8">
            <w:fldChar w:fldCharType="begin"/>
          </w:r>
          <w:r w:rsidR="00BE72E8">
            <w:instrText xml:space="preserve"> CITATION Flu07 \l 2057 </w:instrText>
          </w:r>
          <w:r w:rsidR="00BE72E8">
            <w:fldChar w:fldCharType="separate"/>
          </w:r>
          <w:r w:rsidR="00BE72E8">
            <w:rPr>
              <w:noProof/>
            </w:rPr>
            <w:t xml:space="preserve"> </w:t>
          </w:r>
          <w:r w:rsidR="00BE72E8" w:rsidRPr="00BE72E8">
            <w:rPr>
              <w:noProof/>
            </w:rPr>
            <w:t>(Flutter, 2007)</w:t>
          </w:r>
          <w:r w:rsidR="00BE72E8">
            <w:fldChar w:fldCharType="end"/>
          </w:r>
        </w:sdtContent>
      </w:sdt>
      <w:r w:rsidR="00BE72E8">
        <w:t xml:space="preserve">. </w:t>
      </w:r>
    </w:p>
    <w:p w14:paraId="32E203F8" w14:textId="77777777" w:rsidR="00BE72E8" w:rsidRDefault="00BE72E8"/>
    <w:p w14:paraId="1D19A4C2" w14:textId="78A15E1C" w:rsidR="00DE58A8" w:rsidRDefault="000E5D22">
      <w:r>
        <w:t>Despite the idea of students having a greater voice and responsibility within the classroom being embraced by many educators, it is rarely fostered</w:t>
      </w:r>
      <w:sdt>
        <w:sdtPr>
          <w:id w:val="-364751680"/>
          <w:citation/>
        </w:sdtPr>
        <w:sdtEndPr/>
        <w:sdtContent>
          <w:r>
            <w:fldChar w:fldCharType="begin"/>
          </w:r>
          <w:r>
            <w:instrText xml:space="preserve"> CITATION Sul13 \l 2057 </w:instrText>
          </w:r>
          <w:r>
            <w:fldChar w:fldCharType="separate"/>
          </w:r>
          <w:r>
            <w:rPr>
              <w:noProof/>
            </w:rPr>
            <w:t xml:space="preserve"> </w:t>
          </w:r>
          <w:r w:rsidRPr="000E5D22">
            <w:rPr>
              <w:noProof/>
            </w:rPr>
            <w:t>(Sulla, 2013)</w:t>
          </w:r>
          <w:r>
            <w:fldChar w:fldCharType="end"/>
          </w:r>
        </w:sdtContent>
      </w:sdt>
      <w:r>
        <w:t>.</w:t>
      </w:r>
      <w:r w:rsidR="00BE72E8">
        <w:t xml:space="preserve"> Likewise, if it is fostered, it has been found that only those who are more articulate and confident will have their views heard</w:t>
      </w:r>
      <w:sdt>
        <w:sdtPr>
          <w:id w:val="1794399202"/>
          <w:citation/>
        </w:sdtPr>
        <w:sdtEndPr/>
        <w:sdtContent>
          <w:r w:rsidR="00BE72E8">
            <w:fldChar w:fldCharType="begin"/>
          </w:r>
          <w:r w:rsidR="00BE72E8">
            <w:instrText xml:space="preserve"> CITATION Flu07 \l 2057 </w:instrText>
          </w:r>
          <w:r w:rsidR="00BE72E8">
            <w:fldChar w:fldCharType="separate"/>
          </w:r>
          <w:r w:rsidR="00BE72E8">
            <w:rPr>
              <w:noProof/>
            </w:rPr>
            <w:t xml:space="preserve"> </w:t>
          </w:r>
          <w:r w:rsidR="00BE72E8" w:rsidRPr="00BE72E8">
            <w:rPr>
              <w:noProof/>
            </w:rPr>
            <w:t>(Flutter, 2007)</w:t>
          </w:r>
          <w:r w:rsidR="00BE72E8">
            <w:fldChar w:fldCharType="end"/>
          </w:r>
        </w:sdtContent>
      </w:sdt>
      <w:r w:rsidR="00BE72E8">
        <w:t>.</w:t>
      </w:r>
      <w:r w:rsidR="005200EA">
        <w:t xml:space="preserve"> </w:t>
      </w:r>
      <w:r w:rsidR="00BE72E8">
        <w:t>Nevertheless, by using pupil voice it has been found to help those who are less articulate and lower-achieving and can also help achieve a consensus of what a suitable learning environment is</w:t>
      </w:r>
      <w:sdt>
        <w:sdtPr>
          <w:id w:val="1810515670"/>
          <w:citation/>
        </w:sdtPr>
        <w:sdtEndPr/>
        <w:sdtContent>
          <w:r w:rsidR="00BE72E8">
            <w:fldChar w:fldCharType="begin"/>
          </w:r>
          <w:r w:rsidR="00BE72E8">
            <w:instrText xml:space="preserve"> CITATION Flu07 \l 2057 </w:instrText>
          </w:r>
          <w:r w:rsidR="00BE72E8">
            <w:fldChar w:fldCharType="separate"/>
          </w:r>
          <w:r w:rsidR="00BE72E8">
            <w:rPr>
              <w:noProof/>
            </w:rPr>
            <w:t xml:space="preserve"> </w:t>
          </w:r>
          <w:r w:rsidR="00BE72E8" w:rsidRPr="00BE72E8">
            <w:rPr>
              <w:noProof/>
            </w:rPr>
            <w:t>(Flutter, 2007)</w:t>
          </w:r>
          <w:r w:rsidR="00BE72E8">
            <w:fldChar w:fldCharType="end"/>
          </w:r>
        </w:sdtContent>
      </w:sdt>
      <w:r w:rsidR="00BE72E8">
        <w:t xml:space="preserve">. </w:t>
      </w:r>
      <w:r w:rsidR="004A6C5D">
        <w:t xml:space="preserve"> A</w:t>
      </w:r>
      <w:r w:rsidR="00BE72E8">
        <w:t>lthough,</w:t>
      </w:r>
      <w:r w:rsidR="004A6C5D">
        <w:t xml:space="preserve"> it has been suggested that greater levels of pupil voice can undermine a teacher’s authority</w:t>
      </w:r>
      <w:r w:rsidR="00BE72E8">
        <w:t>,</w:t>
      </w:r>
      <w:r w:rsidR="004A6C5D">
        <w:t xml:space="preserve"> as it can alter the power relationships within a school</w:t>
      </w:r>
      <w:sdt>
        <w:sdtPr>
          <w:id w:val="-173960625"/>
          <w:citation/>
        </w:sdtPr>
        <w:sdtEndPr/>
        <w:sdtContent>
          <w:r w:rsidR="00BE72E8">
            <w:fldChar w:fldCharType="begin"/>
          </w:r>
          <w:r w:rsidR="00BE72E8">
            <w:instrText xml:space="preserve"> CITATION Woo11 \l 2057 </w:instrText>
          </w:r>
          <w:r w:rsidR="00BE72E8">
            <w:fldChar w:fldCharType="separate"/>
          </w:r>
          <w:r w:rsidR="00BE72E8">
            <w:rPr>
              <w:noProof/>
            </w:rPr>
            <w:t xml:space="preserve"> </w:t>
          </w:r>
          <w:r w:rsidR="00BE72E8" w:rsidRPr="00BE72E8">
            <w:rPr>
              <w:noProof/>
            </w:rPr>
            <w:t>(Wood, 2011)</w:t>
          </w:r>
          <w:r w:rsidR="00BE72E8">
            <w:fldChar w:fldCharType="end"/>
          </w:r>
        </w:sdtContent>
      </w:sdt>
      <w:r w:rsidR="00BE72E8">
        <w:t>.</w:t>
      </w:r>
      <w:r w:rsidR="004A6C5D">
        <w:t xml:space="preserve"> </w:t>
      </w:r>
      <w:r w:rsidR="00BE72E8">
        <w:t xml:space="preserve">Additionally, it can </w:t>
      </w:r>
      <w:r w:rsidR="004A6C5D">
        <w:t>clash with what is considered dominant</w:t>
      </w:r>
      <w:r w:rsidR="00BE72E8">
        <w:t>,</w:t>
      </w:r>
      <w:r w:rsidR="004A6C5D">
        <w:t xml:space="preserve"> yet effective</w:t>
      </w:r>
      <w:r w:rsidR="00BE72E8">
        <w:t>,</w:t>
      </w:r>
      <w:r w:rsidR="004A6C5D">
        <w:t xml:space="preserve"> teaching methods</w:t>
      </w:r>
      <w:sdt>
        <w:sdtPr>
          <w:id w:val="-1945373939"/>
          <w:citation/>
        </w:sdtPr>
        <w:sdtEndPr/>
        <w:sdtContent>
          <w:r w:rsidR="004A6C5D">
            <w:fldChar w:fldCharType="begin"/>
          </w:r>
          <w:r w:rsidR="004A6C5D">
            <w:instrText xml:space="preserve"> CITATION Woo11 \l 2057 </w:instrText>
          </w:r>
          <w:r w:rsidR="004A6C5D">
            <w:fldChar w:fldCharType="separate"/>
          </w:r>
          <w:r w:rsidR="004A6C5D">
            <w:rPr>
              <w:noProof/>
            </w:rPr>
            <w:t xml:space="preserve"> </w:t>
          </w:r>
          <w:r w:rsidR="004A6C5D" w:rsidRPr="004A6C5D">
            <w:rPr>
              <w:noProof/>
            </w:rPr>
            <w:t>(Wood, 2011)</w:t>
          </w:r>
          <w:r w:rsidR="004A6C5D">
            <w:fldChar w:fldCharType="end"/>
          </w:r>
        </w:sdtContent>
      </w:sdt>
      <w:r w:rsidR="004A6C5D">
        <w:t>.</w:t>
      </w:r>
      <w:r w:rsidR="00BE72E8">
        <w:t xml:space="preserve"> Not to mention, that it has been suggested that there is a serious risk of pupil voice becoming the latest in a long line of educational ideas which come into favour for a few years which eventually fade away when the next big idea comes along</w:t>
      </w:r>
      <w:sdt>
        <w:sdtPr>
          <w:id w:val="-307174014"/>
          <w:citation/>
        </w:sdtPr>
        <w:sdtEndPr/>
        <w:sdtContent>
          <w:r w:rsidR="00BE72E8">
            <w:fldChar w:fldCharType="begin"/>
          </w:r>
          <w:r w:rsidR="00BE72E8">
            <w:instrText xml:space="preserve"> CITATION Flu07 \l 2057 </w:instrText>
          </w:r>
          <w:r w:rsidR="00BE72E8">
            <w:fldChar w:fldCharType="separate"/>
          </w:r>
          <w:r w:rsidR="00BE72E8">
            <w:rPr>
              <w:noProof/>
            </w:rPr>
            <w:t xml:space="preserve"> </w:t>
          </w:r>
          <w:r w:rsidR="00BE72E8" w:rsidRPr="00BE72E8">
            <w:rPr>
              <w:noProof/>
            </w:rPr>
            <w:t>(Flutter, 2007)</w:t>
          </w:r>
          <w:r w:rsidR="00BE72E8">
            <w:fldChar w:fldCharType="end"/>
          </w:r>
        </w:sdtContent>
      </w:sdt>
      <w:r w:rsidR="00BE72E8">
        <w:t xml:space="preserve">. However, based on the observed critical incident, pupil voice and participation </w:t>
      </w:r>
      <w:r w:rsidR="005200EA">
        <w:t xml:space="preserve">are both </w:t>
      </w:r>
      <w:r w:rsidR="00BE72E8">
        <w:t>still evident within classrooms. Furthermore, it is expected to play a big part in the new curriculum in Wales, as greater independent learning is to be encouraged</w:t>
      </w:r>
      <w:sdt>
        <w:sdtPr>
          <w:id w:val="206773986"/>
          <w:citation/>
        </w:sdtPr>
        <w:sdtEndPr/>
        <w:sdtContent>
          <w:r w:rsidR="00BE72E8">
            <w:fldChar w:fldCharType="begin"/>
          </w:r>
          <w:r w:rsidR="00BE72E8">
            <w:instrText xml:space="preserve"> CITATION Don15 \l 2057 </w:instrText>
          </w:r>
          <w:r w:rsidR="00BE72E8">
            <w:fldChar w:fldCharType="separate"/>
          </w:r>
          <w:r w:rsidR="00BE72E8">
            <w:rPr>
              <w:noProof/>
            </w:rPr>
            <w:t xml:space="preserve"> </w:t>
          </w:r>
          <w:r w:rsidR="00BE72E8" w:rsidRPr="00BE72E8">
            <w:rPr>
              <w:noProof/>
            </w:rPr>
            <w:t>(Donaldson, 2015)</w:t>
          </w:r>
          <w:r w:rsidR="00BE72E8">
            <w:fldChar w:fldCharType="end"/>
          </w:r>
        </w:sdtContent>
      </w:sdt>
      <w:r w:rsidR="00BE72E8">
        <w:t>.</w:t>
      </w:r>
    </w:p>
    <w:p w14:paraId="76C3C4EB" w14:textId="4F6662E2" w:rsidR="00BE72E8" w:rsidRDefault="00BE72E8"/>
    <w:p w14:paraId="46CDFC38" w14:textId="3F73F1B2" w:rsidR="001976FC" w:rsidRDefault="00B0711E">
      <w:pPr>
        <w:rPr>
          <w:b/>
          <w:u w:val="single"/>
        </w:rPr>
      </w:pPr>
      <w:r>
        <w:rPr>
          <w:b/>
          <w:u w:val="single"/>
        </w:rPr>
        <w:t>Is a sixth-form or a college environment better for learning?</w:t>
      </w:r>
    </w:p>
    <w:p w14:paraId="5E0C13A7" w14:textId="705368D5" w:rsidR="00A90DEC" w:rsidRDefault="009119EA">
      <w:r>
        <w:t>One area which currently will not be impacted by the upcoming curriculum changes in Wales in 2022 will be the provision of education for those aged sixteen and over</w:t>
      </w:r>
      <w:sdt>
        <w:sdtPr>
          <w:id w:val="-1449617524"/>
          <w:citation/>
        </w:sdtPr>
        <w:sdtEndPr/>
        <w:sdtContent>
          <w:r>
            <w:fldChar w:fldCharType="begin"/>
          </w:r>
          <w:r>
            <w:instrText xml:space="preserve"> CITATION Don15 \l 2057 </w:instrText>
          </w:r>
          <w:r>
            <w:fldChar w:fldCharType="separate"/>
          </w:r>
          <w:r>
            <w:rPr>
              <w:noProof/>
            </w:rPr>
            <w:t xml:space="preserve"> </w:t>
          </w:r>
          <w:r w:rsidRPr="009119EA">
            <w:rPr>
              <w:noProof/>
            </w:rPr>
            <w:t>(Donaldson, 2015)</w:t>
          </w:r>
          <w:r>
            <w:fldChar w:fldCharType="end"/>
          </w:r>
        </w:sdtContent>
      </w:sdt>
      <w:r>
        <w:t>. As previously mentioned, the observed critical incident occurred in a college which is designed for pupils aged 16-19</w:t>
      </w:r>
      <w:sdt>
        <w:sdtPr>
          <w:id w:val="-62256256"/>
          <w:citation/>
        </w:sdtPr>
        <w:sdtEndPr/>
        <w:sdtContent>
          <w:r w:rsidR="00300AFC">
            <w:fldChar w:fldCharType="begin"/>
          </w:r>
          <w:r w:rsidR="00300AFC">
            <w:rPr>
              <w:b/>
              <w:u w:val="single"/>
            </w:rPr>
            <w:instrText xml:space="preserve"> CITATION Lum03 \l 2057 </w:instrText>
          </w:r>
          <w:r w:rsidR="00300AFC">
            <w:fldChar w:fldCharType="separate"/>
          </w:r>
          <w:r w:rsidR="00300AFC">
            <w:rPr>
              <w:b/>
              <w:noProof/>
              <w:u w:val="single"/>
            </w:rPr>
            <w:t xml:space="preserve"> </w:t>
          </w:r>
          <w:r w:rsidR="00300AFC" w:rsidRPr="00300AFC">
            <w:rPr>
              <w:noProof/>
            </w:rPr>
            <w:t>(Lumby, 2003)</w:t>
          </w:r>
          <w:r w:rsidR="00300AFC">
            <w:fldChar w:fldCharType="end"/>
          </w:r>
        </w:sdtContent>
      </w:sdt>
      <w:r w:rsidR="00300AFC">
        <w:t>. In Wales thirty percent of publicly funded A-Level provision is provided within Colleges</w:t>
      </w:r>
      <w:sdt>
        <w:sdtPr>
          <w:id w:val="181327536"/>
          <w:citation/>
        </w:sdtPr>
        <w:sdtEndPr/>
        <w:sdtContent>
          <w:r w:rsidR="00300AFC">
            <w:fldChar w:fldCharType="begin"/>
          </w:r>
          <w:r w:rsidR="00300AFC">
            <w:instrText xml:space="preserve"> CITATION Est181 \l 2057 </w:instrText>
          </w:r>
          <w:r w:rsidR="00300AFC">
            <w:fldChar w:fldCharType="separate"/>
          </w:r>
          <w:r w:rsidR="00300AFC">
            <w:rPr>
              <w:noProof/>
            </w:rPr>
            <w:t xml:space="preserve"> </w:t>
          </w:r>
          <w:r w:rsidR="00300AFC" w:rsidRPr="00300AFC">
            <w:rPr>
              <w:noProof/>
            </w:rPr>
            <w:t>(Estyn, 2018)</w:t>
          </w:r>
          <w:r w:rsidR="00300AFC">
            <w:fldChar w:fldCharType="end"/>
          </w:r>
        </w:sdtContent>
      </w:sdt>
      <w:r w:rsidR="00300AFC">
        <w:t xml:space="preserve">.  </w:t>
      </w:r>
      <w:r>
        <w:t>However,</w:t>
      </w:r>
      <w:r w:rsidR="00300AFC">
        <w:t xml:space="preserve"> sixth-forms offer an alternative educational provision for those aged sixteen to nineteen</w:t>
      </w:r>
      <w:sdt>
        <w:sdtPr>
          <w:id w:val="-543911928"/>
          <w:citation/>
        </w:sdtPr>
        <w:sdtEndPr/>
        <w:sdtContent>
          <w:r w:rsidR="00300AFC">
            <w:fldChar w:fldCharType="begin"/>
          </w:r>
          <w:r w:rsidR="00300AFC">
            <w:instrText xml:space="preserve"> CITATION Lum03 \l 2057 </w:instrText>
          </w:r>
          <w:r w:rsidR="00300AFC">
            <w:fldChar w:fldCharType="separate"/>
          </w:r>
          <w:r w:rsidR="00300AFC">
            <w:rPr>
              <w:noProof/>
            </w:rPr>
            <w:t xml:space="preserve"> </w:t>
          </w:r>
          <w:r w:rsidR="00300AFC" w:rsidRPr="00300AFC">
            <w:rPr>
              <w:noProof/>
            </w:rPr>
            <w:t>(Lumby, 2003)</w:t>
          </w:r>
          <w:r w:rsidR="00300AFC">
            <w:fldChar w:fldCharType="end"/>
          </w:r>
        </w:sdtContent>
      </w:sdt>
      <w:r w:rsidR="00300AFC">
        <w:t>. Sixth</w:t>
      </w:r>
      <w:r w:rsidR="005200EA">
        <w:t>-</w:t>
      </w:r>
      <w:r w:rsidR="00300AFC">
        <w:t>forms</w:t>
      </w:r>
      <w:r w:rsidR="005200EA">
        <w:t>’</w:t>
      </w:r>
      <w:r w:rsidR="00300AFC">
        <w:t xml:space="preserve"> account for the further 70% of publicly funded A-Level provision within Wales</w:t>
      </w:r>
      <w:sdt>
        <w:sdtPr>
          <w:id w:val="-1842924637"/>
          <w:citation/>
        </w:sdtPr>
        <w:sdtEndPr/>
        <w:sdtContent>
          <w:r w:rsidR="00300AFC">
            <w:fldChar w:fldCharType="begin"/>
          </w:r>
          <w:r w:rsidR="00300AFC">
            <w:instrText xml:space="preserve"> CITATION Est181 \l 2057 </w:instrText>
          </w:r>
          <w:r w:rsidR="00300AFC">
            <w:fldChar w:fldCharType="separate"/>
          </w:r>
          <w:r w:rsidR="00300AFC">
            <w:rPr>
              <w:noProof/>
            </w:rPr>
            <w:t xml:space="preserve"> </w:t>
          </w:r>
          <w:r w:rsidR="00300AFC" w:rsidRPr="00300AFC">
            <w:rPr>
              <w:noProof/>
            </w:rPr>
            <w:t>(Estyn, 2018)</w:t>
          </w:r>
          <w:r w:rsidR="00300AFC">
            <w:fldChar w:fldCharType="end"/>
          </w:r>
        </w:sdtContent>
      </w:sdt>
      <w:r w:rsidR="00300AFC">
        <w:t xml:space="preserve">. </w:t>
      </w:r>
    </w:p>
    <w:p w14:paraId="270165DA" w14:textId="6C6D0EF3" w:rsidR="00592599" w:rsidRDefault="00592599"/>
    <w:p w14:paraId="3A3409B5" w14:textId="4AF1A274" w:rsidR="00A07E8C" w:rsidRDefault="00592599">
      <w:pPr>
        <w:rPr>
          <w:noProof/>
        </w:rPr>
      </w:pPr>
      <w:r>
        <w:t>One of the main differences and reason as to why there are differences between colleges’ and sixth</w:t>
      </w:r>
      <w:r w:rsidR="005200EA">
        <w:t>-</w:t>
      </w:r>
      <w:r>
        <w:t>forms’ is their origins. Colleges’ tended to evolve from former technical education sites, whilst sixth</w:t>
      </w:r>
      <w:r w:rsidR="005200EA">
        <w:t>-f</w:t>
      </w:r>
      <w:r>
        <w:t>orms’ evolved from secondary schools and grammar schools</w:t>
      </w:r>
      <w:sdt>
        <w:sdtPr>
          <w:id w:val="1029458910"/>
          <w:citation/>
        </w:sdtPr>
        <w:sdtEndPr/>
        <w:sdtContent>
          <w:r>
            <w:fldChar w:fldCharType="begin"/>
          </w:r>
          <w:r>
            <w:instrText xml:space="preserve"> CITATION Lum03 \l 2057 </w:instrText>
          </w:r>
          <w:r>
            <w:fldChar w:fldCharType="separate"/>
          </w:r>
          <w:r>
            <w:rPr>
              <w:noProof/>
            </w:rPr>
            <w:t xml:space="preserve"> </w:t>
          </w:r>
          <w:r w:rsidRPr="00592599">
            <w:rPr>
              <w:noProof/>
            </w:rPr>
            <w:t>(Lumby, 2003)</w:t>
          </w:r>
          <w:r>
            <w:fldChar w:fldCharType="end"/>
          </w:r>
        </w:sdtContent>
      </w:sdt>
      <w:r>
        <w:t>. This can be seen as College X in the critical incident offers both A-Level Provision alongside vocational courses which are more skills based</w:t>
      </w:r>
      <w:r>
        <w:rPr>
          <w:noProof/>
        </w:rPr>
        <w:t xml:space="preserve"> </w:t>
      </w:r>
      <w:r w:rsidRPr="00592599">
        <w:rPr>
          <w:noProof/>
        </w:rPr>
        <w:t>(College</w:t>
      </w:r>
      <w:r>
        <w:rPr>
          <w:noProof/>
        </w:rPr>
        <w:t xml:space="preserve"> X</w:t>
      </w:r>
      <w:r w:rsidRPr="00592599">
        <w:rPr>
          <w:noProof/>
        </w:rPr>
        <w:t>, 2019)</w:t>
      </w:r>
      <w:r>
        <w:rPr>
          <w:noProof/>
        </w:rPr>
        <w:t xml:space="preserve">. </w:t>
      </w:r>
      <w:r w:rsidR="00FA4E2D">
        <w:rPr>
          <w:noProof/>
        </w:rPr>
        <w:t>Whilst sixth forms’ tend to reflect traditions of schools</w:t>
      </w:r>
      <w:sdt>
        <w:sdtPr>
          <w:rPr>
            <w:noProof/>
          </w:rPr>
          <w:id w:val="1059438933"/>
          <w:citation/>
        </w:sdtPr>
        <w:sdtEndPr/>
        <w:sdtContent>
          <w:r w:rsidR="00FA4E2D">
            <w:rPr>
              <w:noProof/>
            </w:rPr>
            <w:fldChar w:fldCharType="begin"/>
          </w:r>
          <w:r w:rsidR="00FA4E2D">
            <w:rPr>
              <w:noProof/>
            </w:rPr>
            <w:instrText xml:space="preserve"> CITATION Lum03 \l 2057 </w:instrText>
          </w:r>
          <w:r w:rsidR="00FA4E2D">
            <w:rPr>
              <w:noProof/>
            </w:rPr>
            <w:fldChar w:fldCharType="separate"/>
          </w:r>
          <w:r w:rsidR="00FA4E2D">
            <w:rPr>
              <w:noProof/>
            </w:rPr>
            <w:t xml:space="preserve"> </w:t>
          </w:r>
          <w:r w:rsidR="00FA4E2D" w:rsidRPr="00FA4E2D">
            <w:rPr>
              <w:noProof/>
            </w:rPr>
            <w:t>(Lumby, 2003)</w:t>
          </w:r>
          <w:r w:rsidR="00FA4E2D">
            <w:rPr>
              <w:noProof/>
            </w:rPr>
            <w:fldChar w:fldCharType="end"/>
          </w:r>
        </w:sdtContent>
      </w:sdt>
      <w:r w:rsidR="00FA4E2D">
        <w:rPr>
          <w:noProof/>
        </w:rPr>
        <w:t xml:space="preserve">. </w:t>
      </w:r>
      <w:r w:rsidR="00573C83">
        <w:rPr>
          <w:noProof/>
        </w:rPr>
        <w:t>This has had lead to what Lumby 2003 described as a ‘collegey culture’ and a ‘schooly culture’</w:t>
      </w:r>
      <w:sdt>
        <w:sdtPr>
          <w:rPr>
            <w:noProof/>
          </w:rPr>
          <w:id w:val="1393925474"/>
          <w:citation/>
        </w:sdtPr>
        <w:sdtEndPr/>
        <w:sdtContent>
          <w:r w:rsidR="00573C83">
            <w:rPr>
              <w:noProof/>
            </w:rPr>
            <w:fldChar w:fldCharType="begin"/>
          </w:r>
          <w:r w:rsidR="00573C83">
            <w:rPr>
              <w:noProof/>
            </w:rPr>
            <w:instrText xml:space="preserve"> CITATION Lum03 \l 2057 </w:instrText>
          </w:r>
          <w:r w:rsidR="00573C83">
            <w:rPr>
              <w:noProof/>
            </w:rPr>
            <w:fldChar w:fldCharType="separate"/>
          </w:r>
          <w:r w:rsidR="00573C83">
            <w:rPr>
              <w:noProof/>
            </w:rPr>
            <w:t xml:space="preserve"> </w:t>
          </w:r>
          <w:r w:rsidR="00573C83" w:rsidRPr="00573C83">
            <w:rPr>
              <w:noProof/>
            </w:rPr>
            <w:t>(Lumby, 2003)</w:t>
          </w:r>
          <w:r w:rsidR="00573C83">
            <w:rPr>
              <w:noProof/>
            </w:rPr>
            <w:fldChar w:fldCharType="end"/>
          </w:r>
        </w:sdtContent>
      </w:sdt>
      <w:r w:rsidR="00573C83">
        <w:rPr>
          <w:noProof/>
        </w:rPr>
        <w:t xml:space="preserve">. A ‘collegey </w:t>
      </w:r>
      <w:r w:rsidR="00573C83">
        <w:rPr>
          <w:noProof/>
        </w:rPr>
        <w:lastRenderedPageBreak/>
        <w:t>culture’ involves staff often being a fragemneted workforce, being more relaxed in their relationships with students and also expect students to have a range of abilities and attitudes</w:t>
      </w:r>
      <w:sdt>
        <w:sdtPr>
          <w:rPr>
            <w:noProof/>
          </w:rPr>
          <w:id w:val="1719003934"/>
          <w:citation/>
        </w:sdtPr>
        <w:sdtEndPr/>
        <w:sdtContent>
          <w:r w:rsidR="00573C83">
            <w:rPr>
              <w:noProof/>
            </w:rPr>
            <w:fldChar w:fldCharType="begin"/>
          </w:r>
          <w:r w:rsidR="00573C83">
            <w:rPr>
              <w:noProof/>
            </w:rPr>
            <w:instrText xml:space="preserve"> CITATION Lum03 \l 2057 </w:instrText>
          </w:r>
          <w:r w:rsidR="00573C83">
            <w:rPr>
              <w:noProof/>
            </w:rPr>
            <w:fldChar w:fldCharType="separate"/>
          </w:r>
          <w:r w:rsidR="00573C83">
            <w:rPr>
              <w:noProof/>
            </w:rPr>
            <w:t xml:space="preserve"> </w:t>
          </w:r>
          <w:r w:rsidR="00573C83" w:rsidRPr="00573C83">
            <w:rPr>
              <w:noProof/>
            </w:rPr>
            <w:t>(Lumby, 2003)</w:t>
          </w:r>
          <w:r w:rsidR="00573C83">
            <w:rPr>
              <w:noProof/>
            </w:rPr>
            <w:fldChar w:fldCharType="end"/>
          </w:r>
        </w:sdtContent>
      </w:sdt>
      <w:r w:rsidR="00573C83">
        <w:rPr>
          <w:noProof/>
        </w:rPr>
        <w:t>. In comparison, a ‘schooly culture’ involves staff being a unified workforce, having formal relationships with pupils and expect students to have a strong work ethic</w:t>
      </w:r>
      <w:sdt>
        <w:sdtPr>
          <w:rPr>
            <w:noProof/>
          </w:rPr>
          <w:id w:val="1991982093"/>
          <w:citation/>
        </w:sdtPr>
        <w:sdtEndPr/>
        <w:sdtContent>
          <w:r w:rsidR="00573C83">
            <w:rPr>
              <w:noProof/>
            </w:rPr>
            <w:fldChar w:fldCharType="begin"/>
          </w:r>
          <w:r w:rsidR="00573C83">
            <w:rPr>
              <w:noProof/>
            </w:rPr>
            <w:instrText xml:space="preserve"> CITATION Lum03 \l 2057 </w:instrText>
          </w:r>
          <w:r w:rsidR="00573C83">
            <w:rPr>
              <w:noProof/>
            </w:rPr>
            <w:fldChar w:fldCharType="separate"/>
          </w:r>
          <w:r w:rsidR="00573C83">
            <w:rPr>
              <w:noProof/>
            </w:rPr>
            <w:t xml:space="preserve"> </w:t>
          </w:r>
          <w:r w:rsidR="00573C83" w:rsidRPr="00573C83">
            <w:rPr>
              <w:noProof/>
            </w:rPr>
            <w:t>(Lumby, 2003)</w:t>
          </w:r>
          <w:r w:rsidR="00573C83">
            <w:rPr>
              <w:noProof/>
            </w:rPr>
            <w:fldChar w:fldCharType="end"/>
          </w:r>
        </w:sdtContent>
      </w:sdt>
      <w:r w:rsidR="00573C83">
        <w:rPr>
          <w:noProof/>
        </w:rPr>
        <w:t>. This has also been found by Gardner 2007 who found that that school sixth</w:t>
      </w:r>
      <w:r w:rsidR="005200EA">
        <w:rPr>
          <w:noProof/>
        </w:rPr>
        <w:t>-</w:t>
      </w:r>
      <w:r w:rsidR="00573C83">
        <w:rPr>
          <w:noProof/>
        </w:rPr>
        <w:t>forms’ have a more aggressive nature as teachers were not able to ‘turn off’ from the disicplined approach used on younger year groups</w:t>
      </w:r>
      <w:sdt>
        <w:sdtPr>
          <w:rPr>
            <w:noProof/>
          </w:rPr>
          <w:id w:val="-1461262780"/>
          <w:citation/>
        </w:sdtPr>
        <w:sdtEndPr/>
        <w:sdtContent>
          <w:r w:rsidR="00573C83">
            <w:rPr>
              <w:noProof/>
            </w:rPr>
            <w:fldChar w:fldCharType="begin"/>
          </w:r>
          <w:r w:rsidR="00573C83">
            <w:rPr>
              <w:noProof/>
            </w:rPr>
            <w:instrText xml:space="preserve"> CITATION Gar07 \l 2057 </w:instrText>
          </w:r>
          <w:r w:rsidR="00573C83">
            <w:rPr>
              <w:noProof/>
            </w:rPr>
            <w:fldChar w:fldCharType="separate"/>
          </w:r>
          <w:r w:rsidR="00573C83">
            <w:rPr>
              <w:noProof/>
            </w:rPr>
            <w:t xml:space="preserve"> </w:t>
          </w:r>
          <w:r w:rsidR="00573C83" w:rsidRPr="00573C83">
            <w:rPr>
              <w:noProof/>
            </w:rPr>
            <w:t>(Gardner, 2007)</w:t>
          </w:r>
          <w:r w:rsidR="00573C83">
            <w:rPr>
              <w:noProof/>
            </w:rPr>
            <w:fldChar w:fldCharType="end"/>
          </w:r>
        </w:sdtContent>
      </w:sdt>
      <w:r w:rsidR="00573C83">
        <w:rPr>
          <w:noProof/>
        </w:rPr>
        <w:t>. Moreover, it has been found that staff within these institutions saw their contributions in different ways as staff within sixth</w:t>
      </w:r>
      <w:r w:rsidR="005200EA">
        <w:rPr>
          <w:noProof/>
        </w:rPr>
        <w:t>-</w:t>
      </w:r>
      <w:r w:rsidR="00573C83">
        <w:rPr>
          <w:noProof/>
        </w:rPr>
        <w:t>form’s saw progression to higher education as their biggest contributor whilst those in colleges saw it as their lowest contribution</w:t>
      </w:r>
      <w:sdt>
        <w:sdtPr>
          <w:rPr>
            <w:noProof/>
          </w:rPr>
          <w:id w:val="-1704314960"/>
          <w:citation/>
        </w:sdtPr>
        <w:sdtEndPr/>
        <w:sdtContent>
          <w:r w:rsidR="00573C83">
            <w:rPr>
              <w:noProof/>
            </w:rPr>
            <w:fldChar w:fldCharType="begin"/>
          </w:r>
          <w:r w:rsidR="00573C83">
            <w:rPr>
              <w:noProof/>
            </w:rPr>
            <w:instrText xml:space="preserve"> CITATION Gar07 \l 2057 </w:instrText>
          </w:r>
          <w:r w:rsidR="00573C83">
            <w:rPr>
              <w:noProof/>
            </w:rPr>
            <w:fldChar w:fldCharType="separate"/>
          </w:r>
          <w:r w:rsidR="00573C83">
            <w:rPr>
              <w:noProof/>
            </w:rPr>
            <w:t xml:space="preserve"> </w:t>
          </w:r>
          <w:r w:rsidR="00573C83" w:rsidRPr="00573C83">
            <w:rPr>
              <w:noProof/>
            </w:rPr>
            <w:t>(Gardner, 2007)</w:t>
          </w:r>
          <w:r w:rsidR="00573C83">
            <w:rPr>
              <w:noProof/>
            </w:rPr>
            <w:fldChar w:fldCharType="end"/>
          </w:r>
        </w:sdtContent>
      </w:sdt>
      <w:r w:rsidR="00573C83">
        <w:rPr>
          <w:noProof/>
        </w:rPr>
        <w:t>.</w:t>
      </w:r>
      <w:r w:rsidR="00E602C2">
        <w:rPr>
          <w:noProof/>
        </w:rPr>
        <w:t xml:space="preserve"> Despite, the differences between the different cultures it was found that regardless of the institution attended, young people were generally positive about their experience</w:t>
      </w:r>
      <w:sdt>
        <w:sdtPr>
          <w:rPr>
            <w:noProof/>
          </w:rPr>
          <w:id w:val="-98261970"/>
          <w:citation/>
        </w:sdtPr>
        <w:sdtEndPr/>
        <w:sdtContent>
          <w:r w:rsidR="00E602C2">
            <w:rPr>
              <w:noProof/>
            </w:rPr>
            <w:fldChar w:fldCharType="begin"/>
          </w:r>
          <w:r w:rsidR="00E602C2">
            <w:rPr>
              <w:noProof/>
            </w:rPr>
            <w:instrText xml:space="preserve"> CITATION Gar07 \l 2057 </w:instrText>
          </w:r>
          <w:r w:rsidR="00E602C2">
            <w:rPr>
              <w:noProof/>
            </w:rPr>
            <w:fldChar w:fldCharType="separate"/>
          </w:r>
          <w:r w:rsidR="00E602C2">
            <w:rPr>
              <w:noProof/>
            </w:rPr>
            <w:t xml:space="preserve"> </w:t>
          </w:r>
          <w:r w:rsidR="00E602C2" w:rsidRPr="00E602C2">
            <w:rPr>
              <w:noProof/>
            </w:rPr>
            <w:t>(Gardner, 2007)</w:t>
          </w:r>
          <w:r w:rsidR="00E602C2">
            <w:rPr>
              <w:noProof/>
            </w:rPr>
            <w:fldChar w:fldCharType="end"/>
          </w:r>
        </w:sdtContent>
      </w:sdt>
      <w:r w:rsidR="00E602C2">
        <w:rPr>
          <w:noProof/>
        </w:rPr>
        <w:t>. However, this study does not take into account sixth</w:t>
      </w:r>
      <w:r w:rsidR="005200EA">
        <w:rPr>
          <w:noProof/>
        </w:rPr>
        <w:t>-</w:t>
      </w:r>
      <w:r w:rsidR="00E602C2">
        <w:rPr>
          <w:noProof/>
        </w:rPr>
        <w:t>forms’ and colleges’ in Wales and the study was done over ten years ago.</w:t>
      </w:r>
      <w:r w:rsidR="00A07E8C">
        <w:rPr>
          <w:noProof/>
        </w:rPr>
        <w:t xml:space="preserve"> In terms of results, however, sixth forms’ have been found to help students achieve higher above their projected grades given from their GCSE attainment in comparison to Colleges’</w:t>
      </w:r>
      <w:sdt>
        <w:sdtPr>
          <w:rPr>
            <w:noProof/>
          </w:rPr>
          <w:id w:val="1811056464"/>
          <w:citation/>
        </w:sdtPr>
        <w:sdtEndPr/>
        <w:sdtContent>
          <w:r w:rsidR="00A07E8C">
            <w:rPr>
              <w:noProof/>
            </w:rPr>
            <w:fldChar w:fldCharType="begin"/>
          </w:r>
          <w:r w:rsidR="00A07E8C">
            <w:rPr>
              <w:noProof/>
            </w:rPr>
            <w:instrText xml:space="preserve"> CITATION Sto14 \l 2057 </w:instrText>
          </w:r>
          <w:r w:rsidR="00A07E8C">
            <w:rPr>
              <w:noProof/>
            </w:rPr>
            <w:fldChar w:fldCharType="separate"/>
          </w:r>
          <w:r w:rsidR="00A07E8C">
            <w:rPr>
              <w:noProof/>
            </w:rPr>
            <w:t xml:space="preserve"> </w:t>
          </w:r>
          <w:r w:rsidR="00A07E8C" w:rsidRPr="00A07E8C">
            <w:rPr>
              <w:noProof/>
            </w:rPr>
            <w:t>(Stoten, 2014)</w:t>
          </w:r>
          <w:r w:rsidR="00A07E8C">
            <w:rPr>
              <w:noProof/>
            </w:rPr>
            <w:fldChar w:fldCharType="end"/>
          </w:r>
        </w:sdtContent>
      </w:sdt>
      <w:r w:rsidR="00A07E8C">
        <w:rPr>
          <w:noProof/>
        </w:rPr>
        <w:t>. Through gaining higher grades, sixth</w:t>
      </w:r>
      <w:r w:rsidR="005200EA">
        <w:rPr>
          <w:noProof/>
        </w:rPr>
        <w:t>-</w:t>
      </w:r>
      <w:r w:rsidR="00A07E8C">
        <w:rPr>
          <w:noProof/>
        </w:rPr>
        <w:t>forms’ see eighty percent of their year thirteen leavers go to university in comparison to fourty percent of year thirteen college leavers</w:t>
      </w:r>
      <w:sdt>
        <w:sdtPr>
          <w:rPr>
            <w:noProof/>
          </w:rPr>
          <w:id w:val="-1597082954"/>
          <w:citation/>
        </w:sdtPr>
        <w:sdtEndPr/>
        <w:sdtContent>
          <w:r w:rsidR="00A07E8C">
            <w:rPr>
              <w:noProof/>
            </w:rPr>
            <w:fldChar w:fldCharType="begin"/>
          </w:r>
          <w:r w:rsidR="00A07E8C">
            <w:rPr>
              <w:noProof/>
            </w:rPr>
            <w:instrText xml:space="preserve"> CITATION Est181 \l 2057 </w:instrText>
          </w:r>
          <w:r w:rsidR="00A07E8C">
            <w:rPr>
              <w:noProof/>
            </w:rPr>
            <w:fldChar w:fldCharType="separate"/>
          </w:r>
          <w:r w:rsidR="00A07E8C">
            <w:rPr>
              <w:noProof/>
            </w:rPr>
            <w:t xml:space="preserve"> </w:t>
          </w:r>
          <w:r w:rsidR="00A07E8C" w:rsidRPr="00A07E8C">
            <w:rPr>
              <w:noProof/>
            </w:rPr>
            <w:t>(Estyn, 2018)</w:t>
          </w:r>
          <w:r w:rsidR="00A07E8C">
            <w:rPr>
              <w:noProof/>
            </w:rPr>
            <w:fldChar w:fldCharType="end"/>
          </w:r>
        </w:sdtContent>
      </w:sdt>
      <w:r w:rsidR="00A07E8C">
        <w:rPr>
          <w:noProof/>
        </w:rPr>
        <w:t>. However, it has been found that sixth</w:t>
      </w:r>
      <w:r w:rsidR="005200EA">
        <w:rPr>
          <w:noProof/>
        </w:rPr>
        <w:t>-</w:t>
      </w:r>
      <w:r w:rsidR="00A07E8C">
        <w:rPr>
          <w:noProof/>
        </w:rPr>
        <w:t>forms’ do not provide students with the skills to undertake independent learning at university</w:t>
      </w:r>
      <w:sdt>
        <w:sdtPr>
          <w:rPr>
            <w:noProof/>
          </w:rPr>
          <w:id w:val="-1467817311"/>
          <w:citation/>
        </w:sdtPr>
        <w:sdtEndPr/>
        <w:sdtContent>
          <w:r w:rsidR="00A07E8C">
            <w:rPr>
              <w:noProof/>
            </w:rPr>
            <w:fldChar w:fldCharType="begin"/>
          </w:r>
          <w:r w:rsidR="00A07E8C">
            <w:rPr>
              <w:noProof/>
            </w:rPr>
            <w:instrText xml:space="preserve"> CITATION Sto141 \l 2057 </w:instrText>
          </w:r>
          <w:r w:rsidR="00A07E8C">
            <w:rPr>
              <w:noProof/>
            </w:rPr>
            <w:fldChar w:fldCharType="separate"/>
          </w:r>
          <w:r w:rsidR="00A07E8C">
            <w:rPr>
              <w:noProof/>
            </w:rPr>
            <w:t xml:space="preserve"> </w:t>
          </w:r>
          <w:r w:rsidR="00A07E8C" w:rsidRPr="00A07E8C">
            <w:rPr>
              <w:noProof/>
            </w:rPr>
            <w:t>(Stoten, 2014)</w:t>
          </w:r>
          <w:r w:rsidR="00A07E8C">
            <w:rPr>
              <w:noProof/>
            </w:rPr>
            <w:fldChar w:fldCharType="end"/>
          </w:r>
        </w:sdtContent>
      </w:sdt>
      <w:r w:rsidR="00A07E8C">
        <w:rPr>
          <w:noProof/>
        </w:rPr>
        <w:t>. On the contrary, colleges are more effective at finding jobs for their leavers as employers have been found to view those aged seventeen to eighteen college leavers better prepared for work compared to those who went to sixth</w:t>
      </w:r>
      <w:r w:rsidR="005200EA">
        <w:rPr>
          <w:noProof/>
        </w:rPr>
        <w:t>-</w:t>
      </w:r>
      <w:r w:rsidR="00A07E8C">
        <w:rPr>
          <w:noProof/>
        </w:rPr>
        <w:t>forms’</w:t>
      </w:r>
      <w:sdt>
        <w:sdtPr>
          <w:rPr>
            <w:noProof/>
          </w:rPr>
          <w:id w:val="-1587767888"/>
          <w:citation/>
        </w:sdtPr>
        <w:sdtEndPr/>
        <w:sdtContent>
          <w:r w:rsidR="00A07E8C">
            <w:rPr>
              <w:noProof/>
            </w:rPr>
            <w:fldChar w:fldCharType="begin"/>
          </w:r>
          <w:r w:rsidR="00A07E8C">
            <w:rPr>
              <w:noProof/>
            </w:rPr>
            <w:instrText xml:space="preserve"> CITATION Ass15 \l 2057 </w:instrText>
          </w:r>
          <w:r w:rsidR="00A07E8C">
            <w:rPr>
              <w:noProof/>
            </w:rPr>
            <w:fldChar w:fldCharType="separate"/>
          </w:r>
          <w:r w:rsidR="00A07E8C">
            <w:rPr>
              <w:noProof/>
            </w:rPr>
            <w:t xml:space="preserve"> </w:t>
          </w:r>
          <w:r w:rsidR="00A07E8C" w:rsidRPr="00A07E8C">
            <w:rPr>
              <w:noProof/>
            </w:rPr>
            <w:t>(Association of Colleges, 2015)</w:t>
          </w:r>
          <w:r w:rsidR="00A07E8C">
            <w:rPr>
              <w:noProof/>
            </w:rPr>
            <w:fldChar w:fldCharType="end"/>
          </w:r>
        </w:sdtContent>
      </w:sdt>
      <w:r w:rsidR="00A07E8C">
        <w:rPr>
          <w:noProof/>
        </w:rPr>
        <w:t>. This was illustrated within College X as pupil voice and independent learning was evident.</w:t>
      </w:r>
    </w:p>
    <w:p w14:paraId="308391B8" w14:textId="427A017B" w:rsidR="00300AFC" w:rsidRDefault="00300AFC"/>
    <w:p w14:paraId="5D97AA04" w14:textId="4BFBB7BD" w:rsidR="00300AFC" w:rsidRDefault="002946B1">
      <w:pPr>
        <w:rPr>
          <w:b/>
          <w:u w:val="single"/>
        </w:rPr>
      </w:pPr>
      <w:r>
        <w:rPr>
          <w:b/>
          <w:u w:val="single"/>
        </w:rPr>
        <w:t>Reflection</w:t>
      </w:r>
    </w:p>
    <w:p w14:paraId="12C4A002" w14:textId="2E61B5E9" w:rsidR="002946B1" w:rsidRDefault="002946B1">
      <w:r>
        <w:t xml:space="preserve">Despite, </w:t>
      </w:r>
      <w:r w:rsidR="00E723F1">
        <w:t>doing critical incident analysis</w:t>
      </w:r>
      <w:r>
        <w:t xml:space="preserve"> and </w:t>
      </w:r>
      <w:r w:rsidR="00E723F1">
        <w:t>identifying</w:t>
      </w:r>
      <w:r>
        <w:t xml:space="preserve"> three key themes from the incident, there were many other themes which could have been discussed based on other observations and incidents within the classroom setting (see Appendix). However, </w:t>
      </w:r>
      <w:r w:rsidR="00E723F1">
        <w:t>similar themes are apparent in the classroom, such as use of mobile phones</w:t>
      </w:r>
      <w:r>
        <w:t xml:space="preserve"> (see Appendix). </w:t>
      </w:r>
      <w:r w:rsidR="00AE044C">
        <w:t>Although</w:t>
      </w:r>
      <w:r>
        <w:t xml:space="preserve">, </w:t>
      </w:r>
      <w:r w:rsidR="00E723F1">
        <w:t>it is not just pupils who get distracted by technology</w:t>
      </w:r>
      <w:r>
        <w:t>,</w:t>
      </w:r>
      <w:r w:rsidR="00E723F1">
        <w:t xml:space="preserve"> as</w:t>
      </w:r>
      <w:r>
        <w:t xml:space="preserve"> one of the observed teachers </w:t>
      </w:r>
      <w:r w:rsidR="00E723F1">
        <w:t>were</w:t>
      </w:r>
      <w:r>
        <w:t xml:space="preserve"> distracted by their computer</w:t>
      </w:r>
      <w:r w:rsidR="00E723F1">
        <w:t>. This resulted in them</w:t>
      </w:r>
      <w:r>
        <w:t xml:space="preserve"> not notic</w:t>
      </w:r>
      <w:r w:rsidR="00E723F1">
        <w:t>ing that</w:t>
      </w:r>
      <w:r>
        <w:t xml:space="preserve"> pupils had finished their work (see Appendix). Other observations could potentially further look into the differences between colleges and sixth forms. This is due to a few incidents which would look at the less formal relationship between staff and pupils, with pupils being able to leave the classroom whenever they please (see appendix), as well as one of the teachers apologising to a pupil for speaking before them (see Appendix).</w:t>
      </w:r>
      <w:r w:rsidR="00AE044C">
        <w:t xml:space="preserve"> A further theme could focus on different teaching methods, as an observed teacher tried to teach individual pupils by speaking to them at eye-contact level compared to a usual method of direct teaching a whole class (see Appendix). </w:t>
      </w:r>
    </w:p>
    <w:p w14:paraId="6A03083A" w14:textId="115F8964" w:rsidR="004339C3" w:rsidRDefault="004339C3"/>
    <w:p w14:paraId="19267F85" w14:textId="79CBA49E" w:rsidR="004339C3" w:rsidRDefault="004339C3">
      <w:r>
        <w:t>Based on the observations and literature review, some potential suggestions could be made for the next learning and teaching steps</w:t>
      </w:r>
      <w:r w:rsidR="00FE3BC5">
        <w:t xml:space="preserve"> for all students doing A-Levels within College X</w:t>
      </w:r>
      <w:r>
        <w:t>. Firstly, as mobile phones can provide a distraction to pupils</w:t>
      </w:r>
      <w:sdt>
        <w:sdtPr>
          <w:id w:val="-2129464688"/>
          <w:citation/>
        </w:sdtPr>
        <w:sdtEndPr/>
        <w:sdtContent>
          <w:r>
            <w:fldChar w:fldCharType="begin"/>
          </w:r>
          <w:r>
            <w:instrText xml:space="preserve"> CITATION McL12 \l 2057 </w:instrText>
          </w:r>
          <w:r>
            <w:fldChar w:fldCharType="separate"/>
          </w:r>
          <w:r>
            <w:rPr>
              <w:noProof/>
            </w:rPr>
            <w:t xml:space="preserve"> </w:t>
          </w:r>
          <w:r w:rsidRPr="004339C3">
            <w:rPr>
              <w:noProof/>
            </w:rPr>
            <w:t>(McLeod, et al., 2012)</w:t>
          </w:r>
          <w:r>
            <w:fldChar w:fldCharType="end"/>
          </w:r>
        </w:sdtContent>
      </w:sdt>
      <w:r>
        <w:t xml:space="preserve"> within the classroom, I would suggest that they are at least not allowed out in a classroom setting, unless instructed by a teacher. Despite, the benefits where mobile phones can help integrate a wider range of teaching styles</w:t>
      </w:r>
      <w:sdt>
        <w:sdtPr>
          <w:id w:val="-935822261"/>
          <w:citation/>
        </w:sdtPr>
        <w:sdtEndPr/>
        <w:sdtContent>
          <w:r>
            <w:fldChar w:fldCharType="begin"/>
          </w:r>
          <w:r>
            <w:instrText xml:space="preserve"> CITATION McL12 \l 2057 </w:instrText>
          </w:r>
          <w:r>
            <w:fldChar w:fldCharType="separate"/>
          </w:r>
          <w:r>
            <w:rPr>
              <w:noProof/>
            </w:rPr>
            <w:t xml:space="preserve"> </w:t>
          </w:r>
          <w:r w:rsidRPr="004339C3">
            <w:rPr>
              <w:noProof/>
            </w:rPr>
            <w:t>(McLeod, et al., 2012)</w:t>
          </w:r>
          <w:r>
            <w:fldChar w:fldCharType="end"/>
          </w:r>
        </w:sdtContent>
      </w:sdt>
      <w:r>
        <w:t xml:space="preserve">, I believe based on my </w:t>
      </w:r>
      <w:r>
        <w:lastRenderedPageBreak/>
        <w:t xml:space="preserve">observations that they provide too much a distraction at college level. </w:t>
      </w:r>
      <w:r w:rsidR="00E723F1">
        <w:t>However</w:t>
      </w:r>
      <w:r>
        <w:t>, this would require a college wide policy as it is the principal of the college who decides educational matters within a college</w:t>
      </w:r>
      <w:sdt>
        <w:sdtPr>
          <w:id w:val="2080254855"/>
          <w:citation/>
        </w:sdtPr>
        <w:sdtEndPr/>
        <w:sdtContent>
          <w:r>
            <w:fldChar w:fldCharType="begin"/>
          </w:r>
          <w:r>
            <w:instrText xml:space="preserve"> CITATION Hil17 \l 2057 </w:instrText>
          </w:r>
          <w:r>
            <w:fldChar w:fldCharType="separate"/>
          </w:r>
          <w:r>
            <w:rPr>
              <w:noProof/>
            </w:rPr>
            <w:t xml:space="preserve"> </w:t>
          </w:r>
          <w:r w:rsidRPr="004339C3">
            <w:rPr>
              <w:noProof/>
            </w:rPr>
            <w:t>(Hill &amp; James, 2017)</w:t>
          </w:r>
          <w:r>
            <w:fldChar w:fldCharType="end"/>
          </w:r>
        </w:sdtContent>
      </w:sdt>
      <w:r>
        <w:t xml:space="preserve">. </w:t>
      </w:r>
      <w:r w:rsidR="00E723F1">
        <w:t>Additionally</w:t>
      </w:r>
      <w:r w:rsidR="005360D1">
        <w:t>, the issue of a ‘</w:t>
      </w:r>
      <w:proofErr w:type="spellStart"/>
      <w:r w:rsidR="005360D1">
        <w:t>collegey</w:t>
      </w:r>
      <w:proofErr w:type="spellEnd"/>
      <w:r w:rsidR="005360D1">
        <w:t xml:space="preserve"> culture’</w:t>
      </w:r>
      <w:sdt>
        <w:sdtPr>
          <w:id w:val="1414045738"/>
          <w:citation/>
        </w:sdtPr>
        <w:sdtEndPr/>
        <w:sdtContent>
          <w:r w:rsidR="005360D1">
            <w:fldChar w:fldCharType="begin"/>
          </w:r>
          <w:r w:rsidR="005360D1">
            <w:instrText xml:space="preserve"> CITATION Lum03 \l 2057 </w:instrText>
          </w:r>
          <w:r w:rsidR="005360D1">
            <w:fldChar w:fldCharType="separate"/>
          </w:r>
          <w:r w:rsidR="005360D1">
            <w:rPr>
              <w:noProof/>
            </w:rPr>
            <w:t xml:space="preserve"> </w:t>
          </w:r>
          <w:r w:rsidR="005360D1" w:rsidRPr="005360D1">
            <w:rPr>
              <w:noProof/>
            </w:rPr>
            <w:t>(Lumby, 2003)</w:t>
          </w:r>
          <w:r w:rsidR="005360D1">
            <w:fldChar w:fldCharType="end"/>
          </w:r>
        </w:sdtContent>
      </w:sdt>
      <w:r w:rsidR="005360D1">
        <w:t xml:space="preserve"> makes this difficult to implement this type of policy within College X due to the less formal relationship between staff and pupils</w:t>
      </w:r>
      <w:sdt>
        <w:sdtPr>
          <w:id w:val="-1435435465"/>
          <w:citation/>
        </w:sdtPr>
        <w:sdtEndPr/>
        <w:sdtContent>
          <w:r w:rsidR="00E723F1">
            <w:fldChar w:fldCharType="begin"/>
          </w:r>
          <w:r w:rsidR="00E723F1">
            <w:instrText xml:space="preserve"> CITATION Lum03 \l 2057 </w:instrText>
          </w:r>
          <w:r w:rsidR="00E723F1">
            <w:fldChar w:fldCharType="separate"/>
          </w:r>
          <w:r w:rsidR="00E723F1">
            <w:rPr>
              <w:noProof/>
            </w:rPr>
            <w:t xml:space="preserve"> </w:t>
          </w:r>
          <w:r w:rsidR="00E723F1" w:rsidRPr="00E723F1">
            <w:rPr>
              <w:noProof/>
            </w:rPr>
            <w:t>(Lumby, 2003)</w:t>
          </w:r>
          <w:r w:rsidR="00E723F1">
            <w:fldChar w:fldCharType="end"/>
          </w:r>
        </w:sdtContent>
      </w:sdt>
      <w:r w:rsidR="00E723F1">
        <w:t>.</w:t>
      </w:r>
      <w:r w:rsidR="005360D1">
        <w:t xml:space="preserve"> </w:t>
      </w:r>
      <w:r w:rsidR="00E723F1">
        <w:t>Furthermore,</w:t>
      </w:r>
      <w:r w:rsidR="005360D1">
        <w:t xml:space="preserve"> as staff </w:t>
      </w:r>
      <w:r w:rsidR="00E723F1">
        <w:t xml:space="preserve">are a </w:t>
      </w:r>
      <w:r w:rsidR="005360D1">
        <w:t>fragmented workforce</w:t>
      </w:r>
      <w:sdt>
        <w:sdtPr>
          <w:id w:val="1164669679"/>
          <w:citation/>
        </w:sdtPr>
        <w:sdtEndPr/>
        <w:sdtContent>
          <w:r w:rsidR="00AD244E">
            <w:fldChar w:fldCharType="begin"/>
          </w:r>
          <w:r w:rsidR="00AD244E">
            <w:instrText xml:space="preserve"> CITATION Lum03 \l 2057 </w:instrText>
          </w:r>
          <w:r w:rsidR="00AD244E">
            <w:fldChar w:fldCharType="separate"/>
          </w:r>
          <w:r w:rsidR="00AD244E">
            <w:rPr>
              <w:noProof/>
            </w:rPr>
            <w:t xml:space="preserve"> </w:t>
          </w:r>
          <w:r w:rsidR="00AD244E" w:rsidRPr="00AD244E">
            <w:rPr>
              <w:noProof/>
            </w:rPr>
            <w:t>(Lumby, 2003)</w:t>
          </w:r>
          <w:r w:rsidR="00AD244E">
            <w:fldChar w:fldCharType="end"/>
          </w:r>
        </w:sdtContent>
      </w:sdt>
      <w:r w:rsidR="005360D1">
        <w:t xml:space="preserve">, </w:t>
      </w:r>
      <w:r w:rsidR="00E723F1">
        <w:t>this</w:t>
      </w:r>
      <w:r w:rsidR="005360D1">
        <w:t xml:space="preserve"> could make consistency of a new rule difficult to implement. This is why, to accompany the ban of mobile phones within a classroom setting, I would also suggest that the college tries to adopt a culture change towards a ‘</w:t>
      </w:r>
      <w:proofErr w:type="spellStart"/>
      <w:r w:rsidR="005360D1">
        <w:t>schooly</w:t>
      </w:r>
      <w:proofErr w:type="spellEnd"/>
      <w:r w:rsidR="005360D1">
        <w:t xml:space="preserve"> culture’ </w:t>
      </w:r>
      <w:sdt>
        <w:sdtPr>
          <w:id w:val="223812568"/>
          <w:citation/>
        </w:sdtPr>
        <w:sdtEndPr/>
        <w:sdtContent>
          <w:r w:rsidR="005360D1">
            <w:fldChar w:fldCharType="begin"/>
          </w:r>
          <w:r w:rsidR="005360D1">
            <w:instrText xml:space="preserve"> CITATION Lum03 \l 2057 </w:instrText>
          </w:r>
          <w:r w:rsidR="005360D1">
            <w:fldChar w:fldCharType="separate"/>
          </w:r>
          <w:r w:rsidR="005360D1" w:rsidRPr="005360D1">
            <w:rPr>
              <w:noProof/>
            </w:rPr>
            <w:t>(Lumby, 2003)</w:t>
          </w:r>
          <w:r w:rsidR="005360D1">
            <w:fldChar w:fldCharType="end"/>
          </w:r>
        </w:sdtContent>
      </w:sdt>
      <w:r w:rsidR="005360D1">
        <w:t>.</w:t>
      </w:r>
      <w:r w:rsidR="00057837">
        <w:t xml:space="preserve"> By adopting a ‘</w:t>
      </w:r>
      <w:proofErr w:type="spellStart"/>
      <w:r w:rsidR="00057837">
        <w:t>schooly</w:t>
      </w:r>
      <w:proofErr w:type="spellEnd"/>
      <w:r w:rsidR="00057837">
        <w:t>’ culture this would mean that staff are held together more tightly</w:t>
      </w:r>
      <w:sdt>
        <w:sdtPr>
          <w:id w:val="683556558"/>
          <w:citation/>
        </w:sdtPr>
        <w:sdtEndPr/>
        <w:sdtContent>
          <w:r w:rsidR="00057837">
            <w:fldChar w:fldCharType="begin"/>
          </w:r>
          <w:r w:rsidR="00057837">
            <w:instrText xml:space="preserve"> CITATION Lum03 \l 2057 </w:instrText>
          </w:r>
          <w:r w:rsidR="00057837">
            <w:fldChar w:fldCharType="separate"/>
          </w:r>
          <w:r w:rsidR="00057837">
            <w:rPr>
              <w:noProof/>
            </w:rPr>
            <w:t xml:space="preserve"> </w:t>
          </w:r>
          <w:r w:rsidR="00057837" w:rsidRPr="00057837">
            <w:rPr>
              <w:noProof/>
            </w:rPr>
            <w:t>(Lumby, 2003)</w:t>
          </w:r>
          <w:r w:rsidR="00057837">
            <w:fldChar w:fldCharType="end"/>
          </w:r>
        </w:sdtContent>
      </w:sdt>
      <w:r w:rsidR="00057837">
        <w:t>, meaning that it is possible that rules would be more likely to be reinforced across the college and that relationships between staff and pupils would be more formal</w:t>
      </w:r>
      <w:sdt>
        <w:sdtPr>
          <w:id w:val="182713275"/>
          <w:citation/>
        </w:sdtPr>
        <w:sdtEndPr/>
        <w:sdtContent>
          <w:r w:rsidR="00057837">
            <w:fldChar w:fldCharType="begin"/>
          </w:r>
          <w:r w:rsidR="00057837">
            <w:instrText xml:space="preserve"> CITATION Lum03 \l 2057 </w:instrText>
          </w:r>
          <w:r w:rsidR="00057837">
            <w:fldChar w:fldCharType="separate"/>
          </w:r>
          <w:r w:rsidR="00057837">
            <w:rPr>
              <w:noProof/>
            </w:rPr>
            <w:t xml:space="preserve"> </w:t>
          </w:r>
          <w:r w:rsidR="00057837" w:rsidRPr="00057837">
            <w:rPr>
              <w:noProof/>
            </w:rPr>
            <w:t>(Lumby, 2003)</w:t>
          </w:r>
          <w:r w:rsidR="00057837">
            <w:fldChar w:fldCharType="end"/>
          </w:r>
        </w:sdtContent>
      </w:sdt>
      <w:r w:rsidR="00057837">
        <w:t>. This, I believe, would improve educational attainment within the college a</w:t>
      </w:r>
      <w:r w:rsidR="00E723F1">
        <w:t xml:space="preserve">longside the </w:t>
      </w:r>
      <w:r w:rsidR="00057837">
        <w:t>expec</w:t>
      </w:r>
      <w:r w:rsidR="00E723F1">
        <w:t>tation of pupils</w:t>
      </w:r>
      <w:r w:rsidR="00057837">
        <w:t xml:space="preserve"> to show a good work ethic</w:t>
      </w:r>
      <w:sdt>
        <w:sdtPr>
          <w:id w:val="1241754251"/>
          <w:citation/>
        </w:sdtPr>
        <w:sdtEndPr/>
        <w:sdtContent>
          <w:r w:rsidR="00057837">
            <w:fldChar w:fldCharType="begin"/>
          </w:r>
          <w:r w:rsidR="00057837">
            <w:instrText xml:space="preserve"> CITATION Lum03 \l 2057 </w:instrText>
          </w:r>
          <w:r w:rsidR="00057837">
            <w:fldChar w:fldCharType="separate"/>
          </w:r>
          <w:r w:rsidR="00057837">
            <w:rPr>
              <w:noProof/>
            </w:rPr>
            <w:t xml:space="preserve"> </w:t>
          </w:r>
          <w:r w:rsidR="00057837" w:rsidRPr="00057837">
            <w:rPr>
              <w:noProof/>
            </w:rPr>
            <w:t>(Lumby, 2003)</w:t>
          </w:r>
          <w:r w:rsidR="00057837">
            <w:fldChar w:fldCharType="end"/>
          </w:r>
        </w:sdtContent>
      </w:sdt>
      <w:r w:rsidR="00E723F1">
        <w:t>. This</w:t>
      </w:r>
      <w:r w:rsidR="00057837">
        <w:t xml:space="preserve"> could increase the percentage of students going to university from colleges in Wales. However, this approach could give more power to teachers and see a reduction in pupil power and voice. </w:t>
      </w:r>
    </w:p>
    <w:p w14:paraId="1147241C" w14:textId="18B19B3E" w:rsidR="00AD244E" w:rsidRDefault="00AD244E"/>
    <w:p w14:paraId="709D5563" w14:textId="7B36180D" w:rsidR="00AD244E" w:rsidRDefault="00AD244E">
      <w:r>
        <w:t>This study has only been achievable through the use of the Assisted Reflective Conclusions (ARC) model (see Appendix). The ARC model requires me as a teacher to mention my feelings towards an experience, remember it and understand the experience, evaluate and analyse the experience and conclude and suggest actions towards the incident. The ARC model is very similar to Kolb’s Learning Cycle</w:t>
      </w:r>
      <w:sdt>
        <w:sdtPr>
          <w:id w:val="625825452"/>
          <w:citation/>
        </w:sdtPr>
        <w:sdtEndPr/>
        <w:sdtContent>
          <w:r>
            <w:fldChar w:fldCharType="begin"/>
          </w:r>
          <w:r>
            <w:instrText xml:space="preserve"> CITATION Kol84 \l 2057 </w:instrText>
          </w:r>
          <w:r>
            <w:fldChar w:fldCharType="separate"/>
          </w:r>
          <w:r>
            <w:rPr>
              <w:noProof/>
            </w:rPr>
            <w:t xml:space="preserve"> </w:t>
          </w:r>
          <w:r w:rsidRPr="00AD244E">
            <w:rPr>
              <w:noProof/>
            </w:rPr>
            <w:t>(Kolb, 1984)</w:t>
          </w:r>
          <w:r>
            <w:fldChar w:fldCharType="end"/>
          </w:r>
        </w:sdtContent>
      </w:sdt>
      <w:r>
        <w:t>. This was all achieved through reflecting on my observed critical incident. This links to the new curriculum and my own personal development as a teacher as by reflecting and having an openness to challenge my own practise, this can help develop my own pedagogy</w:t>
      </w:r>
      <w:sdt>
        <w:sdtPr>
          <w:id w:val="-1347554755"/>
          <w:citation/>
        </w:sdtPr>
        <w:sdtEndPr/>
        <w:sdtContent>
          <w:r>
            <w:fldChar w:fldCharType="begin"/>
          </w:r>
          <w:r>
            <w:instrText xml:space="preserve"> CITATION Wel171 \l 2057 </w:instrText>
          </w:r>
          <w:r>
            <w:fldChar w:fldCharType="separate"/>
          </w:r>
          <w:r>
            <w:rPr>
              <w:noProof/>
            </w:rPr>
            <w:t xml:space="preserve"> </w:t>
          </w:r>
          <w:r w:rsidRPr="00AD244E">
            <w:rPr>
              <w:noProof/>
            </w:rPr>
            <w:t>(Welsh Government, 2017)</w:t>
          </w:r>
          <w:r>
            <w:fldChar w:fldCharType="end"/>
          </w:r>
        </w:sdtContent>
      </w:sdt>
      <w:r>
        <w:t xml:space="preserve"> and be able to embrace new ideas based on the newest research</w:t>
      </w:r>
      <w:sdt>
        <w:sdtPr>
          <w:id w:val="-1119063631"/>
          <w:citation/>
        </w:sdtPr>
        <w:sdtEndPr/>
        <w:sdtContent>
          <w:r>
            <w:fldChar w:fldCharType="begin"/>
          </w:r>
          <w:r>
            <w:instrText xml:space="preserve"> CITATION Wel171 \l 2057 </w:instrText>
          </w:r>
          <w:r>
            <w:fldChar w:fldCharType="separate"/>
          </w:r>
          <w:r>
            <w:rPr>
              <w:noProof/>
            </w:rPr>
            <w:t xml:space="preserve"> </w:t>
          </w:r>
          <w:r w:rsidRPr="00AD244E">
            <w:rPr>
              <w:noProof/>
            </w:rPr>
            <w:t>(Welsh Government, 2017)</w:t>
          </w:r>
          <w:r>
            <w:fldChar w:fldCharType="end"/>
          </w:r>
        </w:sdtContent>
      </w:sdt>
      <w:r>
        <w:t>. Through using the ARC model, it has helped me identify barriers to learning within College X and help me identify the type of teacher I would like to be  Furthermore, through reflection, this will help me look to embed cross-curricular responsibilities and Welsh Language Skills which can benefit me in everyday life in Wales whilst encouraging innovation within the classroom.</w:t>
      </w:r>
    </w:p>
    <w:p w14:paraId="3DAEC022" w14:textId="740DC00D" w:rsidR="00AD244E" w:rsidRDefault="00AD244E"/>
    <w:p w14:paraId="4E8D9B8C" w14:textId="77777777" w:rsidR="00AD244E" w:rsidRPr="002946B1" w:rsidRDefault="00AD244E"/>
    <w:p w14:paraId="73549158" w14:textId="0563819F" w:rsidR="002946B1" w:rsidRDefault="00FE3BC5">
      <w:pPr>
        <w:rPr>
          <w:b/>
          <w:u w:val="single"/>
        </w:rPr>
      </w:pPr>
      <w:r>
        <w:rPr>
          <w:b/>
          <w:u w:val="single"/>
        </w:rPr>
        <w:t>Conclusion</w:t>
      </w:r>
    </w:p>
    <w:p w14:paraId="38FDADCE" w14:textId="147734DE" w:rsidR="00FE3BC5" w:rsidRDefault="00FE3BC5">
      <w:r>
        <w:t>To conclude, in order to identify the next teaching and learning steps based on an observed critical incident, the following process occurred based on the ARC model. Observations occurred within College X to look for a potential critical incident, after doing the observations a critical incident was created after analysing the observations. Then a literature review was written</w:t>
      </w:r>
      <w:r w:rsidR="0029510F">
        <w:t xml:space="preserve"> based on three key themes which stemmed from the observed critical incident. Following on </w:t>
      </w:r>
      <w:r>
        <w:t>a reflection, on what else could be looked at and how the incident can help inform the next teaching and learning steps within College X for A-Level Students as well as my own personal and professional development</w:t>
      </w:r>
      <w:r w:rsidR="0029510F">
        <w:t xml:space="preserve"> was created</w:t>
      </w:r>
      <w:r>
        <w:t xml:space="preserve">. By using this approach, this links to the new Professional standards for Teaching and Leadership within schools in Wales as through reflection, leadership can help pedagogy to grow within a school, pedagogy </w:t>
      </w:r>
      <w:r w:rsidR="0029510F">
        <w:t>can also develop and</w:t>
      </w:r>
      <w:r>
        <w:t xml:space="preserve"> go deeper, innovation</w:t>
      </w:r>
      <w:r w:rsidR="0029510F">
        <w:t xml:space="preserve"> then can move </w:t>
      </w:r>
      <w:r>
        <w:t xml:space="preserve">pedagogy forward and collaboration </w:t>
      </w:r>
      <w:r w:rsidR="0029510F">
        <w:t>can</w:t>
      </w:r>
      <w:r>
        <w:t xml:space="preserve"> help good pedagogy to spread quicker according to the Welsh Government</w:t>
      </w:r>
      <w:sdt>
        <w:sdtPr>
          <w:id w:val="918831620"/>
          <w:citation/>
        </w:sdtPr>
        <w:sdtEndPr/>
        <w:sdtContent>
          <w:r>
            <w:fldChar w:fldCharType="begin"/>
          </w:r>
          <w:r>
            <w:instrText xml:space="preserve"> CITATION Wel171 \l 2057 </w:instrText>
          </w:r>
          <w:r>
            <w:fldChar w:fldCharType="separate"/>
          </w:r>
          <w:r>
            <w:rPr>
              <w:noProof/>
            </w:rPr>
            <w:t xml:space="preserve"> </w:t>
          </w:r>
          <w:r w:rsidRPr="00FE3BC5">
            <w:rPr>
              <w:noProof/>
            </w:rPr>
            <w:t>(Welsh Government, 2017)</w:t>
          </w:r>
          <w:r>
            <w:fldChar w:fldCharType="end"/>
          </w:r>
        </w:sdtContent>
      </w:sdt>
      <w:r>
        <w:t xml:space="preserve">. The reasoning for a reflective model, is to </w:t>
      </w:r>
      <w:r>
        <w:lastRenderedPageBreak/>
        <w:t>help to improve</w:t>
      </w:r>
      <w:r w:rsidR="0029510F">
        <w:t xml:space="preserve"> teacher’s practise which in turn can improve</w:t>
      </w:r>
      <w:r>
        <w:t xml:space="preserve"> Wales’s education system</w:t>
      </w:r>
      <w:r w:rsidR="0029510F">
        <w:t xml:space="preserve">. This will </w:t>
      </w:r>
      <w:r>
        <w:t xml:space="preserve">help successfully embed the new </w:t>
      </w:r>
      <w:r w:rsidR="00435CCC">
        <w:t>curriculum,</w:t>
      </w:r>
      <w:r>
        <w:t xml:space="preserve"> which is focused on flexibility, a blend of learning styles and developing good pedagogy</w:t>
      </w:r>
      <w:sdt>
        <w:sdtPr>
          <w:id w:val="1926843784"/>
          <w:citation/>
        </w:sdtPr>
        <w:sdtEndPr/>
        <w:sdtContent>
          <w:r>
            <w:fldChar w:fldCharType="begin"/>
          </w:r>
          <w:r>
            <w:instrText xml:space="preserve"> CITATION Don15 \l 2057 </w:instrText>
          </w:r>
          <w:r>
            <w:fldChar w:fldCharType="separate"/>
          </w:r>
          <w:r>
            <w:rPr>
              <w:noProof/>
            </w:rPr>
            <w:t xml:space="preserve"> </w:t>
          </w:r>
          <w:r w:rsidRPr="00FE3BC5">
            <w:rPr>
              <w:noProof/>
            </w:rPr>
            <w:t>(Donaldson, 2015)</w:t>
          </w:r>
          <w:r>
            <w:fldChar w:fldCharType="end"/>
          </w:r>
        </w:sdtContent>
      </w:sdt>
      <w:r>
        <w:t>. The use of a Professional Learning Passport where the reflective process will be achieved continuously will help all teachers in Wales grow professionally</w:t>
      </w:r>
      <w:sdt>
        <w:sdtPr>
          <w:id w:val="1439796529"/>
          <w:citation/>
        </w:sdtPr>
        <w:sdtEndPr/>
        <w:sdtContent>
          <w:r>
            <w:fldChar w:fldCharType="begin"/>
          </w:r>
          <w:r>
            <w:instrText xml:space="preserve"> CITATION Wel171 \l 2057 </w:instrText>
          </w:r>
          <w:r>
            <w:fldChar w:fldCharType="separate"/>
          </w:r>
          <w:r>
            <w:rPr>
              <w:noProof/>
            </w:rPr>
            <w:t xml:space="preserve"> </w:t>
          </w:r>
          <w:r w:rsidRPr="00FE3BC5">
            <w:rPr>
              <w:noProof/>
            </w:rPr>
            <w:t>(Welsh Government, 2017)</w:t>
          </w:r>
          <w:r>
            <w:fldChar w:fldCharType="end"/>
          </w:r>
        </w:sdtContent>
      </w:sdt>
      <w:r>
        <w:t xml:space="preserve"> . Furthermore, this will enable teachers to take responsibility for their own teaching</w:t>
      </w:r>
      <w:sdt>
        <w:sdtPr>
          <w:id w:val="1994991562"/>
          <w:citation/>
        </w:sdtPr>
        <w:sdtEndPr/>
        <w:sdtContent>
          <w:r>
            <w:fldChar w:fldCharType="begin"/>
          </w:r>
          <w:r>
            <w:instrText xml:space="preserve"> CITATION Wel171 \l 2057 </w:instrText>
          </w:r>
          <w:r>
            <w:fldChar w:fldCharType="separate"/>
          </w:r>
          <w:r>
            <w:rPr>
              <w:noProof/>
            </w:rPr>
            <w:t xml:space="preserve"> </w:t>
          </w:r>
          <w:r w:rsidRPr="00FE3BC5">
            <w:rPr>
              <w:noProof/>
            </w:rPr>
            <w:t>(Welsh Government, 2017)</w:t>
          </w:r>
          <w:r>
            <w:fldChar w:fldCharType="end"/>
          </w:r>
        </w:sdtContent>
      </w:sdt>
      <w:r>
        <w:t xml:space="preserve"> and help improve standards within Wales. This report has identified how the reflective process of teaching practise can help improve teaching standards along the scale of classroom to all of Wales.</w:t>
      </w:r>
    </w:p>
    <w:p w14:paraId="28AFB2D7" w14:textId="776CBB0B" w:rsidR="00F72C46" w:rsidRDefault="00F72C46"/>
    <w:sdt>
      <w:sdtPr>
        <w:rPr>
          <w:rFonts w:asciiTheme="minorHAnsi" w:eastAsiaTheme="minorHAnsi" w:hAnsiTheme="minorHAnsi" w:cstheme="minorBidi"/>
          <w:b w:val="0"/>
          <w:bCs w:val="0"/>
          <w:color w:val="auto"/>
          <w:sz w:val="24"/>
          <w:szCs w:val="24"/>
          <w:lang w:val="en-GB" w:bidi="ar-SA"/>
        </w:rPr>
        <w:id w:val="1278057556"/>
        <w:docPartObj>
          <w:docPartGallery w:val="Bibliographies"/>
          <w:docPartUnique/>
        </w:docPartObj>
      </w:sdtPr>
      <w:sdtEndPr/>
      <w:sdtContent>
        <w:p w14:paraId="5B346A44" w14:textId="4A976151" w:rsidR="00F72C46" w:rsidRDefault="00F72C46">
          <w:pPr>
            <w:pStyle w:val="Heading1"/>
          </w:pPr>
          <w:r>
            <w:t>Reference List</w:t>
          </w:r>
        </w:p>
        <w:sdt>
          <w:sdtPr>
            <w:id w:val="111145805"/>
            <w:bibliography/>
          </w:sdtPr>
          <w:sdtEndPr/>
          <w:sdtContent>
            <w:p w14:paraId="61343948" w14:textId="77777777" w:rsidR="00F72C46" w:rsidRDefault="00F72C46" w:rsidP="00F72C46">
              <w:pPr>
                <w:pStyle w:val="Bibliography"/>
                <w:rPr>
                  <w:noProof/>
                  <w:lang w:val="en-US"/>
                </w:rPr>
              </w:pPr>
              <w:r>
                <w:fldChar w:fldCharType="begin"/>
              </w:r>
              <w:r>
                <w:instrText xml:space="preserve"> BIBLIOGRAPHY </w:instrText>
              </w:r>
              <w:r>
                <w:fldChar w:fldCharType="separate"/>
              </w:r>
              <w:r>
                <w:rPr>
                  <w:noProof/>
                  <w:lang w:val="en-US"/>
                </w:rPr>
                <w:t xml:space="preserve">Association of Colleges, 2015. </w:t>
              </w:r>
              <w:r>
                <w:rPr>
                  <w:i/>
                  <w:iCs/>
                  <w:noProof/>
                  <w:lang w:val="en-US"/>
                </w:rPr>
                <w:t xml:space="preserve">College Key Facts 2014/2015, </w:t>
              </w:r>
              <w:r>
                <w:rPr>
                  <w:noProof/>
                  <w:lang w:val="en-US"/>
                </w:rPr>
                <w:t>London: Association of Colleges.</w:t>
              </w:r>
            </w:p>
            <w:p w14:paraId="2B866C54" w14:textId="77777777" w:rsidR="00F72C46" w:rsidRDefault="00F72C46" w:rsidP="00F72C46">
              <w:pPr>
                <w:pStyle w:val="Bibliography"/>
                <w:rPr>
                  <w:noProof/>
                  <w:lang w:val="en-US"/>
                </w:rPr>
              </w:pPr>
              <w:r>
                <w:rPr>
                  <w:noProof/>
                  <w:lang w:val="en-US"/>
                </w:rPr>
                <w:t xml:space="preserve">Blanche, W., O'Bannon, K. &amp; Thomas, M., 2015. Mobile Phones in the Classroom: Preservice Teachers Answer the Call. </w:t>
              </w:r>
              <w:r>
                <w:rPr>
                  <w:i/>
                  <w:iCs/>
                  <w:noProof/>
                  <w:lang w:val="en-US"/>
                </w:rPr>
                <w:t xml:space="preserve">Computers and Education, </w:t>
              </w:r>
              <w:r>
                <w:rPr>
                  <w:noProof/>
                  <w:lang w:val="en-US"/>
                </w:rPr>
                <w:t>Volume 85, pp. 110-122.</w:t>
              </w:r>
            </w:p>
            <w:p w14:paraId="5EF69EF1" w14:textId="77777777" w:rsidR="00F72C46" w:rsidRDefault="00F72C46" w:rsidP="00F72C46">
              <w:pPr>
                <w:pStyle w:val="Bibliography"/>
                <w:rPr>
                  <w:noProof/>
                  <w:lang w:val="en-US"/>
                </w:rPr>
              </w:pPr>
              <w:r>
                <w:rPr>
                  <w:noProof/>
                  <w:lang w:val="en-US"/>
                </w:rPr>
                <w:t xml:space="preserve">Blandford., A., Furniss, D. &amp; Makri, S., 2016. </w:t>
              </w:r>
              <w:r>
                <w:rPr>
                  <w:i/>
                  <w:iCs/>
                  <w:noProof/>
                  <w:lang w:val="en-US"/>
                </w:rPr>
                <w:t xml:space="preserve">Qualitative HCI Research. </w:t>
              </w:r>
              <w:r>
                <w:rPr>
                  <w:noProof/>
                  <w:lang w:val="en-US"/>
                </w:rPr>
                <w:t>1st ed. San Rafael: Morgan &amp; Claypool.</w:t>
              </w:r>
            </w:p>
            <w:p w14:paraId="363C67E1" w14:textId="77777777" w:rsidR="00F72C46" w:rsidRDefault="00F72C46" w:rsidP="00F72C46">
              <w:pPr>
                <w:pStyle w:val="Bibliography"/>
                <w:rPr>
                  <w:noProof/>
                  <w:lang w:val="en-US"/>
                </w:rPr>
              </w:pPr>
              <w:r>
                <w:rPr>
                  <w:noProof/>
                  <w:lang w:val="en-US"/>
                </w:rPr>
                <w:t xml:space="preserve">Bryant, M., 2015. </w:t>
              </w:r>
              <w:r>
                <w:rPr>
                  <w:i/>
                  <w:iCs/>
                  <w:noProof/>
                  <w:lang w:val="en-US"/>
                </w:rPr>
                <w:t xml:space="preserve">Conducting Observational Research, </w:t>
              </w:r>
              <w:r>
                <w:rPr>
                  <w:noProof/>
                  <w:lang w:val="en-US"/>
                </w:rPr>
                <w:t>Melbourne: Swinburne Business School.</w:t>
              </w:r>
            </w:p>
            <w:p w14:paraId="466A04E5" w14:textId="77777777" w:rsidR="00F72C46" w:rsidRDefault="00F72C46" w:rsidP="00F72C46">
              <w:pPr>
                <w:pStyle w:val="Bibliography"/>
                <w:rPr>
                  <w:noProof/>
                  <w:lang w:val="en-US"/>
                </w:rPr>
              </w:pPr>
              <w:r>
                <w:rPr>
                  <w:noProof/>
                  <w:lang w:val="en-US"/>
                </w:rPr>
                <w:t xml:space="preserve">Cambridge Dictionary, 2019. </w:t>
              </w:r>
              <w:r>
                <w:rPr>
                  <w:i/>
                  <w:iCs/>
                  <w:noProof/>
                  <w:lang w:val="en-US"/>
                </w:rPr>
                <w:t xml:space="preserve">Technology. </w:t>
              </w:r>
              <w:r>
                <w:rPr>
                  <w:noProof/>
                  <w:lang w:val="en-US"/>
                </w:rPr>
                <w:t xml:space="preserve">[Online] </w:t>
              </w:r>
              <w:r>
                <w:rPr>
                  <w:noProof/>
                  <w:lang w:val="en-US"/>
                </w:rPr>
                <w:br/>
                <w:t xml:space="preserve">Available at: </w:t>
              </w:r>
              <w:r>
                <w:rPr>
                  <w:noProof/>
                  <w:u w:val="single"/>
                  <w:lang w:val="en-US"/>
                </w:rPr>
                <w:t>https://dictionary.cambridge.org/dictionary/english/technology</w:t>
              </w:r>
              <w:r>
                <w:rPr>
                  <w:noProof/>
                  <w:lang w:val="en-US"/>
                </w:rPr>
                <w:br/>
                <w:t>[Accessed 10 October 2019].</w:t>
              </w:r>
            </w:p>
            <w:p w14:paraId="6C4A9D14" w14:textId="77777777" w:rsidR="00F72C46" w:rsidRDefault="00F72C46" w:rsidP="00F72C46">
              <w:pPr>
                <w:pStyle w:val="Bibliography"/>
                <w:rPr>
                  <w:noProof/>
                  <w:lang w:val="en-US"/>
                </w:rPr>
              </w:pPr>
              <w:r>
                <w:rPr>
                  <w:noProof/>
                  <w:lang w:val="en-US"/>
                </w:rPr>
                <w:t xml:space="preserve">Cauley, F. G., Aiken, D. K. &amp; Whitney, K. L., 2010. Technologies Across Our Curriculum: A Study of Technology Integration in the Classroom. </w:t>
              </w:r>
              <w:r>
                <w:rPr>
                  <w:i/>
                  <w:iCs/>
                  <w:noProof/>
                  <w:lang w:val="en-US"/>
                </w:rPr>
                <w:t xml:space="preserve">Journal of Education for Business, </w:t>
              </w:r>
              <w:r>
                <w:rPr>
                  <w:noProof/>
                  <w:lang w:val="en-US"/>
                </w:rPr>
                <w:t>85(2), pp. 114-118.</w:t>
              </w:r>
            </w:p>
            <w:p w14:paraId="05790AF2" w14:textId="77777777" w:rsidR="00F72C46" w:rsidRDefault="00F72C46" w:rsidP="00F72C46">
              <w:pPr>
                <w:pStyle w:val="Bibliography"/>
                <w:rPr>
                  <w:noProof/>
                  <w:lang w:val="en-US"/>
                </w:rPr>
              </w:pPr>
              <w:r>
                <w:rPr>
                  <w:noProof/>
                  <w:lang w:val="en-US"/>
                </w:rPr>
                <w:t xml:space="preserve">Chien, Y., 2013. The Integration of Technology in the 21st Century Classroom: Teachers' Attitudes and Pedagogical Beliefs Toward Emerging Technologies. </w:t>
              </w:r>
              <w:r>
                <w:rPr>
                  <w:i/>
                  <w:iCs/>
                  <w:noProof/>
                  <w:lang w:val="en-US"/>
                </w:rPr>
                <w:t xml:space="preserve">Journal of Technology Integration in the Classroom, </w:t>
              </w:r>
              <w:r>
                <w:rPr>
                  <w:noProof/>
                  <w:lang w:val="en-US"/>
                </w:rPr>
                <w:t>5(1), pp. 5-11.</w:t>
              </w:r>
            </w:p>
            <w:p w14:paraId="0FA59100" w14:textId="77777777" w:rsidR="00F72C46" w:rsidRDefault="00F72C46" w:rsidP="00F72C46">
              <w:pPr>
                <w:pStyle w:val="Bibliography"/>
                <w:rPr>
                  <w:noProof/>
                  <w:lang w:val="en-US"/>
                </w:rPr>
              </w:pPr>
              <w:r>
                <w:rPr>
                  <w:noProof/>
                  <w:lang w:val="en-US"/>
                </w:rPr>
                <w:t xml:space="preserve">Davies, M. B., 2007. </w:t>
              </w:r>
              <w:r>
                <w:rPr>
                  <w:i/>
                  <w:iCs/>
                  <w:noProof/>
                  <w:lang w:val="en-US"/>
                </w:rPr>
                <w:t xml:space="preserve">Doing a Successful Research Project. </w:t>
              </w:r>
              <w:r>
                <w:rPr>
                  <w:noProof/>
                  <w:lang w:val="en-US"/>
                </w:rPr>
                <w:t>1 ed. Basingstoke: Palgrave Macmillan.</w:t>
              </w:r>
            </w:p>
            <w:p w14:paraId="5DB8717C" w14:textId="77777777" w:rsidR="00F72C46" w:rsidRDefault="00F72C46" w:rsidP="00F72C46">
              <w:pPr>
                <w:pStyle w:val="Bibliography"/>
                <w:rPr>
                  <w:noProof/>
                  <w:lang w:val="en-US"/>
                </w:rPr>
              </w:pPr>
              <w:r>
                <w:rPr>
                  <w:noProof/>
                  <w:lang w:val="en-US"/>
                </w:rPr>
                <w:t xml:space="preserve">Department for Education, 2014. </w:t>
              </w:r>
              <w:r>
                <w:rPr>
                  <w:i/>
                  <w:iCs/>
                  <w:noProof/>
                  <w:lang w:val="en-US"/>
                </w:rPr>
                <w:t xml:space="preserve">Listening to and involving children and young people.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https://assets.publishing.service.gov.uk/government/uploads/system/uploads/attachment_data/file/437241/Listening_to_and_involving_children_and_young_people.pdf</w:t>
              </w:r>
              <w:r>
                <w:rPr>
                  <w:noProof/>
                  <w:lang w:val="en-US"/>
                </w:rPr>
                <w:br/>
                <w:t>[Accessed 14 October 2019].</w:t>
              </w:r>
            </w:p>
            <w:p w14:paraId="07E67CA4" w14:textId="77777777" w:rsidR="00F72C46" w:rsidRDefault="00F72C46" w:rsidP="00F72C46">
              <w:pPr>
                <w:pStyle w:val="Bibliography"/>
                <w:rPr>
                  <w:noProof/>
                  <w:lang w:val="en-US"/>
                </w:rPr>
              </w:pPr>
              <w:r>
                <w:rPr>
                  <w:noProof/>
                  <w:lang w:val="en-US"/>
                </w:rPr>
                <w:t xml:space="preserve">Donaldson, G., 2015. </w:t>
              </w:r>
              <w:r>
                <w:rPr>
                  <w:i/>
                  <w:iCs/>
                  <w:noProof/>
                  <w:lang w:val="en-US"/>
                </w:rPr>
                <w:t xml:space="preserve">Successful Futures: Independent Review of Curriculum and Assessment Arrangements in Wales, </w:t>
              </w:r>
              <w:r>
                <w:rPr>
                  <w:noProof/>
                  <w:lang w:val="en-US"/>
                </w:rPr>
                <w:t>Cardiff: Welsh Government.</w:t>
              </w:r>
            </w:p>
            <w:p w14:paraId="304843D8" w14:textId="77777777" w:rsidR="00F72C46" w:rsidRDefault="00F72C46" w:rsidP="00F72C46">
              <w:pPr>
                <w:pStyle w:val="Bibliography"/>
                <w:rPr>
                  <w:noProof/>
                  <w:lang w:val="en-US"/>
                </w:rPr>
              </w:pPr>
              <w:r>
                <w:rPr>
                  <w:noProof/>
                  <w:lang w:val="en-US"/>
                </w:rPr>
                <w:t xml:space="preserve">Estyn, 2016. </w:t>
              </w:r>
              <w:r>
                <w:rPr>
                  <w:i/>
                  <w:iCs/>
                  <w:noProof/>
                  <w:lang w:val="en-US"/>
                </w:rPr>
                <w:t xml:space="preserve">Pupil participation: a best practise guide, </w:t>
              </w:r>
              <w:r>
                <w:rPr>
                  <w:noProof/>
                  <w:lang w:val="en-US"/>
                </w:rPr>
                <w:t>Cardiff: Estyn.</w:t>
              </w:r>
            </w:p>
            <w:p w14:paraId="5F5F8C02" w14:textId="77777777" w:rsidR="00F72C46" w:rsidRDefault="00F72C46" w:rsidP="00F72C46">
              <w:pPr>
                <w:pStyle w:val="Bibliography"/>
                <w:rPr>
                  <w:noProof/>
                  <w:lang w:val="en-US"/>
                </w:rPr>
              </w:pPr>
              <w:r>
                <w:rPr>
                  <w:noProof/>
                  <w:lang w:val="en-US"/>
                </w:rPr>
                <w:t xml:space="preserve">Estyn, 2018. </w:t>
              </w:r>
              <w:r>
                <w:rPr>
                  <w:i/>
                  <w:iCs/>
                  <w:noProof/>
                  <w:lang w:val="en-US"/>
                </w:rPr>
                <w:t xml:space="preserve">A Levels in Sixth Forms and Further Education Colleges, </w:t>
              </w:r>
              <w:r>
                <w:rPr>
                  <w:noProof/>
                  <w:lang w:val="en-US"/>
                </w:rPr>
                <w:t>Cardiff: Estyn.</w:t>
              </w:r>
            </w:p>
            <w:p w14:paraId="6F8B210F" w14:textId="77777777" w:rsidR="00F72C46" w:rsidRDefault="00F72C46" w:rsidP="00F72C46">
              <w:pPr>
                <w:pStyle w:val="Bibliography"/>
                <w:rPr>
                  <w:noProof/>
                  <w:lang w:val="en-US"/>
                </w:rPr>
              </w:pPr>
              <w:r>
                <w:rPr>
                  <w:noProof/>
                  <w:lang w:val="en-US"/>
                </w:rPr>
                <w:t xml:space="preserve">Estyn, 2018. </w:t>
              </w:r>
              <w:r>
                <w:rPr>
                  <w:i/>
                  <w:iCs/>
                  <w:noProof/>
                  <w:lang w:val="en-US"/>
                </w:rPr>
                <w:t xml:space="preserve">A report on Gower College Swansea: January 2018. </w:t>
              </w:r>
              <w:r>
                <w:rPr>
                  <w:noProof/>
                  <w:lang w:val="en-US"/>
                </w:rPr>
                <w:t xml:space="preserve">[Online] </w:t>
              </w:r>
              <w:r>
                <w:rPr>
                  <w:noProof/>
                  <w:lang w:val="en-US"/>
                </w:rPr>
                <w:br/>
                <w:t xml:space="preserve">Available at: </w:t>
              </w:r>
              <w:r>
                <w:rPr>
                  <w:noProof/>
                  <w:u w:val="single"/>
                  <w:lang w:val="en-US"/>
                </w:rPr>
                <w:t>http://parents.gcs.ac.uk/wp-content/uploads/2019/06/estyn-update-2018-1.pdf</w:t>
              </w:r>
              <w:r>
                <w:rPr>
                  <w:noProof/>
                  <w:lang w:val="en-US"/>
                </w:rPr>
                <w:br/>
                <w:t>[Accessed 30 September 2019].</w:t>
              </w:r>
            </w:p>
            <w:p w14:paraId="478031B6" w14:textId="77777777" w:rsidR="00F72C46" w:rsidRDefault="00F72C46" w:rsidP="00F72C46">
              <w:pPr>
                <w:pStyle w:val="Bibliography"/>
                <w:rPr>
                  <w:noProof/>
                  <w:lang w:val="en-US"/>
                </w:rPr>
              </w:pPr>
              <w:r>
                <w:rPr>
                  <w:noProof/>
                  <w:lang w:val="en-US"/>
                </w:rPr>
                <w:t xml:space="preserve">Flutter, J., 2007. Teacher development and pupil voice. </w:t>
              </w:r>
              <w:r>
                <w:rPr>
                  <w:i/>
                  <w:iCs/>
                  <w:noProof/>
                  <w:lang w:val="en-US"/>
                </w:rPr>
                <w:t xml:space="preserve">The Curriculum Journal, </w:t>
              </w:r>
              <w:r>
                <w:rPr>
                  <w:noProof/>
                  <w:lang w:val="en-US"/>
                </w:rPr>
                <w:t>18(3), pp. 343-354.</w:t>
              </w:r>
            </w:p>
            <w:p w14:paraId="1BFFF74D" w14:textId="77777777" w:rsidR="00F72C46" w:rsidRDefault="00F72C46" w:rsidP="00F72C46">
              <w:pPr>
                <w:pStyle w:val="Bibliography"/>
                <w:rPr>
                  <w:noProof/>
                  <w:lang w:val="en-US"/>
                </w:rPr>
              </w:pPr>
              <w:r>
                <w:rPr>
                  <w:noProof/>
                  <w:lang w:val="en-US"/>
                </w:rPr>
                <w:lastRenderedPageBreak/>
                <w:t xml:space="preserve">Gardner, S., 2007. </w:t>
              </w:r>
              <w:r>
                <w:rPr>
                  <w:i/>
                  <w:iCs/>
                  <w:noProof/>
                  <w:lang w:val="en-US"/>
                </w:rPr>
                <w:t xml:space="preserve">Institutional Differences in 16-19 GCE Advanced Level Education in England, </w:t>
              </w:r>
              <w:r>
                <w:rPr>
                  <w:noProof/>
                  <w:lang w:val="en-US"/>
                </w:rPr>
                <w:t>London: Institute of Education: University of London.</w:t>
              </w:r>
            </w:p>
            <w:p w14:paraId="45BEF2D4" w14:textId="77777777" w:rsidR="00F72C46" w:rsidRDefault="00F72C46" w:rsidP="00F72C46">
              <w:pPr>
                <w:pStyle w:val="Bibliography"/>
                <w:rPr>
                  <w:noProof/>
                  <w:lang w:val="en-US"/>
                </w:rPr>
              </w:pPr>
              <w:r>
                <w:rPr>
                  <w:noProof/>
                  <w:lang w:val="en-US"/>
                </w:rPr>
                <w:t xml:space="preserve">Gower College, 2019. </w:t>
              </w:r>
              <w:r>
                <w:rPr>
                  <w:i/>
                  <w:iCs/>
                  <w:noProof/>
                  <w:lang w:val="en-US"/>
                </w:rPr>
                <w:t xml:space="preserve">Full-Time. </w:t>
              </w:r>
              <w:r>
                <w:rPr>
                  <w:noProof/>
                  <w:lang w:val="en-US"/>
                </w:rPr>
                <w:t xml:space="preserve">[Online] </w:t>
              </w:r>
              <w:r>
                <w:rPr>
                  <w:noProof/>
                  <w:lang w:val="en-US"/>
                </w:rPr>
                <w:br/>
                <w:t xml:space="preserve">Available at: </w:t>
              </w:r>
              <w:r>
                <w:rPr>
                  <w:noProof/>
                  <w:u w:val="single"/>
                  <w:lang w:val="en-US"/>
                </w:rPr>
                <w:t>https://www.gcs.ac.uk/full-time</w:t>
              </w:r>
              <w:r>
                <w:rPr>
                  <w:noProof/>
                  <w:lang w:val="en-US"/>
                </w:rPr>
                <w:br/>
                <w:t>[Accessed 30 September 2019].</w:t>
              </w:r>
            </w:p>
            <w:p w14:paraId="49768F26" w14:textId="77777777" w:rsidR="00F72C46" w:rsidRDefault="00F72C46" w:rsidP="00F72C46">
              <w:pPr>
                <w:pStyle w:val="Bibliography"/>
                <w:rPr>
                  <w:noProof/>
                  <w:lang w:val="en-US"/>
                </w:rPr>
              </w:pPr>
              <w:r>
                <w:rPr>
                  <w:noProof/>
                  <w:lang w:val="en-US"/>
                </w:rPr>
                <w:t xml:space="preserve">Gower College, 2019. </w:t>
              </w:r>
              <w:r>
                <w:rPr>
                  <w:i/>
                  <w:iCs/>
                  <w:noProof/>
                  <w:lang w:val="en-US"/>
                </w:rPr>
                <w:t xml:space="preserve">School Leavers Guide 2020/21. </w:t>
              </w:r>
              <w:r>
                <w:rPr>
                  <w:noProof/>
                  <w:lang w:val="en-US"/>
                </w:rPr>
                <w:t xml:space="preserve">[Online] </w:t>
              </w:r>
              <w:r>
                <w:rPr>
                  <w:noProof/>
                  <w:lang w:val="en-US"/>
                </w:rPr>
                <w:br/>
                <w:t xml:space="preserve">Available at: </w:t>
              </w:r>
              <w:r>
                <w:rPr>
                  <w:noProof/>
                  <w:u w:val="single"/>
                  <w:lang w:val="en-US"/>
                </w:rPr>
                <w:t>https://www.gcs.ac.uk/sites/default/files/ft_en.pdf</w:t>
              </w:r>
              <w:r>
                <w:rPr>
                  <w:noProof/>
                  <w:lang w:val="en-US"/>
                </w:rPr>
                <w:br/>
                <w:t>[Accessed 30 September 2019].</w:t>
              </w:r>
            </w:p>
            <w:p w14:paraId="645E805D" w14:textId="77777777" w:rsidR="00F72C46" w:rsidRDefault="00F72C46" w:rsidP="00F72C46">
              <w:pPr>
                <w:pStyle w:val="Bibliography"/>
                <w:rPr>
                  <w:noProof/>
                  <w:lang w:val="en-US"/>
                </w:rPr>
              </w:pPr>
              <w:r>
                <w:rPr>
                  <w:noProof/>
                  <w:lang w:val="en-US"/>
                </w:rPr>
                <w:t xml:space="preserve">Heale, R. &amp; Twycross, A., 2018. What is a case study?. </w:t>
              </w:r>
              <w:r>
                <w:rPr>
                  <w:i/>
                  <w:iCs/>
                  <w:noProof/>
                  <w:lang w:val="en-US"/>
                </w:rPr>
                <w:t xml:space="preserve">Evidence-Based Nursing, </w:t>
              </w:r>
              <w:r>
                <w:rPr>
                  <w:noProof/>
                  <w:lang w:val="en-US"/>
                </w:rPr>
                <w:t>Volume 21, pp. 7-8.</w:t>
              </w:r>
            </w:p>
            <w:p w14:paraId="186F6EA4" w14:textId="77777777" w:rsidR="00F72C46" w:rsidRDefault="00F72C46" w:rsidP="00F72C46">
              <w:pPr>
                <w:pStyle w:val="Bibliography"/>
                <w:rPr>
                  <w:noProof/>
                  <w:lang w:val="en-US"/>
                </w:rPr>
              </w:pPr>
              <w:r>
                <w:rPr>
                  <w:noProof/>
                  <w:lang w:val="en-US"/>
                </w:rPr>
                <w:t xml:space="preserve">Hill, R. &amp; James, C., 2017. An analysis of the role and responsibilities of chairs of further education college and sixth-form college governing bodies in England. </w:t>
              </w:r>
              <w:r>
                <w:rPr>
                  <w:i/>
                  <w:iCs/>
                  <w:noProof/>
                  <w:lang w:val="en-US"/>
                </w:rPr>
                <w:t xml:space="preserve">Educational Management Administration &amp; Leadership, </w:t>
              </w:r>
              <w:r>
                <w:rPr>
                  <w:noProof/>
                  <w:lang w:val="en-US"/>
                </w:rPr>
                <w:t>45(1), pp. 57-76.</w:t>
              </w:r>
            </w:p>
            <w:p w14:paraId="05F450EA" w14:textId="77777777" w:rsidR="00F72C46" w:rsidRDefault="00F72C46" w:rsidP="00F72C46">
              <w:pPr>
                <w:pStyle w:val="Bibliography"/>
                <w:rPr>
                  <w:noProof/>
                  <w:lang w:val="en-US"/>
                </w:rPr>
              </w:pPr>
              <w:r>
                <w:rPr>
                  <w:noProof/>
                  <w:lang w:val="en-US"/>
                </w:rPr>
                <w:t xml:space="preserve">Hughes, H., 2007. Critical Incident Technique. In: S. Lipu, K. Williamson &amp; A. Lloyd, eds. </w:t>
              </w:r>
              <w:r>
                <w:rPr>
                  <w:i/>
                  <w:iCs/>
                  <w:noProof/>
                  <w:lang w:val="en-US"/>
                </w:rPr>
                <w:t xml:space="preserve">Exploring methods in information literacy research. </w:t>
              </w:r>
              <w:r>
                <w:rPr>
                  <w:noProof/>
                  <w:lang w:val="en-US"/>
                </w:rPr>
                <w:t>Wagga Wagga: Centre for Information Studies: Charles Sturt University, pp. 49-66.</w:t>
              </w:r>
            </w:p>
            <w:p w14:paraId="08D0D17D" w14:textId="77777777" w:rsidR="00F72C46" w:rsidRDefault="00F72C46" w:rsidP="00F72C46">
              <w:pPr>
                <w:pStyle w:val="Bibliography"/>
                <w:rPr>
                  <w:noProof/>
                  <w:lang w:val="en-US"/>
                </w:rPr>
              </w:pPr>
              <w:r>
                <w:rPr>
                  <w:noProof/>
                  <w:lang w:val="en-US"/>
                </w:rPr>
                <w:t xml:space="preserve">Jerrim, J. &amp; Shure, N., 2016. </w:t>
              </w:r>
              <w:r>
                <w:rPr>
                  <w:i/>
                  <w:iCs/>
                  <w:noProof/>
                  <w:lang w:val="en-US"/>
                </w:rPr>
                <w:t xml:space="preserve">Achievement of 15-Year- Olds in Wales: PISA 2015 National Report, </w:t>
              </w:r>
              <w:r>
                <w:rPr>
                  <w:noProof/>
                  <w:lang w:val="en-US"/>
                </w:rPr>
                <w:t>London: University College of London.</w:t>
              </w:r>
            </w:p>
            <w:p w14:paraId="4E016FE4" w14:textId="77777777" w:rsidR="00F72C46" w:rsidRDefault="00F72C46" w:rsidP="00F72C46">
              <w:pPr>
                <w:pStyle w:val="Bibliography"/>
                <w:rPr>
                  <w:noProof/>
                  <w:lang w:val="en-US"/>
                </w:rPr>
              </w:pPr>
              <w:r>
                <w:rPr>
                  <w:noProof/>
                  <w:lang w:val="en-US"/>
                </w:rPr>
                <w:t xml:space="preserve">Kolb, D., 1984. </w:t>
              </w:r>
              <w:r>
                <w:rPr>
                  <w:i/>
                  <w:iCs/>
                  <w:noProof/>
                  <w:lang w:val="en-US"/>
                </w:rPr>
                <w:t xml:space="preserve">Experiential Learning: Experience as the source of learning and development. </w:t>
              </w:r>
              <w:r>
                <w:rPr>
                  <w:noProof/>
                  <w:lang w:val="en-US"/>
                </w:rPr>
                <w:t>1 ed. Englewood Cliffs: New Jersey: Prentice Hall.</w:t>
              </w:r>
            </w:p>
            <w:p w14:paraId="282E629C" w14:textId="77777777" w:rsidR="00F72C46" w:rsidRDefault="00F72C46" w:rsidP="00F72C46">
              <w:pPr>
                <w:pStyle w:val="Bibliography"/>
                <w:rPr>
                  <w:noProof/>
                  <w:lang w:val="en-US"/>
                </w:rPr>
              </w:pPr>
              <w:r>
                <w:rPr>
                  <w:noProof/>
                  <w:lang w:val="en-US"/>
                </w:rPr>
                <w:t xml:space="preserve">Lumby, J., 2003. Culture Change: The Case of Sixth Form and General Further Education Colleges'. </w:t>
              </w:r>
              <w:r>
                <w:rPr>
                  <w:i/>
                  <w:iCs/>
                  <w:noProof/>
                  <w:lang w:val="en-US"/>
                </w:rPr>
                <w:t xml:space="preserve">Educational Management &amp; Administration, </w:t>
              </w:r>
              <w:r>
                <w:rPr>
                  <w:noProof/>
                  <w:lang w:val="en-US"/>
                </w:rPr>
                <w:t>31(2), pp. 159-174.</w:t>
              </w:r>
            </w:p>
            <w:p w14:paraId="1689B9EA" w14:textId="77777777" w:rsidR="00F72C46" w:rsidRDefault="00F72C46" w:rsidP="00F72C46">
              <w:pPr>
                <w:pStyle w:val="Bibliography"/>
                <w:rPr>
                  <w:noProof/>
                  <w:lang w:val="en-US"/>
                </w:rPr>
              </w:pPr>
              <w:r>
                <w:rPr>
                  <w:noProof/>
                  <w:lang w:val="en-US"/>
                </w:rPr>
                <w:t xml:space="preserve">Mann, C. J., 2003. Observational research methods. Research design II: cohort, cross sectional, and case-control studies. </w:t>
              </w:r>
              <w:r>
                <w:rPr>
                  <w:i/>
                  <w:iCs/>
                  <w:noProof/>
                  <w:lang w:val="en-US"/>
                </w:rPr>
                <w:t xml:space="preserve">Emergency Medicine Journal , </w:t>
              </w:r>
              <w:r>
                <w:rPr>
                  <w:noProof/>
                  <w:lang w:val="en-US"/>
                </w:rPr>
                <w:t>20(1), pp. 54-60.</w:t>
              </w:r>
            </w:p>
            <w:p w14:paraId="3CAE052C" w14:textId="77777777" w:rsidR="00F72C46" w:rsidRDefault="00F72C46" w:rsidP="00F72C46">
              <w:pPr>
                <w:pStyle w:val="Bibliography"/>
                <w:rPr>
                  <w:noProof/>
                  <w:lang w:val="en-US"/>
                </w:rPr>
              </w:pPr>
              <w:r>
                <w:rPr>
                  <w:noProof/>
                  <w:lang w:val="en-US"/>
                </w:rPr>
                <w:t xml:space="preserve">Matheson, D., 2018. Using Technology to Teach Social Studies. </w:t>
              </w:r>
              <w:r>
                <w:rPr>
                  <w:i/>
                  <w:iCs/>
                  <w:noProof/>
                  <w:lang w:val="en-US"/>
                </w:rPr>
                <w:t xml:space="preserve">Social Studies Review, </w:t>
              </w:r>
              <w:r>
                <w:rPr>
                  <w:noProof/>
                  <w:lang w:val="en-US"/>
                </w:rPr>
                <w:t>Volume 56, pp. 87-89.</w:t>
              </w:r>
            </w:p>
            <w:p w14:paraId="7B09478A" w14:textId="77777777" w:rsidR="00F72C46" w:rsidRDefault="00F72C46" w:rsidP="00F72C46">
              <w:pPr>
                <w:pStyle w:val="Bibliography"/>
                <w:rPr>
                  <w:noProof/>
                  <w:lang w:val="en-US"/>
                </w:rPr>
              </w:pPr>
              <w:r>
                <w:rPr>
                  <w:noProof/>
                  <w:lang w:val="en-US"/>
                </w:rPr>
                <w:t xml:space="preserve">McLeod, K. et al., 2012. Virtual Learning Influences on Education: Technology Reforming the Learning Experience. </w:t>
              </w:r>
              <w:r>
                <w:rPr>
                  <w:i/>
                  <w:iCs/>
                  <w:noProof/>
                  <w:lang w:val="en-US"/>
                </w:rPr>
                <w:t xml:space="preserve">Journal of Technology Integration in the Classroom, </w:t>
              </w:r>
              <w:r>
                <w:rPr>
                  <w:noProof/>
                  <w:lang w:val="en-US"/>
                </w:rPr>
                <w:t>4(3), pp. 61-69.</w:t>
              </w:r>
            </w:p>
            <w:p w14:paraId="2E0A822E" w14:textId="77777777" w:rsidR="00F72C46" w:rsidRDefault="00F72C46" w:rsidP="00F72C46">
              <w:pPr>
                <w:pStyle w:val="Bibliography"/>
                <w:rPr>
                  <w:noProof/>
                  <w:lang w:val="en-US"/>
                </w:rPr>
              </w:pPr>
              <w:r>
                <w:rPr>
                  <w:noProof/>
                  <w:lang w:val="en-US"/>
                </w:rPr>
                <w:t xml:space="preserve">McLeod, S., 2019. </w:t>
              </w:r>
              <w:r>
                <w:rPr>
                  <w:i/>
                  <w:iCs/>
                  <w:noProof/>
                  <w:lang w:val="en-US"/>
                </w:rPr>
                <w:t xml:space="preserve">Case Study Method. </w:t>
              </w:r>
              <w:r>
                <w:rPr>
                  <w:noProof/>
                  <w:lang w:val="en-US"/>
                </w:rPr>
                <w:t xml:space="preserve">[Online] </w:t>
              </w:r>
              <w:r>
                <w:rPr>
                  <w:noProof/>
                  <w:lang w:val="en-US"/>
                </w:rPr>
                <w:br/>
                <w:t xml:space="preserve">Available at: </w:t>
              </w:r>
              <w:r>
                <w:rPr>
                  <w:noProof/>
                  <w:u w:val="single"/>
                  <w:lang w:val="en-US"/>
                </w:rPr>
                <w:t>https://www.simplypsychology.org/case-study.html</w:t>
              </w:r>
              <w:r>
                <w:rPr>
                  <w:noProof/>
                  <w:lang w:val="en-US"/>
                </w:rPr>
                <w:br/>
                <w:t>[Accessed 2019 September 30].</w:t>
              </w:r>
            </w:p>
            <w:p w14:paraId="6430DABA" w14:textId="77777777" w:rsidR="00F72C46" w:rsidRDefault="00F72C46" w:rsidP="00F72C46">
              <w:pPr>
                <w:pStyle w:val="Bibliography"/>
                <w:rPr>
                  <w:noProof/>
                  <w:lang w:val="en-US"/>
                </w:rPr>
              </w:pPr>
              <w:r>
                <w:rPr>
                  <w:noProof/>
                  <w:lang w:val="en-US"/>
                </w:rPr>
                <w:t xml:space="preserve">Montes-Rodriguez, R., 2019. "Case Study as a Research Method for Analyzing MOOCs: Presence annd Characteristics of Those Case Studies in the Main Scientific Databases.". </w:t>
              </w:r>
              <w:r>
                <w:rPr>
                  <w:i/>
                  <w:iCs/>
                  <w:noProof/>
                  <w:lang w:val="en-US"/>
                </w:rPr>
                <w:t xml:space="preserve">Innternational Review of Research in Open &amp; Distance Learning, </w:t>
              </w:r>
              <w:r>
                <w:rPr>
                  <w:noProof/>
                  <w:lang w:val="en-US"/>
                </w:rPr>
                <w:t>20(3), pp. 59-79.</w:t>
              </w:r>
            </w:p>
            <w:p w14:paraId="4143FE5E" w14:textId="77777777" w:rsidR="00F72C46" w:rsidRDefault="00F72C46" w:rsidP="00F72C46">
              <w:pPr>
                <w:pStyle w:val="Bibliography"/>
                <w:rPr>
                  <w:noProof/>
                  <w:lang w:val="en-US"/>
                </w:rPr>
              </w:pPr>
              <w:r>
                <w:rPr>
                  <w:noProof/>
                  <w:lang w:val="en-US"/>
                </w:rPr>
                <w:t xml:space="preserve">National Institute for Health and Care Excellence, 2019. </w:t>
              </w:r>
              <w:r>
                <w:rPr>
                  <w:i/>
                  <w:iCs/>
                  <w:noProof/>
                  <w:lang w:val="en-US"/>
                </w:rPr>
                <w:t xml:space="preserve">Glossary. </w:t>
              </w:r>
              <w:r>
                <w:rPr>
                  <w:noProof/>
                  <w:lang w:val="en-US"/>
                </w:rPr>
                <w:t xml:space="preserve">[Online] </w:t>
              </w:r>
              <w:r>
                <w:rPr>
                  <w:noProof/>
                  <w:lang w:val="en-US"/>
                </w:rPr>
                <w:br/>
                <w:t xml:space="preserve">Available at: </w:t>
              </w:r>
              <w:r>
                <w:rPr>
                  <w:noProof/>
                  <w:u w:val="single"/>
                  <w:lang w:val="en-US"/>
                </w:rPr>
                <w:t>https://www.nice.org.uk/glossary?letter=o</w:t>
              </w:r>
              <w:r>
                <w:rPr>
                  <w:noProof/>
                  <w:lang w:val="en-US"/>
                </w:rPr>
                <w:br/>
                <w:t>[Accessed 23 September 2019].</w:t>
              </w:r>
            </w:p>
            <w:p w14:paraId="68822C18" w14:textId="77777777" w:rsidR="00F72C46" w:rsidRDefault="00F72C46" w:rsidP="00F72C46">
              <w:pPr>
                <w:pStyle w:val="Bibliography"/>
                <w:rPr>
                  <w:noProof/>
                  <w:lang w:val="en-US"/>
                </w:rPr>
              </w:pPr>
              <w:r>
                <w:rPr>
                  <w:noProof/>
                  <w:lang w:val="en-US"/>
                </w:rPr>
                <w:t xml:space="preserve">Parents' Zone: Gower College, 2019. </w:t>
              </w:r>
              <w:r>
                <w:rPr>
                  <w:i/>
                  <w:iCs/>
                  <w:noProof/>
                  <w:lang w:val="en-US"/>
                </w:rPr>
                <w:t xml:space="preserve">Welcome to the Parents' Zone. </w:t>
              </w:r>
              <w:r>
                <w:rPr>
                  <w:noProof/>
                  <w:lang w:val="en-US"/>
                </w:rPr>
                <w:t xml:space="preserve">[Online] </w:t>
              </w:r>
              <w:r>
                <w:rPr>
                  <w:noProof/>
                  <w:lang w:val="en-US"/>
                </w:rPr>
                <w:br/>
                <w:t xml:space="preserve">Available at: </w:t>
              </w:r>
              <w:r>
                <w:rPr>
                  <w:noProof/>
                  <w:u w:val="single"/>
                  <w:lang w:val="en-US"/>
                </w:rPr>
                <w:t>http://parents.gcs.ac.uk/en/welcome-to-the-gower-college-swansea-parent-zone/</w:t>
              </w:r>
              <w:r>
                <w:rPr>
                  <w:noProof/>
                  <w:lang w:val="en-US"/>
                </w:rPr>
                <w:br/>
                <w:t>[Accessed 2019 September 30].</w:t>
              </w:r>
            </w:p>
            <w:p w14:paraId="64E28DA7" w14:textId="77777777" w:rsidR="00F72C46" w:rsidRDefault="00F72C46" w:rsidP="00F72C46">
              <w:pPr>
                <w:pStyle w:val="Bibliography"/>
                <w:rPr>
                  <w:noProof/>
                  <w:lang w:val="en-US"/>
                </w:rPr>
              </w:pPr>
              <w:r>
                <w:rPr>
                  <w:noProof/>
                  <w:lang w:val="en-US"/>
                </w:rPr>
                <w:t xml:space="preserve">Sheehan, M. &amp; Nillas, L., 2010. Technology Integration in Secondary Mathematics Classrooms: Effect on Students' Understanding. </w:t>
              </w:r>
              <w:r>
                <w:rPr>
                  <w:i/>
                  <w:iCs/>
                  <w:noProof/>
                  <w:lang w:val="en-US"/>
                </w:rPr>
                <w:t xml:space="preserve">Journal of Technology Integration in the Classroom, </w:t>
              </w:r>
              <w:r>
                <w:rPr>
                  <w:noProof/>
                  <w:lang w:val="en-US"/>
                </w:rPr>
                <w:t>2(3), pp. 67-83.</w:t>
              </w:r>
            </w:p>
            <w:p w14:paraId="62611FF3" w14:textId="77777777" w:rsidR="00F72C46" w:rsidRDefault="00F72C46" w:rsidP="00F72C46">
              <w:pPr>
                <w:pStyle w:val="Bibliography"/>
                <w:rPr>
                  <w:noProof/>
                  <w:lang w:val="en-US"/>
                </w:rPr>
              </w:pPr>
              <w:r>
                <w:rPr>
                  <w:noProof/>
                  <w:lang w:val="en-US"/>
                </w:rPr>
                <w:t xml:space="preserve">Social Research Methods, 2019. </w:t>
              </w:r>
              <w:r>
                <w:rPr>
                  <w:i/>
                  <w:iCs/>
                  <w:noProof/>
                  <w:lang w:val="en-US"/>
                </w:rPr>
                <w:t xml:space="preserve">Qualitative Methods. </w:t>
              </w:r>
              <w:r>
                <w:rPr>
                  <w:noProof/>
                  <w:lang w:val="en-US"/>
                </w:rPr>
                <w:t xml:space="preserve">[Online] </w:t>
              </w:r>
              <w:r>
                <w:rPr>
                  <w:noProof/>
                  <w:lang w:val="en-US"/>
                </w:rPr>
                <w:br/>
                <w:t xml:space="preserve">Available at: </w:t>
              </w:r>
              <w:r>
                <w:rPr>
                  <w:noProof/>
                  <w:u w:val="single"/>
                  <w:lang w:val="en-US"/>
                </w:rPr>
                <w:t>http://www.socialresearchmethods.net/kb/contents.php</w:t>
              </w:r>
              <w:r>
                <w:rPr>
                  <w:noProof/>
                  <w:lang w:val="en-US"/>
                </w:rPr>
                <w:br/>
                <w:t>[Accessed 23 September 2019].</w:t>
              </w:r>
            </w:p>
            <w:p w14:paraId="431396C7" w14:textId="77777777" w:rsidR="00F72C46" w:rsidRDefault="00F72C46" w:rsidP="00F72C46">
              <w:pPr>
                <w:pStyle w:val="Bibliography"/>
                <w:rPr>
                  <w:noProof/>
                  <w:lang w:val="en-US"/>
                </w:rPr>
              </w:pPr>
              <w:r>
                <w:rPr>
                  <w:noProof/>
                  <w:lang w:val="en-US"/>
                </w:rPr>
                <w:lastRenderedPageBreak/>
                <w:t xml:space="preserve">Stoten, D. W., 2014. Are we there yet? Progress in promoting independent learning in a Sixth Form College. </w:t>
              </w:r>
              <w:r>
                <w:rPr>
                  <w:i/>
                  <w:iCs/>
                  <w:noProof/>
                  <w:lang w:val="en-US"/>
                </w:rPr>
                <w:t xml:space="preserve">Educational Studies, </w:t>
              </w:r>
              <w:r>
                <w:rPr>
                  <w:noProof/>
                  <w:lang w:val="en-US"/>
                </w:rPr>
                <w:t>40(4), pp. 452-455.</w:t>
              </w:r>
            </w:p>
            <w:p w14:paraId="618C208A" w14:textId="77777777" w:rsidR="00F72C46" w:rsidRDefault="00F72C46" w:rsidP="00F72C46">
              <w:pPr>
                <w:pStyle w:val="Bibliography"/>
                <w:rPr>
                  <w:noProof/>
                  <w:lang w:val="en-US"/>
                </w:rPr>
              </w:pPr>
              <w:r>
                <w:rPr>
                  <w:noProof/>
                  <w:lang w:val="en-US"/>
                </w:rPr>
                <w:t xml:space="preserve">Stoten, D. W., 2014. Sixth-Form colleges: an endangered organisational form?. </w:t>
              </w:r>
              <w:r>
                <w:rPr>
                  <w:i/>
                  <w:iCs/>
                  <w:noProof/>
                  <w:lang w:val="en-US"/>
                </w:rPr>
                <w:t xml:space="preserve">Journal of Further and Higher Education, </w:t>
              </w:r>
              <w:r>
                <w:rPr>
                  <w:noProof/>
                  <w:lang w:val="en-US"/>
                </w:rPr>
                <w:t>38(6), pp. 851-873.</w:t>
              </w:r>
            </w:p>
            <w:p w14:paraId="57C93C93" w14:textId="77777777" w:rsidR="00F72C46" w:rsidRDefault="00F72C46" w:rsidP="00F72C46">
              <w:pPr>
                <w:pStyle w:val="Bibliography"/>
                <w:rPr>
                  <w:noProof/>
                  <w:lang w:val="en-US"/>
                </w:rPr>
              </w:pPr>
              <w:r>
                <w:rPr>
                  <w:noProof/>
                  <w:lang w:val="en-US"/>
                </w:rPr>
                <w:t xml:space="preserve">Sulla, N., 2013. </w:t>
              </w:r>
              <w:r>
                <w:rPr>
                  <w:i/>
                  <w:iCs/>
                  <w:noProof/>
                  <w:lang w:val="en-US"/>
                </w:rPr>
                <w:t xml:space="preserve">Students Taking Charge: Inside the Learner-Active, Technology-Infused Classroom. </w:t>
              </w:r>
              <w:r>
                <w:rPr>
                  <w:noProof/>
                  <w:lang w:val="en-US"/>
                </w:rPr>
                <w:t>Abingdon: Routledge.</w:t>
              </w:r>
            </w:p>
            <w:p w14:paraId="5E25C990" w14:textId="77777777" w:rsidR="00F72C46" w:rsidRDefault="00F72C46" w:rsidP="00F72C46">
              <w:pPr>
                <w:pStyle w:val="Bibliography"/>
                <w:rPr>
                  <w:noProof/>
                  <w:lang w:val="en-US"/>
                </w:rPr>
              </w:pPr>
              <w:r>
                <w:rPr>
                  <w:noProof/>
                  <w:lang w:val="en-US"/>
                </w:rPr>
                <w:t xml:space="preserve">Tripp, D., 1993. </w:t>
              </w:r>
              <w:r>
                <w:rPr>
                  <w:i/>
                  <w:iCs/>
                  <w:noProof/>
                  <w:lang w:val="en-US"/>
                </w:rPr>
                <w:t xml:space="preserve">Critical Incidents in Teaching: Developing Professional Judgement. </w:t>
              </w:r>
              <w:r>
                <w:rPr>
                  <w:noProof/>
                  <w:lang w:val="en-US"/>
                </w:rPr>
                <w:t>1st Edition ed. Abingdon: Routledge.</w:t>
              </w:r>
            </w:p>
            <w:p w14:paraId="6AB2844F" w14:textId="77777777" w:rsidR="00F72C46" w:rsidRDefault="00F72C46" w:rsidP="00F72C46">
              <w:pPr>
                <w:pStyle w:val="Bibliography"/>
                <w:rPr>
                  <w:noProof/>
                  <w:lang w:val="en-US"/>
                </w:rPr>
              </w:pPr>
              <w:r>
                <w:rPr>
                  <w:noProof/>
                  <w:lang w:val="en-US"/>
                </w:rPr>
                <w:t xml:space="preserve">Welsh Government, 2015. </w:t>
              </w:r>
              <w:r>
                <w:rPr>
                  <w:i/>
                  <w:iCs/>
                  <w:noProof/>
                  <w:lang w:val="en-US"/>
                </w:rPr>
                <w:t xml:space="preserve">The four purposes of the curriculum. </w:t>
              </w:r>
              <w:r>
                <w:rPr>
                  <w:noProof/>
                  <w:lang w:val="en-US"/>
                </w:rPr>
                <w:t xml:space="preserve">[Online] </w:t>
              </w:r>
              <w:r>
                <w:rPr>
                  <w:noProof/>
                  <w:lang w:val="en-US"/>
                </w:rPr>
                <w:br/>
                <w:t xml:space="preserve">Available at: </w:t>
              </w:r>
              <w:r>
                <w:rPr>
                  <w:noProof/>
                  <w:u w:val="single"/>
                  <w:lang w:val="en-US"/>
                </w:rPr>
                <w:t>https://gov.wales/sites/default/files/publications/2018-03/the-four-purposes-of-the-curriculum-for-wales.pdf</w:t>
              </w:r>
              <w:r>
                <w:rPr>
                  <w:noProof/>
                  <w:lang w:val="en-US"/>
                </w:rPr>
                <w:br/>
                <w:t>[Accessed 6 October 2019].</w:t>
              </w:r>
            </w:p>
            <w:p w14:paraId="5D8AB339" w14:textId="77777777" w:rsidR="00F72C46" w:rsidRDefault="00F72C46" w:rsidP="00F72C46">
              <w:pPr>
                <w:pStyle w:val="Bibliography"/>
                <w:rPr>
                  <w:noProof/>
                  <w:lang w:val="en-US"/>
                </w:rPr>
              </w:pPr>
              <w:r>
                <w:rPr>
                  <w:noProof/>
                  <w:lang w:val="en-US"/>
                </w:rPr>
                <w:t xml:space="preserve">Welsh Government, 2017. </w:t>
              </w:r>
              <w:r>
                <w:rPr>
                  <w:i/>
                  <w:iCs/>
                  <w:noProof/>
                  <w:lang w:val="en-US"/>
                </w:rPr>
                <w:t xml:space="preserve">New School Curriculum: Overview. </w:t>
              </w:r>
              <w:r>
                <w:rPr>
                  <w:noProof/>
                  <w:lang w:val="en-US"/>
                </w:rPr>
                <w:t xml:space="preserve">[Online] </w:t>
              </w:r>
              <w:r>
                <w:rPr>
                  <w:noProof/>
                  <w:lang w:val="en-US"/>
                </w:rPr>
                <w:br/>
                <w:t xml:space="preserve">Available at: </w:t>
              </w:r>
              <w:r>
                <w:rPr>
                  <w:noProof/>
                  <w:u w:val="single"/>
                  <w:lang w:val="en-US"/>
                </w:rPr>
                <w:t>https://gov.wales/new-school-curriculum-overview</w:t>
              </w:r>
              <w:r>
                <w:rPr>
                  <w:noProof/>
                  <w:lang w:val="en-US"/>
                </w:rPr>
                <w:br/>
                <w:t>[Accessed 3 October 2019].</w:t>
              </w:r>
            </w:p>
            <w:p w14:paraId="2D0A7A75" w14:textId="77777777" w:rsidR="00F72C46" w:rsidRDefault="00F72C46" w:rsidP="00F72C46">
              <w:pPr>
                <w:pStyle w:val="Bibliography"/>
                <w:rPr>
                  <w:noProof/>
                  <w:lang w:val="en-US"/>
                </w:rPr>
              </w:pPr>
              <w:r>
                <w:rPr>
                  <w:noProof/>
                  <w:lang w:val="en-US"/>
                </w:rPr>
                <w:t xml:space="preserve">Welsh Government, 2017. </w:t>
              </w:r>
              <w:r>
                <w:rPr>
                  <w:i/>
                  <w:iCs/>
                  <w:noProof/>
                  <w:lang w:val="en-US"/>
                </w:rPr>
                <w:t xml:space="preserve">Professional standards for teaching and leadership, </w:t>
              </w:r>
              <w:r>
                <w:rPr>
                  <w:noProof/>
                  <w:lang w:val="en-US"/>
                </w:rPr>
                <w:t>Cardiff: Welsh Government.</w:t>
              </w:r>
            </w:p>
            <w:p w14:paraId="0608B1CD" w14:textId="77777777" w:rsidR="00F72C46" w:rsidRDefault="00F72C46" w:rsidP="00F72C46">
              <w:pPr>
                <w:pStyle w:val="Bibliography"/>
                <w:rPr>
                  <w:noProof/>
                  <w:lang w:val="en-US"/>
                </w:rPr>
              </w:pPr>
              <w:r>
                <w:rPr>
                  <w:noProof/>
                  <w:lang w:val="en-US"/>
                </w:rPr>
                <w:t xml:space="preserve">Wood, M., 2011. 'Closer to the Ground': Pupil 'Voice' and the Development of Knowledge about Schools. </w:t>
              </w:r>
              <w:r>
                <w:rPr>
                  <w:i/>
                  <w:iCs/>
                  <w:noProof/>
                  <w:lang w:val="en-US"/>
                </w:rPr>
                <w:t xml:space="preserve">Turkish Journal of Qualitative Inquiry, </w:t>
              </w:r>
              <w:r>
                <w:rPr>
                  <w:noProof/>
                  <w:lang w:val="en-US"/>
                </w:rPr>
                <w:t>2(1), pp. 1-15.</w:t>
              </w:r>
            </w:p>
            <w:p w14:paraId="1699AA0A" w14:textId="77777777" w:rsidR="00F72C46" w:rsidRDefault="00F72C46" w:rsidP="00F72C46">
              <w:pPr>
                <w:pStyle w:val="Bibliography"/>
                <w:rPr>
                  <w:noProof/>
                  <w:lang w:val="en-US"/>
                </w:rPr>
              </w:pPr>
              <w:r>
                <w:rPr>
                  <w:noProof/>
                  <w:lang w:val="en-US"/>
                </w:rPr>
                <w:t xml:space="preserve">Wybron, I. &amp; Paget, A., 2016. </w:t>
              </w:r>
              <w:r>
                <w:rPr>
                  <w:i/>
                  <w:iCs/>
                  <w:noProof/>
                  <w:lang w:val="en-US"/>
                </w:rPr>
                <w:t xml:space="preserve">Pupil Power, </w:t>
              </w:r>
              <w:r>
                <w:rPr>
                  <w:noProof/>
                  <w:lang w:val="en-US"/>
                </w:rPr>
                <w:t>London: Demos.</w:t>
              </w:r>
            </w:p>
            <w:p w14:paraId="04DDA6C5" w14:textId="15A2DA6E" w:rsidR="00F72C46" w:rsidRDefault="00F72C46" w:rsidP="00F72C46">
              <w:r>
                <w:rPr>
                  <w:b/>
                  <w:bCs/>
                  <w:noProof/>
                </w:rPr>
                <w:fldChar w:fldCharType="end"/>
              </w:r>
            </w:p>
          </w:sdtContent>
        </w:sdt>
      </w:sdtContent>
    </w:sdt>
    <w:p w14:paraId="21508624" w14:textId="77777777" w:rsidR="00F72C46" w:rsidRPr="00FE3BC5" w:rsidRDefault="00F72C46"/>
    <w:sectPr w:rsidR="00F72C46" w:rsidRPr="00FE3BC5" w:rsidSect="00643B7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069"/>
    <w:rsid w:val="00057837"/>
    <w:rsid w:val="000B1DD8"/>
    <w:rsid w:val="000E5D22"/>
    <w:rsid w:val="000F74B0"/>
    <w:rsid w:val="001868CE"/>
    <w:rsid w:val="001976FC"/>
    <w:rsid w:val="00206322"/>
    <w:rsid w:val="0021064F"/>
    <w:rsid w:val="00210E7A"/>
    <w:rsid w:val="002175C5"/>
    <w:rsid w:val="00242002"/>
    <w:rsid w:val="002946B1"/>
    <w:rsid w:val="0029510F"/>
    <w:rsid w:val="002A59F1"/>
    <w:rsid w:val="002C21DB"/>
    <w:rsid w:val="002E649D"/>
    <w:rsid w:val="00300AFC"/>
    <w:rsid w:val="003C264E"/>
    <w:rsid w:val="003D24C6"/>
    <w:rsid w:val="003E14B4"/>
    <w:rsid w:val="004038A5"/>
    <w:rsid w:val="004339C3"/>
    <w:rsid w:val="00435CB4"/>
    <w:rsid w:val="00435CCC"/>
    <w:rsid w:val="00462B91"/>
    <w:rsid w:val="0046408D"/>
    <w:rsid w:val="004A6C5D"/>
    <w:rsid w:val="004E5092"/>
    <w:rsid w:val="005200EA"/>
    <w:rsid w:val="005360D1"/>
    <w:rsid w:val="00556A6B"/>
    <w:rsid w:val="00573C83"/>
    <w:rsid w:val="00592599"/>
    <w:rsid w:val="00597DD3"/>
    <w:rsid w:val="005B40BF"/>
    <w:rsid w:val="00610C7E"/>
    <w:rsid w:val="006232C5"/>
    <w:rsid w:val="00635EF7"/>
    <w:rsid w:val="00643B7C"/>
    <w:rsid w:val="006C0A9A"/>
    <w:rsid w:val="006E022E"/>
    <w:rsid w:val="007148E4"/>
    <w:rsid w:val="00752C48"/>
    <w:rsid w:val="0077704E"/>
    <w:rsid w:val="00791F7B"/>
    <w:rsid w:val="007A3818"/>
    <w:rsid w:val="008319F2"/>
    <w:rsid w:val="008462AE"/>
    <w:rsid w:val="00855069"/>
    <w:rsid w:val="00857FDE"/>
    <w:rsid w:val="008906E0"/>
    <w:rsid w:val="009119EA"/>
    <w:rsid w:val="00926A83"/>
    <w:rsid w:val="00937377"/>
    <w:rsid w:val="009678FF"/>
    <w:rsid w:val="009E1BCD"/>
    <w:rsid w:val="00A07E8C"/>
    <w:rsid w:val="00A228FF"/>
    <w:rsid w:val="00A46AA3"/>
    <w:rsid w:val="00A90DEC"/>
    <w:rsid w:val="00AC4B3B"/>
    <w:rsid w:val="00AC6BD6"/>
    <w:rsid w:val="00AD244E"/>
    <w:rsid w:val="00AE044C"/>
    <w:rsid w:val="00AF6C7A"/>
    <w:rsid w:val="00B0711E"/>
    <w:rsid w:val="00B66F47"/>
    <w:rsid w:val="00B81D6E"/>
    <w:rsid w:val="00BB0476"/>
    <w:rsid w:val="00BE72E8"/>
    <w:rsid w:val="00C05501"/>
    <w:rsid w:val="00C2166A"/>
    <w:rsid w:val="00C34568"/>
    <w:rsid w:val="00C43533"/>
    <w:rsid w:val="00C7408B"/>
    <w:rsid w:val="00C77649"/>
    <w:rsid w:val="00C81E2D"/>
    <w:rsid w:val="00C973ED"/>
    <w:rsid w:val="00CD7E02"/>
    <w:rsid w:val="00CF61FC"/>
    <w:rsid w:val="00D737AF"/>
    <w:rsid w:val="00D75727"/>
    <w:rsid w:val="00DA5A99"/>
    <w:rsid w:val="00DC7D4F"/>
    <w:rsid w:val="00DE58A8"/>
    <w:rsid w:val="00E2496B"/>
    <w:rsid w:val="00E31CB4"/>
    <w:rsid w:val="00E602C2"/>
    <w:rsid w:val="00E62722"/>
    <w:rsid w:val="00E723F1"/>
    <w:rsid w:val="00F057CB"/>
    <w:rsid w:val="00F24B7F"/>
    <w:rsid w:val="00F43C6F"/>
    <w:rsid w:val="00F72C46"/>
    <w:rsid w:val="00FA4E2D"/>
    <w:rsid w:val="00FB482C"/>
    <w:rsid w:val="00FB7A01"/>
    <w:rsid w:val="00FD7100"/>
    <w:rsid w:val="00FE3B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BFD6A"/>
  <w15:chartTrackingRefBased/>
  <w15:docId w15:val="{4E7B3E89-3136-6842-880F-440D40928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2C4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C46"/>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F72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66126">
      <w:bodyDiv w:val="1"/>
      <w:marLeft w:val="0"/>
      <w:marRight w:val="0"/>
      <w:marTop w:val="0"/>
      <w:marBottom w:val="0"/>
      <w:divBdr>
        <w:top w:val="none" w:sz="0" w:space="0" w:color="auto"/>
        <w:left w:val="none" w:sz="0" w:space="0" w:color="auto"/>
        <w:bottom w:val="none" w:sz="0" w:space="0" w:color="auto"/>
        <w:right w:val="none" w:sz="0" w:space="0" w:color="auto"/>
      </w:divBdr>
    </w:div>
    <w:div w:id="29033593">
      <w:bodyDiv w:val="1"/>
      <w:marLeft w:val="0"/>
      <w:marRight w:val="0"/>
      <w:marTop w:val="0"/>
      <w:marBottom w:val="0"/>
      <w:divBdr>
        <w:top w:val="none" w:sz="0" w:space="0" w:color="auto"/>
        <w:left w:val="none" w:sz="0" w:space="0" w:color="auto"/>
        <w:bottom w:val="none" w:sz="0" w:space="0" w:color="auto"/>
        <w:right w:val="none" w:sz="0" w:space="0" w:color="auto"/>
      </w:divBdr>
    </w:div>
    <w:div w:id="53093453">
      <w:bodyDiv w:val="1"/>
      <w:marLeft w:val="0"/>
      <w:marRight w:val="0"/>
      <w:marTop w:val="0"/>
      <w:marBottom w:val="0"/>
      <w:divBdr>
        <w:top w:val="none" w:sz="0" w:space="0" w:color="auto"/>
        <w:left w:val="none" w:sz="0" w:space="0" w:color="auto"/>
        <w:bottom w:val="none" w:sz="0" w:space="0" w:color="auto"/>
        <w:right w:val="none" w:sz="0" w:space="0" w:color="auto"/>
      </w:divBdr>
    </w:div>
    <w:div w:id="78060999">
      <w:bodyDiv w:val="1"/>
      <w:marLeft w:val="0"/>
      <w:marRight w:val="0"/>
      <w:marTop w:val="0"/>
      <w:marBottom w:val="0"/>
      <w:divBdr>
        <w:top w:val="none" w:sz="0" w:space="0" w:color="auto"/>
        <w:left w:val="none" w:sz="0" w:space="0" w:color="auto"/>
        <w:bottom w:val="none" w:sz="0" w:space="0" w:color="auto"/>
        <w:right w:val="none" w:sz="0" w:space="0" w:color="auto"/>
      </w:divBdr>
    </w:div>
    <w:div w:id="91241571">
      <w:bodyDiv w:val="1"/>
      <w:marLeft w:val="0"/>
      <w:marRight w:val="0"/>
      <w:marTop w:val="0"/>
      <w:marBottom w:val="0"/>
      <w:divBdr>
        <w:top w:val="none" w:sz="0" w:space="0" w:color="auto"/>
        <w:left w:val="none" w:sz="0" w:space="0" w:color="auto"/>
        <w:bottom w:val="none" w:sz="0" w:space="0" w:color="auto"/>
        <w:right w:val="none" w:sz="0" w:space="0" w:color="auto"/>
      </w:divBdr>
    </w:div>
    <w:div w:id="136731001">
      <w:bodyDiv w:val="1"/>
      <w:marLeft w:val="0"/>
      <w:marRight w:val="0"/>
      <w:marTop w:val="0"/>
      <w:marBottom w:val="0"/>
      <w:divBdr>
        <w:top w:val="none" w:sz="0" w:space="0" w:color="auto"/>
        <w:left w:val="none" w:sz="0" w:space="0" w:color="auto"/>
        <w:bottom w:val="none" w:sz="0" w:space="0" w:color="auto"/>
        <w:right w:val="none" w:sz="0" w:space="0" w:color="auto"/>
      </w:divBdr>
    </w:div>
    <w:div w:id="172652190">
      <w:bodyDiv w:val="1"/>
      <w:marLeft w:val="0"/>
      <w:marRight w:val="0"/>
      <w:marTop w:val="0"/>
      <w:marBottom w:val="0"/>
      <w:divBdr>
        <w:top w:val="none" w:sz="0" w:space="0" w:color="auto"/>
        <w:left w:val="none" w:sz="0" w:space="0" w:color="auto"/>
        <w:bottom w:val="none" w:sz="0" w:space="0" w:color="auto"/>
        <w:right w:val="none" w:sz="0" w:space="0" w:color="auto"/>
      </w:divBdr>
    </w:div>
    <w:div w:id="173687457">
      <w:bodyDiv w:val="1"/>
      <w:marLeft w:val="0"/>
      <w:marRight w:val="0"/>
      <w:marTop w:val="0"/>
      <w:marBottom w:val="0"/>
      <w:divBdr>
        <w:top w:val="none" w:sz="0" w:space="0" w:color="auto"/>
        <w:left w:val="none" w:sz="0" w:space="0" w:color="auto"/>
        <w:bottom w:val="none" w:sz="0" w:space="0" w:color="auto"/>
        <w:right w:val="none" w:sz="0" w:space="0" w:color="auto"/>
      </w:divBdr>
    </w:div>
    <w:div w:id="192615026">
      <w:bodyDiv w:val="1"/>
      <w:marLeft w:val="0"/>
      <w:marRight w:val="0"/>
      <w:marTop w:val="0"/>
      <w:marBottom w:val="0"/>
      <w:divBdr>
        <w:top w:val="none" w:sz="0" w:space="0" w:color="auto"/>
        <w:left w:val="none" w:sz="0" w:space="0" w:color="auto"/>
        <w:bottom w:val="none" w:sz="0" w:space="0" w:color="auto"/>
        <w:right w:val="none" w:sz="0" w:space="0" w:color="auto"/>
      </w:divBdr>
    </w:div>
    <w:div w:id="226916166">
      <w:bodyDiv w:val="1"/>
      <w:marLeft w:val="0"/>
      <w:marRight w:val="0"/>
      <w:marTop w:val="0"/>
      <w:marBottom w:val="0"/>
      <w:divBdr>
        <w:top w:val="none" w:sz="0" w:space="0" w:color="auto"/>
        <w:left w:val="none" w:sz="0" w:space="0" w:color="auto"/>
        <w:bottom w:val="none" w:sz="0" w:space="0" w:color="auto"/>
        <w:right w:val="none" w:sz="0" w:space="0" w:color="auto"/>
      </w:divBdr>
    </w:div>
    <w:div w:id="231277107">
      <w:bodyDiv w:val="1"/>
      <w:marLeft w:val="0"/>
      <w:marRight w:val="0"/>
      <w:marTop w:val="0"/>
      <w:marBottom w:val="0"/>
      <w:divBdr>
        <w:top w:val="none" w:sz="0" w:space="0" w:color="auto"/>
        <w:left w:val="none" w:sz="0" w:space="0" w:color="auto"/>
        <w:bottom w:val="none" w:sz="0" w:space="0" w:color="auto"/>
        <w:right w:val="none" w:sz="0" w:space="0" w:color="auto"/>
      </w:divBdr>
    </w:div>
    <w:div w:id="237525203">
      <w:bodyDiv w:val="1"/>
      <w:marLeft w:val="0"/>
      <w:marRight w:val="0"/>
      <w:marTop w:val="0"/>
      <w:marBottom w:val="0"/>
      <w:divBdr>
        <w:top w:val="none" w:sz="0" w:space="0" w:color="auto"/>
        <w:left w:val="none" w:sz="0" w:space="0" w:color="auto"/>
        <w:bottom w:val="none" w:sz="0" w:space="0" w:color="auto"/>
        <w:right w:val="none" w:sz="0" w:space="0" w:color="auto"/>
      </w:divBdr>
    </w:div>
    <w:div w:id="257376347">
      <w:bodyDiv w:val="1"/>
      <w:marLeft w:val="0"/>
      <w:marRight w:val="0"/>
      <w:marTop w:val="0"/>
      <w:marBottom w:val="0"/>
      <w:divBdr>
        <w:top w:val="none" w:sz="0" w:space="0" w:color="auto"/>
        <w:left w:val="none" w:sz="0" w:space="0" w:color="auto"/>
        <w:bottom w:val="none" w:sz="0" w:space="0" w:color="auto"/>
        <w:right w:val="none" w:sz="0" w:space="0" w:color="auto"/>
      </w:divBdr>
    </w:div>
    <w:div w:id="266041262">
      <w:bodyDiv w:val="1"/>
      <w:marLeft w:val="0"/>
      <w:marRight w:val="0"/>
      <w:marTop w:val="0"/>
      <w:marBottom w:val="0"/>
      <w:divBdr>
        <w:top w:val="none" w:sz="0" w:space="0" w:color="auto"/>
        <w:left w:val="none" w:sz="0" w:space="0" w:color="auto"/>
        <w:bottom w:val="none" w:sz="0" w:space="0" w:color="auto"/>
        <w:right w:val="none" w:sz="0" w:space="0" w:color="auto"/>
      </w:divBdr>
    </w:div>
    <w:div w:id="279646723">
      <w:bodyDiv w:val="1"/>
      <w:marLeft w:val="0"/>
      <w:marRight w:val="0"/>
      <w:marTop w:val="0"/>
      <w:marBottom w:val="0"/>
      <w:divBdr>
        <w:top w:val="none" w:sz="0" w:space="0" w:color="auto"/>
        <w:left w:val="none" w:sz="0" w:space="0" w:color="auto"/>
        <w:bottom w:val="none" w:sz="0" w:space="0" w:color="auto"/>
        <w:right w:val="none" w:sz="0" w:space="0" w:color="auto"/>
      </w:divBdr>
    </w:div>
    <w:div w:id="345401162">
      <w:bodyDiv w:val="1"/>
      <w:marLeft w:val="0"/>
      <w:marRight w:val="0"/>
      <w:marTop w:val="0"/>
      <w:marBottom w:val="0"/>
      <w:divBdr>
        <w:top w:val="none" w:sz="0" w:space="0" w:color="auto"/>
        <w:left w:val="none" w:sz="0" w:space="0" w:color="auto"/>
        <w:bottom w:val="none" w:sz="0" w:space="0" w:color="auto"/>
        <w:right w:val="none" w:sz="0" w:space="0" w:color="auto"/>
      </w:divBdr>
    </w:div>
    <w:div w:id="348877837">
      <w:bodyDiv w:val="1"/>
      <w:marLeft w:val="0"/>
      <w:marRight w:val="0"/>
      <w:marTop w:val="0"/>
      <w:marBottom w:val="0"/>
      <w:divBdr>
        <w:top w:val="none" w:sz="0" w:space="0" w:color="auto"/>
        <w:left w:val="none" w:sz="0" w:space="0" w:color="auto"/>
        <w:bottom w:val="none" w:sz="0" w:space="0" w:color="auto"/>
        <w:right w:val="none" w:sz="0" w:space="0" w:color="auto"/>
      </w:divBdr>
    </w:div>
    <w:div w:id="364985213">
      <w:bodyDiv w:val="1"/>
      <w:marLeft w:val="0"/>
      <w:marRight w:val="0"/>
      <w:marTop w:val="0"/>
      <w:marBottom w:val="0"/>
      <w:divBdr>
        <w:top w:val="none" w:sz="0" w:space="0" w:color="auto"/>
        <w:left w:val="none" w:sz="0" w:space="0" w:color="auto"/>
        <w:bottom w:val="none" w:sz="0" w:space="0" w:color="auto"/>
        <w:right w:val="none" w:sz="0" w:space="0" w:color="auto"/>
      </w:divBdr>
    </w:div>
    <w:div w:id="365256802">
      <w:bodyDiv w:val="1"/>
      <w:marLeft w:val="0"/>
      <w:marRight w:val="0"/>
      <w:marTop w:val="0"/>
      <w:marBottom w:val="0"/>
      <w:divBdr>
        <w:top w:val="none" w:sz="0" w:space="0" w:color="auto"/>
        <w:left w:val="none" w:sz="0" w:space="0" w:color="auto"/>
        <w:bottom w:val="none" w:sz="0" w:space="0" w:color="auto"/>
        <w:right w:val="none" w:sz="0" w:space="0" w:color="auto"/>
      </w:divBdr>
    </w:div>
    <w:div w:id="399910964">
      <w:bodyDiv w:val="1"/>
      <w:marLeft w:val="0"/>
      <w:marRight w:val="0"/>
      <w:marTop w:val="0"/>
      <w:marBottom w:val="0"/>
      <w:divBdr>
        <w:top w:val="none" w:sz="0" w:space="0" w:color="auto"/>
        <w:left w:val="none" w:sz="0" w:space="0" w:color="auto"/>
        <w:bottom w:val="none" w:sz="0" w:space="0" w:color="auto"/>
        <w:right w:val="none" w:sz="0" w:space="0" w:color="auto"/>
      </w:divBdr>
    </w:div>
    <w:div w:id="416946374">
      <w:bodyDiv w:val="1"/>
      <w:marLeft w:val="0"/>
      <w:marRight w:val="0"/>
      <w:marTop w:val="0"/>
      <w:marBottom w:val="0"/>
      <w:divBdr>
        <w:top w:val="none" w:sz="0" w:space="0" w:color="auto"/>
        <w:left w:val="none" w:sz="0" w:space="0" w:color="auto"/>
        <w:bottom w:val="none" w:sz="0" w:space="0" w:color="auto"/>
        <w:right w:val="none" w:sz="0" w:space="0" w:color="auto"/>
      </w:divBdr>
    </w:div>
    <w:div w:id="419566705">
      <w:bodyDiv w:val="1"/>
      <w:marLeft w:val="0"/>
      <w:marRight w:val="0"/>
      <w:marTop w:val="0"/>
      <w:marBottom w:val="0"/>
      <w:divBdr>
        <w:top w:val="none" w:sz="0" w:space="0" w:color="auto"/>
        <w:left w:val="none" w:sz="0" w:space="0" w:color="auto"/>
        <w:bottom w:val="none" w:sz="0" w:space="0" w:color="auto"/>
        <w:right w:val="none" w:sz="0" w:space="0" w:color="auto"/>
      </w:divBdr>
    </w:div>
    <w:div w:id="445999679">
      <w:bodyDiv w:val="1"/>
      <w:marLeft w:val="0"/>
      <w:marRight w:val="0"/>
      <w:marTop w:val="0"/>
      <w:marBottom w:val="0"/>
      <w:divBdr>
        <w:top w:val="none" w:sz="0" w:space="0" w:color="auto"/>
        <w:left w:val="none" w:sz="0" w:space="0" w:color="auto"/>
        <w:bottom w:val="none" w:sz="0" w:space="0" w:color="auto"/>
        <w:right w:val="none" w:sz="0" w:space="0" w:color="auto"/>
      </w:divBdr>
    </w:div>
    <w:div w:id="471406021">
      <w:bodyDiv w:val="1"/>
      <w:marLeft w:val="0"/>
      <w:marRight w:val="0"/>
      <w:marTop w:val="0"/>
      <w:marBottom w:val="0"/>
      <w:divBdr>
        <w:top w:val="none" w:sz="0" w:space="0" w:color="auto"/>
        <w:left w:val="none" w:sz="0" w:space="0" w:color="auto"/>
        <w:bottom w:val="none" w:sz="0" w:space="0" w:color="auto"/>
        <w:right w:val="none" w:sz="0" w:space="0" w:color="auto"/>
      </w:divBdr>
    </w:div>
    <w:div w:id="471755875">
      <w:bodyDiv w:val="1"/>
      <w:marLeft w:val="0"/>
      <w:marRight w:val="0"/>
      <w:marTop w:val="0"/>
      <w:marBottom w:val="0"/>
      <w:divBdr>
        <w:top w:val="none" w:sz="0" w:space="0" w:color="auto"/>
        <w:left w:val="none" w:sz="0" w:space="0" w:color="auto"/>
        <w:bottom w:val="none" w:sz="0" w:space="0" w:color="auto"/>
        <w:right w:val="none" w:sz="0" w:space="0" w:color="auto"/>
      </w:divBdr>
    </w:div>
    <w:div w:id="494608777">
      <w:bodyDiv w:val="1"/>
      <w:marLeft w:val="0"/>
      <w:marRight w:val="0"/>
      <w:marTop w:val="0"/>
      <w:marBottom w:val="0"/>
      <w:divBdr>
        <w:top w:val="none" w:sz="0" w:space="0" w:color="auto"/>
        <w:left w:val="none" w:sz="0" w:space="0" w:color="auto"/>
        <w:bottom w:val="none" w:sz="0" w:space="0" w:color="auto"/>
        <w:right w:val="none" w:sz="0" w:space="0" w:color="auto"/>
      </w:divBdr>
    </w:div>
    <w:div w:id="504056924">
      <w:bodyDiv w:val="1"/>
      <w:marLeft w:val="0"/>
      <w:marRight w:val="0"/>
      <w:marTop w:val="0"/>
      <w:marBottom w:val="0"/>
      <w:divBdr>
        <w:top w:val="none" w:sz="0" w:space="0" w:color="auto"/>
        <w:left w:val="none" w:sz="0" w:space="0" w:color="auto"/>
        <w:bottom w:val="none" w:sz="0" w:space="0" w:color="auto"/>
        <w:right w:val="none" w:sz="0" w:space="0" w:color="auto"/>
      </w:divBdr>
    </w:div>
    <w:div w:id="515846482">
      <w:bodyDiv w:val="1"/>
      <w:marLeft w:val="0"/>
      <w:marRight w:val="0"/>
      <w:marTop w:val="0"/>
      <w:marBottom w:val="0"/>
      <w:divBdr>
        <w:top w:val="none" w:sz="0" w:space="0" w:color="auto"/>
        <w:left w:val="none" w:sz="0" w:space="0" w:color="auto"/>
        <w:bottom w:val="none" w:sz="0" w:space="0" w:color="auto"/>
        <w:right w:val="none" w:sz="0" w:space="0" w:color="auto"/>
      </w:divBdr>
    </w:div>
    <w:div w:id="521630979">
      <w:bodyDiv w:val="1"/>
      <w:marLeft w:val="0"/>
      <w:marRight w:val="0"/>
      <w:marTop w:val="0"/>
      <w:marBottom w:val="0"/>
      <w:divBdr>
        <w:top w:val="none" w:sz="0" w:space="0" w:color="auto"/>
        <w:left w:val="none" w:sz="0" w:space="0" w:color="auto"/>
        <w:bottom w:val="none" w:sz="0" w:space="0" w:color="auto"/>
        <w:right w:val="none" w:sz="0" w:space="0" w:color="auto"/>
      </w:divBdr>
    </w:div>
    <w:div w:id="526673690">
      <w:bodyDiv w:val="1"/>
      <w:marLeft w:val="0"/>
      <w:marRight w:val="0"/>
      <w:marTop w:val="0"/>
      <w:marBottom w:val="0"/>
      <w:divBdr>
        <w:top w:val="none" w:sz="0" w:space="0" w:color="auto"/>
        <w:left w:val="none" w:sz="0" w:space="0" w:color="auto"/>
        <w:bottom w:val="none" w:sz="0" w:space="0" w:color="auto"/>
        <w:right w:val="none" w:sz="0" w:space="0" w:color="auto"/>
      </w:divBdr>
    </w:div>
    <w:div w:id="548340932">
      <w:bodyDiv w:val="1"/>
      <w:marLeft w:val="0"/>
      <w:marRight w:val="0"/>
      <w:marTop w:val="0"/>
      <w:marBottom w:val="0"/>
      <w:divBdr>
        <w:top w:val="none" w:sz="0" w:space="0" w:color="auto"/>
        <w:left w:val="none" w:sz="0" w:space="0" w:color="auto"/>
        <w:bottom w:val="none" w:sz="0" w:space="0" w:color="auto"/>
        <w:right w:val="none" w:sz="0" w:space="0" w:color="auto"/>
      </w:divBdr>
    </w:div>
    <w:div w:id="552230552">
      <w:bodyDiv w:val="1"/>
      <w:marLeft w:val="0"/>
      <w:marRight w:val="0"/>
      <w:marTop w:val="0"/>
      <w:marBottom w:val="0"/>
      <w:divBdr>
        <w:top w:val="none" w:sz="0" w:space="0" w:color="auto"/>
        <w:left w:val="none" w:sz="0" w:space="0" w:color="auto"/>
        <w:bottom w:val="none" w:sz="0" w:space="0" w:color="auto"/>
        <w:right w:val="none" w:sz="0" w:space="0" w:color="auto"/>
      </w:divBdr>
    </w:div>
    <w:div w:id="576785366">
      <w:bodyDiv w:val="1"/>
      <w:marLeft w:val="0"/>
      <w:marRight w:val="0"/>
      <w:marTop w:val="0"/>
      <w:marBottom w:val="0"/>
      <w:divBdr>
        <w:top w:val="none" w:sz="0" w:space="0" w:color="auto"/>
        <w:left w:val="none" w:sz="0" w:space="0" w:color="auto"/>
        <w:bottom w:val="none" w:sz="0" w:space="0" w:color="auto"/>
        <w:right w:val="none" w:sz="0" w:space="0" w:color="auto"/>
      </w:divBdr>
    </w:div>
    <w:div w:id="583686805">
      <w:bodyDiv w:val="1"/>
      <w:marLeft w:val="0"/>
      <w:marRight w:val="0"/>
      <w:marTop w:val="0"/>
      <w:marBottom w:val="0"/>
      <w:divBdr>
        <w:top w:val="none" w:sz="0" w:space="0" w:color="auto"/>
        <w:left w:val="none" w:sz="0" w:space="0" w:color="auto"/>
        <w:bottom w:val="none" w:sz="0" w:space="0" w:color="auto"/>
        <w:right w:val="none" w:sz="0" w:space="0" w:color="auto"/>
      </w:divBdr>
    </w:div>
    <w:div w:id="585454795">
      <w:bodyDiv w:val="1"/>
      <w:marLeft w:val="0"/>
      <w:marRight w:val="0"/>
      <w:marTop w:val="0"/>
      <w:marBottom w:val="0"/>
      <w:divBdr>
        <w:top w:val="none" w:sz="0" w:space="0" w:color="auto"/>
        <w:left w:val="none" w:sz="0" w:space="0" w:color="auto"/>
        <w:bottom w:val="none" w:sz="0" w:space="0" w:color="auto"/>
        <w:right w:val="none" w:sz="0" w:space="0" w:color="auto"/>
      </w:divBdr>
    </w:div>
    <w:div w:id="657340660">
      <w:bodyDiv w:val="1"/>
      <w:marLeft w:val="0"/>
      <w:marRight w:val="0"/>
      <w:marTop w:val="0"/>
      <w:marBottom w:val="0"/>
      <w:divBdr>
        <w:top w:val="none" w:sz="0" w:space="0" w:color="auto"/>
        <w:left w:val="none" w:sz="0" w:space="0" w:color="auto"/>
        <w:bottom w:val="none" w:sz="0" w:space="0" w:color="auto"/>
        <w:right w:val="none" w:sz="0" w:space="0" w:color="auto"/>
      </w:divBdr>
    </w:div>
    <w:div w:id="665977276">
      <w:bodyDiv w:val="1"/>
      <w:marLeft w:val="0"/>
      <w:marRight w:val="0"/>
      <w:marTop w:val="0"/>
      <w:marBottom w:val="0"/>
      <w:divBdr>
        <w:top w:val="none" w:sz="0" w:space="0" w:color="auto"/>
        <w:left w:val="none" w:sz="0" w:space="0" w:color="auto"/>
        <w:bottom w:val="none" w:sz="0" w:space="0" w:color="auto"/>
        <w:right w:val="none" w:sz="0" w:space="0" w:color="auto"/>
      </w:divBdr>
    </w:div>
    <w:div w:id="701981620">
      <w:bodyDiv w:val="1"/>
      <w:marLeft w:val="0"/>
      <w:marRight w:val="0"/>
      <w:marTop w:val="0"/>
      <w:marBottom w:val="0"/>
      <w:divBdr>
        <w:top w:val="none" w:sz="0" w:space="0" w:color="auto"/>
        <w:left w:val="none" w:sz="0" w:space="0" w:color="auto"/>
        <w:bottom w:val="none" w:sz="0" w:space="0" w:color="auto"/>
        <w:right w:val="none" w:sz="0" w:space="0" w:color="auto"/>
      </w:divBdr>
    </w:div>
    <w:div w:id="785536985">
      <w:bodyDiv w:val="1"/>
      <w:marLeft w:val="0"/>
      <w:marRight w:val="0"/>
      <w:marTop w:val="0"/>
      <w:marBottom w:val="0"/>
      <w:divBdr>
        <w:top w:val="none" w:sz="0" w:space="0" w:color="auto"/>
        <w:left w:val="none" w:sz="0" w:space="0" w:color="auto"/>
        <w:bottom w:val="none" w:sz="0" w:space="0" w:color="auto"/>
        <w:right w:val="none" w:sz="0" w:space="0" w:color="auto"/>
      </w:divBdr>
    </w:div>
    <w:div w:id="797648388">
      <w:bodyDiv w:val="1"/>
      <w:marLeft w:val="0"/>
      <w:marRight w:val="0"/>
      <w:marTop w:val="0"/>
      <w:marBottom w:val="0"/>
      <w:divBdr>
        <w:top w:val="none" w:sz="0" w:space="0" w:color="auto"/>
        <w:left w:val="none" w:sz="0" w:space="0" w:color="auto"/>
        <w:bottom w:val="none" w:sz="0" w:space="0" w:color="auto"/>
        <w:right w:val="none" w:sz="0" w:space="0" w:color="auto"/>
      </w:divBdr>
    </w:div>
    <w:div w:id="816727291">
      <w:bodyDiv w:val="1"/>
      <w:marLeft w:val="0"/>
      <w:marRight w:val="0"/>
      <w:marTop w:val="0"/>
      <w:marBottom w:val="0"/>
      <w:divBdr>
        <w:top w:val="none" w:sz="0" w:space="0" w:color="auto"/>
        <w:left w:val="none" w:sz="0" w:space="0" w:color="auto"/>
        <w:bottom w:val="none" w:sz="0" w:space="0" w:color="auto"/>
        <w:right w:val="none" w:sz="0" w:space="0" w:color="auto"/>
      </w:divBdr>
    </w:div>
    <w:div w:id="885801404">
      <w:bodyDiv w:val="1"/>
      <w:marLeft w:val="0"/>
      <w:marRight w:val="0"/>
      <w:marTop w:val="0"/>
      <w:marBottom w:val="0"/>
      <w:divBdr>
        <w:top w:val="none" w:sz="0" w:space="0" w:color="auto"/>
        <w:left w:val="none" w:sz="0" w:space="0" w:color="auto"/>
        <w:bottom w:val="none" w:sz="0" w:space="0" w:color="auto"/>
        <w:right w:val="none" w:sz="0" w:space="0" w:color="auto"/>
      </w:divBdr>
    </w:div>
    <w:div w:id="956177761">
      <w:bodyDiv w:val="1"/>
      <w:marLeft w:val="0"/>
      <w:marRight w:val="0"/>
      <w:marTop w:val="0"/>
      <w:marBottom w:val="0"/>
      <w:divBdr>
        <w:top w:val="none" w:sz="0" w:space="0" w:color="auto"/>
        <w:left w:val="none" w:sz="0" w:space="0" w:color="auto"/>
        <w:bottom w:val="none" w:sz="0" w:space="0" w:color="auto"/>
        <w:right w:val="none" w:sz="0" w:space="0" w:color="auto"/>
      </w:divBdr>
    </w:div>
    <w:div w:id="968054793">
      <w:bodyDiv w:val="1"/>
      <w:marLeft w:val="0"/>
      <w:marRight w:val="0"/>
      <w:marTop w:val="0"/>
      <w:marBottom w:val="0"/>
      <w:divBdr>
        <w:top w:val="none" w:sz="0" w:space="0" w:color="auto"/>
        <w:left w:val="none" w:sz="0" w:space="0" w:color="auto"/>
        <w:bottom w:val="none" w:sz="0" w:space="0" w:color="auto"/>
        <w:right w:val="none" w:sz="0" w:space="0" w:color="auto"/>
      </w:divBdr>
    </w:div>
    <w:div w:id="970087655">
      <w:bodyDiv w:val="1"/>
      <w:marLeft w:val="0"/>
      <w:marRight w:val="0"/>
      <w:marTop w:val="0"/>
      <w:marBottom w:val="0"/>
      <w:divBdr>
        <w:top w:val="none" w:sz="0" w:space="0" w:color="auto"/>
        <w:left w:val="none" w:sz="0" w:space="0" w:color="auto"/>
        <w:bottom w:val="none" w:sz="0" w:space="0" w:color="auto"/>
        <w:right w:val="none" w:sz="0" w:space="0" w:color="auto"/>
      </w:divBdr>
    </w:div>
    <w:div w:id="970357136">
      <w:bodyDiv w:val="1"/>
      <w:marLeft w:val="0"/>
      <w:marRight w:val="0"/>
      <w:marTop w:val="0"/>
      <w:marBottom w:val="0"/>
      <w:divBdr>
        <w:top w:val="none" w:sz="0" w:space="0" w:color="auto"/>
        <w:left w:val="none" w:sz="0" w:space="0" w:color="auto"/>
        <w:bottom w:val="none" w:sz="0" w:space="0" w:color="auto"/>
        <w:right w:val="none" w:sz="0" w:space="0" w:color="auto"/>
      </w:divBdr>
    </w:div>
    <w:div w:id="987199612">
      <w:bodyDiv w:val="1"/>
      <w:marLeft w:val="0"/>
      <w:marRight w:val="0"/>
      <w:marTop w:val="0"/>
      <w:marBottom w:val="0"/>
      <w:divBdr>
        <w:top w:val="none" w:sz="0" w:space="0" w:color="auto"/>
        <w:left w:val="none" w:sz="0" w:space="0" w:color="auto"/>
        <w:bottom w:val="none" w:sz="0" w:space="0" w:color="auto"/>
        <w:right w:val="none" w:sz="0" w:space="0" w:color="auto"/>
      </w:divBdr>
    </w:div>
    <w:div w:id="990133543">
      <w:bodyDiv w:val="1"/>
      <w:marLeft w:val="0"/>
      <w:marRight w:val="0"/>
      <w:marTop w:val="0"/>
      <w:marBottom w:val="0"/>
      <w:divBdr>
        <w:top w:val="none" w:sz="0" w:space="0" w:color="auto"/>
        <w:left w:val="none" w:sz="0" w:space="0" w:color="auto"/>
        <w:bottom w:val="none" w:sz="0" w:space="0" w:color="auto"/>
        <w:right w:val="none" w:sz="0" w:space="0" w:color="auto"/>
      </w:divBdr>
    </w:div>
    <w:div w:id="992297632">
      <w:bodyDiv w:val="1"/>
      <w:marLeft w:val="0"/>
      <w:marRight w:val="0"/>
      <w:marTop w:val="0"/>
      <w:marBottom w:val="0"/>
      <w:divBdr>
        <w:top w:val="none" w:sz="0" w:space="0" w:color="auto"/>
        <w:left w:val="none" w:sz="0" w:space="0" w:color="auto"/>
        <w:bottom w:val="none" w:sz="0" w:space="0" w:color="auto"/>
        <w:right w:val="none" w:sz="0" w:space="0" w:color="auto"/>
      </w:divBdr>
    </w:div>
    <w:div w:id="993994719">
      <w:bodyDiv w:val="1"/>
      <w:marLeft w:val="0"/>
      <w:marRight w:val="0"/>
      <w:marTop w:val="0"/>
      <w:marBottom w:val="0"/>
      <w:divBdr>
        <w:top w:val="none" w:sz="0" w:space="0" w:color="auto"/>
        <w:left w:val="none" w:sz="0" w:space="0" w:color="auto"/>
        <w:bottom w:val="none" w:sz="0" w:space="0" w:color="auto"/>
        <w:right w:val="none" w:sz="0" w:space="0" w:color="auto"/>
      </w:divBdr>
    </w:div>
    <w:div w:id="1036125791">
      <w:bodyDiv w:val="1"/>
      <w:marLeft w:val="0"/>
      <w:marRight w:val="0"/>
      <w:marTop w:val="0"/>
      <w:marBottom w:val="0"/>
      <w:divBdr>
        <w:top w:val="none" w:sz="0" w:space="0" w:color="auto"/>
        <w:left w:val="none" w:sz="0" w:space="0" w:color="auto"/>
        <w:bottom w:val="none" w:sz="0" w:space="0" w:color="auto"/>
        <w:right w:val="none" w:sz="0" w:space="0" w:color="auto"/>
      </w:divBdr>
    </w:div>
    <w:div w:id="1037393770">
      <w:bodyDiv w:val="1"/>
      <w:marLeft w:val="0"/>
      <w:marRight w:val="0"/>
      <w:marTop w:val="0"/>
      <w:marBottom w:val="0"/>
      <w:divBdr>
        <w:top w:val="none" w:sz="0" w:space="0" w:color="auto"/>
        <w:left w:val="none" w:sz="0" w:space="0" w:color="auto"/>
        <w:bottom w:val="none" w:sz="0" w:space="0" w:color="auto"/>
        <w:right w:val="none" w:sz="0" w:space="0" w:color="auto"/>
      </w:divBdr>
    </w:div>
    <w:div w:id="1038120373">
      <w:bodyDiv w:val="1"/>
      <w:marLeft w:val="0"/>
      <w:marRight w:val="0"/>
      <w:marTop w:val="0"/>
      <w:marBottom w:val="0"/>
      <w:divBdr>
        <w:top w:val="none" w:sz="0" w:space="0" w:color="auto"/>
        <w:left w:val="none" w:sz="0" w:space="0" w:color="auto"/>
        <w:bottom w:val="none" w:sz="0" w:space="0" w:color="auto"/>
        <w:right w:val="none" w:sz="0" w:space="0" w:color="auto"/>
      </w:divBdr>
    </w:div>
    <w:div w:id="1054550603">
      <w:bodyDiv w:val="1"/>
      <w:marLeft w:val="0"/>
      <w:marRight w:val="0"/>
      <w:marTop w:val="0"/>
      <w:marBottom w:val="0"/>
      <w:divBdr>
        <w:top w:val="none" w:sz="0" w:space="0" w:color="auto"/>
        <w:left w:val="none" w:sz="0" w:space="0" w:color="auto"/>
        <w:bottom w:val="none" w:sz="0" w:space="0" w:color="auto"/>
        <w:right w:val="none" w:sz="0" w:space="0" w:color="auto"/>
      </w:divBdr>
    </w:div>
    <w:div w:id="1063521794">
      <w:bodyDiv w:val="1"/>
      <w:marLeft w:val="0"/>
      <w:marRight w:val="0"/>
      <w:marTop w:val="0"/>
      <w:marBottom w:val="0"/>
      <w:divBdr>
        <w:top w:val="none" w:sz="0" w:space="0" w:color="auto"/>
        <w:left w:val="none" w:sz="0" w:space="0" w:color="auto"/>
        <w:bottom w:val="none" w:sz="0" w:space="0" w:color="auto"/>
        <w:right w:val="none" w:sz="0" w:space="0" w:color="auto"/>
      </w:divBdr>
    </w:div>
    <w:div w:id="1074938729">
      <w:bodyDiv w:val="1"/>
      <w:marLeft w:val="0"/>
      <w:marRight w:val="0"/>
      <w:marTop w:val="0"/>
      <w:marBottom w:val="0"/>
      <w:divBdr>
        <w:top w:val="none" w:sz="0" w:space="0" w:color="auto"/>
        <w:left w:val="none" w:sz="0" w:space="0" w:color="auto"/>
        <w:bottom w:val="none" w:sz="0" w:space="0" w:color="auto"/>
        <w:right w:val="none" w:sz="0" w:space="0" w:color="auto"/>
      </w:divBdr>
    </w:div>
    <w:div w:id="1084299101">
      <w:bodyDiv w:val="1"/>
      <w:marLeft w:val="0"/>
      <w:marRight w:val="0"/>
      <w:marTop w:val="0"/>
      <w:marBottom w:val="0"/>
      <w:divBdr>
        <w:top w:val="none" w:sz="0" w:space="0" w:color="auto"/>
        <w:left w:val="none" w:sz="0" w:space="0" w:color="auto"/>
        <w:bottom w:val="none" w:sz="0" w:space="0" w:color="auto"/>
        <w:right w:val="none" w:sz="0" w:space="0" w:color="auto"/>
      </w:divBdr>
    </w:div>
    <w:div w:id="1087190278">
      <w:bodyDiv w:val="1"/>
      <w:marLeft w:val="0"/>
      <w:marRight w:val="0"/>
      <w:marTop w:val="0"/>
      <w:marBottom w:val="0"/>
      <w:divBdr>
        <w:top w:val="none" w:sz="0" w:space="0" w:color="auto"/>
        <w:left w:val="none" w:sz="0" w:space="0" w:color="auto"/>
        <w:bottom w:val="none" w:sz="0" w:space="0" w:color="auto"/>
        <w:right w:val="none" w:sz="0" w:space="0" w:color="auto"/>
      </w:divBdr>
    </w:div>
    <w:div w:id="1103647456">
      <w:bodyDiv w:val="1"/>
      <w:marLeft w:val="0"/>
      <w:marRight w:val="0"/>
      <w:marTop w:val="0"/>
      <w:marBottom w:val="0"/>
      <w:divBdr>
        <w:top w:val="none" w:sz="0" w:space="0" w:color="auto"/>
        <w:left w:val="none" w:sz="0" w:space="0" w:color="auto"/>
        <w:bottom w:val="none" w:sz="0" w:space="0" w:color="auto"/>
        <w:right w:val="none" w:sz="0" w:space="0" w:color="auto"/>
      </w:divBdr>
    </w:div>
    <w:div w:id="1128431445">
      <w:bodyDiv w:val="1"/>
      <w:marLeft w:val="0"/>
      <w:marRight w:val="0"/>
      <w:marTop w:val="0"/>
      <w:marBottom w:val="0"/>
      <w:divBdr>
        <w:top w:val="none" w:sz="0" w:space="0" w:color="auto"/>
        <w:left w:val="none" w:sz="0" w:space="0" w:color="auto"/>
        <w:bottom w:val="none" w:sz="0" w:space="0" w:color="auto"/>
        <w:right w:val="none" w:sz="0" w:space="0" w:color="auto"/>
      </w:divBdr>
    </w:div>
    <w:div w:id="1134178960">
      <w:bodyDiv w:val="1"/>
      <w:marLeft w:val="0"/>
      <w:marRight w:val="0"/>
      <w:marTop w:val="0"/>
      <w:marBottom w:val="0"/>
      <w:divBdr>
        <w:top w:val="none" w:sz="0" w:space="0" w:color="auto"/>
        <w:left w:val="none" w:sz="0" w:space="0" w:color="auto"/>
        <w:bottom w:val="none" w:sz="0" w:space="0" w:color="auto"/>
        <w:right w:val="none" w:sz="0" w:space="0" w:color="auto"/>
      </w:divBdr>
    </w:div>
    <w:div w:id="1136221096">
      <w:bodyDiv w:val="1"/>
      <w:marLeft w:val="0"/>
      <w:marRight w:val="0"/>
      <w:marTop w:val="0"/>
      <w:marBottom w:val="0"/>
      <w:divBdr>
        <w:top w:val="none" w:sz="0" w:space="0" w:color="auto"/>
        <w:left w:val="none" w:sz="0" w:space="0" w:color="auto"/>
        <w:bottom w:val="none" w:sz="0" w:space="0" w:color="auto"/>
        <w:right w:val="none" w:sz="0" w:space="0" w:color="auto"/>
      </w:divBdr>
    </w:div>
    <w:div w:id="1179848581">
      <w:bodyDiv w:val="1"/>
      <w:marLeft w:val="0"/>
      <w:marRight w:val="0"/>
      <w:marTop w:val="0"/>
      <w:marBottom w:val="0"/>
      <w:divBdr>
        <w:top w:val="none" w:sz="0" w:space="0" w:color="auto"/>
        <w:left w:val="none" w:sz="0" w:space="0" w:color="auto"/>
        <w:bottom w:val="none" w:sz="0" w:space="0" w:color="auto"/>
        <w:right w:val="none" w:sz="0" w:space="0" w:color="auto"/>
      </w:divBdr>
    </w:div>
    <w:div w:id="1187328626">
      <w:bodyDiv w:val="1"/>
      <w:marLeft w:val="0"/>
      <w:marRight w:val="0"/>
      <w:marTop w:val="0"/>
      <w:marBottom w:val="0"/>
      <w:divBdr>
        <w:top w:val="none" w:sz="0" w:space="0" w:color="auto"/>
        <w:left w:val="none" w:sz="0" w:space="0" w:color="auto"/>
        <w:bottom w:val="none" w:sz="0" w:space="0" w:color="auto"/>
        <w:right w:val="none" w:sz="0" w:space="0" w:color="auto"/>
      </w:divBdr>
    </w:div>
    <w:div w:id="1218397648">
      <w:bodyDiv w:val="1"/>
      <w:marLeft w:val="0"/>
      <w:marRight w:val="0"/>
      <w:marTop w:val="0"/>
      <w:marBottom w:val="0"/>
      <w:divBdr>
        <w:top w:val="none" w:sz="0" w:space="0" w:color="auto"/>
        <w:left w:val="none" w:sz="0" w:space="0" w:color="auto"/>
        <w:bottom w:val="none" w:sz="0" w:space="0" w:color="auto"/>
        <w:right w:val="none" w:sz="0" w:space="0" w:color="auto"/>
      </w:divBdr>
    </w:div>
    <w:div w:id="1224755526">
      <w:bodyDiv w:val="1"/>
      <w:marLeft w:val="0"/>
      <w:marRight w:val="0"/>
      <w:marTop w:val="0"/>
      <w:marBottom w:val="0"/>
      <w:divBdr>
        <w:top w:val="none" w:sz="0" w:space="0" w:color="auto"/>
        <w:left w:val="none" w:sz="0" w:space="0" w:color="auto"/>
        <w:bottom w:val="none" w:sz="0" w:space="0" w:color="auto"/>
        <w:right w:val="none" w:sz="0" w:space="0" w:color="auto"/>
      </w:divBdr>
    </w:div>
    <w:div w:id="1235823873">
      <w:bodyDiv w:val="1"/>
      <w:marLeft w:val="0"/>
      <w:marRight w:val="0"/>
      <w:marTop w:val="0"/>
      <w:marBottom w:val="0"/>
      <w:divBdr>
        <w:top w:val="none" w:sz="0" w:space="0" w:color="auto"/>
        <w:left w:val="none" w:sz="0" w:space="0" w:color="auto"/>
        <w:bottom w:val="none" w:sz="0" w:space="0" w:color="auto"/>
        <w:right w:val="none" w:sz="0" w:space="0" w:color="auto"/>
      </w:divBdr>
    </w:div>
    <w:div w:id="1256939762">
      <w:bodyDiv w:val="1"/>
      <w:marLeft w:val="0"/>
      <w:marRight w:val="0"/>
      <w:marTop w:val="0"/>
      <w:marBottom w:val="0"/>
      <w:divBdr>
        <w:top w:val="none" w:sz="0" w:space="0" w:color="auto"/>
        <w:left w:val="none" w:sz="0" w:space="0" w:color="auto"/>
        <w:bottom w:val="none" w:sz="0" w:space="0" w:color="auto"/>
        <w:right w:val="none" w:sz="0" w:space="0" w:color="auto"/>
      </w:divBdr>
    </w:div>
    <w:div w:id="1258977370">
      <w:bodyDiv w:val="1"/>
      <w:marLeft w:val="0"/>
      <w:marRight w:val="0"/>
      <w:marTop w:val="0"/>
      <w:marBottom w:val="0"/>
      <w:divBdr>
        <w:top w:val="none" w:sz="0" w:space="0" w:color="auto"/>
        <w:left w:val="none" w:sz="0" w:space="0" w:color="auto"/>
        <w:bottom w:val="none" w:sz="0" w:space="0" w:color="auto"/>
        <w:right w:val="none" w:sz="0" w:space="0" w:color="auto"/>
      </w:divBdr>
    </w:div>
    <w:div w:id="1273518586">
      <w:bodyDiv w:val="1"/>
      <w:marLeft w:val="0"/>
      <w:marRight w:val="0"/>
      <w:marTop w:val="0"/>
      <w:marBottom w:val="0"/>
      <w:divBdr>
        <w:top w:val="none" w:sz="0" w:space="0" w:color="auto"/>
        <w:left w:val="none" w:sz="0" w:space="0" w:color="auto"/>
        <w:bottom w:val="none" w:sz="0" w:space="0" w:color="auto"/>
        <w:right w:val="none" w:sz="0" w:space="0" w:color="auto"/>
      </w:divBdr>
    </w:div>
    <w:div w:id="1279920855">
      <w:bodyDiv w:val="1"/>
      <w:marLeft w:val="0"/>
      <w:marRight w:val="0"/>
      <w:marTop w:val="0"/>
      <w:marBottom w:val="0"/>
      <w:divBdr>
        <w:top w:val="none" w:sz="0" w:space="0" w:color="auto"/>
        <w:left w:val="none" w:sz="0" w:space="0" w:color="auto"/>
        <w:bottom w:val="none" w:sz="0" w:space="0" w:color="auto"/>
        <w:right w:val="none" w:sz="0" w:space="0" w:color="auto"/>
      </w:divBdr>
    </w:div>
    <w:div w:id="1315574075">
      <w:bodyDiv w:val="1"/>
      <w:marLeft w:val="0"/>
      <w:marRight w:val="0"/>
      <w:marTop w:val="0"/>
      <w:marBottom w:val="0"/>
      <w:divBdr>
        <w:top w:val="none" w:sz="0" w:space="0" w:color="auto"/>
        <w:left w:val="none" w:sz="0" w:space="0" w:color="auto"/>
        <w:bottom w:val="none" w:sz="0" w:space="0" w:color="auto"/>
        <w:right w:val="none" w:sz="0" w:space="0" w:color="auto"/>
      </w:divBdr>
    </w:div>
    <w:div w:id="1317151802">
      <w:bodyDiv w:val="1"/>
      <w:marLeft w:val="0"/>
      <w:marRight w:val="0"/>
      <w:marTop w:val="0"/>
      <w:marBottom w:val="0"/>
      <w:divBdr>
        <w:top w:val="none" w:sz="0" w:space="0" w:color="auto"/>
        <w:left w:val="none" w:sz="0" w:space="0" w:color="auto"/>
        <w:bottom w:val="none" w:sz="0" w:space="0" w:color="auto"/>
        <w:right w:val="none" w:sz="0" w:space="0" w:color="auto"/>
      </w:divBdr>
    </w:div>
    <w:div w:id="1344625063">
      <w:bodyDiv w:val="1"/>
      <w:marLeft w:val="0"/>
      <w:marRight w:val="0"/>
      <w:marTop w:val="0"/>
      <w:marBottom w:val="0"/>
      <w:divBdr>
        <w:top w:val="none" w:sz="0" w:space="0" w:color="auto"/>
        <w:left w:val="none" w:sz="0" w:space="0" w:color="auto"/>
        <w:bottom w:val="none" w:sz="0" w:space="0" w:color="auto"/>
        <w:right w:val="none" w:sz="0" w:space="0" w:color="auto"/>
      </w:divBdr>
    </w:div>
    <w:div w:id="1394086405">
      <w:bodyDiv w:val="1"/>
      <w:marLeft w:val="0"/>
      <w:marRight w:val="0"/>
      <w:marTop w:val="0"/>
      <w:marBottom w:val="0"/>
      <w:divBdr>
        <w:top w:val="none" w:sz="0" w:space="0" w:color="auto"/>
        <w:left w:val="none" w:sz="0" w:space="0" w:color="auto"/>
        <w:bottom w:val="none" w:sz="0" w:space="0" w:color="auto"/>
        <w:right w:val="none" w:sz="0" w:space="0" w:color="auto"/>
      </w:divBdr>
    </w:div>
    <w:div w:id="1413046262">
      <w:bodyDiv w:val="1"/>
      <w:marLeft w:val="0"/>
      <w:marRight w:val="0"/>
      <w:marTop w:val="0"/>
      <w:marBottom w:val="0"/>
      <w:divBdr>
        <w:top w:val="none" w:sz="0" w:space="0" w:color="auto"/>
        <w:left w:val="none" w:sz="0" w:space="0" w:color="auto"/>
        <w:bottom w:val="none" w:sz="0" w:space="0" w:color="auto"/>
        <w:right w:val="none" w:sz="0" w:space="0" w:color="auto"/>
      </w:divBdr>
    </w:div>
    <w:div w:id="1457749748">
      <w:bodyDiv w:val="1"/>
      <w:marLeft w:val="0"/>
      <w:marRight w:val="0"/>
      <w:marTop w:val="0"/>
      <w:marBottom w:val="0"/>
      <w:divBdr>
        <w:top w:val="none" w:sz="0" w:space="0" w:color="auto"/>
        <w:left w:val="none" w:sz="0" w:space="0" w:color="auto"/>
        <w:bottom w:val="none" w:sz="0" w:space="0" w:color="auto"/>
        <w:right w:val="none" w:sz="0" w:space="0" w:color="auto"/>
      </w:divBdr>
    </w:div>
    <w:div w:id="1463962751">
      <w:bodyDiv w:val="1"/>
      <w:marLeft w:val="0"/>
      <w:marRight w:val="0"/>
      <w:marTop w:val="0"/>
      <w:marBottom w:val="0"/>
      <w:divBdr>
        <w:top w:val="none" w:sz="0" w:space="0" w:color="auto"/>
        <w:left w:val="none" w:sz="0" w:space="0" w:color="auto"/>
        <w:bottom w:val="none" w:sz="0" w:space="0" w:color="auto"/>
        <w:right w:val="none" w:sz="0" w:space="0" w:color="auto"/>
      </w:divBdr>
    </w:div>
    <w:div w:id="1472358932">
      <w:bodyDiv w:val="1"/>
      <w:marLeft w:val="0"/>
      <w:marRight w:val="0"/>
      <w:marTop w:val="0"/>
      <w:marBottom w:val="0"/>
      <w:divBdr>
        <w:top w:val="none" w:sz="0" w:space="0" w:color="auto"/>
        <w:left w:val="none" w:sz="0" w:space="0" w:color="auto"/>
        <w:bottom w:val="none" w:sz="0" w:space="0" w:color="auto"/>
        <w:right w:val="none" w:sz="0" w:space="0" w:color="auto"/>
      </w:divBdr>
    </w:div>
    <w:div w:id="1489710728">
      <w:bodyDiv w:val="1"/>
      <w:marLeft w:val="0"/>
      <w:marRight w:val="0"/>
      <w:marTop w:val="0"/>
      <w:marBottom w:val="0"/>
      <w:divBdr>
        <w:top w:val="none" w:sz="0" w:space="0" w:color="auto"/>
        <w:left w:val="none" w:sz="0" w:space="0" w:color="auto"/>
        <w:bottom w:val="none" w:sz="0" w:space="0" w:color="auto"/>
        <w:right w:val="none" w:sz="0" w:space="0" w:color="auto"/>
      </w:divBdr>
    </w:div>
    <w:div w:id="1492135937">
      <w:bodyDiv w:val="1"/>
      <w:marLeft w:val="0"/>
      <w:marRight w:val="0"/>
      <w:marTop w:val="0"/>
      <w:marBottom w:val="0"/>
      <w:divBdr>
        <w:top w:val="none" w:sz="0" w:space="0" w:color="auto"/>
        <w:left w:val="none" w:sz="0" w:space="0" w:color="auto"/>
        <w:bottom w:val="none" w:sz="0" w:space="0" w:color="auto"/>
        <w:right w:val="none" w:sz="0" w:space="0" w:color="auto"/>
      </w:divBdr>
    </w:div>
    <w:div w:id="1542589595">
      <w:bodyDiv w:val="1"/>
      <w:marLeft w:val="0"/>
      <w:marRight w:val="0"/>
      <w:marTop w:val="0"/>
      <w:marBottom w:val="0"/>
      <w:divBdr>
        <w:top w:val="none" w:sz="0" w:space="0" w:color="auto"/>
        <w:left w:val="none" w:sz="0" w:space="0" w:color="auto"/>
        <w:bottom w:val="none" w:sz="0" w:space="0" w:color="auto"/>
        <w:right w:val="none" w:sz="0" w:space="0" w:color="auto"/>
      </w:divBdr>
    </w:div>
    <w:div w:id="1559366393">
      <w:bodyDiv w:val="1"/>
      <w:marLeft w:val="0"/>
      <w:marRight w:val="0"/>
      <w:marTop w:val="0"/>
      <w:marBottom w:val="0"/>
      <w:divBdr>
        <w:top w:val="none" w:sz="0" w:space="0" w:color="auto"/>
        <w:left w:val="none" w:sz="0" w:space="0" w:color="auto"/>
        <w:bottom w:val="none" w:sz="0" w:space="0" w:color="auto"/>
        <w:right w:val="none" w:sz="0" w:space="0" w:color="auto"/>
      </w:divBdr>
    </w:div>
    <w:div w:id="1561012195">
      <w:bodyDiv w:val="1"/>
      <w:marLeft w:val="0"/>
      <w:marRight w:val="0"/>
      <w:marTop w:val="0"/>
      <w:marBottom w:val="0"/>
      <w:divBdr>
        <w:top w:val="none" w:sz="0" w:space="0" w:color="auto"/>
        <w:left w:val="none" w:sz="0" w:space="0" w:color="auto"/>
        <w:bottom w:val="none" w:sz="0" w:space="0" w:color="auto"/>
        <w:right w:val="none" w:sz="0" w:space="0" w:color="auto"/>
      </w:divBdr>
    </w:div>
    <w:div w:id="1598826542">
      <w:bodyDiv w:val="1"/>
      <w:marLeft w:val="0"/>
      <w:marRight w:val="0"/>
      <w:marTop w:val="0"/>
      <w:marBottom w:val="0"/>
      <w:divBdr>
        <w:top w:val="none" w:sz="0" w:space="0" w:color="auto"/>
        <w:left w:val="none" w:sz="0" w:space="0" w:color="auto"/>
        <w:bottom w:val="none" w:sz="0" w:space="0" w:color="auto"/>
        <w:right w:val="none" w:sz="0" w:space="0" w:color="auto"/>
      </w:divBdr>
    </w:div>
    <w:div w:id="1625387093">
      <w:bodyDiv w:val="1"/>
      <w:marLeft w:val="0"/>
      <w:marRight w:val="0"/>
      <w:marTop w:val="0"/>
      <w:marBottom w:val="0"/>
      <w:divBdr>
        <w:top w:val="none" w:sz="0" w:space="0" w:color="auto"/>
        <w:left w:val="none" w:sz="0" w:space="0" w:color="auto"/>
        <w:bottom w:val="none" w:sz="0" w:space="0" w:color="auto"/>
        <w:right w:val="none" w:sz="0" w:space="0" w:color="auto"/>
      </w:divBdr>
    </w:div>
    <w:div w:id="1681933554">
      <w:bodyDiv w:val="1"/>
      <w:marLeft w:val="0"/>
      <w:marRight w:val="0"/>
      <w:marTop w:val="0"/>
      <w:marBottom w:val="0"/>
      <w:divBdr>
        <w:top w:val="none" w:sz="0" w:space="0" w:color="auto"/>
        <w:left w:val="none" w:sz="0" w:space="0" w:color="auto"/>
        <w:bottom w:val="none" w:sz="0" w:space="0" w:color="auto"/>
        <w:right w:val="none" w:sz="0" w:space="0" w:color="auto"/>
      </w:divBdr>
    </w:div>
    <w:div w:id="1682123457">
      <w:bodyDiv w:val="1"/>
      <w:marLeft w:val="0"/>
      <w:marRight w:val="0"/>
      <w:marTop w:val="0"/>
      <w:marBottom w:val="0"/>
      <w:divBdr>
        <w:top w:val="none" w:sz="0" w:space="0" w:color="auto"/>
        <w:left w:val="none" w:sz="0" w:space="0" w:color="auto"/>
        <w:bottom w:val="none" w:sz="0" w:space="0" w:color="auto"/>
        <w:right w:val="none" w:sz="0" w:space="0" w:color="auto"/>
      </w:divBdr>
    </w:div>
    <w:div w:id="1702895760">
      <w:bodyDiv w:val="1"/>
      <w:marLeft w:val="0"/>
      <w:marRight w:val="0"/>
      <w:marTop w:val="0"/>
      <w:marBottom w:val="0"/>
      <w:divBdr>
        <w:top w:val="none" w:sz="0" w:space="0" w:color="auto"/>
        <w:left w:val="none" w:sz="0" w:space="0" w:color="auto"/>
        <w:bottom w:val="none" w:sz="0" w:space="0" w:color="auto"/>
        <w:right w:val="none" w:sz="0" w:space="0" w:color="auto"/>
      </w:divBdr>
    </w:div>
    <w:div w:id="1723752454">
      <w:bodyDiv w:val="1"/>
      <w:marLeft w:val="0"/>
      <w:marRight w:val="0"/>
      <w:marTop w:val="0"/>
      <w:marBottom w:val="0"/>
      <w:divBdr>
        <w:top w:val="none" w:sz="0" w:space="0" w:color="auto"/>
        <w:left w:val="none" w:sz="0" w:space="0" w:color="auto"/>
        <w:bottom w:val="none" w:sz="0" w:space="0" w:color="auto"/>
        <w:right w:val="none" w:sz="0" w:space="0" w:color="auto"/>
      </w:divBdr>
    </w:div>
    <w:div w:id="1731034509">
      <w:bodyDiv w:val="1"/>
      <w:marLeft w:val="0"/>
      <w:marRight w:val="0"/>
      <w:marTop w:val="0"/>
      <w:marBottom w:val="0"/>
      <w:divBdr>
        <w:top w:val="none" w:sz="0" w:space="0" w:color="auto"/>
        <w:left w:val="none" w:sz="0" w:space="0" w:color="auto"/>
        <w:bottom w:val="none" w:sz="0" w:space="0" w:color="auto"/>
        <w:right w:val="none" w:sz="0" w:space="0" w:color="auto"/>
      </w:divBdr>
    </w:div>
    <w:div w:id="1737632575">
      <w:bodyDiv w:val="1"/>
      <w:marLeft w:val="0"/>
      <w:marRight w:val="0"/>
      <w:marTop w:val="0"/>
      <w:marBottom w:val="0"/>
      <w:divBdr>
        <w:top w:val="none" w:sz="0" w:space="0" w:color="auto"/>
        <w:left w:val="none" w:sz="0" w:space="0" w:color="auto"/>
        <w:bottom w:val="none" w:sz="0" w:space="0" w:color="auto"/>
        <w:right w:val="none" w:sz="0" w:space="0" w:color="auto"/>
      </w:divBdr>
    </w:div>
    <w:div w:id="1781946630">
      <w:bodyDiv w:val="1"/>
      <w:marLeft w:val="0"/>
      <w:marRight w:val="0"/>
      <w:marTop w:val="0"/>
      <w:marBottom w:val="0"/>
      <w:divBdr>
        <w:top w:val="none" w:sz="0" w:space="0" w:color="auto"/>
        <w:left w:val="none" w:sz="0" w:space="0" w:color="auto"/>
        <w:bottom w:val="none" w:sz="0" w:space="0" w:color="auto"/>
        <w:right w:val="none" w:sz="0" w:space="0" w:color="auto"/>
      </w:divBdr>
    </w:div>
    <w:div w:id="1807820172">
      <w:bodyDiv w:val="1"/>
      <w:marLeft w:val="0"/>
      <w:marRight w:val="0"/>
      <w:marTop w:val="0"/>
      <w:marBottom w:val="0"/>
      <w:divBdr>
        <w:top w:val="none" w:sz="0" w:space="0" w:color="auto"/>
        <w:left w:val="none" w:sz="0" w:space="0" w:color="auto"/>
        <w:bottom w:val="none" w:sz="0" w:space="0" w:color="auto"/>
        <w:right w:val="none" w:sz="0" w:space="0" w:color="auto"/>
      </w:divBdr>
    </w:div>
    <w:div w:id="1819109305">
      <w:bodyDiv w:val="1"/>
      <w:marLeft w:val="0"/>
      <w:marRight w:val="0"/>
      <w:marTop w:val="0"/>
      <w:marBottom w:val="0"/>
      <w:divBdr>
        <w:top w:val="none" w:sz="0" w:space="0" w:color="auto"/>
        <w:left w:val="none" w:sz="0" w:space="0" w:color="auto"/>
        <w:bottom w:val="none" w:sz="0" w:space="0" w:color="auto"/>
        <w:right w:val="none" w:sz="0" w:space="0" w:color="auto"/>
      </w:divBdr>
    </w:div>
    <w:div w:id="1825585431">
      <w:bodyDiv w:val="1"/>
      <w:marLeft w:val="0"/>
      <w:marRight w:val="0"/>
      <w:marTop w:val="0"/>
      <w:marBottom w:val="0"/>
      <w:divBdr>
        <w:top w:val="none" w:sz="0" w:space="0" w:color="auto"/>
        <w:left w:val="none" w:sz="0" w:space="0" w:color="auto"/>
        <w:bottom w:val="none" w:sz="0" w:space="0" w:color="auto"/>
        <w:right w:val="none" w:sz="0" w:space="0" w:color="auto"/>
      </w:divBdr>
    </w:div>
    <w:div w:id="1834105917">
      <w:bodyDiv w:val="1"/>
      <w:marLeft w:val="0"/>
      <w:marRight w:val="0"/>
      <w:marTop w:val="0"/>
      <w:marBottom w:val="0"/>
      <w:divBdr>
        <w:top w:val="none" w:sz="0" w:space="0" w:color="auto"/>
        <w:left w:val="none" w:sz="0" w:space="0" w:color="auto"/>
        <w:bottom w:val="none" w:sz="0" w:space="0" w:color="auto"/>
        <w:right w:val="none" w:sz="0" w:space="0" w:color="auto"/>
      </w:divBdr>
    </w:div>
    <w:div w:id="1846360789">
      <w:bodyDiv w:val="1"/>
      <w:marLeft w:val="0"/>
      <w:marRight w:val="0"/>
      <w:marTop w:val="0"/>
      <w:marBottom w:val="0"/>
      <w:divBdr>
        <w:top w:val="none" w:sz="0" w:space="0" w:color="auto"/>
        <w:left w:val="none" w:sz="0" w:space="0" w:color="auto"/>
        <w:bottom w:val="none" w:sz="0" w:space="0" w:color="auto"/>
        <w:right w:val="none" w:sz="0" w:space="0" w:color="auto"/>
      </w:divBdr>
    </w:div>
    <w:div w:id="1880628507">
      <w:bodyDiv w:val="1"/>
      <w:marLeft w:val="0"/>
      <w:marRight w:val="0"/>
      <w:marTop w:val="0"/>
      <w:marBottom w:val="0"/>
      <w:divBdr>
        <w:top w:val="none" w:sz="0" w:space="0" w:color="auto"/>
        <w:left w:val="none" w:sz="0" w:space="0" w:color="auto"/>
        <w:bottom w:val="none" w:sz="0" w:space="0" w:color="auto"/>
        <w:right w:val="none" w:sz="0" w:space="0" w:color="auto"/>
      </w:divBdr>
    </w:div>
    <w:div w:id="1893693470">
      <w:bodyDiv w:val="1"/>
      <w:marLeft w:val="0"/>
      <w:marRight w:val="0"/>
      <w:marTop w:val="0"/>
      <w:marBottom w:val="0"/>
      <w:divBdr>
        <w:top w:val="none" w:sz="0" w:space="0" w:color="auto"/>
        <w:left w:val="none" w:sz="0" w:space="0" w:color="auto"/>
        <w:bottom w:val="none" w:sz="0" w:space="0" w:color="auto"/>
        <w:right w:val="none" w:sz="0" w:space="0" w:color="auto"/>
      </w:divBdr>
    </w:div>
    <w:div w:id="1923681680">
      <w:bodyDiv w:val="1"/>
      <w:marLeft w:val="0"/>
      <w:marRight w:val="0"/>
      <w:marTop w:val="0"/>
      <w:marBottom w:val="0"/>
      <w:divBdr>
        <w:top w:val="none" w:sz="0" w:space="0" w:color="auto"/>
        <w:left w:val="none" w:sz="0" w:space="0" w:color="auto"/>
        <w:bottom w:val="none" w:sz="0" w:space="0" w:color="auto"/>
        <w:right w:val="none" w:sz="0" w:space="0" w:color="auto"/>
      </w:divBdr>
    </w:div>
    <w:div w:id="1933736885">
      <w:bodyDiv w:val="1"/>
      <w:marLeft w:val="0"/>
      <w:marRight w:val="0"/>
      <w:marTop w:val="0"/>
      <w:marBottom w:val="0"/>
      <w:divBdr>
        <w:top w:val="none" w:sz="0" w:space="0" w:color="auto"/>
        <w:left w:val="none" w:sz="0" w:space="0" w:color="auto"/>
        <w:bottom w:val="none" w:sz="0" w:space="0" w:color="auto"/>
        <w:right w:val="none" w:sz="0" w:space="0" w:color="auto"/>
      </w:divBdr>
    </w:div>
    <w:div w:id="1949460134">
      <w:bodyDiv w:val="1"/>
      <w:marLeft w:val="0"/>
      <w:marRight w:val="0"/>
      <w:marTop w:val="0"/>
      <w:marBottom w:val="0"/>
      <w:divBdr>
        <w:top w:val="none" w:sz="0" w:space="0" w:color="auto"/>
        <w:left w:val="none" w:sz="0" w:space="0" w:color="auto"/>
        <w:bottom w:val="none" w:sz="0" w:space="0" w:color="auto"/>
        <w:right w:val="none" w:sz="0" w:space="0" w:color="auto"/>
      </w:divBdr>
    </w:div>
    <w:div w:id="1986739600">
      <w:bodyDiv w:val="1"/>
      <w:marLeft w:val="0"/>
      <w:marRight w:val="0"/>
      <w:marTop w:val="0"/>
      <w:marBottom w:val="0"/>
      <w:divBdr>
        <w:top w:val="none" w:sz="0" w:space="0" w:color="auto"/>
        <w:left w:val="none" w:sz="0" w:space="0" w:color="auto"/>
        <w:bottom w:val="none" w:sz="0" w:space="0" w:color="auto"/>
        <w:right w:val="none" w:sz="0" w:space="0" w:color="auto"/>
      </w:divBdr>
    </w:div>
    <w:div w:id="2008357929">
      <w:bodyDiv w:val="1"/>
      <w:marLeft w:val="0"/>
      <w:marRight w:val="0"/>
      <w:marTop w:val="0"/>
      <w:marBottom w:val="0"/>
      <w:divBdr>
        <w:top w:val="none" w:sz="0" w:space="0" w:color="auto"/>
        <w:left w:val="none" w:sz="0" w:space="0" w:color="auto"/>
        <w:bottom w:val="none" w:sz="0" w:space="0" w:color="auto"/>
        <w:right w:val="none" w:sz="0" w:space="0" w:color="auto"/>
      </w:divBdr>
    </w:div>
    <w:div w:id="2027444110">
      <w:bodyDiv w:val="1"/>
      <w:marLeft w:val="0"/>
      <w:marRight w:val="0"/>
      <w:marTop w:val="0"/>
      <w:marBottom w:val="0"/>
      <w:divBdr>
        <w:top w:val="none" w:sz="0" w:space="0" w:color="auto"/>
        <w:left w:val="none" w:sz="0" w:space="0" w:color="auto"/>
        <w:bottom w:val="none" w:sz="0" w:space="0" w:color="auto"/>
        <w:right w:val="none" w:sz="0" w:space="0" w:color="auto"/>
      </w:divBdr>
    </w:div>
    <w:div w:id="2074884348">
      <w:bodyDiv w:val="1"/>
      <w:marLeft w:val="0"/>
      <w:marRight w:val="0"/>
      <w:marTop w:val="0"/>
      <w:marBottom w:val="0"/>
      <w:divBdr>
        <w:top w:val="none" w:sz="0" w:space="0" w:color="auto"/>
        <w:left w:val="none" w:sz="0" w:space="0" w:color="auto"/>
        <w:bottom w:val="none" w:sz="0" w:space="0" w:color="auto"/>
        <w:right w:val="none" w:sz="0" w:space="0" w:color="auto"/>
      </w:divBdr>
    </w:div>
    <w:div w:id="2107070488">
      <w:bodyDiv w:val="1"/>
      <w:marLeft w:val="0"/>
      <w:marRight w:val="0"/>
      <w:marTop w:val="0"/>
      <w:marBottom w:val="0"/>
      <w:divBdr>
        <w:top w:val="none" w:sz="0" w:space="0" w:color="auto"/>
        <w:left w:val="none" w:sz="0" w:space="0" w:color="auto"/>
        <w:bottom w:val="none" w:sz="0" w:space="0" w:color="auto"/>
        <w:right w:val="none" w:sz="0" w:space="0" w:color="auto"/>
      </w:divBdr>
    </w:div>
    <w:div w:id="2107461238">
      <w:bodyDiv w:val="1"/>
      <w:marLeft w:val="0"/>
      <w:marRight w:val="0"/>
      <w:marTop w:val="0"/>
      <w:marBottom w:val="0"/>
      <w:divBdr>
        <w:top w:val="none" w:sz="0" w:space="0" w:color="auto"/>
        <w:left w:val="none" w:sz="0" w:space="0" w:color="auto"/>
        <w:bottom w:val="none" w:sz="0" w:space="0" w:color="auto"/>
        <w:right w:val="none" w:sz="0" w:space="0" w:color="auto"/>
      </w:divBdr>
    </w:div>
    <w:div w:id="2132506145">
      <w:bodyDiv w:val="1"/>
      <w:marLeft w:val="0"/>
      <w:marRight w:val="0"/>
      <w:marTop w:val="0"/>
      <w:marBottom w:val="0"/>
      <w:divBdr>
        <w:top w:val="none" w:sz="0" w:space="0" w:color="auto"/>
        <w:left w:val="none" w:sz="0" w:space="0" w:color="auto"/>
        <w:bottom w:val="none" w:sz="0" w:space="0" w:color="auto"/>
        <w:right w:val="none" w:sz="0" w:space="0" w:color="auto"/>
      </w:divBdr>
    </w:div>
    <w:div w:id="2141221170">
      <w:bodyDiv w:val="1"/>
      <w:marLeft w:val="0"/>
      <w:marRight w:val="0"/>
      <w:marTop w:val="0"/>
      <w:marBottom w:val="0"/>
      <w:divBdr>
        <w:top w:val="none" w:sz="0" w:space="0" w:color="auto"/>
        <w:left w:val="none" w:sz="0" w:space="0" w:color="auto"/>
        <w:bottom w:val="none" w:sz="0" w:space="0" w:color="auto"/>
        <w:right w:val="none" w:sz="0" w:space="0" w:color="auto"/>
      </w:divBdr>
    </w:div>
    <w:div w:id="2144231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Nat19</b:Tag>
    <b:SourceType>InternetSite</b:SourceType>
    <b:Guid>{8821AFCA-7412-5749-A60D-80D1303B90AF}</b:Guid>
    <b:Title>Glossary</b:Title>
    <b:Year>2019</b:Year>
    <b:URL>https://www.nice.org.uk/glossary?letter=o</b:URL>
    <b:YearAccessed>2019</b:YearAccessed>
    <b:MonthAccessed>September</b:MonthAccessed>
    <b:DayAccessed>23</b:DayAccessed>
    <b:Author>
      <b:Author>
        <b:NameList>
          <b:Person>
            <b:Last>National Institute for Health and Care Excellence</b:Last>
          </b:Person>
        </b:NameList>
      </b:Author>
    </b:Author>
    <b:RefOrder>6</b:RefOrder>
  </b:Source>
  <b:Source>
    <b:Tag>Bry15</b:Tag>
    <b:SourceType>ElectronicSource</b:SourceType>
    <b:Guid>{D1C3DEC4-4482-8E46-BC71-D347322771D1}</b:Guid>
    <b:Title>Conducting Observational Research</b:Title>
    <b:Year>2015</b:Year>
    <b:Publisher>Swinburne Business School</b:Publisher>
    <b:City>Melbourne</b:City>
    <b:Author>
      <b:Author>
        <b:NameList>
          <b:Person>
            <b:Last>Bryant</b:Last>
            <b:First>Melanie</b:First>
          </b:Person>
        </b:NameList>
      </b:Author>
    </b:Author>
    <b:RefOrder>7</b:RefOrder>
  </b:Source>
  <b:Source>
    <b:Tag>Soc19</b:Tag>
    <b:SourceType>InternetSite</b:SourceType>
    <b:Guid>{205FAC13-67A4-BA42-A140-BAC9723638AE}</b:Guid>
    <b:Title>Qualitative Methods</b:Title>
    <b:URL>http://www.socialresearchmethods.net/kb/contents.php</b:URL>
    <b:Year>2019</b:Year>
    <b:YearAccessed>2019</b:YearAccessed>
    <b:MonthAccessed>September</b:MonthAccessed>
    <b:DayAccessed>23</b:DayAccessed>
    <b:Author>
      <b:Author>
        <b:NameList>
          <b:Person>
            <b:Last>Social Research Methods</b:Last>
          </b:Person>
        </b:NameList>
      </b:Author>
    </b:Author>
    <b:RefOrder>11</b:RefOrder>
  </b:Source>
  <b:Source>
    <b:Tag>Bla16</b:Tag>
    <b:SourceType>Book</b:SourceType>
    <b:Guid>{250F7BA1-F243-654C-B89E-E973C8ADF2D4}</b:Guid>
    <b:Title>Qualitative HCI Research</b:Title>
    <b:City>San Rafael</b:City>
    <b:Publisher>Morgan &amp; Claypool</b:Publisher>
    <b:Year>2016</b:Year>
    <b:Edition>1st</b:Edition>
    <b:Author>
      <b:Author>
        <b:NameList>
          <b:Person>
            <b:Last>Blandford.</b:Last>
            <b:First>A</b:First>
          </b:Person>
          <b:Person>
            <b:Last>Furniss</b:Last>
            <b:First>D.</b:First>
          </b:Person>
          <b:Person>
            <b:Last>Makri</b:Last>
            <b:First>S</b:First>
          </b:Person>
        </b:NameList>
      </b:Author>
    </b:Author>
    <b:RefOrder>8</b:RefOrder>
  </b:Source>
  <b:Source>
    <b:Tag>Man03</b:Tag>
    <b:SourceType>JournalArticle</b:SourceType>
    <b:Guid>{3B2837BD-DFEA-2248-A4A8-B4A886072D0D}</b:Guid>
    <b:Title>Observational research methods. Research design II: cohort, cross sectional, and case-control studies</b:Title>
    <b:Year>2003</b:Year>
    <b:JournalName>Emergency Medicine Journal </b:JournalName>
    <b:Volume>20</b:Volume>
    <b:Issue>1</b:Issue>
    <b:Pages>54-60</b:Pages>
    <b:Author>
      <b:Author>
        <b:NameList>
          <b:Person>
            <b:Last>Mann</b:Last>
            <b:Middle>J.</b:Middle>
            <b:First>C</b:First>
          </b:Person>
        </b:NameList>
      </b:Author>
    </b:Author>
    <b:RefOrder>9</b:RefOrder>
  </b:Source>
  <b:Source>
    <b:Tag>Tri93</b:Tag>
    <b:SourceType>Book</b:SourceType>
    <b:Guid>{3819F344-D54E-2E42-A12A-32BB47BD9861}</b:Guid>
    <b:Title>Critical Incidents in Teaching: Developing Professional Judgement</b:Title>
    <b:Year>1993</b:Year>
    <b:City>Abingdon</b:City>
    <b:Publisher>Routledge</b:Publisher>
    <b:Edition>1st Edition</b:Edition>
    <b:Author>
      <b:Author>
        <b:NameList>
          <b:Person>
            <b:Last>Tripp</b:Last>
            <b:First>David</b:First>
          </b:Person>
        </b:NameList>
      </b:Author>
    </b:Author>
    <b:RefOrder>4</b:RefOrder>
  </b:Source>
  <b:Source>
    <b:Tag>Hug07</b:Tag>
    <b:SourceType>BookSection</b:SourceType>
    <b:Guid>{36E57249-5D12-154E-92EC-8F39F3D02561}</b:Guid>
    <b:Title>Critical Incident Technique</b:Title>
    <b:City>Wagga Wagga</b:City>
    <b:Publisher>Centre for Information Studies: Charles Sturt University</b:Publisher>
    <b:Year>2007</b:Year>
    <b:BookTitle>Exploring methods in information literacy research</b:BookTitle>
    <b:Pages>49-66</b:Pages>
    <b:Author>
      <b:Author>
        <b:NameList>
          <b:Person>
            <b:Last>Hughes</b:Last>
            <b:First>Hilary</b:First>
          </b:Person>
        </b:NameList>
      </b:Author>
      <b:Editor>
        <b:NameList>
          <b:Person>
            <b:Last>Lipu</b:Last>
            <b:First>Suzanne</b:First>
          </b:Person>
          <b:Person>
            <b:Last>Williamson</b:Last>
            <b:First>Kirsty</b:First>
          </b:Person>
          <b:Person>
            <b:Last>Lloyd</b:Last>
            <b:First>Annemaree</b:First>
          </b:Person>
        </b:NameList>
      </b:Editor>
    </b:Author>
    <b:RefOrder>12</b:RefOrder>
  </b:Source>
  <b:Source>
    <b:Tag>Mon19</b:Tag>
    <b:SourceType>JournalArticle</b:SourceType>
    <b:Guid>{428CFBC3-42CB-A54D-8EB4-F133419A6C52}</b:Guid>
    <b:Title>"Case Study as a Research Method for Analyzing MOOCs: Presence annd Characteristics of Those Case Studies in the Main Scientific Databases."</b:Title>
    <b:Year>2019</b:Year>
    <b:Pages>59-79</b:Pages>
    <b:JournalName>Innternational Review of Research in Open &amp; Distance Learning</b:JournalName>
    <b:Volume>20</b:Volume>
    <b:Issue>3</b:Issue>
    <b:Author>
      <b:Author>
        <b:NameList>
          <b:Person>
            <b:Last>Montes-Rodriguez</b:Last>
            <b:First>Ramon</b:First>
          </b:Person>
        </b:NameList>
      </b:Author>
    </b:Author>
    <b:RefOrder>13</b:RefOrder>
  </b:Source>
  <b:Source>
    <b:Tag>Hea18</b:Tag>
    <b:SourceType>JournalArticle</b:SourceType>
    <b:Guid>{09A7F577-7C1D-CA48-B6E7-940CF0715A6A}</b:Guid>
    <b:Title>What is a case study?</b:Title>
    <b:JournalName>Evidence-Based Nursing</b:JournalName>
    <b:Year>2018</b:Year>
    <b:Volume>21</b:Volume>
    <b:Pages>7-8</b:Pages>
    <b:Author>
      <b:Author>
        <b:NameList>
          <b:Person>
            <b:Last>Heale</b:Last>
            <b:First>Roberta</b:First>
          </b:Person>
          <b:Person>
            <b:Last>Twycross</b:Last>
            <b:First>A</b:First>
          </b:Person>
        </b:NameList>
      </b:Author>
    </b:Author>
    <b:RefOrder>14</b:RefOrder>
  </b:Source>
  <b:Source>
    <b:Tag>McL19</b:Tag>
    <b:SourceType>InternetSite</b:SourceType>
    <b:Guid>{BB616FB3-1013-9647-8085-E21CCBA07C78}</b:Guid>
    <b:Title>Case Study Method</b:Title>
    <b:Year>2019</b:Year>
    <b:URL>https://www.simplypsychology.org/case-study.html</b:URL>
    <b:YearAccessed>30</b:YearAccessed>
    <b:MonthAccessed>September</b:MonthAccessed>
    <b:DayAccessed>2019</b:DayAccessed>
    <b:Author>
      <b:Author>
        <b:NameList>
          <b:Person>
            <b:Last>McLeod</b:Last>
            <b:First>Saul</b:First>
          </b:Person>
        </b:NameList>
      </b:Author>
    </b:Author>
    <b:RefOrder>15</b:RefOrder>
  </b:Source>
  <b:Source>
    <b:Tag>Gow19</b:Tag>
    <b:SourceType>InternetSite</b:SourceType>
    <b:Guid>{05CD9300-4D3B-7543-AFE4-2618795F63DA}</b:Guid>
    <b:Title>Full-Time</b:Title>
    <b:URL>https://www.gcs.ac.uk/full-time</b:URL>
    <b:Year>2019</b:Year>
    <b:YearAccessed>2019</b:YearAccessed>
    <b:MonthAccessed>September</b:MonthAccessed>
    <b:DayAccessed>30</b:DayAccessed>
    <b:Author>
      <b:Author>
        <b:NameList>
          <b:Person>
            <b:Last>Gower College</b:Last>
          </b:Person>
        </b:NameList>
      </b:Author>
    </b:Author>
    <b:RefOrder>39</b:RefOrder>
  </b:Source>
  <b:Source>
    <b:Tag>Par19</b:Tag>
    <b:SourceType>InternetSite</b:SourceType>
    <b:Guid>{DA197057-E72B-9E42-AE0D-D65ABED6FCC5}</b:Guid>
    <b:Title>Welcome to the Parents' Zone</b:Title>
    <b:URL>http://parents.gcs.ac.uk/en/welcome-to-the-gower-college-swansea-parent-zone/</b:URL>
    <b:Year>2019</b:Year>
    <b:YearAccessed>30</b:YearAccessed>
    <b:MonthAccessed>September</b:MonthAccessed>
    <b:DayAccessed>2019</b:DayAccessed>
    <b:Author>
      <b:Author>
        <b:NameList>
          <b:Person>
            <b:Last>Parents' Zone: Gower College</b:Last>
          </b:Person>
        </b:NameList>
      </b:Author>
    </b:Author>
    <b:RefOrder>40</b:RefOrder>
  </b:Source>
  <b:Source>
    <b:Tag>Gow191</b:Tag>
    <b:SourceType>DocumentFromInternetSite</b:SourceType>
    <b:Guid>{3DC76D5F-EB79-904C-859C-E2DAE9331CB4}</b:Guid>
    <b:Title>School Leavers Guide 2020/21</b:Title>
    <b:URL>https://www.gcs.ac.uk/sites/default/files/ft_en.pdf</b:URL>
    <b:Year>2019</b:Year>
    <b:YearAccessed>2019</b:YearAccessed>
    <b:MonthAccessed>September</b:MonthAccessed>
    <b:DayAccessed>30</b:DayAccessed>
    <b:Month>September</b:Month>
    <b:Author>
      <b:Author>
        <b:NameList>
          <b:Person>
            <b:Last>Gower College</b:Last>
          </b:Person>
        </b:NameList>
      </b:Author>
    </b:Author>
    <b:RefOrder>41</b:RefOrder>
  </b:Source>
  <b:Source>
    <b:Tag>Est18</b:Tag>
    <b:SourceType>DocumentFromInternetSite</b:SourceType>
    <b:Guid>{F43F1CD6-5CC6-BA4A-BB6F-3E98579D0CC2}</b:Guid>
    <b:Author>
      <b:Author>
        <b:NameList>
          <b:Person>
            <b:Last>Estyn</b:Last>
          </b:Person>
        </b:NameList>
      </b:Author>
    </b:Author>
    <b:Title>A report on Gower College Swansea: January 2018</b:Title>
    <b:URL>http://parents.gcs.ac.uk/wp-content/uploads/2019/06/estyn-update-2018-1.pdf</b:URL>
    <b:Year>2018</b:Year>
    <b:Month>May</b:Month>
    <b:Day>23</b:Day>
    <b:YearAccessed>2019</b:YearAccessed>
    <b:MonthAccessed>September</b:MonthAccessed>
    <b:DayAccessed>30</b:DayAccessed>
    <b:RefOrder>5</b:RefOrder>
  </b:Source>
  <b:Source>
    <b:Tag>Don15</b:Tag>
    <b:SourceType>Report</b:SourceType>
    <b:Guid>{A56E04C3-9AB2-ED4F-BAD0-4AABC5CB6C55}</b:Guid>
    <b:Title>Successful Futures: Independent Review of Curriculum and Assessment Arrangements in Wales</b:Title>
    <b:Year>2015</b:Year>
    <b:Publisher>Welsh Government</b:Publisher>
    <b:City>Cardiff</b:City>
    <b:Author>
      <b:Author>
        <b:NameList>
          <b:Person>
            <b:Last>Donaldson</b:Last>
            <b:First>Graham</b:First>
          </b:Person>
        </b:NameList>
      </b:Author>
    </b:Author>
    <b:RefOrder>1</b:RefOrder>
  </b:Source>
  <b:Source>
    <b:Tag>Jer16</b:Tag>
    <b:SourceType>Report</b:SourceType>
    <b:Guid>{F97DADA9-8EDA-A642-9AD5-C03B1334D899}</b:Guid>
    <b:Title>Achievement of 15-Year- Olds in Wales: PISA 2015 National Report</b:Title>
    <b:Publisher>University College of London</b:Publisher>
    <b:City>London</b:City>
    <b:Year>2016</b:Year>
    <b:Author>
      <b:Author>
        <b:NameList>
          <b:Person>
            <b:Last>Jerrim</b:Last>
            <b:First>John</b:First>
          </b:Person>
          <b:Person>
            <b:Last>Shure</b:Last>
            <b:First>Nikki</b:First>
          </b:Person>
        </b:NameList>
      </b:Author>
    </b:Author>
    <b:RefOrder>2</b:RefOrder>
  </b:Source>
  <b:Source>
    <b:Tag>Wel17</b:Tag>
    <b:SourceType>InternetSite</b:SourceType>
    <b:Guid>{3E91DF01-670F-D74C-B929-543F5C9C93E0}</b:Guid>
    <b:Title>New School Curriculum: Overview</b:Title>
    <b:Year>2017</b:Year>
    <b:URL>https://gov.wales/new-school-curriculum-overview</b:URL>
    <b:YearAccessed>2019</b:YearAccessed>
    <b:MonthAccessed>October</b:MonthAccessed>
    <b:DayAccessed>3</b:DayAccessed>
    <b:Author>
      <b:Author>
        <b:NameList>
          <b:Person>
            <b:Last>Welsh Government</b:Last>
          </b:Person>
        </b:NameList>
      </b:Author>
    </b:Author>
    <b:RefOrder>3</b:RefOrder>
  </b:Source>
  <b:Source>
    <b:Tag>Wel15</b:Tag>
    <b:SourceType>InternetSite</b:SourceType>
    <b:Guid>{5EC4BD79-9372-C741-B77A-D6A5528E2682}</b:Guid>
    <b:Title>The four purposes of the curriculum</b:Title>
    <b:URL>https://gov.wales/sites/default/files/publications/2018-03/the-four-purposes-of-the-curriculum-for-wales.pdf</b:URL>
    <b:Year>2015</b:Year>
    <b:YearAccessed>2019</b:YearAccessed>
    <b:MonthAccessed>October</b:MonthAccessed>
    <b:DayAccessed>6</b:DayAccessed>
    <b:Author>
      <b:Author>
        <b:NameList>
          <b:Person>
            <b:Last>Welsh Government</b:Last>
          </b:Person>
        </b:NameList>
      </b:Author>
    </b:Author>
    <b:RefOrder>16</b:RefOrder>
  </b:Source>
  <b:Source>
    <b:Tag>Dav07</b:Tag>
    <b:SourceType>Book</b:SourceType>
    <b:Guid>{568E6A1E-89BA-304E-B1BB-0CB84EAB9A41}</b:Guid>
    <b:Title>Doing a Successful Research Project</b:Title>
    <b:Year>2007</b:Year>
    <b:City>Basingstoke</b:City>
    <b:Publisher>Palgrave Macmillan</b:Publisher>
    <b:Edition>1</b:Edition>
    <b:Author>
      <b:Author>
        <b:NameList>
          <b:Person>
            <b:Last>Davies</b:Last>
            <b:Middle>Brett</b:Middle>
            <b:First>Martin</b:First>
          </b:Person>
        </b:NameList>
      </b:Author>
    </b:Author>
    <b:RefOrder>10</b:RefOrder>
  </b:Source>
  <b:Source>
    <b:Tag>Cam19</b:Tag>
    <b:SourceType>InternetSite</b:SourceType>
    <b:Guid>{35DCAB9E-AE06-7F4C-8815-A4B46BF698FD}</b:Guid>
    <b:Title>Technology</b:Title>
    <b:Year>2019</b:Year>
    <b:URL>https://dictionary.cambridge.org/dictionary/english/technology</b:URL>
    <b:YearAccessed>2019</b:YearAccessed>
    <b:MonthAccessed>October</b:MonthAccessed>
    <b:DayAccessed>10</b:DayAccessed>
    <b:Author>
      <b:Author>
        <b:NameList>
          <b:Person>
            <b:Last>Cambridge Dictionary</b:Last>
          </b:Person>
        </b:NameList>
      </b:Author>
    </b:Author>
    <b:RefOrder>17</b:RefOrder>
  </b:Source>
  <b:Source>
    <b:Tag>Cau10</b:Tag>
    <b:SourceType>JournalArticle</b:SourceType>
    <b:Guid>{5E080BE5-CED5-004A-BAF5-2812E26D296E}</b:Guid>
    <b:Title>Technologies Across Our Curriculum: A Study of Technology Integration in the Classroom</b:Title>
    <b:Year>2010</b:Year>
    <b:JournalName>Journal of Education for Business</b:JournalName>
    <b:Volume>85</b:Volume>
    <b:Issue>2</b:Issue>
    <b:Pages>114-118</b:Pages>
    <b:Author>
      <b:Author>
        <b:NameList>
          <b:Person>
            <b:Last>Cauley</b:Last>
            <b:Middle>G</b:Middle>
            <b:First>Fattaneh</b:First>
          </b:Person>
          <b:Person>
            <b:Last>Aiken</b:Last>
            <b:Middle>K</b:Middle>
            <b:First>Damon</b:First>
          </b:Person>
          <b:Person>
            <b:Last>Whitney</b:Last>
            <b:Middle>L</b:Middle>
            <b:First>Keith</b:First>
          </b:Person>
        </b:NameList>
      </b:Author>
    </b:Author>
    <b:RefOrder>18</b:RefOrder>
  </b:Source>
  <b:Source>
    <b:Tag>Mat18</b:Tag>
    <b:SourceType>JournalArticle</b:SourceType>
    <b:Guid>{7336D7CD-11B7-9C49-A644-5E8865603901}</b:Guid>
    <b:Title>Using Technology to Teach Social Studies</b:Title>
    <b:JournalName>Social Studies Review</b:JournalName>
    <b:Year>2018</b:Year>
    <b:Volume>56</b:Volume>
    <b:Pages>87-89</b:Pages>
    <b:Author>
      <b:Author>
        <b:NameList>
          <b:Person>
            <b:Last>Matheson</b:Last>
            <b:First>David</b:First>
          </b:Person>
        </b:NameList>
      </b:Author>
    </b:Author>
    <b:RefOrder>19</b:RefOrder>
  </b:Source>
  <b:Source>
    <b:Tag>McL12</b:Tag>
    <b:SourceType>JournalArticle</b:SourceType>
    <b:Guid>{E2F77E06-FB2E-6A47-A8C7-7C954C83B46B}</b:Guid>
    <b:Title>Virtual Learning Influences on Education: Technology Reforming the Learning Experience</b:Title>
    <b:JournalName>Journal of Technology Integration in the Classroom</b:JournalName>
    <b:Year>2012</b:Year>
    <b:Volume>4</b:Volume>
    <b:Issue>3</b:Issue>
    <b:Pages>61-69</b:Pages>
    <b:Author>
      <b:Author>
        <b:NameList>
          <b:Person>
            <b:Last>McLeod</b:Last>
            <b:First>Kimberly</b:First>
          </b:Person>
          <b:Person>
            <b:Last>Waites</b:Last>
            <b:First>Tovah</b:First>
          </b:Person>
          <b:Person>
            <b:Last>Benavides</b:Last>
            <b:First>Sharron</b:First>
          </b:Person>
          <b:Person>
            <b:Last>Pittard</b:Last>
            <b:First>Danielle</b:First>
          </b:Person>
          <b:Person>
            <b:Last>Pickens</b:Last>
            <b:First>Kaya</b:First>
          </b:Person>
        </b:NameList>
      </b:Author>
    </b:Author>
    <b:RefOrder>22</b:RefOrder>
  </b:Source>
  <b:Source>
    <b:Tag>She10</b:Tag>
    <b:SourceType>JournalArticle</b:SourceType>
    <b:Guid>{0BDEA5AF-BB27-9C44-B75F-5788962F395C}</b:Guid>
    <b:Title>Technology Integration in Secondary Mathematics Classrooms: Effect on Students' Understanding</b:Title>
    <b:JournalName>Journal of Technology Integration in the Classroom</b:JournalName>
    <b:Year>2010</b:Year>
    <b:Volume>2</b:Volume>
    <b:Issue>3</b:Issue>
    <b:Pages>67-83</b:Pages>
    <b:Author>
      <b:Author>
        <b:NameList>
          <b:Person>
            <b:Last>Sheehan</b:Last>
            <b:First>Megan</b:First>
          </b:Person>
          <b:Person>
            <b:Last>Nillas</b:Last>
            <b:First>Leah</b:First>
          </b:Person>
        </b:NameList>
      </b:Author>
    </b:Author>
    <b:RefOrder>20</b:RefOrder>
  </b:Source>
  <b:Source>
    <b:Tag>Chi13</b:Tag>
    <b:SourceType>JournalArticle</b:SourceType>
    <b:Guid>{7B1654D4-91AC-C44B-93F8-78922A0FA3F9}</b:Guid>
    <b:Title>The Integration of Technology in the 21st Century Classroom: Teachers' Attitudes and Pedagogical Beliefs Toward Emerging Technologies</b:Title>
    <b:JournalName>Journal of Technology Integration in the Classroom</b:JournalName>
    <b:Year>2013</b:Year>
    <b:Volume>5</b:Volume>
    <b:Issue>1</b:Issue>
    <b:Pages>5-11</b:Pages>
    <b:Author>
      <b:Author>
        <b:NameList>
          <b:Person>
            <b:Last>Chien</b:Last>
            <b:First>Yu</b:First>
          </b:Person>
        </b:NameList>
      </b:Author>
    </b:Author>
    <b:RefOrder>23</b:RefOrder>
  </b:Source>
  <b:Source>
    <b:Tag>Dep14</b:Tag>
    <b:SourceType>DocumentFromInternetSite</b:SourceType>
    <b:Guid>{1BAA4B47-3F55-E04D-B790-CE23B9FF274D}</b:Guid>
    <b:Title>Listening to and involving children and young people</b:Title>
    <b:Year>2014</b:Year>
    <b:URL>https://assets.publishing.service.gov.uk/government/uploads/system/uploads/attachment_data/file/437241/Listening_to_and_involving_children_and_young_people.pdf</b:URL>
    <b:Month>January</b:Month>
    <b:YearAccessed>2019</b:YearAccessed>
    <b:MonthAccessed>October</b:MonthAccessed>
    <b:DayAccessed>14</b:DayAccessed>
    <b:Author>
      <b:Author>
        <b:NameList>
          <b:Person>
            <b:Last>Department for Education</b:Last>
          </b:Person>
        </b:NameList>
      </b:Author>
    </b:Author>
    <b:RefOrder>24</b:RefOrder>
  </b:Source>
  <b:Source>
    <b:Tag>Bla</b:Tag>
    <b:SourceType>JournalArticle</b:SourceType>
    <b:Guid>{E78D40F0-C034-2840-AA75-6DFF3E192ACE}</b:Guid>
    <b:Title>Mobile Phones in the Classroom: Preservice Teachers Answer the Call</b:Title>
    <b:Author>
      <b:Author>
        <b:NameList>
          <b:Person>
            <b:Last>Blanche</b:Last>
            <b:First>W</b:First>
          </b:Person>
          <b:Person>
            <b:Last>O'Bannon</b:Last>
            <b:First>K</b:First>
          </b:Person>
          <b:Person>
            <b:Last>Thomas</b:Last>
            <b:First>M</b:First>
          </b:Person>
        </b:NameList>
      </b:Author>
    </b:Author>
    <b:JournalName>Computers and Education</b:JournalName>
    <b:Year>2015</b:Year>
    <b:Volume>85</b:Volume>
    <b:Pages>110-122</b:Pages>
    <b:RefOrder>21</b:RefOrder>
  </b:Source>
  <b:Source>
    <b:Tag>Wyb16</b:Tag>
    <b:SourceType>Report</b:SourceType>
    <b:Guid>{95B73808-9E15-E943-BA93-2582A4F01A31}</b:Guid>
    <b:Title>Pupil Power</b:Title>
    <b:Year>2016</b:Year>
    <b:Publisher>Demos</b:Publisher>
    <b:City>London</b:City>
    <b:Author>
      <b:Author>
        <b:NameList>
          <b:Person>
            <b:Last>Wybron</b:Last>
            <b:First>Ian</b:First>
          </b:Person>
          <b:Person>
            <b:Last>Paget</b:Last>
            <b:First>Ally</b:First>
          </b:Person>
        </b:NameList>
      </b:Author>
    </b:Author>
    <b:RefOrder>27</b:RefOrder>
  </b:Source>
  <b:Source>
    <b:Tag>Sul13</b:Tag>
    <b:SourceType>Book</b:SourceType>
    <b:Guid>{D24FF18A-5F0B-3A48-A257-65C99D89A159}</b:Guid>
    <b:Title>Students Taking Charge: Inside the Learner-Active, Technology-Infused Classroom</b:Title>
    <b:Publisher>Routledge</b:Publisher>
    <b:City>Abingdon</b:City>
    <b:Year>2013</b:Year>
    <b:Author>
      <b:Author>
        <b:NameList>
          <b:Person>
            <b:Last>Sulla</b:Last>
            <b:First>Nancy</b:First>
          </b:Person>
        </b:NameList>
      </b:Author>
    </b:Author>
    <b:RefOrder>26</b:RefOrder>
  </b:Source>
  <b:Source>
    <b:Tag>Woo11</b:Tag>
    <b:SourceType>JournalArticle</b:SourceType>
    <b:Guid>{F99C76F4-3C5B-234D-BEC2-42621346D026}</b:Guid>
    <b:Title>'Closer to the Ground': Pupil 'Voice' and the Development of Knowledge about Schools</b:Title>
    <b:Year>2011</b:Year>
    <b:Author>
      <b:Author>
        <b:NameList>
          <b:Person>
            <b:Last>Wood</b:Last>
            <b:First>Margaret</b:First>
          </b:Person>
        </b:NameList>
      </b:Author>
    </b:Author>
    <b:JournalName>Turkish Journal of Qualitative Inquiry</b:JournalName>
    <b:Volume>2</b:Volume>
    <b:Issue>1</b:Issue>
    <b:Pages>1-15</b:Pages>
    <b:RefOrder>29</b:RefOrder>
  </b:Source>
  <b:Source>
    <b:Tag>Flu07</b:Tag>
    <b:SourceType>JournalArticle</b:SourceType>
    <b:Guid>{61183AC4-21A4-D84B-8E57-3C1D1F7B7CA7}</b:Guid>
    <b:Title>Teacher development and pupil voice</b:Title>
    <b:JournalName>The Curriculum Journal</b:JournalName>
    <b:Year>2007</b:Year>
    <b:Volume>18</b:Volume>
    <b:Issue>3</b:Issue>
    <b:Pages>343-354</b:Pages>
    <b:Author>
      <b:Author>
        <b:NameList>
          <b:Person>
            <b:Last>Flutter</b:Last>
            <b:First>Julia</b:First>
          </b:Person>
        </b:NameList>
      </b:Author>
    </b:Author>
    <b:RefOrder>28</b:RefOrder>
  </b:Source>
  <b:Source>
    <b:Tag>Lum03</b:Tag>
    <b:SourceType>JournalArticle</b:SourceType>
    <b:Guid>{B9251D9E-CCEB-0E4F-89F5-BB8E49A4EFAC}</b:Guid>
    <b:Title>Culture Change: The Case of Sixth Form and General Further Education Colleges'</b:Title>
    <b:JournalName>Educational Management &amp; Administration</b:JournalName>
    <b:Year>2003</b:Year>
    <b:Volume>31</b:Volume>
    <b:Issue>2</b:Issue>
    <b:Pages>159-174</b:Pages>
    <b:Author>
      <b:Author>
        <b:NameList>
          <b:Person>
            <b:Last>Lumby</b:Last>
            <b:First>J</b:First>
          </b:Person>
        </b:NameList>
      </b:Author>
    </b:Author>
    <b:RefOrder>30</b:RefOrder>
  </b:Source>
  <b:Source>
    <b:Tag>Est181</b:Tag>
    <b:SourceType>Report</b:SourceType>
    <b:Guid>{2E70D9DC-1A40-F843-A991-DF0DBE3604DA}</b:Guid>
    <b:Title>A Levels in Sixth Forms and Further Education Colleges</b:Title>
    <b:Year>2018</b:Year>
    <b:Publisher>Estyn</b:Publisher>
    <b:City>Cardiff</b:City>
    <b:Author>
      <b:Author>
        <b:NameList>
          <b:Person>
            <b:Last>Estyn</b:Last>
          </b:Person>
        </b:NameList>
      </b:Author>
    </b:Author>
    <b:RefOrder>31</b:RefOrder>
  </b:Source>
  <b:Source>
    <b:Tag>Gar07</b:Tag>
    <b:SourceType>Report</b:SourceType>
    <b:Guid>{4B18D485-CE73-5F4D-897B-8A109C1D7670}</b:Guid>
    <b:Title>Institutional Differences in 16-19 GCE Advanced Level Education in England</b:Title>
    <b:Publisher>Institute of Education: University of London</b:Publisher>
    <b:City>London</b:City>
    <b:Year>2007</b:Year>
    <b:Author>
      <b:Author>
        <b:NameList>
          <b:Person>
            <b:Last>Gardner</b:Last>
            <b:First>Stuart</b:First>
          </b:Person>
        </b:NameList>
      </b:Author>
    </b:Author>
    <b:RefOrder>32</b:RefOrder>
  </b:Source>
  <b:Source>
    <b:Tag>Sto14</b:Tag>
    <b:SourceType>JournalArticle</b:SourceType>
    <b:Guid>{A04AA326-07FE-E54B-9B6E-5DAB5B4997F5}</b:Guid>
    <b:Title>Sixth-Form colleges: an endangered organisational form?</b:Title>
    <b:Year>2014</b:Year>
    <b:JournalName>Journal of Further and Higher Education</b:JournalName>
    <b:Volume>38</b:Volume>
    <b:Issue>6</b:Issue>
    <b:Pages>851-873</b:Pages>
    <b:Author>
      <b:Author>
        <b:NameList>
          <b:Person>
            <b:Last>Stoten</b:Last>
            <b:Middle>William</b:Middle>
            <b:First>David</b:First>
          </b:Person>
        </b:NameList>
      </b:Author>
    </b:Author>
    <b:RefOrder>33</b:RefOrder>
  </b:Source>
  <b:Source>
    <b:Tag>Sto141</b:Tag>
    <b:SourceType>JournalArticle</b:SourceType>
    <b:Guid>{36BB8F4E-FD90-5B4E-8611-4270B55CC499}</b:Guid>
    <b:Title>Are we there yet? Progress in promoting independent learning in a Sixth Form College</b:Title>
    <b:JournalName>Educational Studies</b:JournalName>
    <b:Year>2014</b:Year>
    <b:Volume>40</b:Volume>
    <b:Issue>4</b:Issue>
    <b:Pages>452-455</b:Pages>
    <b:Author>
      <b:Author>
        <b:NameList>
          <b:Person>
            <b:Last>Stoten</b:Last>
            <b:Middle>William</b:Middle>
            <b:First>David</b:First>
          </b:Person>
        </b:NameList>
      </b:Author>
    </b:Author>
    <b:RefOrder>34</b:RefOrder>
  </b:Source>
  <b:Source>
    <b:Tag>Ass15</b:Tag>
    <b:SourceType>Report</b:SourceType>
    <b:Guid>{913BA1A7-1189-EC41-8FA2-BEE8A2F041A1}</b:Guid>
    <b:Title>College Key Facts 2014/2015</b:Title>
    <b:Year>2015</b:Year>
    <b:Publisher>Association of Colleges</b:Publisher>
    <b:City>London</b:City>
    <b:Author>
      <b:Author>
        <b:NameList>
          <b:Person>
            <b:Last>Association of Colleges</b:Last>
          </b:Person>
        </b:NameList>
      </b:Author>
    </b:Author>
    <b:RefOrder>35</b:RefOrder>
  </b:Source>
  <b:Source>
    <b:Tag>Hil17</b:Tag>
    <b:SourceType>JournalArticle</b:SourceType>
    <b:Guid>{1E8877AA-D1E8-3342-B42F-A236FF75E1B7}</b:Guid>
    <b:Title>An analysis of the role and responsibilities of chairs of further education college and sixth-form college governing bodies in England</b:Title>
    <b:Year>2017</b:Year>
    <b:JournalName>Educational Management Administration &amp; Leadership</b:JournalName>
    <b:Volume>45</b:Volume>
    <b:Issue>1</b:Issue>
    <b:Pages>57-76</b:Pages>
    <b:Author>
      <b:Author>
        <b:NameList>
          <b:Person>
            <b:Last>Hill</b:Last>
            <b:First>Ron</b:First>
          </b:Person>
          <b:Person>
            <b:Last>James</b:Last>
            <b:First>Chris</b:First>
          </b:Person>
        </b:NameList>
      </b:Author>
    </b:Author>
    <b:RefOrder>36</b:RefOrder>
  </b:Source>
  <b:Source>
    <b:Tag>Est16</b:Tag>
    <b:SourceType>Report</b:SourceType>
    <b:Guid>{AC1B8E0A-3DD3-CA43-BD9C-06F5C3B0D9B7}</b:Guid>
    <b:Title>Pupil participation: a best practise guide</b:Title>
    <b:Year>2016</b:Year>
    <b:Publisher>Estyn</b:Publisher>
    <b:City>Cardiff</b:City>
    <b:Author>
      <b:Author>
        <b:NameList>
          <b:Person>
            <b:Last>Estyn</b:Last>
          </b:Person>
        </b:NameList>
      </b:Author>
    </b:Author>
    <b:RefOrder>42</b:RefOrder>
  </b:Source>
  <b:Source>
    <b:Tag>Wel171</b:Tag>
    <b:SourceType>Report</b:SourceType>
    <b:Guid>{BC398EC6-AA58-0B44-A6FE-6093ED6A07BA}</b:Guid>
    <b:Title>Professional standards for teaching and leadership</b:Title>
    <b:Publisher>Welsh Government</b:Publisher>
    <b:City>Cardiff</b:City>
    <b:Year>2017</b:Year>
    <b:Author>
      <b:Author>
        <b:NameList>
          <b:Person>
            <b:Last>Welsh Government</b:Last>
          </b:Person>
        </b:NameList>
      </b:Author>
    </b:Author>
    <b:RefOrder>38</b:RefOrder>
  </b:Source>
  <b:Source>
    <b:Tag>Kol84</b:Tag>
    <b:SourceType>Book</b:SourceType>
    <b:Guid>{3E3A71E6-0887-714E-AF82-03824E34807C}</b:Guid>
    <b:Title>Experiential Learning: Experience as the source of learning and development</b:Title>
    <b:Year>1984</b:Year>
    <b:City>Englewood Cliffs: New Jersey</b:City>
    <b:Publisher>Prentice Hall</b:Publisher>
    <b:Edition>1</b:Edition>
    <b:Author>
      <b:Author>
        <b:NameList>
          <b:Person>
            <b:Last>Kolb</b:Last>
            <b:First>David</b:First>
          </b:Person>
        </b:NameList>
      </b:Author>
    </b:Author>
    <b:RefOrder>37</b:RefOrder>
  </b:Source>
  <b:Source>
    <b:Tag>Alt17</b:Tag>
    <b:SourceType>JournalArticle</b:SourceType>
    <b:Guid>{12010B37-1667-6C4B-A7AF-DB225B0AFBA2}</b:Guid>
    <b:Title>Constructivist learning and openness to diversity and challenge in higher education environments</b:Title>
    <b:Year>2017</b:Year>
    <b:JournalName>Learning Environment Resources</b:JournalName>
    <b:Volume>20</b:Volume>
    <b:Pages>99-119</b:Pages>
    <b:Author>
      <b:Author>
        <b:NameList>
          <b:Person>
            <b:Last>Alt</b:Last>
            <b:First>Dorit</b:First>
          </b:Person>
        </b:NameList>
      </b:Author>
    </b:Author>
    <b:RefOrder>25</b:RefOrder>
  </b:Source>
</b:Sources>
</file>

<file path=customXml/itemProps1.xml><?xml version="1.0" encoding="utf-8"?>
<ds:datastoreItem xmlns:ds="http://schemas.openxmlformats.org/officeDocument/2006/customXml" ds:itemID="{85FADF93-17F2-684E-AE1A-5EFAEAA64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945</TotalTime>
  <Pages>10</Pages>
  <Words>5407</Words>
  <Characters>30824</Characters>
  <Application>Microsoft Office Word</Application>
  <DocSecurity>0</DocSecurity>
  <Lines>256</Lines>
  <Paragraphs>72</Paragraphs>
  <ScaleCrop>false</ScaleCrop>
  <Company/>
  <LinksUpToDate>false</LinksUpToDate>
  <CharactersWithSpaces>36159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slade</dc:creator>
  <cp:keywords/>
  <dc:description/>
  <cp:lastModifiedBy>callum slade</cp:lastModifiedBy>
  <cp:revision>115</cp:revision>
  <dcterms:created xsi:type="dcterms:W3CDTF">2019-09-23T12:59:00Z</dcterms:created>
  <dcterms:modified xsi:type="dcterms:W3CDTF">2019-10-26T08:10:00Z</dcterms:modified>
</cp:coreProperties>
</file>