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02">
      <w:pPr>
        <w:spacing w:line="480" w:lineRule="auto"/>
        <w:jc w:val="both"/>
        <w:rPr>
          <w:color w:val="333333"/>
          <w:sz w:val="24"/>
          <w:szCs w:val="24"/>
          <w:highlight w:val="white"/>
        </w:rPr>
      </w:pPr>
      <w:r w:rsidDel="00000000" w:rsidR="00000000" w:rsidRPr="00000000">
        <w:rPr>
          <w:i w:val="1"/>
          <w:color w:val="333333"/>
          <w:sz w:val="24"/>
          <w:szCs w:val="24"/>
          <w:highlight w:val="white"/>
          <w:rtl w:val="0"/>
        </w:rPr>
        <w:t xml:space="preserve">Cena </w:t>
      </w:r>
      <w:r w:rsidDel="00000000" w:rsidR="00000000" w:rsidRPr="00000000">
        <w:rPr>
          <w:color w:val="333333"/>
          <w:sz w:val="24"/>
          <w:szCs w:val="24"/>
          <w:highlight w:val="white"/>
          <w:rtl w:val="0"/>
        </w:rPr>
        <w:t xml:space="preserve">Trimalchio begins with the extravagant food being brought in to his guests. Before this section (39-40) we get a foreboding that Encolpius despises the fanfare ‘nos ut tristiores ad tam viles accessimus cibos’ </w:t>
      </w:r>
      <w:r w:rsidDel="00000000" w:rsidR="00000000" w:rsidRPr="00000000">
        <w:rPr>
          <w:i w:val="1"/>
          <w:color w:val="333333"/>
          <w:sz w:val="24"/>
          <w:szCs w:val="24"/>
          <w:highlight w:val="white"/>
          <w:rtl w:val="0"/>
        </w:rPr>
        <w:t xml:space="preserve">with sour faces we approached such cheap fare</w:t>
      </w:r>
      <w:r w:rsidDel="00000000" w:rsidR="00000000" w:rsidRPr="00000000">
        <w:rPr>
          <w:color w:val="333333"/>
          <w:sz w:val="24"/>
          <w:szCs w:val="24"/>
          <w:highlight w:val="white"/>
          <w:rtl w:val="0"/>
        </w:rPr>
        <w:t xml:space="preserve"> </w:t>
      </w:r>
      <w:r w:rsidDel="00000000" w:rsidR="00000000" w:rsidRPr="00000000">
        <w:rPr>
          <w:color w:val="333333"/>
          <w:sz w:val="24"/>
          <w:szCs w:val="24"/>
          <w:highlight w:val="white"/>
          <w:rtl w:val="0"/>
        </w:rPr>
        <w:t xml:space="preserve">(Schmeling, 2020, 129). Unfortunately for Trimalchio his welcoming behaviour is having the opposite effect on his guests. While he’s full of excitement and doing everything he can to make them feel as welcome as possible, his guests are forcing smiles to not dampen his efforts ‘et res electissimas ridentes aggredimur’ </w:t>
      </w:r>
      <w:r w:rsidDel="00000000" w:rsidR="00000000" w:rsidRPr="00000000">
        <w:rPr>
          <w:i w:val="1"/>
          <w:color w:val="333333"/>
          <w:sz w:val="24"/>
          <w:szCs w:val="24"/>
          <w:highlight w:val="white"/>
          <w:rtl w:val="0"/>
        </w:rPr>
        <w:t xml:space="preserve">and with big smiles attacked the choice delicacies </w:t>
      </w:r>
      <w:r w:rsidDel="00000000" w:rsidR="00000000" w:rsidRPr="00000000">
        <w:rPr>
          <w:color w:val="333333"/>
          <w:sz w:val="24"/>
          <w:szCs w:val="24"/>
          <w:highlight w:val="white"/>
          <w:rtl w:val="0"/>
        </w:rPr>
        <w:t xml:space="preserve">(Schmeling, 2020, 129). </w:t>
      </w:r>
    </w:p>
    <w:p w:rsidR="00000000" w:rsidDel="00000000" w:rsidP="00000000" w:rsidRDefault="00000000" w:rsidRPr="00000000" w14:paraId="00000003">
      <w:pPr>
        <w:spacing w:line="48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04">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Not only is the food not a particular favourite with his audience, but even his version of wit is not warmly received by his guests ‘ingerebat nihilo minus Trimalchio lentissima voce: “Carpe, Carpe.”’ </w:t>
      </w:r>
      <w:r w:rsidDel="00000000" w:rsidR="00000000" w:rsidRPr="00000000">
        <w:rPr>
          <w:i w:val="1"/>
          <w:color w:val="333333"/>
          <w:sz w:val="24"/>
          <w:szCs w:val="24"/>
          <w:highlight w:val="white"/>
          <w:rtl w:val="0"/>
        </w:rPr>
        <w:t xml:space="preserve">In a very slow voice Trimalchio all the same continued to duplicate the word: “Carve ’er, Carver!” </w:t>
      </w:r>
      <w:r w:rsidDel="00000000" w:rsidR="00000000" w:rsidRPr="00000000">
        <w:rPr>
          <w:color w:val="333333"/>
          <w:sz w:val="24"/>
          <w:szCs w:val="24"/>
          <w:highlight w:val="white"/>
          <w:rtl w:val="0"/>
        </w:rPr>
        <w:t xml:space="preserve">(Schmeling, 2020, 129). The attitudes the guests have towards Torimalchio could indicate to the reader the class attitudes of the Romans towards freed-slaves - no matter how hard they tried to assimilate into the upper class culture, it was not possible. It had a sickening effect which makes the food even more unappealing to the guests and even the reader (Schmeling, 2020, 129). </w:t>
      </w:r>
    </w:p>
    <w:p w:rsidR="00000000" w:rsidDel="00000000" w:rsidP="00000000" w:rsidRDefault="00000000" w:rsidRPr="00000000" w14:paraId="00000005">
      <w:pPr>
        <w:spacing w:line="48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06">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This display at the start is a perfect foreground to contrast with the description of Trimalchio’s wife Fortunata. She seems to represent the opposite values and character of Trimalchio (Schmeling, 2020, 131). The first thing noticed is her work ethic, ‘who that woman was who kept running to and fro’ </w:t>
      </w:r>
      <w:r w:rsidDel="00000000" w:rsidR="00000000" w:rsidRPr="00000000">
        <w:rPr>
          <w:i w:val="1"/>
          <w:color w:val="333333"/>
          <w:sz w:val="24"/>
          <w:szCs w:val="24"/>
          <w:highlight w:val="white"/>
          <w:rtl w:val="0"/>
        </w:rPr>
        <w:t xml:space="preserve">quae huc atque illuc discurreret. </w:t>
      </w:r>
      <w:r w:rsidDel="00000000" w:rsidR="00000000" w:rsidRPr="00000000">
        <w:rPr>
          <w:color w:val="333333"/>
          <w:sz w:val="24"/>
          <w:szCs w:val="24"/>
          <w:highlight w:val="white"/>
          <w:rtl w:val="0"/>
        </w:rPr>
        <w:t xml:space="preserve">Other key qualities that were mentioned were her money management skills, humble beginnings, responsibilities, morals, and selectiveness (Schmeling, 2020, 130). This was part of the gossip that was not meant to be heard by the hosts or even Fortunata herself, which indicates the admiration was genuine. This could suggest she possessed the representation of qualities and values that the Romans genuinely respected.  </w:t>
      </w:r>
    </w:p>
    <w:p w:rsidR="00000000" w:rsidDel="00000000" w:rsidP="00000000" w:rsidRDefault="00000000" w:rsidRPr="00000000" w14:paraId="00000007">
      <w:pPr>
        <w:spacing w:line="48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08">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The interesting part of the gossip is that every virtue attributed to Fortunata was the opposite of Trimalchio and each quality, or lack of, unfolded throughout the dinner. The first was the fact that she looked after everything </w:t>
      </w:r>
      <w:r w:rsidDel="00000000" w:rsidR="00000000" w:rsidRPr="00000000">
        <w:rPr>
          <w:i w:val="1"/>
          <w:color w:val="333333"/>
          <w:sz w:val="24"/>
          <w:szCs w:val="24"/>
          <w:highlight w:val="white"/>
          <w:rtl w:val="0"/>
        </w:rPr>
        <w:t xml:space="preserve">haec lupatris providet omnia </w:t>
      </w:r>
      <w:r w:rsidDel="00000000" w:rsidR="00000000" w:rsidRPr="00000000">
        <w:rPr>
          <w:color w:val="333333"/>
          <w:sz w:val="24"/>
          <w:szCs w:val="24"/>
          <w:highlight w:val="white"/>
          <w:rtl w:val="0"/>
        </w:rPr>
        <w:t xml:space="preserve">(Schmeling, 2020, 130), on Trimalchio side </w:t>
      </w:r>
      <w:r w:rsidDel="00000000" w:rsidR="00000000" w:rsidRPr="00000000">
        <w:rPr>
          <w:i w:val="1"/>
          <w:color w:val="333333"/>
          <w:sz w:val="24"/>
          <w:szCs w:val="24"/>
          <w:highlight w:val="white"/>
          <w:rtl w:val="0"/>
        </w:rPr>
        <w:t xml:space="preserve">ipse nescit quid habeat</w:t>
      </w:r>
      <w:r w:rsidDel="00000000" w:rsidR="00000000" w:rsidRPr="00000000">
        <w:rPr>
          <w:color w:val="333333"/>
          <w:sz w:val="24"/>
          <w:szCs w:val="24"/>
          <w:highlight w:val="white"/>
          <w:rtl w:val="0"/>
        </w:rPr>
        <w:t xml:space="preserve"> ‘he himself doesn’t know how much he has’ (Schmeling, 2020, 130). The next quality is her morals - ‘she is full of good advice’ </w:t>
      </w:r>
      <w:r w:rsidDel="00000000" w:rsidR="00000000" w:rsidRPr="00000000">
        <w:rPr>
          <w:i w:val="1"/>
          <w:color w:val="333333"/>
          <w:sz w:val="24"/>
          <w:szCs w:val="24"/>
          <w:highlight w:val="white"/>
          <w:rtl w:val="0"/>
        </w:rPr>
        <w:t xml:space="preserve">bonorum consiliorum</w:t>
      </w:r>
      <w:r w:rsidDel="00000000" w:rsidR="00000000" w:rsidRPr="00000000">
        <w:rPr>
          <w:color w:val="333333"/>
          <w:sz w:val="24"/>
          <w:szCs w:val="24"/>
          <w:highlight w:val="white"/>
          <w:rtl w:val="0"/>
        </w:rPr>
        <w:t xml:space="preserve">.  At the banquet Trimalchio did not seem to display this quality. In fact, he was described as babbling, </w:t>
      </w:r>
      <w:r w:rsidDel="00000000" w:rsidR="00000000" w:rsidRPr="00000000">
        <w:rPr>
          <w:i w:val="1"/>
          <w:color w:val="333333"/>
          <w:sz w:val="24"/>
          <w:szCs w:val="24"/>
          <w:highlight w:val="white"/>
          <w:rtl w:val="0"/>
        </w:rPr>
        <w:t xml:space="preserve">nondum efflaverat omnia</w:t>
      </w:r>
      <w:r w:rsidDel="00000000" w:rsidR="00000000" w:rsidRPr="00000000">
        <w:rPr>
          <w:color w:val="333333"/>
          <w:sz w:val="24"/>
          <w:szCs w:val="24"/>
          <w:highlight w:val="white"/>
          <w:rtl w:val="0"/>
        </w:rPr>
        <w:t xml:space="preserve">, and there was great relief around the table whenever he left </w:t>
      </w:r>
      <w:r w:rsidDel="00000000" w:rsidR="00000000" w:rsidRPr="00000000">
        <w:rPr>
          <w:i w:val="1"/>
          <w:color w:val="333333"/>
          <w:sz w:val="24"/>
          <w:szCs w:val="24"/>
          <w:highlight w:val="white"/>
          <w:rtl w:val="0"/>
        </w:rPr>
        <w:t xml:space="preserve">nos libertatem sine tyranno nacti coepimus invitare convivarum sermones</w:t>
      </w:r>
      <w:r w:rsidDel="00000000" w:rsidR="00000000" w:rsidRPr="00000000">
        <w:rPr>
          <w:color w:val="333333"/>
          <w:sz w:val="24"/>
          <w:szCs w:val="24"/>
          <w:highlight w:val="white"/>
          <w:rtl w:val="0"/>
        </w:rPr>
        <w:t xml:space="preserve"> ‘Without the tyrant we acquired our freedom and began to draw out the conversation of the guests’ (Schmeling, 2020, 141). He went into detail at length on toilet usage which made everyone extremely uncomfortable (Schmeling, 2020, 157). </w:t>
      </w:r>
    </w:p>
    <w:p w:rsidR="00000000" w:rsidDel="00000000" w:rsidP="00000000" w:rsidRDefault="00000000" w:rsidRPr="00000000" w14:paraId="00000009">
      <w:pPr>
        <w:spacing w:line="48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0A">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Another aspect that was pointed out about Fortunata was that she was rather selective with who she spoke to and associated herself with, </w:t>
      </w:r>
      <w:r w:rsidDel="00000000" w:rsidR="00000000" w:rsidRPr="00000000">
        <w:rPr>
          <w:i w:val="1"/>
          <w:color w:val="333333"/>
          <w:sz w:val="24"/>
          <w:szCs w:val="24"/>
          <w:highlight w:val="white"/>
          <w:rtl w:val="0"/>
        </w:rPr>
        <w:t xml:space="preserve">quem amat, amat; quem non amat, non amat</w:t>
      </w:r>
      <w:r w:rsidDel="00000000" w:rsidR="00000000" w:rsidRPr="00000000">
        <w:rPr>
          <w:color w:val="333333"/>
          <w:sz w:val="24"/>
          <w:szCs w:val="24"/>
          <w:highlight w:val="white"/>
          <w:rtl w:val="0"/>
        </w:rPr>
        <w:t xml:space="preserve">, (she likes whom she likes, dislikes whom she dislikes). In contrast however, Trimalchius met Encolpius as a stranger and practically forced them to come and dine with him. He was not fully aware of their personality, character, or disposition. In fact Encolpius found himself trying to pretend that he fit in with the upper class , </w:t>
      </w:r>
      <w:r w:rsidDel="00000000" w:rsidR="00000000" w:rsidRPr="00000000">
        <w:rPr>
          <w:i w:val="1"/>
          <w:color w:val="333333"/>
          <w:sz w:val="24"/>
          <w:szCs w:val="24"/>
          <w:highlight w:val="white"/>
          <w:rtl w:val="0"/>
        </w:rPr>
        <w:t xml:space="preserve">ne viderer numquam inter honestos cenasse</w:t>
      </w:r>
      <w:r w:rsidDel="00000000" w:rsidR="00000000" w:rsidRPr="00000000">
        <w:rPr>
          <w:color w:val="333333"/>
          <w:sz w:val="24"/>
          <w:szCs w:val="24"/>
          <w:highlight w:val="white"/>
          <w:rtl w:val="0"/>
        </w:rPr>
        <w:t xml:space="preserve">, ‘for fear of never seeming to have dined among respectable people’ (Schmeling, 2020, 139).  </w:t>
      </w:r>
    </w:p>
    <w:p w:rsidR="00000000" w:rsidDel="00000000" w:rsidP="00000000" w:rsidRDefault="00000000" w:rsidRPr="00000000" w14:paraId="0000000B">
      <w:pPr>
        <w:spacing w:line="48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0C">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This dinner could just be the clash that happened when two groups of people are trying hard to impress each other. None of the party belongs to the upper Roman Class, each of them are highly sensitive to that, and both of them are equally striving to appear as if they are. Encolpius, not understanding what is going on, and embarrassed by it, often has to ask the slaves around him to understand what is happening at the dinner. He also is highly gullible and falls for almost every single trick that Trimalchio uses. For someone so scornful towards Trimalchio, it is unfortunate that he still feels as if he is superior to him. </w:t>
      </w:r>
    </w:p>
    <w:p w:rsidR="00000000" w:rsidDel="00000000" w:rsidP="00000000" w:rsidRDefault="00000000" w:rsidRPr="00000000" w14:paraId="0000000D">
      <w:pPr>
        <w:spacing w:line="48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0E">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According to Bodel, the episode of the </w:t>
      </w:r>
      <w:r w:rsidDel="00000000" w:rsidR="00000000" w:rsidRPr="00000000">
        <w:rPr>
          <w:i w:val="1"/>
          <w:color w:val="333333"/>
          <w:sz w:val="24"/>
          <w:szCs w:val="24"/>
          <w:highlight w:val="white"/>
          <w:rtl w:val="0"/>
        </w:rPr>
        <w:t xml:space="preserve">Cena </w:t>
      </w:r>
      <w:r w:rsidDel="00000000" w:rsidR="00000000" w:rsidRPr="00000000">
        <w:rPr>
          <w:color w:val="333333"/>
          <w:sz w:val="24"/>
          <w:szCs w:val="24"/>
          <w:highlight w:val="white"/>
          <w:rtl w:val="0"/>
        </w:rPr>
        <w:t xml:space="preserve">carries the metaphor of death (Bodel, 1994, 237). Encolpius' visit to Trimalchio’s house is meant to represent a trip to the underworld (Bodel, 1994, 238). After the set passage Encolpius is warned that he’s not allowed to exit the </w:t>
      </w:r>
      <w:r w:rsidDel="00000000" w:rsidR="00000000" w:rsidRPr="00000000">
        <w:rPr>
          <w:i w:val="1"/>
          <w:color w:val="333333"/>
          <w:sz w:val="24"/>
          <w:szCs w:val="24"/>
          <w:highlight w:val="white"/>
          <w:rtl w:val="0"/>
        </w:rPr>
        <w:t xml:space="preserve">Cena</w:t>
      </w:r>
      <w:r w:rsidDel="00000000" w:rsidR="00000000" w:rsidRPr="00000000">
        <w:rPr>
          <w:color w:val="333333"/>
          <w:sz w:val="24"/>
          <w:szCs w:val="24"/>
          <w:highlight w:val="white"/>
          <w:rtl w:val="0"/>
        </w:rPr>
        <w:t xml:space="preserve">, and this is where he draws comparison with the Underworld, where it’s easier to enter and difficult to leave (Bodel, 1994, 238). One aspect that I disagree with is the depiction of murals on the wall signifying Encolpius entry into the underworld ( at Trimalchio’s House). There does not seem to be a similarity where he suggested that Aeneas went on a descent into the underworld, then why is Trimalchio shown climbing or ascending up the social, financial, and educational ladder, how does that end in death? ‘Which trace his rise from slavery to social prominence as a wealthy freedman, suggest that Encolpius is entering the house of the dead,’ (Bodel, 1994, 240) The link may not be as strong enough. He suggests that contemporary Roman readers would have seen the strong link between the murals painted on Trimalchio's wall and ‘his house decorated in the manner of a Roman tomb’ (Bodel, 1994, 243). </w:t>
      </w:r>
    </w:p>
    <w:p w:rsidR="00000000" w:rsidDel="00000000" w:rsidP="00000000" w:rsidRDefault="00000000" w:rsidRPr="00000000" w14:paraId="0000000F">
      <w:pPr>
        <w:spacing w:line="48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10">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However, Bodel’s reading of the </w:t>
      </w:r>
      <w:r w:rsidDel="00000000" w:rsidR="00000000" w:rsidRPr="00000000">
        <w:rPr>
          <w:i w:val="1"/>
          <w:color w:val="333333"/>
          <w:sz w:val="24"/>
          <w:szCs w:val="24"/>
          <w:highlight w:val="white"/>
          <w:rtl w:val="0"/>
        </w:rPr>
        <w:t xml:space="preserve">Cena </w:t>
      </w:r>
      <w:r w:rsidDel="00000000" w:rsidR="00000000" w:rsidRPr="00000000">
        <w:rPr>
          <w:color w:val="333333"/>
          <w:sz w:val="24"/>
          <w:szCs w:val="24"/>
          <w:highlight w:val="white"/>
          <w:rtl w:val="0"/>
        </w:rPr>
        <w:t xml:space="preserve">seems to be exactly the response that Petronius or Trimalchio would have wanted or expected, the decorations could simply have been designed to mislead and confuse the reader. Also he doesn’t refer to Encolpius' reaction to the layout which is the most important part of the novel, rather than Bodel’s opinions and feelings about the house, we’re supposed to be primarily focused on Encolpius' emotions and feelings at the dinner. </w:t>
      </w:r>
    </w:p>
    <w:p w:rsidR="00000000" w:rsidDel="00000000" w:rsidP="00000000" w:rsidRDefault="00000000" w:rsidRPr="00000000" w14:paraId="00000011">
      <w:pPr>
        <w:spacing w:line="48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12">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I think that it is more important to understand Trimalchio, and his home from the point of view of Encolpius, otherwise it can get very distorted looking at Trimalchio's house from a contemporary &amp; historical point of view. We may not be able to pick up on the nuances and the humour of the time. </w:t>
      </w:r>
    </w:p>
    <w:p w:rsidR="00000000" w:rsidDel="00000000" w:rsidP="00000000" w:rsidRDefault="00000000" w:rsidRPr="00000000" w14:paraId="00000013">
      <w:pPr>
        <w:spacing w:line="48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14">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Rimell supports my argument which contrasts with Bodel, the Satyricon is meant to be read for ‘pure entertainment… too silly to be serious, too superficial to be political’ (Rimell, 2002, 44). She mentioned that the text is ‘designed to trap readers in a theatre of paranoia’ (Rimell, 2002, 44) which could be reflected in Bodel’s analysis of the text. She supports the argument that ‘Encolpius…is our eyes and ears in this fiction’, (Rimell, 2002, 44) which is why Encolpius understanding of Trimalchio's </w:t>
      </w:r>
      <w:r w:rsidDel="00000000" w:rsidR="00000000" w:rsidRPr="00000000">
        <w:rPr>
          <w:i w:val="1"/>
          <w:color w:val="333333"/>
          <w:sz w:val="24"/>
          <w:szCs w:val="24"/>
          <w:highlight w:val="white"/>
          <w:rtl w:val="0"/>
        </w:rPr>
        <w:t xml:space="preserve">Cena </w:t>
      </w:r>
      <w:r w:rsidDel="00000000" w:rsidR="00000000" w:rsidRPr="00000000">
        <w:rPr>
          <w:color w:val="333333"/>
          <w:sz w:val="24"/>
          <w:szCs w:val="24"/>
          <w:highlight w:val="white"/>
          <w:rtl w:val="0"/>
        </w:rPr>
        <w:t xml:space="preserve">should take forefront instead of our own - if Encolpius is confused, then technically, we should be too.</w:t>
      </w:r>
    </w:p>
    <w:p w:rsidR="00000000" w:rsidDel="00000000" w:rsidP="00000000" w:rsidRDefault="00000000" w:rsidRPr="00000000" w14:paraId="00000015">
      <w:pPr>
        <w:spacing w:line="48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16">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Murgatroyd’s analysis of the </w:t>
      </w:r>
      <w:r w:rsidDel="00000000" w:rsidR="00000000" w:rsidRPr="00000000">
        <w:rPr>
          <w:i w:val="1"/>
          <w:color w:val="333333"/>
          <w:sz w:val="24"/>
          <w:szCs w:val="24"/>
          <w:highlight w:val="white"/>
          <w:rtl w:val="0"/>
        </w:rPr>
        <w:t xml:space="preserve">Cena </w:t>
      </w:r>
      <w:r w:rsidDel="00000000" w:rsidR="00000000" w:rsidRPr="00000000">
        <w:rPr>
          <w:color w:val="333333"/>
          <w:sz w:val="24"/>
          <w:szCs w:val="24"/>
          <w:highlight w:val="white"/>
          <w:rtl w:val="0"/>
        </w:rPr>
        <w:t xml:space="preserve">seems to be the most accurate, balanced and relevant. Compared to the other scholars I feel it is also the most realistic. The main issue with the </w:t>
      </w:r>
      <w:r w:rsidDel="00000000" w:rsidR="00000000" w:rsidRPr="00000000">
        <w:rPr>
          <w:i w:val="1"/>
          <w:color w:val="333333"/>
          <w:sz w:val="24"/>
          <w:szCs w:val="24"/>
          <w:highlight w:val="white"/>
          <w:rtl w:val="0"/>
        </w:rPr>
        <w:t xml:space="preserve">Cena </w:t>
      </w:r>
      <w:r w:rsidDel="00000000" w:rsidR="00000000" w:rsidRPr="00000000">
        <w:rPr>
          <w:color w:val="333333"/>
          <w:sz w:val="24"/>
          <w:szCs w:val="24"/>
          <w:highlight w:val="white"/>
          <w:rtl w:val="0"/>
        </w:rPr>
        <w:t xml:space="preserve">and the guests themselves was that they were completely uncomfortable with such displays of wealth (Murgatroyd, 2013, 243). The main reason why Murgatroyd offers a more simplistic conclusion to the Cena, is because he believes we’re supposed to look at the Satyrica as a whole; only a few fragments were passed down to us from the entire series (Murgatroyd, 2013, 243). </w:t>
      </w:r>
    </w:p>
    <w:p w:rsidR="00000000" w:rsidDel="00000000" w:rsidP="00000000" w:rsidRDefault="00000000" w:rsidRPr="00000000" w14:paraId="00000017">
      <w:pPr>
        <w:spacing w:line="48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18">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As we are not able to fully grasp the full picture, especially from the contemporary point of view, therefore we cannot make extraordinarily deep analysis from one Book 14 alone. That is why he suggests that readers not get too carried away with hypothetical assumptions (Murgatroyd, 2013, 243). He suggests a more tentative approach.</w:t>
      </w:r>
    </w:p>
    <w:p w:rsidR="00000000" w:rsidDel="00000000" w:rsidP="00000000" w:rsidRDefault="00000000" w:rsidRPr="00000000" w14:paraId="00000019">
      <w:pPr>
        <w:spacing w:line="48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1A">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In his more tentative analysis of the </w:t>
      </w:r>
      <w:r w:rsidDel="00000000" w:rsidR="00000000" w:rsidRPr="00000000">
        <w:rPr>
          <w:i w:val="1"/>
          <w:color w:val="333333"/>
          <w:sz w:val="24"/>
          <w:szCs w:val="24"/>
          <w:highlight w:val="white"/>
          <w:rtl w:val="0"/>
        </w:rPr>
        <w:t xml:space="preserve">Cena</w:t>
      </w:r>
      <w:r w:rsidDel="00000000" w:rsidR="00000000" w:rsidRPr="00000000">
        <w:rPr>
          <w:color w:val="333333"/>
          <w:sz w:val="24"/>
          <w:szCs w:val="24"/>
          <w:highlight w:val="white"/>
          <w:rtl w:val="0"/>
        </w:rPr>
        <w:t xml:space="preserve">, he uses a comparison to the Great Gatsby (Bodel, 237). The narrator is experiencing the event as a guest but also as a narrator on the outside. This almost creates an otherworldly experience which allows him to vent his frustration at the vanity and shallowness of the whole affair. Murgatroyd suggests that Petronius is trying to reduce the ‘cultivated readers’ (Horsfall, 1989, 2) to the passive onlooker.  Similar to Nick Carraway arriving at Gatsby’s house party, completely confused and overwhelmed, Encolpius relies on the servants around him to explain everything, (Murgatroyd, 2013, 248) the few times that he seemed to genuinely enjoy himself are the conversations where he can ask questions and learn from those around him (Schmeling, 2020, 129).  </w:t>
      </w:r>
    </w:p>
    <w:p w:rsidR="00000000" w:rsidDel="00000000" w:rsidP="00000000" w:rsidRDefault="00000000" w:rsidRPr="00000000" w14:paraId="0000001B">
      <w:pPr>
        <w:spacing w:line="48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1C">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A significant aspect of the Cena was about social status and wealth. Although both Encolpius and his wife rose in social status, both of them are both painfully reminded of their humble origins (Schmeling, 2020, 131). It seems that no matter how wealthy one may become during the Neronian period, their humble beginnings may sometimes effect who they are. Maybe whereas Bodel suggested that climbing the social ladder and death go hand in hand, I would say I disagree and suggest that climbing the social ladder in the case of Trimalchio and his wife leads to a dead end for progression rather than death. </w:t>
      </w:r>
    </w:p>
    <w:p w:rsidR="00000000" w:rsidDel="00000000" w:rsidP="00000000" w:rsidRDefault="00000000" w:rsidRPr="00000000" w14:paraId="0000001D">
      <w:pPr>
        <w:jc w:val="both"/>
        <w:rPr>
          <w:color w:val="333333"/>
          <w:sz w:val="30"/>
          <w:szCs w:val="30"/>
          <w:highlight w:val="white"/>
        </w:rPr>
      </w:pPr>
      <w:r w:rsidDel="00000000" w:rsidR="00000000" w:rsidRPr="00000000">
        <w:rPr>
          <w:rtl w:val="0"/>
        </w:rPr>
      </w:r>
    </w:p>
    <w:p w:rsidR="00000000" w:rsidDel="00000000" w:rsidP="00000000" w:rsidRDefault="00000000" w:rsidRPr="00000000" w14:paraId="0000001E">
      <w:pPr>
        <w:jc w:val="both"/>
        <w:rPr>
          <w:color w:val="333333"/>
          <w:sz w:val="30"/>
          <w:szCs w:val="30"/>
          <w:highlight w:val="white"/>
        </w:rPr>
      </w:pPr>
      <w:r w:rsidDel="00000000" w:rsidR="00000000" w:rsidRPr="00000000">
        <w:rPr>
          <w:rtl w:val="0"/>
        </w:rPr>
      </w:r>
    </w:p>
    <w:p w:rsidR="00000000" w:rsidDel="00000000" w:rsidP="00000000" w:rsidRDefault="00000000" w:rsidRPr="00000000" w14:paraId="0000001F">
      <w:pPr>
        <w:jc w:val="both"/>
        <w:rPr>
          <w:color w:val="333333"/>
          <w:sz w:val="30"/>
          <w:szCs w:val="30"/>
          <w:highlight w:val="white"/>
        </w:rPr>
      </w:pPr>
      <w:r w:rsidDel="00000000" w:rsidR="00000000" w:rsidRPr="00000000">
        <w:rPr>
          <w:rtl w:val="0"/>
        </w:rPr>
      </w:r>
    </w:p>
    <w:p w:rsidR="00000000" w:rsidDel="00000000" w:rsidP="00000000" w:rsidRDefault="00000000" w:rsidRPr="00000000" w14:paraId="00000020">
      <w:pPr>
        <w:jc w:val="both"/>
        <w:rPr>
          <w:color w:val="333333"/>
          <w:sz w:val="30"/>
          <w:szCs w:val="30"/>
          <w:highlight w:val="white"/>
        </w:rPr>
      </w:pPr>
      <w:r w:rsidDel="00000000" w:rsidR="00000000" w:rsidRPr="00000000">
        <w:rPr>
          <w:rtl w:val="0"/>
        </w:rPr>
      </w:r>
    </w:p>
    <w:p w:rsidR="00000000" w:rsidDel="00000000" w:rsidP="00000000" w:rsidRDefault="00000000" w:rsidRPr="00000000" w14:paraId="00000021">
      <w:pPr>
        <w:jc w:val="both"/>
        <w:rPr>
          <w:color w:val="333333"/>
          <w:sz w:val="30"/>
          <w:szCs w:val="30"/>
          <w:highlight w:val="white"/>
        </w:rPr>
      </w:pPr>
      <w:r w:rsidDel="00000000" w:rsidR="00000000" w:rsidRPr="00000000">
        <w:rPr>
          <w:rtl w:val="0"/>
        </w:rPr>
      </w:r>
    </w:p>
    <w:p w:rsidR="00000000" w:rsidDel="00000000" w:rsidP="00000000" w:rsidRDefault="00000000" w:rsidRPr="00000000" w14:paraId="00000022">
      <w:pPr>
        <w:jc w:val="both"/>
        <w:rPr>
          <w:color w:val="333333"/>
          <w:sz w:val="30"/>
          <w:szCs w:val="30"/>
          <w:highlight w:val="white"/>
        </w:rPr>
      </w:pPr>
      <w:r w:rsidDel="00000000" w:rsidR="00000000" w:rsidRPr="00000000">
        <w:rPr>
          <w:rtl w:val="0"/>
        </w:rPr>
      </w:r>
    </w:p>
    <w:p w:rsidR="00000000" w:rsidDel="00000000" w:rsidP="00000000" w:rsidRDefault="00000000" w:rsidRPr="00000000" w14:paraId="00000023">
      <w:pPr>
        <w:jc w:val="both"/>
        <w:rPr>
          <w:color w:val="333333"/>
          <w:sz w:val="30"/>
          <w:szCs w:val="30"/>
          <w:highlight w:val="white"/>
        </w:rPr>
      </w:pPr>
      <w:r w:rsidDel="00000000" w:rsidR="00000000" w:rsidRPr="00000000">
        <w:rPr>
          <w:rtl w:val="0"/>
        </w:rPr>
      </w:r>
    </w:p>
    <w:p w:rsidR="00000000" w:rsidDel="00000000" w:rsidP="00000000" w:rsidRDefault="00000000" w:rsidRPr="00000000" w14:paraId="00000024">
      <w:pPr>
        <w:jc w:val="both"/>
        <w:rPr>
          <w:color w:val="333333"/>
          <w:sz w:val="30"/>
          <w:szCs w:val="30"/>
          <w:highlight w:val="white"/>
        </w:rPr>
      </w:pPr>
      <w:r w:rsidDel="00000000" w:rsidR="00000000" w:rsidRPr="00000000">
        <w:rPr>
          <w:rtl w:val="0"/>
        </w:rPr>
      </w:r>
    </w:p>
    <w:p w:rsidR="00000000" w:rsidDel="00000000" w:rsidP="00000000" w:rsidRDefault="00000000" w:rsidRPr="00000000" w14:paraId="00000025">
      <w:pPr>
        <w:jc w:val="both"/>
        <w:rPr>
          <w:color w:val="333333"/>
          <w:sz w:val="30"/>
          <w:szCs w:val="30"/>
          <w:highlight w:val="white"/>
        </w:rPr>
      </w:pPr>
      <w:r w:rsidDel="00000000" w:rsidR="00000000" w:rsidRPr="00000000">
        <w:rPr>
          <w:rtl w:val="0"/>
        </w:rPr>
      </w:r>
    </w:p>
    <w:p w:rsidR="00000000" w:rsidDel="00000000" w:rsidP="00000000" w:rsidRDefault="00000000" w:rsidRPr="00000000" w14:paraId="00000026">
      <w:pPr>
        <w:jc w:val="both"/>
        <w:rPr>
          <w:color w:val="333333"/>
          <w:sz w:val="30"/>
          <w:szCs w:val="30"/>
          <w:highlight w:val="white"/>
        </w:rPr>
      </w:pPr>
      <w:r w:rsidDel="00000000" w:rsidR="00000000" w:rsidRPr="00000000">
        <w:rPr>
          <w:rtl w:val="0"/>
        </w:rPr>
      </w:r>
    </w:p>
    <w:p w:rsidR="00000000" w:rsidDel="00000000" w:rsidP="00000000" w:rsidRDefault="00000000" w:rsidRPr="00000000" w14:paraId="00000027">
      <w:pPr>
        <w:jc w:val="both"/>
        <w:rPr>
          <w:color w:val="333333"/>
          <w:sz w:val="30"/>
          <w:szCs w:val="30"/>
          <w:highlight w:val="white"/>
        </w:rPr>
      </w:pPr>
      <w:r w:rsidDel="00000000" w:rsidR="00000000" w:rsidRPr="00000000">
        <w:rPr>
          <w:rtl w:val="0"/>
        </w:rPr>
      </w:r>
    </w:p>
    <w:p w:rsidR="00000000" w:rsidDel="00000000" w:rsidP="00000000" w:rsidRDefault="00000000" w:rsidRPr="00000000" w14:paraId="00000028">
      <w:pPr>
        <w:jc w:val="both"/>
        <w:rPr>
          <w:color w:val="333333"/>
          <w:sz w:val="30"/>
          <w:szCs w:val="30"/>
          <w:highlight w:val="white"/>
        </w:rPr>
      </w:pPr>
      <w:r w:rsidDel="00000000" w:rsidR="00000000" w:rsidRPr="00000000">
        <w:rPr>
          <w:rtl w:val="0"/>
        </w:rPr>
      </w:r>
    </w:p>
    <w:p w:rsidR="00000000" w:rsidDel="00000000" w:rsidP="00000000" w:rsidRDefault="00000000" w:rsidRPr="00000000" w14:paraId="00000029">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A">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B">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C">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D">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E">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F">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0">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1">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2">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3">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4">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5">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6">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7">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8">
      <w:pPr>
        <w:jc w:val="both"/>
        <w:rPr>
          <w:color w:val="333333"/>
          <w:sz w:val="24"/>
          <w:szCs w:val="24"/>
          <w:highlight w:val="white"/>
        </w:rPr>
      </w:pPr>
      <w:r w:rsidDel="00000000" w:rsidR="00000000" w:rsidRPr="00000000">
        <w:rPr>
          <w:color w:val="333333"/>
          <w:sz w:val="24"/>
          <w:szCs w:val="24"/>
          <w:highlight w:val="white"/>
          <w:rtl w:val="0"/>
        </w:rPr>
        <w:t xml:space="preserve">Primary Source</w:t>
      </w:r>
    </w:p>
    <w:p w:rsidR="00000000" w:rsidDel="00000000" w:rsidP="00000000" w:rsidRDefault="00000000" w:rsidRPr="00000000" w14:paraId="00000039">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A">
      <w:pPr>
        <w:jc w:val="both"/>
        <w:rPr>
          <w:color w:val="333333"/>
          <w:sz w:val="24"/>
          <w:szCs w:val="24"/>
          <w:highlight w:val="white"/>
        </w:rPr>
      </w:pPr>
      <w:r w:rsidDel="00000000" w:rsidR="00000000" w:rsidRPr="00000000">
        <w:rPr>
          <w:color w:val="333333"/>
          <w:sz w:val="24"/>
          <w:szCs w:val="24"/>
          <w:highlight w:val="white"/>
          <w:rtl w:val="0"/>
        </w:rPr>
        <w:t xml:space="preserve">Schmeling, G. (2020) Patronius Satyricon. London: Harvard University Press. </w:t>
      </w:r>
    </w:p>
    <w:p w:rsidR="00000000" w:rsidDel="00000000" w:rsidP="00000000" w:rsidRDefault="00000000" w:rsidRPr="00000000" w14:paraId="0000003B">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C">
      <w:pPr>
        <w:jc w:val="both"/>
        <w:rPr>
          <w:color w:val="333333"/>
          <w:sz w:val="24"/>
          <w:szCs w:val="24"/>
          <w:highlight w:val="white"/>
        </w:rPr>
      </w:pPr>
      <w:r w:rsidDel="00000000" w:rsidR="00000000" w:rsidRPr="00000000">
        <w:rPr>
          <w:color w:val="333333"/>
          <w:sz w:val="24"/>
          <w:szCs w:val="24"/>
          <w:highlight w:val="white"/>
          <w:rtl w:val="0"/>
        </w:rPr>
        <w:t xml:space="preserve">Secondary Source</w:t>
      </w:r>
    </w:p>
    <w:p w:rsidR="00000000" w:rsidDel="00000000" w:rsidP="00000000" w:rsidRDefault="00000000" w:rsidRPr="00000000" w14:paraId="0000003D">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E">
      <w:pPr>
        <w:jc w:val="both"/>
        <w:rPr>
          <w:color w:val="333333"/>
          <w:sz w:val="24"/>
          <w:szCs w:val="24"/>
          <w:highlight w:val="white"/>
        </w:rPr>
      </w:pPr>
      <w:r w:rsidDel="00000000" w:rsidR="00000000" w:rsidRPr="00000000">
        <w:rPr>
          <w:color w:val="333333"/>
          <w:sz w:val="24"/>
          <w:szCs w:val="24"/>
          <w:highlight w:val="white"/>
          <w:rtl w:val="0"/>
        </w:rPr>
        <w:t xml:space="preserve">Bodel, J. (1994) ‘Trimalchio’s Underworld’, in Tatum, J. (ed.) </w:t>
      </w:r>
      <w:r w:rsidDel="00000000" w:rsidR="00000000" w:rsidRPr="00000000">
        <w:rPr>
          <w:i w:val="1"/>
          <w:color w:val="333333"/>
          <w:sz w:val="24"/>
          <w:szCs w:val="24"/>
          <w:highlight w:val="white"/>
          <w:rtl w:val="0"/>
        </w:rPr>
        <w:t xml:space="preserve">The Search for the Ancient Novel</w:t>
      </w:r>
      <w:r w:rsidDel="00000000" w:rsidR="00000000" w:rsidRPr="00000000">
        <w:rPr>
          <w:color w:val="333333"/>
          <w:sz w:val="24"/>
          <w:szCs w:val="24"/>
          <w:highlight w:val="white"/>
          <w:rtl w:val="0"/>
        </w:rPr>
        <w:t xml:space="preserve">. London: Johns Hopkins University Press.  </w:t>
      </w:r>
    </w:p>
    <w:p w:rsidR="00000000" w:rsidDel="00000000" w:rsidP="00000000" w:rsidRDefault="00000000" w:rsidRPr="00000000" w14:paraId="0000003F">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40">
      <w:pPr>
        <w:jc w:val="both"/>
        <w:rPr>
          <w:color w:val="333333"/>
          <w:sz w:val="24"/>
          <w:szCs w:val="24"/>
          <w:highlight w:val="white"/>
        </w:rPr>
      </w:pPr>
      <w:r w:rsidDel="00000000" w:rsidR="00000000" w:rsidRPr="00000000">
        <w:rPr>
          <w:color w:val="333333"/>
          <w:sz w:val="24"/>
          <w:szCs w:val="24"/>
          <w:highlight w:val="white"/>
          <w:rtl w:val="0"/>
        </w:rPr>
        <w:t xml:space="preserve">Horsfall, N. (1989) 'The Uses of Literacy' and the 'Cena Trimalchionis': I’, Greece &amp; Rome 36(1) pp. 74-89. </w:t>
      </w:r>
    </w:p>
    <w:p w:rsidR="00000000" w:rsidDel="00000000" w:rsidP="00000000" w:rsidRDefault="00000000" w:rsidRPr="00000000" w14:paraId="00000041">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42">
      <w:pPr>
        <w:jc w:val="both"/>
        <w:rPr>
          <w:color w:val="333333"/>
          <w:sz w:val="24"/>
          <w:szCs w:val="24"/>
          <w:highlight w:val="white"/>
        </w:rPr>
      </w:pPr>
      <w:r w:rsidDel="00000000" w:rsidR="00000000" w:rsidRPr="00000000">
        <w:rPr>
          <w:color w:val="333333"/>
          <w:sz w:val="24"/>
          <w:szCs w:val="24"/>
          <w:highlight w:val="white"/>
          <w:rtl w:val="0"/>
        </w:rPr>
        <w:t xml:space="preserve">Rimell, V. (2002) Petronius and The Anatomy of Fiction. Cambridge: Cambridge University Press. </w:t>
      </w:r>
    </w:p>
    <w:p w:rsidR="00000000" w:rsidDel="00000000" w:rsidP="00000000" w:rsidRDefault="00000000" w:rsidRPr="00000000" w14:paraId="00000043">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44">
      <w:pPr>
        <w:jc w:val="both"/>
        <w:rPr>
          <w:color w:val="333333"/>
          <w:sz w:val="24"/>
          <w:szCs w:val="24"/>
          <w:highlight w:val="white"/>
        </w:rPr>
      </w:pPr>
      <w:r w:rsidDel="00000000" w:rsidR="00000000" w:rsidRPr="00000000">
        <w:rPr>
          <w:color w:val="333333"/>
          <w:sz w:val="24"/>
          <w:szCs w:val="24"/>
          <w:highlight w:val="white"/>
          <w:rtl w:val="0"/>
        </w:rPr>
        <w:t xml:space="preserve">Murgatroyd, T. (2013) 'Petronius' Satyrica', in Buckley, E. &amp; Martin T. (ed.) </w:t>
      </w:r>
      <w:r w:rsidDel="00000000" w:rsidR="00000000" w:rsidRPr="00000000">
        <w:rPr>
          <w:i w:val="1"/>
          <w:color w:val="333333"/>
          <w:sz w:val="24"/>
          <w:szCs w:val="24"/>
          <w:highlight w:val="white"/>
          <w:rtl w:val="0"/>
        </w:rPr>
        <w:t xml:space="preserve">A Companion to the Neronian Age.</w:t>
      </w:r>
      <w:r w:rsidDel="00000000" w:rsidR="00000000" w:rsidRPr="00000000">
        <w:rPr>
          <w:color w:val="333333"/>
          <w:sz w:val="24"/>
          <w:szCs w:val="24"/>
          <w:highlight w:val="white"/>
          <w:rtl w:val="0"/>
        </w:rPr>
        <w:t xml:space="preserve"> West Sussex: Blackwell Publishing. </w:t>
      </w:r>
    </w:p>
    <w:p w:rsidR="00000000" w:rsidDel="00000000" w:rsidP="00000000" w:rsidRDefault="00000000" w:rsidRPr="00000000" w14:paraId="00000045">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46">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47">
      <w:pPr>
        <w:jc w:val="both"/>
        <w:rPr>
          <w:color w:val="333333"/>
          <w:sz w:val="24"/>
          <w:szCs w:val="24"/>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