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CF3499" w14:textId="77777777" w:rsidR="009721CA" w:rsidRDefault="009721CA" w:rsidP="009721CA">
      <w:pPr>
        <w:rPr>
          <w:rFonts w:ascii="Arial" w:hAnsi="Arial" w:cs="Arial"/>
          <w:sz w:val="24"/>
          <w:szCs w:val="24"/>
        </w:rPr>
      </w:pPr>
    </w:p>
    <w:p w14:paraId="3F6F8A4B" w14:textId="5C717A3D" w:rsidR="009B64C5" w:rsidRDefault="009B64C5" w:rsidP="009721CA">
      <w:pPr>
        <w:rPr>
          <w:rFonts w:ascii="Arial" w:hAnsi="Arial" w:cs="Arial"/>
          <w:sz w:val="24"/>
          <w:szCs w:val="24"/>
          <w:u w:val="single"/>
        </w:rPr>
      </w:pPr>
      <w:r w:rsidRPr="009B64C5">
        <w:rPr>
          <w:rFonts w:ascii="Arial" w:hAnsi="Arial" w:cs="Arial"/>
          <w:sz w:val="24"/>
          <w:szCs w:val="24"/>
          <w:u w:val="single"/>
        </w:rPr>
        <w:t>Introduction</w:t>
      </w:r>
    </w:p>
    <w:p w14:paraId="086B6702" w14:textId="77777777" w:rsidR="009B64C5" w:rsidRDefault="009B64C5" w:rsidP="009721CA">
      <w:pPr>
        <w:rPr>
          <w:rFonts w:ascii="Arial" w:hAnsi="Arial" w:cs="Arial"/>
          <w:sz w:val="24"/>
          <w:szCs w:val="24"/>
          <w:u w:val="single"/>
        </w:rPr>
      </w:pPr>
    </w:p>
    <w:p w14:paraId="1B5B59F9" w14:textId="774866D7" w:rsidR="009B64C5" w:rsidRDefault="009B64C5" w:rsidP="009721CA">
      <w:pPr>
        <w:rPr>
          <w:rFonts w:ascii="Arial" w:hAnsi="Arial" w:cs="Arial"/>
          <w:sz w:val="24"/>
          <w:szCs w:val="24"/>
        </w:rPr>
      </w:pPr>
      <w:r>
        <w:rPr>
          <w:rFonts w:ascii="Arial" w:hAnsi="Arial" w:cs="Arial"/>
          <w:sz w:val="24"/>
          <w:szCs w:val="24"/>
        </w:rPr>
        <w:t>This reflective journal will consider the service improvement of moving from a manual</w:t>
      </w:r>
      <w:r w:rsidR="007E6207">
        <w:rPr>
          <w:rFonts w:ascii="Arial" w:hAnsi="Arial" w:cs="Arial"/>
          <w:sz w:val="24"/>
          <w:szCs w:val="24"/>
        </w:rPr>
        <w:t>,</w:t>
      </w:r>
      <w:r>
        <w:rPr>
          <w:rFonts w:ascii="Arial" w:hAnsi="Arial" w:cs="Arial"/>
          <w:sz w:val="24"/>
          <w:szCs w:val="24"/>
        </w:rPr>
        <w:t xml:space="preserve"> to a </w:t>
      </w:r>
      <w:r w:rsidR="00A40860">
        <w:rPr>
          <w:rFonts w:ascii="Arial" w:hAnsi="Arial" w:cs="Arial"/>
          <w:sz w:val="24"/>
          <w:szCs w:val="24"/>
        </w:rPr>
        <w:t>digital/</w:t>
      </w:r>
      <w:r>
        <w:rPr>
          <w:rFonts w:ascii="Arial" w:hAnsi="Arial" w:cs="Arial"/>
          <w:sz w:val="24"/>
          <w:szCs w:val="24"/>
        </w:rPr>
        <w:t xml:space="preserve">electronic rostering system for rostering medical staff within Aneurin Bevan University Health Board (ABUHB). </w:t>
      </w:r>
    </w:p>
    <w:p w14:paraId="67B14FB1" w14:textId="77777777" w:rsidR="009B64C5" w:rsidRDefault="009B64C5" w:rsidP="009721CA">
      <w:pPr>
        <w:rPr>
          <w:rFonts w:ascii="Arial" w:hAnsi="Arial" w:cs="Arial"/>
          <w:sz w:val="24"/>
          <w:szCs w:val="24"/>
        </w:rPr>
      </w:pPr>
    </w:p>
    <w:p w14:paraId="1812453D" w14:textId="4251E043" w:rsidR="009B64C5" w:rsidRDefault="009B64C5" w:rsidP="009721CA">
      <w:pPr>
        <w:rPr>
          <w:rFonts w:ascii="Arial" w:hAnsi="Arial" w:cs="Arial"/>
          <w:sz w:val="24"/>
          <w:szCs w:val="24"/>
        </w:rPr>
      </w:pPr>
      <w:r>
        <w:rPr>
          <w:rFonts w:ascii="Arial" w:hAnsi="Arial" w:cs="Arial"/>
          <w:sz w:val="24"/>
          <w:szCs w:val="24"/>
        </w:rPr>
        <w:t xml:space="preserve">In November 2021, the Executive Team </w:t>
      </w:r>
      <w:r w:rsidR="00A40860">
        <w:rPr>
          <w:rFonts w:ascii="Arial" w:hAnsi="Arial" w:cs="Arial"/>
          <w:sz w:val="24"/>
          <w:szCs w:val="24"/>
        </w:rPr>
        <w:t xml:space="preserve">(Execs) </w:t>
      </w:r>
      <w:r>
        <w:rPr>
          <w:rFonts w:ascii="Arial" w:hAnsi="Arial" w:cs="Arial"/>
          <w:sz w:val="24"/>
          <w:szCs w:val="24"/>
        </w:rPr>
        <w:t xml:space="preserve">at ABUHB agreed that similar to </w:t>
      </w:r>
      <w:r w:rsidR="00A40860">
        <w:rPr>
          <w:rFonts w:ascii="Arial" w:hAnsi="Arial" w:cs="Arial"/>
          <w:sz w:val="24"/>
          <w:szCs w:val="24"/>
        </w:rPr>
        <w:t xml:space="preserve">the digital </w:t>
      </w:r>
      <w:r w:rsidR="007E6207">
        <w:rPr>
          <w:rFonts w:ascii="Arial" w:hAnsi="Arial" w:cs="Arial"/>
          <w:sz w:val="24"/>
          <w:szCs w:val="24"/>
        </w:rPr>
        <w:t xml:space="preserve">rostering </w:t>
      </w:r>
      <w:r w:rsidR="00A40860">
        <w:rPr>
          <w:rFonts w:ascii="Arial" w:hAnsi="Arial" w:cs="Arial"/>
          <w:sz w:val="24"/>
          <w:szCs w:val="24"/>
        </w:rPr>
        <w:t xml:space="preserve">system used by </w:t>
      </w:r>
      <w:r>
        <w:rPr>
          <w:rFonts w:ascii="Arial" w:hAnsi="Arial" w:cs="Arial"/>
          <w:sz w:val="24"/>
          <w:szCs w:val="24"/>
        </w:rPr>
        <w:t xml:space="preserve">nurses, all medical staff </w:t>
      </w:r>
      <w:r w:rsidR="007E6207">
        <w:rPr>
          <w:rFonts w:ascii="Arial" w:hAnsi="Arial" w:cs="Arial"/>
          <w:sz w:val="24"/>
          <w:szCs w:val="24"/>
        </w:rPr>
        <w:t xml:space="preserve">in the organisation </w:t>
      </w:r>
      <w:r>
        <w:rPr>
          <w:rFonts w:ascii="Arial" w:hAnsi="Arial" w:cs="Arial"/>
          <w:sz w:val="24"/>
          <w:szCs w:val="24"/>
        </w:rPr>
        <w:t xml:space="preserve">should </w:t>
      </w:r>
      <w:r w:rsidR="007E6207">
        <w:rPr>
          <w:rFonts w:ascii="Arial" w:hAnsi="Arial" w:cs="Arial"/>
          <w:sz w:val="24"/>
          <w:szCs w:val="24"/>
        </w:rPr>
        <w:t xml:space="preserve">also </w:t>
      </w:r>
      <w:r>
        <w:rPr>
          <w:rFonts w:ascii="Arial" w:hAnsi="Arial" w:cs="Arial"/>
          <w:sz w:val="24"/>
          <w:szCs w:val="24"/>
        </w:rPr>
        <w:t xml:space="preserve">use an electronic rostering system instead of a paper based </w:t>
      </w:r>
      <w:r w:rsidR="008B352F">
        <w:rPr>
          <w:rFonts w:ascii="Arial" w:hAnsi="Arial" w:cs="Arial"/>
          <w:sz w:val="24"/>
          <w:szCs w:val="24"/>
        </w:rPr>
        <w:t>manual system</w:t>
      </w:r>
      <w:r w:rsidR="006C619F">
        <w:rPr>
          <w:rFonts w:ascii="Arial" w:hAnsi="Arial" w:cs="Arial"/>
          <w:sz w:val="24"/>
          <w:szCs w:val="24"/>
        </w:rPr>
        <w:t xml:space="preserve"> to determine when and where they should be working</w:t>
      </w:r>
      <w:r w:rsidR="008B352F">
        <w:rPr>
          <w:rFonts w:ascii="Arial" w:hAnsi="Arial" w:cs="Arial"/>
          <w:sz w:val="24"/>
          <w:szCs w:val="24"/>
        </w:rPr>
        <w:t>.</w:t>
      </w:r>
      <w:r w:rsidR="0034727A">
        <w:rPr>
          <w:rFonts w:ascii="Arial" w:hAnsi="Arial" w:cs="Arial"/>
          <w:sz w:val="24"/>
          <w:szCs w:val="24"/>
        </w:rPr>
        <w:t xml:space="preserve"> </w:t>
      </w:r>
      <w:r w:rsidR="006C619F">
        <w:rPr>
          <w:rFonts w:ascii="Arial" w:hAnsi="Arial" w:cs="Arial"/>
          <w:sz w:val="24"/>
          <w:szCs w:val="24"/>
        </w:rPr>
        <w:t>The Execs</w:t>
      </w:r>
      <w:r w:rsidR="0034727A">
        <w:rPr>
          <w:rFonts w:ascii="Arial" w:hAnsi="Arial" w:cs="Arial"/>
          <w:sz w:val="24"/>
          <w:szCs w:val="24"/>
        </w:rPr>
        <w:t xml:space="preserve"> agreed that this system should be procured and not developed in house</w:t>
      </w:r>
      <w:r w:rsidR="006C619F">
        <w:rPr>
          <w:rFonts w:ascii="Arial" w:hAnsi="Arial" w:cs="Arial"/>
          <w:sz w:val="24"/>
          <w:szCs w:val="24"/>
        </w:rPr>
        <w:t xml:space="preserve"> due to capacity issues within the organisation and the technical skills required to develop a system</w:t>
      </w:r>
      <w:r w:rsidR="0034727A">
        <w:rPr>
          <w:rFonts w:ascii="Arial" w:hAnsi="Arial" w:cs="Arial"/>
          <w:sz w:val="24"/>
          <w:szCs w:val="24"/>
        </w:rPr>
        <w:t xml:space="preserve">. </w:t>
      </w:r>
      <w:r w:rsidR="008B352F">
        <w:rPr>
          <w:rFonts w:ascii="Arial" w:hAnsi="Arial" w:cs="Arial"/>
          <w:sz w:val="24"/>
          <w:szCs w:val="24"/>
        </w:rPr>
        <w:t>Following this de</w:t>
      </w:r>
      <w:r w:rsidR="007E6207">
        <w:rPr>
          <w:rFonts w:ascii="Arial" w:hAnsi="Arial" w:cs="Arial"/>
          <w:sz w:val="24"/>
          <w:szCs w:val="24"/>
        </w:rPr>
        <w:t>cision, I was appointed as the programme m</w:t>
      </w:r>
      <w:r w:rsidR="008B352F">
        <w:rPr>
          <w:rFonts w:ascii="Arial" w:hAnsi="Arial" w:cs="Arial"/>
          <w:sz w:val="24"/>
          <w:szCs w:val="24"/>
        </w:rPr>
        <w:t>anager and tasked with setting up a Programme Board</w:t>
      </w:r>
      <w:r w:rsidR="006C619F">
        <w:rPr>
          <w:rFonts w:ascii="Arial" w:hAnsi="Arial" w:cs="Arial"/>
          <w:sz w:val="24"/>
          <w:szCs w:val="24"/>
        </w:rPr>
        <w:t xml:space="preserve"> to oversee the procurement, consultation and implementation</w:t>
      </w:r>
      <w:r w:rsidR="008B352F">
        <w:rPr>
          <w:rFonts w:ascii="Arial" w:hAnsi="Arial" w:cs="Arial"/>
          <w:sz w:val="24"/>
          <w:szCs w:val="24"/>
        </w:rPr>
        <w:t xml:space="preserve">. </w:t>
      </w:r>
    </w:p>
    <w:p w14:paraId="5118992C" w14:textId="77777777" w:rsidR="008B352F" w:rsidRDefault="008B352F" w:rsidP="009721CA">
      <w:pPr>
        <w:rPr>
          <w:rFonts w:ascii="Arial" w:hAnsi="Arial" w:cs="Arial"/>
          <w:sz w:val="24"/>
          <w:szCs w:val="24"/>
        </w:rPr>
      </w:pPr>
    </w:p>
    <w:p w14:paraId="53B17702" w14:textId="7B018622" w:rsidR="008B352F" w:rsidRPr="008B352F" w:rsidRDefault="008B352F" w:rsidP="009721CA">
      <w:pPr>
        <w:rPr>
          <w:rFonts w:ascii="Arial" w:hAnsi="Arial" w:cs="Arial"/>
          <w:sz w:val="24"/>
          <w:szCs w:val="24"/>
          <w:u w:val="single"/>
        </w:rPr>
      </w:pPr>
      <w:r w:rsidRPr="008B352F">
        <w:rPr>
          <w:rFonts w:ascii="Arial" w:hAnsi="Arial" w:cs="Arial"/>
          <w:sz w:val="24"/>
          <w:szCs w:val="24"/>
          <w:u w:val="single"/>
        </w:rPr>
        <w:t>Stakeholders</w:t>
      </w:r>
    </w:p>
    <w:p w14:paraId="5C5BF214" w14:textId="77777777" w:rsidR="008B352F" w:rsidRDefault="008B352F" w:rsidP="009721CA">
      <w:pPr>
        <w:rPr>
          <w:rFonts w:ascii="Arial" w:hAnsi="Arial" w:cs="Arial"/>
          <w:sz w:val="24"/>
          <w:szCs w:val="24"/>
        </w:rPr>
      </w:pPr>
    </w:p>
    <w:p w14:paraId="68A7735C" w14:textId="069CAECB" w:rsidR="008B352F" w:rsidRDefault="008B352F" w:rsidP="009721CA">
      <w:pPr>
        <w:rPr>
          <w:rFonts w:ascii="Arial" w:hAnsi="Arial" w:cs="Arial"/>
          <w:sz w:val="24"/>
          <w:szCs w:val="24"/>
        </w:rPr>
      </w:pPr>
      <w:r>
        <w:rPr>
          <w:rFonts w:ascii="Arial" w:hAnsi="Arial" w:cs="Arial"/>
          <w:sz w:val="24"/>
          <w:szCs w:val="24"/>
        </w:rPr>
        <w:t>The</w:t>
      </w:r>
      <w:r w:rsidR="00A40860">
        <w:rPr>
          <w:rFonts w:ascii="Arial" w:hAnsi="Arial" w:cs="Arial"/>
          <w:sz w:val="24"/>
          <w:szCs w:val="24"/>
        </w:rPr>
        <w:t xml:space="preserve"> internal</w:t>
      </w:r>
      <w:r>
        <w:rPr>
          <w:rFonts w:ascii="Arial" w:hAnsi="Arial" w:cs="Arial"/>
          <w:sz w:val="24"/>
          <w:szCs w:val="24"/>
        </w:rPr>
        <w:t xml:space="preserve"> stakeholders that were involved in the Programme ranged from senior consultants to medical staffing officers. </w:t>
      </w:r>
      <w:r w:rsidR="00A40860">
        <w:rPr>
          <w:rFonts w:ascii="Arial" w:hAnsi="Arial" w:cs="Arial"/>
          <w:sz w:val="24"/>
          <w:szCs w:val="24"/>
        </w:rPr>
        <w:t xml:space="preserve">The external stakeholders were representatives from private suppliers who wanted to provide the digital solution for electronic rostering. </w:t>
      </w:r>
      <w:r w:rsidR="003F145B">
        <w:rPr>
          <w:rFonts w:ascii="Arial" w:hAnsi="Arial" w:cs="Arial"/>
          <w:sz w:val="24"/>
          <w:szCs w:val="24"/>
        </w:rPr>
        <w:t>There was a small group of staff including myself, an assistant workforce director and a procurement manager who met regularly</w:t>
      </w:r>
      <w:r w:rsidR="006C619F">
        <w:rPr>
          <w:rFonts w:ascii="Arial" w:hAnsi="Arial" w:cs="Arial"/>
          <w:sz w:val="24"/>
          <w:szCs w:val="24"/>
        </w:rPr>
        <w:t xml:space="preserve"> to drive the work forward. As </w:t>
      </w:r>
      <w:r w:rsidR="00A40860">
        <w:rPr>
          <w:rFonts w:ascii="Arial" w:hAnsi="Arial" w:cs="Arial"/>
          <w:sz w:val="24"/>
          <w:szCs w:val="24"/>
        </w:rPr>
        <w:t xml:space="preserve">the </w:t>
      </w:r>
      <w:r w:rsidR="006C619F">
        <w:rPr>
          <w:rFonts w:ascii="Arial" w:hAnsi="Arial" w:cs="Arial"/>
          <w:sz w:val="24"/>
          <w:szCs w:val="24"/>
        </w:rPr>
        <w:t>programme m</w:t>
      </w:r>
      <w:r w:rsidR="003F145B">
        <w:rPr>
          <w:rFonts w:ascii="Arial" w:hAnsi="Arial" w:cs="Arial"/>
          <w:sz w:val="24"/>
          <w:szCs w:val="24"/>
        </w:rPr>
        <w:t>anager, I set up weekly meetings with this small group in order t</w:t>
      </w:r>
      <w:r w:rsidR="00A40860">
        <w:rPr>
          <w:rFonts w:ascii="Arial" w:hAnsi="Arial" w:cs="Arial"/>
          <w:sz w:val="24"/>
          <w:szCs w:val="24"/>
        </w:rPr>
        <w:t>o keep the Programme on pace</w:t>
      </w:r>
      <w:r w:rsidR="003F145B">
        <w:rPr>
          <w:rFonts w:ascii="Arial" w:hAnsi="Arial" w:cs="Arial"/>
          <w:sz w:val="24"/>
          <w:szCs w:val="24"/>
        </w:rPr>
        <w:t>. It also helped to have dedicate</w:t>
      </w:r>
      <w:r w:rsidR="008E19EC">
        <w:rPr>
          <w:rFonts w:ascii="Arial" w:hAnsi="Arial" w:cs="Arial"/>
          <w:sz w:val="24"/>
          <w:szCs w:val="24"/>
        </w:rPr>
        <w:t>d</w:t>
      </w:r>
      <w:r w:rsidR="003F145B">
        <w:rPr>
          <w:rFonts w:ascii="Arial" w:hAnsi="Arial" w:cs="Arial"/>
          <w:sz w:val="24"/>
          <w:szCs w:val="24"/>
        </w:rPr>
        <w:t xml:space="preserve"> time in the diary each week to update on progress. </w:t>
      </w:r>
      <w:r w:rsidR="00A95CF4">
        <w:rPr>
          <w:rFonts w:ascii="Arial" w:hAnsi="Arial" w:cs="Arial"/>
          <w:sz w:val="24"/>
          <w:szCs w:val="24"/>
        </w:rPr>
        <w:t>As identified by Vain (2021), t</w:t>
      </w:r>
      <w:r w:rsidR="00A40860">
        <w:rPr>
          <w:rFonts w:ascii="Arial" w:hAnsi="Arial" w:cs="Arial"/>
          <w:sz w:val="24"/>
          <w:szCs w:val="24"/>
        </w:rPr>
        <w:t xml:space="preserve">his was useful in order to maintain momentum on the Programme and on reflection I would use this approach again. </w:t>
      </w:r>
    </w:p>
    <w:p w14:paraId="6D0BDE59" w14:textId="77777777" w:rsidR="003F145B" w:rsidRDefault="003F145B" w:rsidP="009721CA">
      <w:pPr>
        <w:rPr>
          <w:rFonts w:ascii="Arial" w:hAnsi="Arial" w:cs="Arial"/>
          <w:sz w:val="24"/>
          <w:szCs w:val="24"/>
        </w:rPr>
      </w:pPr>
    </w:p>
    <w:p w14:paraId="7B5DE408" w14:textId="4FCC3C14" w:rsidR="003F145B" w:rsidRPr="009B64C5" w:rsidRDefault="003F145B" w:rsidP="009721CA">
      <w:pPr>
        <w:rPr>
          <w:rFonts w:ascii="Arial" w:hAnsi="Arial" w:cs="Arial"/>
          <w:sz w:val="24"/>
          <w:szCs w:val="24"/>
        </w:rPr>
      </w:pPr>
      <w:r>
        <w:rPr>
          <w:rFonts w:ascii="Arial" w:hAnsi="Arial" w:cs="Arial"/>
          <w:sz w:val="24"/>
          <w:szCs w:val="24"/>
        </w:rPr>
        <w:t xml:space="preserve">I found that as word got around the organisation that I was the lead for the Programme, </w:t>
      </w:r>
      <w:r w:rsidR="00A40860">
        <w:rPr>
          <w:rFonts w:ascii="Arial" w:hAnsi="Arial" w:cs="Arial"/>
          <w:sz w:val="24"/>
          <w:szCs w:val="24"/>
        </w:rPr>
        <w:t>an increasing number of</w:t>
      </w:r>
      <w:r>
        <w:rPr>
          <w:rFonts w:ascii="Arial" w:hAnsi="Arial" w:cs="Arial"/>
          <w:sz w:val="24"/>
          <w:szCs w:val="24"/>
        </w:rPr>
        <w:t xml:space="preserve"> internal staff got in contact with me asking for updates</w:t>
      </w:r>
      <w:r w:rsidR="007E6207">
        <w:rPr>
          <w:rFonts w:ascii="Arial" w:hAnsi="Arial" w:cs="Arial"/>
          <w:sz w:val="24"/>
          <w:szCs w:val="24"/>
        </w:rPr>
        <w:t xml:space="preserve"> on the project</w:t>
      </w:r>
      <w:r>
        <w:rPr>
          <w:rFonts w:ascii="Arial" w:hAnsi="Arial" w:cs="Arial"/>
          <w:sz w:val="24"/>
          <w:szCs w:val="24"/>
        </w:rPr>
        <w:t xml:space="preserve"> as they appeared concerned ab</w:t>
      </w:r>
      <w:r w:rsidR="007E6207">
        <w:rPr>
          <w:rFonts w:ascii="Arial" w:hAnsi="Arial" w:cs="Arial"/>
          <w:sz w:val="24"/>
          <w:szCs w:val="24"/>
        </w:rPr>
        <w:t>out how the changes</w:t>
      </w:r>
      <w:r>
        <w:rPr>
          <w:rFonts w:ascii="Arial" w:hAnsi="Arial" w:cs="Arial"/>
          <w:sz w:val="24"/>
          <w:szCs w:val="24"/>
        </w:rPr>
        <w:t xml:space="preserve"> would affect them and how their roles would change. However there were some staff that were really </w:t>
      </w:r>
      <w:r w:rsidR="00A40860">
        <w:rPr>
          <w:rFonts w:ascii="Arial" w:hAnsi="Arial" w:cs="Arial"/>
          <w:sz w:val="24"/>
          <w:szCs w:val="24"/>
        </w:rPr>
        <w:t>eager</w:t>
      </w:r>
      <w:r>
        <w:rPr>
          <w:rFonts w:ascii="Arial" w:hAnsi="Arial" w:cs="Arial"/>
          <w:sz w:val="24"/>
          <w:szCs w:val="24"/>
        </w:rPr>
        <w:t xml:space="preserve"> for the new system to be implemented, and were asking me on a monthly basis when </w:t>
      </w:r>
      <w:r w:rsidR="007E6207">
        <w:rPr>
          <w:rFonts w:ascii="Arial" w:hAnsi="Arial" w:cs="Arial"/>
          <w:sz w:val="24"/>
          <w:szCs w:val="24"/>
        </w:rPr>
        <w:t>the new system would be implemented</w:t>
      </w:r>
      <w:r>
        <w:rPr>
          <w:rFonts w:ascii="Arial" w:hAnsi="Arial" w:cs="Arial"/>
          <w:sz w:val="24"/>
          <w:szCs w:val="24"/>
        </w:rPr>
        <w:t xml:space="preserve">.  </w:t>
      </w:r>
    </w:p>
    <w:p w14:paraId="35193856" w14:textId="77777777" w:rsidR="009B64C5" w:rsidRDefault="009B64C5" w:rsidP="009721CA">
      <w:pPr>
        <w:rPr>
          <w:rFonts w:ascii="Arial" w:hAnsi="Arial" w:cs="Arial"/>
          <w:sz w:val="24"/>
          <w:szCs w:val="24"/>
        </w:rPr>
      </w:pPr>
    </w:p>
    <w:p w14:paraId="6F7630ED" w14:textId="6B31594B" w:rsidR="003F145B" w:rsidRPr="003F145B" w:rsidRDefault="003F145B" w:rsidP="009721CA">
      <w:pPr>
        <w:rPr>
          <w:rFonts w:ascii="Arial" w:hAnsi="Arial" w:cs="Arial"/>
          <w:sz w:val="24"/>
          <w:szCs w:val="24"/>
          <w:u w:val="single"/>
        </w:rPr>
      </w:pPr>
      <w:r w:rsidRPr="003F145B">
        <w:rPr>
          <w:rFonts w:ascii="Arial" w:hAnsi="Arial" w:cs="Arial"/>
          <w:sz w:val="24"/>
          <w:szCs w:val="24"/>
          <w:u w:val="single"/>
        </w:rPr>
        <w:t xml:space="preserve">Stakeholder engagement </w:t>
      </w:r>
    </w:p>
    <w:p w14:paraId="5F3B8FC0" w14:textId="77777777" w:rsidR="003F145B" w:rsidRDefault="003F145B" w:rsidP="009721CA">
      <w:pPr>
        <w:rPr>
          <w:rFonts w:ascii="Arial" w:hAnsi="Arial" w:cs="Arial"/>
          <w:sz w:val="24"/>
          <w:szCs w:val="24"/>
        </w:rPr>
      </w:pPr>
    </w:p>
    <w:p w14:paraId="1ADEBD58" w14:textId="2BAE3F22" w:rsidR="0034727A" w:rsidRDefault="003F145B" w:rsidP="009721CA">
      <w:pPr>
        <w:rPr>
          <w:rFonts w:ascii="Arial" w:hAnsi="Arial" w:cs="Arial"/>
          <w:sz w:val="24"/>
          <w:szCs w:val="24"/>
        </w:rPr>
      </w:pPr>
      <w:r>
        <w:rPr>
          <w:rFonts w:ascii="Arial" w:hAnsi="Arial" w:cs="Arial"/>
          <w:sz w:val="24"/>
          <w:szCs w:val="24"/>
        </w:rPr>
        <w:t>It appeared from a very early stage in the Programme that stakeholder engagement was going to be key</w:t>
      </w:r>
      <w:r w:rsidR="0034727A">
        <w:rPr>
          <w:rFonts w:ascii="Arial" w:hAnsi="Arial" w:cs="Arial"/>
          <w:sz w:val="24"/>
          <w:szCs w:val="24"/>
        </w:rPr>
        <w:t>, mainly due to the ad hoc nature and frequency of the contact from staff across the organisation</w:t>
      </w:r>
      <w:r>
        <w:rPr>
          <w:rFonts w:ascii="Arial" w:hAnsi="Arial" w:cs="Arial"/>
          <w:sz w:val="24"/>
          <w:szCs w:val="24"/>
        </w:rPr>
        <w:t xml:space="preserve">. </w:t>
      </w:r>
      <w:r w:rsidR="0034727A">
        <w:rPr>
          <w:rFonts w:ascii="Arial" w:hAnsi="Arial" w:cs="Arial"/>
          <w:sz w:val="24"/>
          <w:szCs w:val="24"/>
        </w:rPr>
        <w:t>As s</w:t>
      </w:r>
      <w:r w:rsidR="000710BA">
        <w:rPr>
          <w:rFonts w:ascii="Arial" w:hAnsi="Arial" w:cs="Arial"/>
          <w:sz w:val="24"/>
          <w:szCs w:val="24"/>
        </w:rPr>
        <w:t xml:space="preserve">ome staff and organisational divisions are reluctant to change from their current manual method </w:t>
      </w:r>
      <w:r w:rsidR="0034727A">
        <w:rPr>
          <w:rFonts w:ascii="Arial" w:hAnsi="Arial" w:cs="Arial"/>
          <w:sz w:val="24"/>
          <w:szCs w:val="24"/>
        </w:rPr>
        <w:t xml:space="preserve">of rostering, I was contacted and asked for updates and implementation timescales. In order to manage the stakeholder communication, I set up virtual engagement meetings with staff </w:t>
      </w:r>
      <w:r w:rsidR="00513C49">
        <w:rPr>
          <w:rFonts w:ascii="Arial" w:hAnsi="Arial" w:cs="Arial"/>
          <w:sz w:val="24"/>
          <w:szCs w:val="24"/>
        </w:rPr>
        <w:t>so</w:t>
      </w:r>
      <w:r w:rsidR="0034727A">
        <w:rPr>
          <w:rFonts w:ascii="Arial" w:hAnsi="Arial" w:cs="Arial"/>
          <w:sz w:val="24"/>
          <w:szCs w:val="24"/>
        </w:rPr>
        <w:t xml:space="preserve"> they could ask any questions about the Programme and to feedback on the design of the new electronic rostering system. </w:t>
      </w:r>
      <w:r w:rsidR="00513C49">
        <w:rPr>
          <w:rFonts w:ascii="Arial" w:hAnsi="Arial" w:cs="Arial"/>
          <w:sz w:val="24"/>
          <w:szCs w:val="24"/>
        </w:rPr>
        <w:t xml:space="preserve">On reflection, this approach helped manage stakeholder communications, which </w:t>
      </w:r>
      <w:proofErr w:type="spellStart"/>
      <w:r w:rsidR="00513C49" w:rsidRPr="00513C49">
        <w:rPr>
          <w:rFonts w:ascii="Arial" w:hAnsi="Arial" w:cs="Arial"/>
          <w:sz w:val="24"/>
          <w:szCs w:val="24"/>
        </w:rPr>
        <w:t>Lovewell</w:t>
      </w:r>
      <w:proofErr w:type="spellEnd"/>
      <w:r w:rsidR="00513C49" w:rsidRPr="00513C49">
        <w:rPr>
          <w:rFonts w:ascii="Arial" w:hAnsi="Arial" w:cs="Arial"/>
          <w:sz w:val="24"/>
          <w:szCs w:val="24"/>
        </w:rPr>
        <w:t>-Tuck</w:t>
      </w:r>
      <w:r w:rsidR="00513C49">
        <w:rPr>
          <w:rFonts w:ascii="Arial" w:hAnsi="Arial" w:cs="Arial"/>
          <w:sz w:val="24"/>
          <w:szCs w:val="24"/>
        </w:rPr>
        <w:t xml:space="preserve"> (2017) argues is a vital part of managing key messages of communication when change management takes place. </w:t>
      </w:r>
      <w:r w:rsidR="00C11583">
        <w:rPr>
          <w:rFonts w:ascii="Arial" w:hAnsi="Arial" w:cs="Arial"/>
          <w:sz w:val="24"/>
          <w:szCs w:val="24"/>
        </w:rPr>
        <w:t xml:space="preserve">This view is supported by Cottrell et al (2014) who </w:t>
      </w:r>
      <w:r w:rsidR="00FE7B71">
        <w:rPr>
          <w:rFonts w:ascii="Arial" w:hAnsi="Arial" w:cs="Arial"/>
          <w:sz w:val="24"/>
          <w:szCs w:val="24"/>
        </w:rPr>
        <w:t xml:space="preserve">argues the importance of engaging stakeholders in systemic reviews. </w:t>
      </w:r>
    </w:p>
    <w:p w14:paraId="4D151270" w14:textId="77777777" w:rsidR="003F145B" w:rsidRDefault="003F145B" w:rsidP="009721CA">
      <w:pPr>
        <w:rPr>
          <w:rFonts w:ascii="Arial" w:hAnsi="Arial" w:cs="Arial"/>
          <w:sz w:val="24"/>
          <w:szCs w:val="24"/>
        </w:rPr>
      </w:pPr>
    </w:p>
    <w:p w14:paraId="63DA0C58" w14:textId="62B703B3" w:rsidR="00981BD7" w:rsidRDefault="003E742F" w:rsidP="009721CA">
      <w:pPr>
        <w:rPr>
          <w:rFonts w:ascii="Arial" w:hAnsi="Arial" w:cs="Arial"/>
          <w:sz w:val="24"/>
          <w:szCs w:val="24"/>
        </w:rPr>
      </w:pPr>
      <w:r>
        <w:rPr>
          <w:rFonts w:ascii="Arial" w:hAnsi="Arial" w:cs="Arial"/>
          <w:sz w:val="24"/>
          <w:szCs w:val="24"/>
        </w:rPr>
        <w:t xml:space="preserve">On reflecting on how I engaged effectively with stakeholders, I believe I took the necessary time to have both one to one meetings with individuals, as well as group/team meetings with wider groups of staff. This approach is supported by </w:t>
      </w:r>
      <w:proofErr w:type="spellStart"/>
      <w:r w:rsidR="00981BD7">
        <w:rPr>
          <w:rFonts w:ascii="Arial" w:hAnsi="Arial" w:cs="Arial"/>
          <w:sz w:val="24"/>
          <w:szCs w:val="24"/>
        </w:rPr>
        <w:t>Delnord</w:t>
      </w:r>
      <w:proofErr w:type="spellEnd"/>
      <w:r w:rsidR="00981BD7">
        <w:rPr>
          <w:rFonts w:ascii="Arial" w:hAnsi="Arial" w:cs="Arial"/>
          <w:sz w:val="24"/>
          <w:szCs w:val="24"/>
        </w:rPr>
        <w:t xml:space="preserve"> et al. (2019) </w:t>
      </w:r>
      <w:r>
        <w:rPr>
          <w:rFonts w:ascii="Arial" w:hAnsi="Arial" w:cs="Arial"/>
          <w:sz w:val="24"/>
          <w:szCs w:val="24"/>
        </w:rPr>
        <w:t xml:space="preserve">who </w:t>
      </w:r>
      <w:r w:rsidR="00981BD7">
        <w:rPr>
          <w:rFonts w:ascii="Arial" w:hAnsi="Arial" w:cs="Arial"/>
          <w:sz w:val="24"/>
          <w:szCs w:val="24"/>
        </w:rPr>
        <w:t xml:space="preserve">argues the importance of engaging with staff appropriately using a range of different </w:t>
      </w:r>
      <w:r w:rsidR="00B77A23">
        <w:rPr>
          <w:rFonts w:ascii="Arial" w:hAnsi="Arial" w:cs="Arial"/>
          <w:sz w:val="24"/>
          <w:szCs w:val="24"/>
        </w:rPr>
        <w:t xml:space="preserve">approaches. </w:t>
      </w:r>
      <w:r>
        <w:rPr>
          <w:rFonts w:ascii="Arial" w:hAnsi="Arial" w:cs="Arial"/>
          <w:sz w:val="24"/>
          <w:szCs w:val="24"/>
        </w:rPr>
        <w:t xml:space="preserve">I found that some staff members were concerned on an individual basis regarding how the change would affect them personally and their role; therefore by taking half hour to discuss their concerns and listen to their feedback, I was able to successfully bring them on board with the Programme. </w:t>
      </w:r>
      <w:r w:rsidR="00DE261F">
        <w:rPr>
          <w:rFonts w:ascii="Arial" w:hAnsi="Arial" w:cs="Arial"/>
          <w:sz w:val="24"/>
          <w:szCs w:val="24"/>
        </w:rPr>
        <w:t xml:space="preserve">I also met one staff member face to face as I didn’t want to be seen as someone who was implementing change from a far. </w:t>
      </w:r>
      <w:r w:rsidR="00337E3D" w:rsidRPr="00337E3D">
        <w:rPr>
          <w:rFonts w:ascii="Arial" w:hAnsi="Arial" w:cs="Arial"/>
          <w:color w:val="000000"/>
          <w:sz w:val="24"/>
          <w:szCs w:val="24"/>
          <w:shd w:val="clear" w:color="auto" w:fill="FFFFFF"/>
        </w:rPr>
        <w:t xml:space="preserve">Jun </w:t>
      </w:r>
      <w:proofErr w:type="spellStart"/>
      <w:r w:rsidR="00337E3D" w:rsidRPr="00337E3D">
        <w:rPr>
          <w:rFonts w:ascii="Arial" w:hAnsi="Arial" w:cs="Arial"/>
          <w:color w:val="000000"/>
          <w:sz w:val="24"/>
          <w:szCs w:val="24"/>
          <w:shd w:val="clear" w:color="auto" w:fill="FFFFFF"/>
        </w:rPr>
        <w:t>Hao</w:t>
      </w:r>
      <w:proofErr w:type="spellEnd"/>
      <w:r w:rsidR="00337E3D" w:rsidRPr="00337E3D">
        <w:rPr>
          <w:rFonts w:ascii="Arial" w:hAnsi="Arial" w:cs="Arial"/>
          <w:color w:val="000000"/>
          <w:sz w:val="24"/>
          <w:szCs w:val="24"/>
          <w:shd w:val="clear" w:color="auto" w:fill="FFFFFF"/>
        </w:rPr>
        <w:t xml:space="preserve"> et al. (</w:t>
      </w:r>
      <w:r w:rsidR="00337E3D" w:rsidRPr="00337E3D">
        <w:rPr>
          <w:rFonts w:ascii="Arial" w:hAnsi="Arial" w:cs="Arial"/>
          <w:color w:val="000000"/>
          <w:sz w:val="24"/>
          <w:szCs w:val="24"/>
          <w:shd w:val="clear" w:color="auto" w:fill="FFFFFF"/>
        </w:rPr>
        <w:t>2015)</w:t>
      </w:r>
      <w:r w:rsidR="00337E3D" w:rsidRPr="00337E3D">
        <w:rPr>
          <w:rFonts w:ascii="Arial" w:hAnsi="Arial" w:cs="Arial"/>
          <w:color w:val="000000"/>
          <w:sz w:val="24"/>
          <w:szCs w:val="24"/>
          <w:shd w:val="clear" w:color="auto" w:fill="FFFFFF"/>
        </w:rPr>
        <w:t xml:space="preserve"> argue that </w:t>
      </w:r>
      <w:r w:rsidR="00337E3D">
        <w:rPr>
          <w:rFonts w:ascii="Arial" w:hAnsi="Arial" w:cs="Arial"/>
          <w:sz w:val="24"/>
          <w:szCs w:val="24"/>
        </w:rPr>
        <w:t>t</w:t>
      </w:r>
      <w:r w:rsidR="00DE261F" w:rsidRPr="00337E3D">
        <w:rPr>
          <w:rFonts w:ascii="Arial" w:hAnsi="Arial" w:cs="Arial"/>
          <w:sz w:val="24"/>
          <w:szCs w:val="24"/>
        </w:rPr>
        <w:t>his</w:t>
      </w:r>
      <w:r w:rsidR="00DE261F">
        <w:rPr>
          <w:rFonts w:ascii="Arial" w:hAnsi="Arial" w:cs="Arial"/>
          <w:sz w:val="24"/>
          <w:szCs w:val="24"/>
        </w:rPr>
        <w:t xml:space="preserve"> </w:t>
      </w:r>
      <w:r w:rsidR="00337E3D">
        <w:rPr>
          <w:rFonts w:ascii="Arial" w:hAnsi="Arial" w:cs="Arial"/>
          <w:sz w:val="24"/>
          <w:szCs w:val="24"/>
        </w:rPr>
        <w:t xml:space="preserve">visual leadership </w:t>
      </w:r>
      <w:r w:rsidR="00DE261F">
        <w:rPr>
          <w:rFonts w:ascii="Arial" w:hAnsi="Arial" w:cs="Arial"/>
          <w:sz w:val="24"/>
          <w:szCs w:val="24"/>
        </w:rPr>
        <w:t xml:space="preserve">approach </w:t>
      </w:r>
      <w:r w:rsidR="00337E3D">
        <w:rPr>
          <w:rFonts w:ascii="Arial" w:hAnsi="Arial" w:cs="Arial"/>
          <w:sz w:val="24"/>
          <w:szCs w:val="24"/>
        </w:rPr>
        <w:t>works</w:t>
      </w:r>
      <w:r w:rsidR="00DE261F">
        <w:rPr>
          <w:rFonts w:ascii="Arial" w:hAnsi="Arial" w:cs="Arial"/>
          <w:sz w:val="24"/>
          <w:szCs w:val="24"/>
        </w:rPr>
        <w:t xml:space="preserve"> really well, and I recall seeing the relief in the face of the staff member when we discussed and alleviated their concerns. </w:t>
      </w:r>
    </w:p>
    <w:p w14:paraId="55810155" w14:textId="77777777" w:rsidR="009721CA" w:rsidRDefault="009721CA" w:rsidP="009721CA">
      <w:pPr>
        <w:rPr>
          <w:rFonts w:ascii="Arial" w:hAnsi="Arial" w:cs="Arial"/>
          <w:sz w:val="24"/>
          <w:szCs w:val="24"/>
        </w:rPr>
      </w:pPr>
    </w:p>
    <w:p w14:paraId="38579AA6" w14:textId="28C9DF8C" w:rsidR="003E742F" w:rsidRPr="00DE261F" w:rsidRDefault="00DE261F" w:rsidP="009721CA">
      <w:pPr>
        <w:rPr>
          <w:rFonts w:ascii="Arial" w:hAnsi="Arial" w:cs="Arial"/>
          <w:sz w:val="24"/>
          <w:szCs w:val="24"/>
          <w:u w:val="single"/>
        </w:rPr>
      </w:pPr>
      <w:r w:rsidRPr="00DE261F">
        <w:rPr>
          <w:rFonts w:ascii="Arial" w:hAnsi="Arial" w:cs="Arial"/>
          <w:sz w:val="24"/>
          <w:szCs w:val="24"/>
          <w:u w:val="single"/>
        </w:rPr>
        <w:t xml:space="preserve">Groupthink </w:t>
      </w:r>
    </w:p>
    <w:p w14:paraId="6C84414C" w14:textId="77777777" w:rsidR="00DE261F" w:rsidRDefault="00DE261F" w:rsidP="009721CA">
      <w:pPr>
        <w:rPr>
          <w:rFonts w:ascii="Arial" w:hAnsi="Arial" w:cs="Arial"/>
          <w:sz w:val="24"/>
          <w:szCs w:val="24"/>
        </w:rPr>
      </w:pPr>
    </w:p>
    <w:p w14:paraId="53EC683E" w14:textId="77777777" w:rsidR="00997D33" w:rsidRDefault="009B44AE" w:rsidP="009721CA">
      <w:pPr>
        <w:rPr>
          <w:rFonts w:ascii="Arial" w:hAnsi="Arial" w:cs="Arial"/>
          <w:sz w:val="24"/>
          <w:szCs w:val="24"/>
        </w:rPr>
      </w:pPr>
      <w:proofErr w:type="spellStart"/>
      <w:r>
        <w:rPr>
          <w:rFonts w:ascii="Arial" w:hAnsi="Arial" w:cs="Arial"/>
          <w:sz w:val="24"/>
          <w:szCs w:val="24"/>
        </w:rPr>
        <w:t>Suwardy</w:t>
      </w:r>
      <w:proofErr w:type="spellEnd"/>
      <w:r>
        <w:rPr>
          <w:rFonts w:ascii="Arial" w:hAnsi="Arial" w:cs="Arial"/>
          <w:sz w:val="24"/>
          <w:szCs w:val="24"/>
        </w:rPr>
        <w:t xml:space="preserve"> (2019) argues that although having consensus is beneficial as it results in no conflicts, it can result in bad decisions as there is a lack of different viewpoints and opinions. This is something that I was mindful of when I initially had wider group meetings with clinical staff, especially with consultants who appeared to be more confident in expressing their views in meetings. For example, when I held a meeting for staff within the </w:t>
      </w:r>
      <w:r w:rsidR="007E6207">
        <w:rPr>
          <w:rFonts w:ascii="Arial" w:hAnsi="Arial" w:cs="Arial"/>
          <w:sz w:val="24"/>
          <w:szCs w:val="24"/>
        </w:rPr>
        <w:t>Urgent C</w:t>
      </w:r>
      <w:r>
        <w:rPr>
          <w:rFonts w:ascii="Arial" w:hAnsi="Arial" w:cs="Arial"/>
          <w:sz w:val="24"/>
          <w:szCs w:val="24"/>
        </w:rPr>
        <w:t xml:space="preserve">are division to express their views on moving to the new electronic rostering system, </w:t>
      </w:r>
      <w:r w:rsidR="003E2584">
        <w:rPr>
          <w:rFonts w:ascii="Arial" w:hAnsi="Arial" w:cs="Arial"/>
          <w:sz w:val="24"/>
          <w:szCs w:val="24"/>
        </w:rPr>
        <w:t>it involved senior staff such as doctors and junior staff such as medical staffing officers. Whilst there was feedback from all staff at the meeting, the more senior staff appeared to be more vocal. I was mindful of this, so asked a few colleagues how I could engage with the medical staffing officers across the organisa</w:t>
      </w:r>
      <w:r w:rsidR="00F06B0A">
        <w:rPr>
          <w:rFonts w:ascii="Arial" w:hAnsi="Arial" w:cs="Arial"/>
          <w:sz w:val="24"/>
          <w:szCs w:val="24"/>
        </w:rPr>
        <w:t xml:space="preserve">tion, and found that they had a cross divisional meeting every month. I asked to attend this meeting and found that the staff were much more vocal at this meeting, compared to when they were with more senior clinicians. This may be because they felt more comfortable speaking amongst their peers. </w:t>
      </w:r>
    </w:p>
    <w:p w14:paraId="44759455" w14:textId="77777777" w:rsidR="00997D33" w:rsidRDefault="00997D33" w:rsidP="009721CA">
      <w:pPr>
        <w:rPr>
          <w:rFonts w:ascii="Arial" w:hAnsi="Arial" w:cs="Arial"/>
          <w:sz w:val="24"/>
          <w:szCs w:val="24"/>
        </w:rPr>
      </w:pPr>
    </w:p>
    <w:p w14:paraId="6391B6BA" w14:textId="22479385" w:rsidR="00DE261F" w:rsidRDefault="00F06B0A" w:rsidP="009721CA">
      <w:pPr>
        <w:rPr>
          <w:rFonts w:ascii="Arial" w:hAnsi="Arial" w:cs="Arial"/>
          <w:sz w:val="24"/>
          <w:szCs w:val="24"/>
        </w:rPr>
      </w:pPr>
      <w:r>
        <w:rPr>
          <w:rFonts w:ascii="Arial" w:hAnsi="Arial" w:cs="Arial"/>
          <w:sz w:val="24"/>
          <w:szCs w:val="24"/>
        </w:rPr>
        <w:t xml:space="preserve">This approach is supported by </w:t>
      </w:r>
      <w:proofErr w:type="spellStart"/>
      <w:r>
        <w:rPr>
          <w:rFonts w:ascii="Arial" w:hAnsi="Arial" w:cs="Arial"/>
          <w:sz w:val="24"/>
          <w:szCs w:val="24"/>
        </w:rPr>
        <w:t>Suwardy</w:t>
      </w:r>
      <w:proofErr w:type="spellEnd"/>
      <w:r>
        <w:rPr>
          <w:rFonts w:ascii="Arial" w:hAnsi="Arial" w:cs="Arial"/>
          <w:sz w:val="24"/>
          <w:szCs w:val="24"/>
        </w:rPr>
        <w:t xml:space="preserve"> (2019), who argues that Groupthink can be overcome w</w:t>
      </w:r>
      <w:r w:rsidR="00F14420">
        <w:rPr>
          <w:rFonts w:ascii="Arial" w:hAnsi="Arial" w:cs="Arial"/>
          <w:sz w:val="24"/>
          <w:szCs w:val="24"/>
        </w:rPr>
        <w:t>hen a culture of</w:t>
      </w:r>
      <w:r>
        <w:rPr>
          <w:rFonts w:ascii="Arial" w:hAnsi="Arial" w:cs="Arial"/>
          <w:sz w:val="24"/>
          <w:szCs w:val="24"/>
        </w:rPr>
        <w:t xml:space="preserve"> openness </w:t>
      </w:r>
      <w:r w:rsidR="00F14420">
        <w:rPr>
          <w:rFonts w:ascii="Arial" w:hAnsi="Arial" w:cs="Arial"/>
          <w:sz w:val="24"/>
          <w:szCs w:val="24"/>
        </w:rPr>
        <w:t>is created, and options and solutions can come from the bottom up.</w:t>
      </w:r>
      <w:r w:rsidR="003606A7">
        <w:t xml:space="preserve"> </w:t>
      </w:r>
      <w:proofErr w:type="spellStart"/>
      <w:r w:rsidR="003606A7">
        <w:rPr>
          <w:rFonts w:ascii="Arial" w:hAnsi="Arial" w:cs="Arial"/>
          <w:sz w:val="24"/>
          <w:szCs w:val="24"/>
        </w:rPr>
        <w:t>Tambor</w:t>
      </w:r>
      <w:proofErr w:type="spellEnd"/>
      <w:r w:rsidR="003606A7">
        <w:rPr>
          <w:rFonts w:ascii="Arial" w:hAnsi="Arial" w:cs="Arial"/>
          <w:sz w:val="24"/>
          <w:szCs w:val="24"/>
        </w:rPr>
        <w:t xml:space="preserve"> et al.</w:t>
      </w:r>
      <w:proofErr w:type="gramStart"/>
      <w:r w:rsidR="003606A7">
        <w:rPr>
          <w:rFonts w:ascii="Arial" w:hAnsi="Arial" w:cs="Arial"/>
          <w:sz w:val="24"/>
          <w:szCs w:val="24"/>
        </w:rPr>
        <w:t>,(</w:t>
      </w:r>
      <w:proofErr w:type="gramEnd"/>
      <w:r w:rsidR="003606A7" w:rsidRPr="003606A7">
        <w:rPr>
          <w:rFonts w:ascii="Arial" w:hAnsi="Arial" w:cs="Arial"/>
          <w:sz w:val="24"/>
          <w:szCs w:val="24"/>
        </w:rPr>
        <w:t>2019)</w:t>
      </w:r>
      <w:r w:rsidR="003606A7">
        <w:rPr>
          <w:rFonts w:ascii="Arial" w:hAnsi="Arial" w:cs="Arial"/>
          <w:sz w:val="24"/>
          <w:szCs w:val="24"/>
        </w:rPr>
        <w:t xml:space="preserve"> </w:t>
      </w:r>
      <w:r w:rsidR="00997D33">
        <w:rPr>
          <w:rFonts w:ascii="Arial" w:hAnsi="Arial" w:cs="Arial"/>
          <w:sz w:val="24"/>
          <w:szCs w:val="24"/>
        </w:rPr>
        <w:t xml:space="preserve">supports </w:t>
      </w:r>
      <w:proofErr w:type="spellStart"/>
      <w:r w:rsidR="00997D33">
        <w:rPr>
          <w:rFonts w:ascii="Arial" w:hAnsi="Arial" w:cs="Arial"/>
          <w:sz w:val="24"/>
          <w:szCs w:val="24"/>
        </w:rPr>
        <w:t>Suwardy</w:t>
      </w:r>
      <w:proofErr w:type="spellEnd"/>
      <w:r w:rsidR="00997D33">
        <w:rPr>
          <w:rFonts w:ascii="Arial" w:hAnsi="Arial" w:cs="Arial"/>
          <w:sz w:val="24"/>
          <w:szCs w:val="24"/>
        </w:rPr>
        <w:t xml:space="preserve"> (2019) </w:t>
      </w:r>
      <w:r w:rsidR="003606A7">
        <w:rPr>
          <w:rFonts w:ascii="Arial" w:hAnsi="Arial" w:cs="Arial"/>
          <w:sz w:val="24"/>
          <w:szCs w:val="24"/>
        </w:rPr>
        <w:t>who argues the importance of engaging with clinical staff throughout the change process, especially through in person advisory group meetings</w:t>
      </w:r>
      <w:r w:rsidR="00997D33">
        <w:rPr>
          <w:rFonts w:ascii="Arial" w:hAnsi="Arial" w:cs="Arial"/>
          <w:sz w:val="24"/>
          <w:szCs w:val="24"/>
        </w:rPr>
        <w:t xml:space="preserve">, that allow people to express their views and opinions. </w:t>
      </w:r>
    </w:p>
    <w:p w14:paraId="5B2A840E" w14:textId="77777777" w:rsidR="00997D33" w:rsidRDefault="00997D33" w:rsidP="009721CA">
      <w:pPr>
        <w:rPr>
          <w:rFonts w:ascii="Arial" w:hAnsi="Arial" w:cs="Arial"/>
          <w:sz w:val="24"/>
          <w:szCs w:val="24"/>
        </w:rPr>
      </w:pPr>
    </w:p>
    <w:p w14:paraId="1A770E3F" w14:textId="6BA241EA" w:rsidR="00997D33" w:rsidRDefault="00997D33" w:rsidP="00997D33">
      <w:pPr>
        <w:rPr>
          <w:rFonts w:ascii="Arial" w:hAnsi="Arial" w:cs="Arial"/>
          <w:sz w:val="24"/>
          <w:szCs w:val="24"/>
        </w:rPr>
      </w:pPr>
      <w:r>
        <w:rPr>
          <w:rFonts w:ascii="Arial" w:hAnsi="Arial" w:cs="Arial"/>
          <w:sz w:val="24"/>
          <w:szCs w:val="24"/>
        </w:rPr>
        <w:t xml:space="preserve">Whilst there will always be some stakeholders that are more vocal than others and this is not necessarily a bad thing, Estafanous (2018) argues that this can stifle other people from speaking which can hurt morale. Therefore it is important to create personal boundaries, encourage others to talk and sometimes politely cut of the more dominant person from speaking. </w:t>
      </w:r>
      <w:r w:rsidR="003B226E">
        <w:rPr>
          <w:rFonts w:ascii="Arial" w:hAnsi="Arial" w:cs="Arial"/>
          <w:sz w:val="24"/>
          <w:szCs w:val="24"/>
        </w:rPr>
        <w:t xml:space="preserve">Stevens-Huffman (2022) supports Estafanous (2018) view by arguing that it is important to use emotional intelligence to understand the behaviour of more vocal stakeholders; knowing what drives them, can help facilitate other stakeholders to express their opinions. </w:t>
      </w:r>
      <w:r w:rsidR="004C14A3">
        <w:rPr>
          <w:rFonts w:ascii="Arial" w:hAnsi="Arial" w:cs="Arial"/>
          <w:sz w:val="24"/>
          <w:szCs w:val="24"/>
        </w:rPr>
        <w:t xml:space="preserve">I used emotional intelligence to identify that some junior graded medical staffing officers were not giving their opinions, so I set up a separate stakeholder meeting with them so they felt more comfortable to express their views. </w:t>
      </w:r>
    </w:p>
    <w:p w14:paraId="675B9547" w14:textId="77777777" w:rsidR="004C14A3" w:rsidRDefault="004C14A3" w:rsidP="00F06B0A">
      <w:pPr>
        <w:rPr>
          <w:rFonts w:ascii="Arial" w:hAnsi="Arial" w:cs="Arial"/>
          <w:sz w:val="24"/>
          <w:szCs w:val="24"/>
        </w:rPr>
      </w:pPr>
      <w:bookmarkStart w:id="0" w:name="_GoBack"/>
      <w:bookmarkEnd w:id="0"/>
    </w:p>
    <w:p w14:paraId="77FC05CA" w14:textId="1BDC8ED2" w:rsidR="00F06B0A" w:rsidRDefault="00F06B0A" w:rsidP="00F06B0A">
      <w:pPr>
        <w:rPr>
          <w:rFonts w:ascii="Arial" w:hAnsi="Arial" w:cs="Arial"/>
          <w:sz w:val="24"/>
          <w:szCs w:val="24"/>
          <w:u w:val="single"/>
        </w:rPr>
      </w:pPr>
      <w:proofErr w:type="spellStart"/>
      <w:r w:rsidRPr="00F06B0A">
        <w:rPr>
          <w:rFonts w:ascii="Arial" w:hAnsi="Arial" w:cs="Arial"/>
          <w:sz w:val="24"/>
          <w:szCs w:val="24"/>
          <w:u w:val="single"/>
        </w:rPr>
        <w:lastRenderedPageBreak/>
        <w:t>Multi disciplinary</w:t>
      </w:r>
      <w:proofErr w:type="spellEnd"/>
      <w:r w:rsidRPr="00F06B0A">
        <w:rPr>
          <w:rFonts w:ascii="Arial" w:hAnsi="Arial" w:cs="Arial"/>
          <w:sz w:val="24"/>
          <w:szCs w:val="24"/>
          <w:u w:val="single"/>
        </w:rPr>
        <w:t xml:space="preserve"> working </w:t>
      </w:r>
    </w:p>
    <w:p w14:paraId="700EA3E9" w14:textId="77777777" w:rsidR="00A63A94" w:rsidRPr="00F06B0A" w:rsidRDefault="00A63A94" w:rsidP="00F06B0A">
      <w:pPr>
        <w:rPr>
          <w:rFonts w:ascii="Arial" w:hAnsi="Arial" w:cs="Arial"/>
          <w:sz w:val="24"/>
          <w:szCs w:val="24"/>
          <w:u w:val="single"/>
        </w:rPr>
      </w:pPr>
    </w:p>
    <w:p w14:paraId="646A54CF" w14:textId="77777777" w:rsidR="00997D33" w:rsidRDefault="00F14420" w:rsidP="00BC3749">
      <w:pPr>
        <w:rPr>
          <w:rFonts w:ascii="Arial" w:hAnsi="Arial" w:cs="Arial"/>
          <w:sz w:val="24"/>
          <w:szCs w:val="24"/>
        </w:rPr>
      </w:pPr>
      <w:proofErr w:type="spellStart"/>
      <w:r>
        <w:rPr>
          <w:rFonts w:ascii="Arial" w:hAnsi="Arial" w:cs="Arial"/>
          <w:sz w:val="24"/>
          <w:szCs w:val="24"/>
        </w:rPr>
        <w:t>Frickel</w:t>
      </w:r>
      <w:proofErr w:type="spellEnd"/>
      <w:r w:rsidRPr="00F14420">
        <w:rPr>
          <w:rFonts w:ascii="Arial" w:hAnsi="Arial" w:cs="Arial"/>
          <w:sz w:val="24"/>
          <w:szCs w:val="24"/>
        </w:rPr>
        <w:t xml:space="preserve"> (2017) </w:t>
      </w:r>
      <w:r>
        <w:rPr>
          <w:rFonts w:ascii="Arial" w:hAnsi="Arial" w:cs="Arial"/>
          <w:sz w:val="24"/>
          <w:szCs w:val="24"/>
        </w:rPr>
        <w:t xml:space="preserve">argues that </w:t>
      </w:r>
      <w:r w:rsidRPr="00F14420">
        <w:rPr>
          <w:rFonts w:ascii="Arial" w:hAnsi="Arial" w:cs="Arial"/>
          <w:sz w:val="24"/>
          <w:szCs w:val="24"/>
        </w:rPr>
        <w:t xml:space="preserve">interdisciplinary </w:t>
      </w:r>
      <w:r w:rsidR="00A63A94" w:rsidRPr="00F14420">
        <w:rPr>
          <w:rFonts w:ascii="Arial" w:hAnsi="Arial" w:cs="Arial"/>
          <w:sz w:val="24"/>
          <w:szCs w:val="24"/>
        </w:rPr>
        <w:t>relationships</w:t>
      </w:r>
      <w:r w:rsidRPr="00F14420">
        <w:rPr>
          <w:rFonts w:ascii="Arial" w:hAnsi="Arial" w:cs="Arial"/>
          <w:sz w:val="24"/>
          <w:szCs w:val="24"/>
        </w:rPr>
        <w:t xml:space="preserve"> </w:t>
      </w:r>
      <w:r w:rsidR="00A63A94">
        <w:rPr>
          <w:rFonts w:ascii="Arial" w:hAnsi="Arial" w:cs="Arial"/>
          <w:sz w:val="24"/>
          <w:szCs w:val="24"/>
        </w:rPr>
        <w:t>can sometimes</w:t>
      </w:r>
      <w:r>
        <w:rPr>
          <w:rFonts w:ascii="Arial" w:hAnsi="Arial" w:cs="Arial"/>
          <w:sz w:val="24"/>
          <w:szCs w:val="24"/>
        </w:rPr>
        <w:t xml:space="preserve"> </w:t>
      </w:r>
      <w:r w:rsidRPr="00F14420">
        <w:rPr>
          <w:rFonts w:ascii="Arial" w:hAnsi="Arial" w:cs="Arial"/>
          <w:sz w:val="24"/>
          <w:szCs w:val="24"/>
        </w:rPr>
        <w:t xml:space="preserve">occur </w:t>
      </w:r>
      <w:r w:rsidR="00A63A94">
        <w:rPr>
          <w:rFonts w:ascii="Arial" w:hAnsi="Arial" w:cs="Arial"/>
          <w:sz w:val="24"/>
          <w:szCs w:val="24"/>
        </w:rPr>
        <w:t xml:space="preserve">across organisations that can help facilitate successful outcomes. </w:t>
      </w:r>
    </w:p>
    <w:p w14:paraId="6D9B78A7" w14:textId="5E4485CE" w:rsidR="00BC3749" w:rsidRDefault="00BC3749" w:rsidP="00BC3749">
      <w:pPr>
        <w:rPr>
          <w:rFonts w:ascii="Arial" w:hAnsi="Arial" w:cs="Arial"/>
          <w:sz w:val="24"/>
          <w:szCs w:val="24"/>
        </w:rPr>
      </w:pPr>
      <w:r>
        <w:rPr>
          <w:rFonts w:ascii="Arial" w:hAnsi="Arial" w:cs="Arial"/>
          <w:sz w:val="24"/>
          <w:szCs w:val="24"/>
        </w:rPr>
        <w:t xml:space="preserve">This view is supported by </w:t>
      </w:r>
      <w:r w:rsidR="00A94907">
        <w:rPr>
          <w:rFonts w:ascii="Arial" w:hAnsi="Arial" w:cs="Arial"/>
          <w:sz w:val="24"/>
          <w:szCs w:val="24"/>
        </w:rPr>
        <w:t xml:space="preserve">Hennessy </w:t>
      </w:r>
      <w:r>
        <w:rPr>
          <w:rFonts w:ascii="Arial" w:hAnsi="Arial" w:cs="Arial"/>
          <w:sz w:val="24"/>
          <w:szCs w:val="24"/>
        </w:rPr>
        <w:t xml:space="preserve">et al. </w:t>
      </w:r>
      <w:r w:rsidR="00A94907">
        <w:rPr>
          <w:rFonts w:ascii="Arial" w:hAnsi="Arial" w:cs="Arial"/>
          <w:sz w:val="24"/>
          <w:szCs w:val="24"/>
        </w:rPr>
        <w:t>(2011)</w:t>
      </w:r>
      <w:r>
        <w:rPr>
          <w:rFonts w:ascii="Arial" w:hAnsi="Arial" w:cs="Arial"/>
          <w:sz w:val="24"/>
          <w:szCs w:val="24"/>
        </w:rPr>
        <w:t xml:space="preserve">, who argues that some of the main benefit of </w:t>
      </w:r>
      <w:proofErr w:type="spellStart"/>
      <w:r>
        <w:rPr>
          <w:rFonts w:ascii="Arial" w:hAnsi="Arial" w:cs="Arial"/>
          <w:sz w:val="24"/>
          <w:szCs w:val="24"/>
        </w:rPr>
        <w:t>multi disciplinary</w:t>
      </w:r>
      <w:proofErr w:type="spellEnd"/>
      <w:r>
        <w:rPr>
          <w:rFonts w:ascii="Arial" w:hAnsi="Arial" w:cs="Arial"/>
          <w:sz w:val="24"/>
          <w:szCs w:val="24"/>
        </w:rPr>
        <w:t xml:space="preserve"> working is gaining a better understanding of different viewpoints. On reflection, I believe I achieved this by organising stakeholder meetings both virtually on Microsoft Teams and in person. This enabled me to discuss the </w:t>
      </w:r>
      <w:r w:rsidR="00FD6820">
        <w:rPr>
          <w:rFonts w:ascii="Arial" w:hAnsi="Arial" w:cs="Arial"/>
          <w:sz w:val="24"/>
          <w:szCs w:val="24"/>
        </w:rPr>
        <w:t>change management p</w:t>
      </w:r>
      <w:r>
        <w:rPr>
          <w:rFonts w:ascii="Arial" w:hAnsi="Arial" w:cs="Arial"/>
          <w:sz w:val="24"/>
          <w:szCs w:val="24"/>
        </w:rPr>
        <w:t xml:space="preserve">rogramme with staff more efficiently and obtain views of people who may not have had the time to physically meet up in person (this is true of clinical staff who I found challenging to meet physically, but were more agreeable to virtual meetings). </w:t>
      </w:r>
    </w:p>
    <w:p w14:paraId="5081A2B9" w14:textId="77777777" w:rsidR="00FD6820" w:rsidRDefault="00FD6820" w:rsidP="00BC3749">
      <w:pPr>
        <w:rPr>
          <w:rFonts w:ascii="Arial" w:hAnsi="Arial" w:cs="Arial"/>
          <w:sz w:val="24"/>
          <w:szCs w:val="24"/>
        </w:rPr>
      </w:pPr>
    </w:p>
    <w:p w14:paraId="3EBDFF10" w14:textId="77777777" w:rsidR="003606A7" w:rsidRDefault="00FD6820" w:rsidP="00BC3749">
      <w:pPr>
        <w:rPr>
          <w:rFonts w:ascii="Arial" w:hAnsi="Arial" w:cs="Arial"/>
          <w:sz w:val="24"/>
          <w:szCs w:val="24"/>
        </w:rPr>
      </w:pPr>
      <w:r>
        <w:rPr>
          <w:rFonts w:ascii="Arial" w:hAnsi="Arial" w:cs="Arial"/>
          <w:sz w:val="24"/>
          <w:szCs w:val="24"/>
        </w:rPr>
        <w:t>Blanchard et al. (2020) argues the importance of understanding the entitativity of meetings and what people perceive as the benefits they get from attending them.</w:t>
      </w:r>
      <w:r w:rsidR="00255D9F">
        <w:rPr>
          <w:rFonts w:ascii="Arial" w:hAnsi="Arial" w:cs="Arial"/>
          <w:sz w:val="24"/>
          <w:szCs w:val="24"/>
        </w:rPr>
        <w:t xml:space="preserve"> </w:t>
      </w:r>
    </w:p>
    <w:p w14:paraId="184C657B" w14:textId="65C2DCF9" w:rsidR="00FD6820" w:rsidRDefault="00255D9F" w:rsidP="00BC3749">
      <w:pPr>
        <w:rPr>
          <w:rFonts w:ascii="Arial" w:hAnsi="Arial" w:cs="Arial"/>
          <w:sz w:val="24"/>
          <w:szCs w:val="24"/>
        </w:rPr>
      </w:pPr>
      <w:r>
        <w:rPr>
          <w:rFonts w:ascii="Arial" w:hAnsi="Arial" w:cs="Arial"/>
          <w:sz w:val="24"/>
          <w:szCs w:val="24"/>
        </w:rPr>
        <w:t>I found that once staff became aware of how and when th</w:t>
      </w:r>
      <w:r w:rsidR="003606A7">
        <w:rPr>
          <w:rFonts w:ascii="Arial" w:hAnsi="Arial" w:cs="Arial"/>
          <w:sz w:val="24"/>
          <w:szCs w:val="24"/>
        </w:rPr>
        <w:t>e change would affect them, they</w:t>
      </w:r>
      <w:r>
        <w:rPr>
          <w:rFonts w:ascii="Arial" w:hAnsi="Arial" w:cs="Arial"/>
          <w:sz w:val="24"/>
          <w:szCs w:val="24"/>
        </w:rPr>
        <w:t xml:space="preserve"> found the value in engaging with me to feedback their views. I believe this is of paramount importance </w:t>
      </w:r>
      <w:r w:rsidR="0015626B">
        <w:rPr>
          <w:rFonts w:ascii="Arial" w:hAnsi="Arial" w:cs="Arial"/>
          <w:sz w:val="24"/>
          <w:szCs w:val="24"/>
        </w:rPr>
        <w:t>when understanding engagement ac</w:t>
      </w:r>
      <w:r w:rsidR="003606A7">
        <w:rPr>
          <w:rFonts w:ascii="Arial" w:hAnsi="Arial" w:cs="Arial"/>
          <w:sz w:val="24"/>
          <w:szCs w:val="24"/>
        </w:rPr>
        <w:t xml:space="preserve">ross multi-disciplinary teams, as </w:t>
      </w:r>
      <w:r w:rsidR="0015626B">
        <w:rPr>
          <w:rFonts w:ascii="Arial" w:hAnsi="Arial" w:cs="Arial"/>
          <w:sz w:val="24"/>
          <w:szCs w:val="24"/>
        </w:rPr>
        <w:t>people need to feel that their engagement is worthwhile and will help benefit the end result</w:t>
      </w:r>
      <w:r w:rsidR="00840B80">
        <w:rPr>
          <w:rFonts w:ascii="Arial" w:hAnsi="Arial" w:cs="Arial"/>
          <w:sz w:val="24"/>
          <w:szCs w:val="24"/>
        </w:rPr>
        <w:t xml:space="preserve">, a view which is supported by </w:t>
      </w:r>
      <w:proofErr w:type="spellStart"/>
      <w:r w:rsidR="00840B80" w:rsidRPr="00840B80">
        <w:rPr>
          <w:rFonts w:ascii="Arial" w:hAnsi="Arial" w:cs="Arial"/>
          <w:color w:val="000000"/>
          <w:sz w:val="24"/>
          <w:szCs w:val="24"/>
          <w:shd w:val="clear" w:color="auto" w:fill="FFFFFF"/>
        </w:rPr>
        <w:t>Ta</w:t>
      </w:r>
      <w:r w:rsidR="00840B80">
        <w:rPr>
          <w:rFonts w:ascii="Arial" w:hAnsi="Arial" w:cs="Arial"/>
          <w:color w:val="000000"/>
          <w:sz w:val="24"/>
          <w:szCs w:val="24"/>
          <w:shd w:val="clear" w:color="auto" w:fill="FFFFFF"/>
        </w:rPr>
        <w:t>mbor</w:t>
      </w:r>
      <w:proofErr w:type="spellEnd"/>
      <w:r w:rsidR="00840B80">
        <w:rPr>
          <w:rFonts w:ascii="Arial" w:hAnsi="Arial" w:cs="Arial"/>
          <w:color w:val="000000"/>
          <w:sz w:val="24"/>
          <w:szCs w:val="24"/>
          <w:shd w:val="clear" w:color="auto" w:fill="FFFFFF"/>
        </w:rPr>
        <w:t xml:space="preserve"> et al. </w:t>
      </w:r>
      <w:r w:rsidR="00840B80" w:rsidRPr="00840B80">
        <w:rPr>
          <w:rFonts w:ascii="Arial" w:hAnsi="Arial" w:cs="Arial"/>
          <w:color w:val="000000"/>
          <w:sz w:val="24"/>
          <w:szCs w:val="24"/>
          <w:shd w:val="clear" w:color="auto" w:fill="FFFFFF"/>
        </w:rPr>
        <w:t>(</w:t>
      </w:r>
      <w:r w:rsidR="00840B80" w:rsidRPr="00840B80">
        <w:rPr>
          <w:rFonts w:ascii="Arial" w:hAnsi="Arial" w:cs="Arial"/>
          <w:color w:val="000000"/>
          <w:sz w:val="24"/>
          <w:szCs w:val="24"/>
          <w:shd w:val="clear" w:color="auto" w:fill="FFFFFF"/>
        </w:rPr>
        <w:t>2019)</w:t>
      </w:r>
      <w:r w:rsidR="0015626B" w:rsidRPr="00840B80">
        <w:rPr>
          <w:rFonts w:ascii="Arial" w:hAnsi="Arial" w:cs="Arial"/>
          <w:sz w:val="24"/>
          <w:szCs w:val="24"/>
        </w:rPr>
        <w:t>.</w:t>
      </w:r>
      <w:r w:rsidR="0015626B">
        <w:rPr>
          <w:rFonts w:ascii="Arial" w:hAnsi="Arial" w:cs="Arial"/>
          <w:sz w:val="24"/>
          <w:szCs w:val="24"/>
        </w:rPr>
        <w:t xml:space="preserve"> </w:t>
      </w:r>
      <w:r w:rsidR="00FD6820">
        <w:rPr>
          <w:rFonts w:ascii="Arial" w:hAnsi="Arial" w:cs="Arial"/>
          <w:sz w:val="24"/>
          <w:szCs w:val="24"/>
        </w:rPr>
        <w:t xml:space="preserve">   </w:t>
      </w:r>
    </w:p>
    <w:p w14:paraId="2AF477BD" w14:textId="51560F72" w:rsidR="00BC3749" w:rsidRDefault="00BC3749" w:rsidP="00F06B0A">
      <w:pPr>
        <w:rPr>
          <w:rFonts w:ascii="Arial" w:hAnsi="Arial" w:cs="Arial"/>
          <w:sz w:val="24"/>
          <w:szCs w:val="24"/>
        </w:rPr>
      </w:pPr>
    </w:p>
    <w:p w14:paraId="106A1937" w14:textId="6F0EE918" w:rsidR="00BC3749" w:rsidRDefault="0015626B" w:rsidP="00F06B0A">
      <w:pPr>
        <w:rPr>
          <w:rFonts w:ascii="Arial" w:hAnsi="Arial" w:cs="Arial"/>
          <w:sz w:val="24"/>
          <w:szCs w:val="24"/>
        </w:rPr>
      </w:pPr>
      <w:r>
        <w:rPr>
          <w:rFonts w:ascii="Arial" w:hAnsi="Arial" w:cs="Arial"/>
          <w:sz w:val="24"/>
          <w:szCs w:val="24"/>
        </w:rPr>
        <w:t xml:space="preserve">Whilst </w:t>
      </w:r>
      <w:r w:rsidR="00840B80">
        <w:rPr>
          <w:rFonts w:ascii="Arial" w:hAnsi="Arial" w:cs="Arial"/>
          <w:sz w:val="24"/>
          <w:szCs w:val="24"/>
        </w:rPr>
        <w:t xml:space="preserve">Parke (2018) argues that </w:t>
      </w:r>
      <w:r>
        <w:rPr>
          <w:rFonts w:ascii="Arial" w:hAnsi="Arial" w:cs="Arial"/>
          <w:sz w:val="24"/>
          <w:szCs w:val="24"/>
        </w:rPr>
        <w:t xml:space="preserve">different types of engagement, such as face to face and virtual are important, on reflection I found that different engagement approaches were needed across different </w:t>
      </w:r>
      <w:proofErr w:type="spellStart"/>
      <w:r>
        <w:rPr>
          <w:rFonts w:ascii="Arial" w:hAnsi="Arial" w:cs="Arial"/>
          <w:sz w:val="24"/>
          <w:szCs w:val="24"/>
        </w:rPr>
        <w:t>multi disciplinary</w:t>
      </w:r>
      <w:proofErr w:type="spellEnd"/>
      <w:r>
        <w:rPr>
          <w:rFonts w:ascii="Arial" w:hAnsi="Arial" w:cs="Arial"/>
          <w:sz w:val="24"/>
          <w:szCs w:val="24"/>
        </w:rPr>
        <w:t xml:space="preserve"> teams. For example, whe</w:t>
      </w:r>
      <w:r w:rsidR="0003510F">
        <w:rPr>
          <w:rFonts w:ascii="Arial" w:hAnsi="Arial" w:cs="Arial"/>
          <w:sz w:val="24"/>
          <w:szCs w:val="24"/>
        </w:rPr>
        <w:t>n I initially engaged with the Emergency D</w:t>
      </w:r>
      <w:r>
        <w:rPr>
          <w:rFonts w:ascii="Arial" w:hAnsi="Arial" w:cs="Arial"/>
          <w:sz w:val="24"/>
          <w:szCs w:val="24"/>
        </w:rPr>
        <w:t xml:space="preserve">epartment by asking them for feedback on the proposed service model for the electronic rostering system, they didn’t reply to my emails (most likely as they were busy </w:t>
      </w:r>
      <w:r w:rsidR="00840B80">
        <w:rPr>
          <w:rFonts w:ascii="Arial" w:hAnsi="Arial" w:cs="Arial"/>
          <w:sz w:val="24"/>
          <w:szCs w:val="24"/>
        </w:rPr>
        <w:t>saving lives).</w:t>
      </w:r>
      <w:r>
        <w:rPr>
          <w:rFonts w:ascii="Arial" w:hAnsi="Arial" w:cs="Arial"/>
          <w:sz w:val="24"/>
          <w:szCs w:val="24"/>
        </w:rPr>
        <w:t xml:space="preserve"> </w:t>
      </w:r>
    </w:p>
    <w:p w14:paraId="7FA427D3" w14:textId="77777777" w:rsidR="00840B80" w:rsidRDefault="00840B80" w:rsidP="00F06B0A">
      <w:pPr>
        <w:rPr>
          <w:rFonts w:ascii="Arial" w:hAnsi="Arial" w:cs="Arial"/>
          <w:sz w:val="24"/>
          <w:szCs w:val="24"/>
        </w:rPr>
      </w:pPr>
    </w:p>
    <w:p w14:paraId="062DF898" w14:textId="6FE089E3" w:rsidR="00A94907" w:rsidRDefault="00BC3749" w:rsidP="00F06B0A">
      <w:pPr>
        <w:rPr>
          <w:rFonts w:ascii="Arial" w:hAnsi="Arial" w:cs="Arial"/>
          <w:sz w:val="24"/>
          <w:szCs w:val="24"/>
        </w:rPr>
      </w:pPr>
      <w:r>
        <w:rPr>
          <w:rFonts w:ascii="Arial" w:hAnsi="Arial" w:cs="Arial"/>
          <w:sz w:val="24"/>
          <w:szCs w:val="24"/>
        </w:rPr>
        <w:t>Hen</w:t>
      </w:r>
      <w:r w:rsidR="00840B80">
        <w:rPr>
          <w:rFonts w:ascii="Arial" w:hAnsi="Arial" w:cs="Arial"/>
          <w:sz w:val="24"/>
          <w:szCs w:val="24"/>
        </w:rPr>
        <w:t>nessy et al. (2011)</w:t>
      </w:r>
      <w:r>
        <w:rPr>
          <w:rFonts w:ascii="Arial" w:hAnsi="Arial" w:cs="Arial"/>
          <w:sz w:val="24"/>
          <w:szCs w:val="24"/>
        </w:rPr>
        <w:t xml:space="preserve"> </w:t>
      </w:r>
      <w:r w:rsidR="00A94907">
        <w:rPr>
          <w:rFonts w:ascii="Arial" w:hAnsi="Arial" w:cs="Arial"/>
          <w:sz w:val="24"/>
          <w:szCs w:val="24"/>
        </w:rPr>
        <w:t xml:space="preserve">argues that whilst collaboration between </w:t>
      </w:r>
      <w:r>
        <w:rPr>
          <w:rFonts w:ascii="Arial" w:hAnsi="Arial" w:cs="Arial"/>
          <w:sz w:val="24"/>
          <w:szCs w:val="24"/>
        </w:rPr>
        <w:t xml:space="preserve">different divisions within an organisation is commonplace, there is still work that can be done to improve this. </w:t>
      </w:r>
      <w:r w:rsidR="005D5080">
        <w:rPr>
          <w:rFonts w:ascii="Arial" w:hAnsi="Arial" w:cs="Arial"/>
          <w:sz w:val="24"/>
          <w:szCs w:val="24"/>
        </w:rPr>
        <w:t xml:space="preserve">I found this to be true as although ABUHB is one organisation, there are clear differences between </w:t>
      </w:r>
      <w:r w:rsidR="0090579C">
        <w:rPr>
          <w:rFonts w:ascii="Arial" w:hAnsi="Arial" w:cs="Arial"/>
          <w:sz w:val="24"/>
          <w:szCs w:val="24"/>
        </w:rPr>
        <w:t>the divisions</w:t>
      </w:r>
      <w:r w:rsidR="00473B4C">
        <w:rPr>
          <w:rFonts w:ascii="Arial" w:hAnsi="Arial" w:cs="Arial"/>
          <w:sz w:val="24"/>
          <w:szCs w:val="24"/>
        </w:rPr>
        <w:t xml:space="preserve">. </w:t>
      </w:r>
      <w:r w:rsidR="0003510F">
        <w:rPr>
          <w:rFonts w:ascii="Arial" w:hAnsi="Arial" w:cs="Arial"/>
          <w:sz w:val="24"/>
          <w:szCs w:val="24"/>
        </w:rPr>
        <w:t xml:space="preserve">This view is also supported by </w:t>
      </w:r>
      <w:r w:rsidR="0090579C">
        <w:rPr>
          <w:rFonts w:ascii="Arial" w:hAnsi="Arial" w:cs="Arial"/>
          <w:sz w:val="24"/>
          <w:szCs w:val="24"/>
        </w:rPr>
        <w:t>Edmonds (2011)</w:t>
      </w:r>
      <w:r w:rsidR="0003510F">
        <w:rPr>
          <w:rFonts w:ascii="Arial" w:hAnsi="Arial" w:cs="Arial"/>
          <w:sz w:val="24"/>
          <w:szCs w:val="24"/>
        </w:rPr>
        <w:t xml:space="preserve">, who </w:t>
      </w:r>
      <w:r w:rsidR="0090579C">
        <w:rPr>
          <w:rFonts w:ascii="Arial" w:hAnsi="Arial" w:cs="Arial"/>
          <w:sz w:val="24"/>
          <w:szCs w:val="24"/>
        </w:rPr>
        <w:t xml:space="preserve">argues that satisfying </w:t>
      </w:r>
      <w:r w:rsidR="00473B4C">
        <w:rPr>
          <w:rFonts w:ascii="Arial" w:hAnsi="Arial" w:cs="Arial"/>
          <w:sz w:val="24"/>
          <w:szCs w:val="24"/>
        </w:rPr>
        <w:t>everyone’s</w:t>
      </w:r>
      <w:r w:rsidR="0090579C">
        <w:rPr>
          <w:rFonts w:ascii="Arial" w:hAnsi="Arial" w:cs="Arial"/>
          <w:sz w:val="24"/>
          <w:szCs w:val="24"/>
        </w:rPr>
        <w:t xml:space="preserve"> needs</w:t>
      </w:r>
      <w:r w:rsidR="0003510F">
        <w:rPr>
          <w:rFonts w:ascii="Arial" w:hAnsi="Arial" w:cs="Arial"/>
          <w:sz w:val="24"/>
          <w:szCs w:val="24"/>
        </w:rPr>
        <w:t xml:space="preserve"> across a large organisation</w:t>
      </w:r>
      <w:r w:rsidR="0090579C">
        <w:rPr>
          <w:rFonts w:ascii="Arial" w:hAnsi="Arial" w:cs="Arial"/>
          <w:sz w:val="24"/>
          <w:szCs w:val="24"/>
        </w:rPr>
        <w:t xml:space="preserve"> </w:t>
      </w:r>
      <w:r w:rsidR="00473B4C">
        <w:rPr>
          <w:rFonts w:ascii="Arial" w:hAnsi="Arial" w:cs="Arial"/>
          <w:sz w:val="24"/>
          <w:szCs w:val="24"/>
        </w:rPr>
        <w:t xml:space="preserve">is going to be challenging, and there is no one size fits all approach when managing change. </w:t>
      </w:r>
      <w:r w:rsidR="0003510F">
        <w:rPr>
          <w:rFonts w:ascii="Arial" w:hAnsi="Arial" w:cs="Arial"/>
          <w:sz w:val="24"/>
          <w:szCs w:val="24"/>
        </w:rPr>
        <w:t xml:space="preserve">Therefore by taking a varied approach to consulting with stakeholders, I was able to ensure I obtained views from everyone. </w:t>
      </w:r>
    </w:p>
    <w:p w14:paraId="522804DB" w14:textId="77777777" w:rsidR="00B763CE" w:rsidRDefault="00B763CE" w:rsidP="00F06B0A">
      <w:pPr>
        <w:rPr>
          <w:rFonts w:ascii="Arial" w:hAnsi="Arial" w:cs="Arial"/>
          <w:sz w:val="24"/>
          <w:szCs w:val="24"/>
        </w:rPr>
      </w:pPr>
    </w:p>
    <w:p w14:paraId="644F2E4E" w14:textId="58FB3A93" w:rsidR="00B763CE" w:rsidRDefault="00B763CE" w:rsidP="00F06B0A">
      <w:pPr>
        <w:rPr>
          <w:rFonts w:ascii="Arial" w:hAnsi="Arial" w:cs="Arial"/>
          <w:sz w:val="24"/>
          <w:szCs w:val="24"/>
        </w:rPr>
      </w:pPr>
      <w:proofErr w:type="spellStart"/>
      <w:r>
        <w:rPr>
          <w:rFonts w:ascii="Arial" w:hAnsi="Arial" w:cs="Arial"/>
          <w:sz w:val="24"/>
          <w:szCs w:val="24"/>
        </w:rPr>
        <w:t>Gelman</w:t>
      </w:r>
      <w:proofErr w:type="spellEnd"/>
      <w:r>
        <w:rPr>
          <w:rFonts w:ascii="Arial" w:hAnsi="Arial" w:cs="Arial"/>
          <w:sz w:val="24"/>
          <w:szCs w:val="24"/>
        </w:rPr>
        <w:t xml:space="preserve"> (2010) argues that one of the benefits of inter-disciplinary working in relation to digital technology, is improved communication. Noting that this research was in relation to social workers and community service, </w:t>
      </w:r>
      <w:r w:rsidR="00E622EE">
        <w:rPr>
          <w:rFonts w:ascii="Arial" w:hAnsi="Arial" w:cs="Arial"/>
          <w:sz w:val="24"/>
          <w:szCs w:val="24"/>
        </w:rPr>
        <w:t xml:space="preserve">the principles can still be applied to this Programme of work. On reflection, I believe communication to be one of the most important factors in implementing the electronic rostering system as it will affect many different staff groups, at different organisational levels within different divisions. </w:t>
      </w:r>
    </w:p>
    <w:p w14:paraId="1416C087" w14:textId="77777777" w:rsidR="0003510F" w:rsidRDefault="0003510F" w:rsidP="00F06B0A">
      <w:pPr>
        <w:rPr>
          <w:rFonts w:ascii="Arial" w:hAnsi="Arial" w:cs="Arial"/>
          <w:sz w:val="24"/>
          <w:szCs w:val="24"/>
        </w:rPr>
      </w:pPr>
    </w:p>
    <w:p w14:paraId="4FB57276" w14:textId="77777777" w:rsidR="00E622EE" w:rsidRDefault="00E622EE" w:rsidP="00F06B0A">
      <w:pPr>
        <w:rPr>
          <w:rFonts w:ascii="Arial" w:hAnsi="Arial" w:cs="Arial"/>
          <w:sz w:val="24"/>
          <w:szCs w:val="24"/>
        </w:rPr>
      </w:pPr>
    </w:p>
    <w:p w14:paraId="20ABA74C" w14:textId="77777777" w:rsidR="00F14420" w:rsidRPr="00A63A94" w:rsidRDefault="00F14420" w:rsidP="00F06B0A">
      <w:pPr>
        <w:rPr>
          <w:rFonts w:ascii="Arial" w:hAnsi="Arial" w:cs="Arial"/>
          <w:color w:val="FF0000"/>
          <w:sz w:val="24"/>
          <w:szCs w:val="24"/>
        </w:rPr>
      </w:pPr>
    </w:p>
    <w:p w14:paraId="1A771311" w14:textId="77777777" w:rsidR="00F06B0A" w:rsidRPr="00F06B0A" w:rsidRDefault="00F06B0A" w:rsidP="00F06B0A">
      <w:pPr>
        <w:rPr>
          <w:rFonts w:ascii="Arial" w:hAnsi="Arial" w:cs="Arial"/>
          <w:sz w:val="24"/>
          <w:szCs w:val="24"/>
        </w:rPr>
      </w:pPr>
    </w:p>
    <w:p w14:paraId="525E8D8E" w14:textId="1E56B1A6" w:rsidR="0039267C" w:rsidRDefault="0039267C"/>
    <w:p w14:paraId="0D1A5F5C" w14:textId="1BE37DA2" w:rsidR="0039267C" w:rsidRDefault="0039267C" w:rsidP="003F145B">
      <w:r>
        <w:br w:type="page"/>
      </w:r>
    </w:p>
    <w:p w14:paraId="753C6713" w14:textId="77777777" w:rsidR="00E24AAE" w:rsidRDefault="00E24AAE"/>
    <w:p w14:paraId="0386FDD2" w14:textId="14B0594A" w:rsidR="0039267C" w:rsidRPr="0003510F" w:rsidRDefault="0039267C">
      <w:pPr>
        <w:rPr>
          <w:rFonts w:ascii="Arial" w:hAnsi="Arial" w:cs="Arial"/>
          <w:b/>
          <w:sz w:val="24"/>
          <w:szCs w:val="24"/>
        </w:rPr>
      </w:pPr>
      <w:r w:rsidRPr="0003510F">
        <w:rPr>
          <w:rFonts w:ascii="Arial" w:hAnsi="Arial" w:cs="Arial"/>
          <w:b/>
          <w:sz w:val="24"/>
          <w:szCs w:val="24"/>
        </w:rPr>
        <w:t>References</w:t>
      </w:r>
    </w:p>
    <w:p w14:paraId="1053FDB7" w14:textId="77777777" w:rsidR="00212907" w:rsidRPr="0003510F" w:rsidRDefault="00212907">
      <w:pPr>
        <w:rPr>
          <w:rFonts w:ascii="Arial" w:hAnsi="Arial" w:cs="Arial"/>
          <w:sz w:val="24"/>
          <w:szCs w:val="24"/>
        </w:rPr>
      </w:pPr>
    </w:p>
    <w:p w14:paraId="370D4F84" w14:textId="61DA3C46" w:rsidR="0039267C" w:rsidRPr="0003510F" w:rsidRDefault="0039267C" w:rsidP="0039267C">
      <w:pPr>
        <w:rPr>
          <w:rFonts w:ascii="Arial" w:hAnsi="Arial" w:cs="Arial"/>
          <w:color w:val="000000"/>
          <w:sz w:val="24"/>
          <w:szCs w:val="24"/>
          <w:shd w:val="clear" w:color="auto" w:fill="FFFFFF"/>
        </w:rPr>
      </w:pPr>
      <w:proofErr w:type="spellStart"/>
      <w:r w:rsidRPr="0003510F">
        <w:rPr>
          <w:rFonts w:ascii="Arial" w:hAnsi="Arial" w:cs="Arial"/>
          <w:color w:val="000000"/>
          <w:sz w:val="24"/>
          <w:szCs w:val="24"/>
          <w:shd w:val="clear" w:color="auto" w:fill="FFFFFF"/>
        </w:rPr>
        <w:t>Tanguay</w:t>
      </w:r>
      <w:proofErr w:type="spellEnd"/>
      <w:r w:rsidRPr="0003510F">
        <w:rPr>
          <w:rFonts w:ascii="Arial" w:hAnsi="Arial" w:cs="Arial"/>
          <w:color w:val="000000"/>
          <w:sz w:val="24"/>
          <w:szCs w:val="24"/>
          <w:shd w:val="clear" w:color="auto" w:fill="FFFFFF"/>
        </w:rPr>
        <w:t xml:space="preserve">, E., </w:t>
      </w:r>
      <w:proofErr w:type="spellStart"/>
      <w:r w:rsidRPr="0003510F">
        <w:rPr>
          <w:rFonts w:ascii="Arial" w:hAnsi="Arial" w:cs="Arial"/>
          <w:color w:val="000000"/>
          <w:sz w:val="24"/>
          <w:szCs w:val="24"/>
          <w:shd w:val="clear" w:color="auto" w:fill="FFFFFF"/>
        </w:rPr>
        <w:t>Hanratty</w:t>
      </w:r>
      <w:proofErr w:type="spellEnd"/>
      <w:r w:rsidRPr="0003510F">
        <w:rPr>
          <w:rFonts w:ascii="Arial" w:hAnsi="Arial" w:cs="Arial"/>
          <w:color w:val="000000"/>
          <w:sz w:val="24"/>
          <w:szCs w:val="24"/>
          <w:shd w:val="clear" w:color="auto" w:fill="FFFFFF"/>
        </w:rPr>
        <w:t>, P. and Martin, B., 2020. </w:t>
      </w:r>
      <w:r w:rsidRPr="0003510F">
        <w:rPr>
          <w:rFonts w:ascii="Arial" w:hAnsi="Arial" w:cs="Arial"/>
          <w:i/>
          <w:iCs/>
          <w:color w:val="000000"/>
          <w:sz w:val="24"/>
          <w:szCs w:val="24"/>
          <w:shd w:val="clear" w:color="auto" w:fill="FFFFFF"/>
        </w:rPr>
        <w:t>Reflective writing for nursing, health and social work</w:t>
      </w:r>
      <w:r w:rsidRPr="0003510F">
        <w:rPr>
          <w:rFonts w:ascii="Arial" w:hAnsi="Arial" w:cs="Arial"/>
          <w:color w:val="000000"/>
          <w:sz w:val="24"/>
          <w:szCs w:val="24"/>
          <w:shd w:val="clear" w:color="auto" w:fill="FFFFFF"/>
        </w:rPr>
        <w:t xml:space="preserve">. Red Globe Press an imprint of Macmillan Education Limited. </w:t>
      </w:r>
    </w:p>
    <w:p w14:paraId="041398F9" w14:textId="77777777" w:rsidR="00B74E7E" w:rsidRPr="0003510F" w:rsidRDefault="00B74E7E" w:rsidP="0039267C">
      <w:pPr>
        <w:rPr>
          <w:rFonts w:ascii="Arial" w:hAnsi="Arial" w:cs="Arial"/>
          <w:color w:val="000000"/>
          <w:sz w:val="24"/>
          <w:szCs w:val="24"/>
          <w:shd w:val="clear" w:color="auto" w:fill="FFFFFF"/>
        </w:rPr>
      </w:pPr>
    </w:p>
    <w:p w14:paraId="7EE03B8E" w14:textId="42B29D00" w:rsidR="00B74E7E" w:rsidRPr="0003510F" w:rsidRDefault="00B74E7E" w:rsidP="0039267C">
      <w:pPr>
        <w:rPr>
          <w:rFonts w:ascii="Arial" w:hAnsi="Arial" w:cs="Arial"/>
          <w:color w:val="000000"/>
          <w:sz w:val="24"/>
          <w:szCs w:val="24"/>
          <w:shd w:val="clear" w:color="auto" w:fill="FFFFFF"/>
        </w:rPr>
      </w:pPr>
      <w:r w:rsidRPr="0003510F">
        <w:rPr>
          <w:rFonts w:ascii="Arial" w:hAnsi="Arial" w:cs="Arial"/>
          <w:color w:val="000000"/>
          <w:sz w:val="24"/>
          <w:szCs w:val="24"/>
          <w:shd w:val="clear" w:color="auto" w:fill="FFFFFF"/>
        </w:rPr>
        <w:t>National Audit Office. 2022. </w:t>
      </w:r>
      <w:r w:rsidRPr="0003510F">
        <w:rPr>
          <w:rFonts w:ascii="Arial" w:hAnsi="Arial" w:cs="Arial"/>
          <w:i/>
          <w:iCs/>
          <w:color w:val="000000"/>
          <w:sz w:val="24"/>
          <w:szCs w:val="24"/>
          <w:shd w:val="clear" w:color="auto" w:fill="FFFFFF"/>
        </w:rPr>
        <w:t>Digital transformation in the NHS - National Audit Office (NAO) Report</w:t>
      </w:r>
      <w:r w:rsidRPr="0003510F">
        <w:rPr>
          <w:rFonts w:ascii="Arial" w:hAnsi="Arial" w:cs="Arial"/>
          <w:color w:val="000000"/>
          <w:sz w:val="24"/>
          <w:szCs w:val="24"/>
          <w:shd w:val="clear" w:color="auto" w:fill="FFFFFF"/>
        </w:rPr>
        <w:t>. [</w:t>
      </w:r>
      <w:proofErr w:type="gramStart"/>
      <w:r w:rsidRPr="0003510F">
        <w:rPr>
          <w:rFonts w:ascii="Arial" w:hAnsi="Arial" w:cs="Arial"/>
          <w:color w:val="000000"/>
          <w:sz w:val="24"/>
          <w:szCs w:val="24"/>
          <w:shd w:val="clear" w:color="auto" w:fill="FFFFFF"/>
        </w:rPr>
        <w:t>online</w:t>
      </w:r>
      <w:proofErr w:type="gramEnd"/>
      <w:r w:rsidRPr="0003510F">
        <w:rPr>
          <w:rFonts w:ascii="Arial" w:hAnsi="Arial" w:cs="Arial"/>
          <w:color w:val="000000"/>
          <w:sz w:val="24"/>
          <w:szCs w:val="24"/>
          <w:shd w:val="clear" w:color="auto" w:fill="FFFFFF"/>
        </w:rPr>
        <w:t xml:space="preserve">] Available at: &lt;https://www.nao.org.uk/report/the-use-of-digital-technology-in-the-nhs/&gt; [Accessed 16 May 2022]. </w:t>
      </w:r>
    </w:p>
    <w:p w14:paraId="593DE456" w14:textId="77777777" w:rsidR="00B74E7E" w:rsidRPr="0003510F" w:rsidRDefault="00B74E7E" w:rsidP="0039267C">
      <w:pPr>
        <w:rPr>
          <w:rFonts w:ascii="Arial" w:hAnsi="Arial" w:cs="Arial"/>
          <w:color w:val="000000"/>
          <w:sz w:val="24"/>
          <w:szCs w:val="24"/>
          <w:shd w:val="clear" w:color="auto" w:fill="FFFFFF"/>
        </w:rPr>
      </w:pPr>
    </w:p>
    <w:p w14:paraId="366DA131" w14:textId="0CAEB93E" w:rsidR="00B74E7E" w:rsidRPr="0003510F" w:rsidRDefault="00B74E7E" w:rsidP="0039267C">
      <w:pPr>
        <w:rPr>
          <w:rFonts w:ascii="Arial" w:hAnsi="Arial" w:cs="Arial"/>
          <w:color w:val="000000"/>
          <w:sz w:val="24"/>
          <w:szCs w:val="24"/>
          <w:shd w:val="clear" w:color="auto" w:fill="FFFFFF"/>
        </w:rPr>
      </w:pPr>
      <w:r w:rsidRPr="0003510F">
        <w:rPr>
          <w:rFonts w:ascii="Arial" w:hAnsi="Arial" w:cs="Arial"/>
          <w:color w:val="000000"/>
          <w:sz w:val="24"/>
          <w:szCs w:val="24"/>
          <w:shd w:val="clear" w:color="auto" w:fill="FFFFFF"/>
        </w:rPr>
        <w:t>Nhsproviders.org. 2022. </w:t>
      </w:r>
      <w:r w:rsidRPr="0003510F">
        <w:rPr>
          <w:rFonts w:ascii="Arial" w:hAnsi="Arial" w:cs="Arial"/>
          <w:i/>
          <w:iCs/>
          <w:color w:val="000000"/>
          <w:sz w:val="24"/>
          <w:szCs w:val="24"/>
          <w:shd w:val="clear" w:color="auto" w:fill="FFFFFF"/>
        </w:rPr>
        <w:t>Building a digital strategy</w:t>
      </w:r>
      <w:r w:rsidRPr="0003510F">
        <w:rPr>
          <w:rFonts w:ascii="Arial" w:hAnsi="Arial" w:cs="Arial"/>
          <w:color w:val="000000"/>
          <w:sz w:val="24"/>
          <w:szCs w:val="24"/>
          <w:shd w:val="clear" w:color="auto" w:fill="FFFFFF"/>
        </w:rPr>
        <w:t>. [</w:t>
      </w:r>
      <w:proofErr w:type="gramStart"/>
      <w:r w:rsidRPr="0003510F">
        <w:rPr>
          <w:rFonts w:ascii="Arial" w:hAnsi="Arial" w:cs="Arial"/>
          <w:color w:val="000000"/>
          <w:sz w:val="24"/>
          <w:szCs w:val="24"/>
          <w:shd w:val="clear" w:color="auto" w:fill="FFFFFF"/>
        </w:rPr>
        <w:t>online</w:t>
      </w:r>
      <w:proofErr w:type="gramEnd"/>
      <w:r w:rsidRPr="0003510F">
        <w:rPr>
          <w:rFonts w:ascii="Arial" w:hAnsi="Arial" w:cs="Arial"/>
          <w:color w:val="000000"/>
          <w:sz w:val="24"/>
          <w:szCs w:val="24"/>
          <w:shd w:val="clear" w:color="auto" w:fill="FFFFFF"/>
        </w:rPr>
        <w:t xml:space="preserve">] Available at: &lt;https://nhsproviders.org/building-a-digital-strategy&gt; [Accessed 16 May 2022]. </w:t>
      </w:r>
    </w:p>
    <w:p w14:paraId="11176F7B" w14:textId="77777777" w:rsidR="00B74E7E" w:rsidRPr="0003510F" w:rsidRDefault="00B74E7E" w:rsidP="0039267C">
      <w:pPr>
        <w:rPr>
          <w:rFonts w:ascii="Arial" w:hAnsi="Arial" w:cs="Arial"/>
          <w:color w:val="000000"/>
          <w:sz w:val="24"/>
          <w:szCs w:val="24"/>
          <w:shd w:val="clear" w:color="auto" w:fill="FFFFFF"/>
        </w:rPr>
      </w:pPr>
    </w:p>
    <w:p w14:paraId="4B1C6C8B" w14:textId="4F0CE161" w:rsidR="00B74E7E" w:rsidRPr="0003510F" w:rsidRDefault="00B74E7E" w:rsidP="0039267C">
      <w:pPr>
        <w:rPr>
          <w:rFonts w:ascii="Arial" w:hAnsi="Arial" w:cs="Arial"/>
          <w:sz w:val="24"/>
          <w:szCs w:val="24"/>
        </w:rPr>
      </w:pPr>
      <w:r w:rsidRPr="0003510F">
        <w:rPr>
          <w:rFonts w:ascii="Arial" w:hAnsi="Arial" w:cs="Arial"/>
          <w:sz w:val="24"/>
          <w:szCs w:val="24"/>
        </w:rPr>
        <w:t xml:space="preserve">Davies A, Mueller J, </w:t>
      </w:r>
      <w:proofErr w:type="spellStart"/>
      <w:r w:rsidRPr="0003510F">
        <w:rPr>
          <w:rFonts w:ascii="Arial" w:hAnsi="Arial" w:cs="Arial"/>
          <w:sz w:val="24"/>
          <w:szCs w:val="24"/>
        </w:rPr>
        <w:t>Hassey</w:t>
      </w:r>
      <w:proofErr w:type="spellEnd"/>
      <w:r w:rsidRPr="0003510F">
        <w:rPr>
          <w:rFonts w:ascii="Arial" w:hAnsi="Arial" w:cs="Arial"/>
          <w:sz w:val="24"/>
          <w:szCs w:val="24"/>
        </w:rPr>
        <w:t> A, et al. Development of a core competency framework for clinical informatics. BMJ Health Care Inform 2021</w:t>
      </w:r>
      <w:proofErr w:type="gramStart"/>
      <w:r w:rsidRPr="0003510F">
        <w:rPr>
          <w:rFonts w:ascii="Arial" w:hAnsi="Arial" w:cs="Arial"/>
          <w:sz w:val="24"/>
          <w:szCs w:val="24"/>
        </w:rPr>
        <w:t>;28:e100356</w:t>
      </w:r>
      <w:proofErr w:type="gramEnd"/>
      <w:r w:rsidRPr="0003510F">
        <w:rPr>
          <w:rFonts w:ascii="Arial" w:hAnsi="Arial" w:cs="Arial"/>
          <w:sz w:val="24"/>
          <w:szCs w:val="24"/>
        </w:rPr>
        <w:t xml:space="preserve">. </w:t>
      </w:r>
      <w:proofErr w:type="gramStart"/>
      <w:r w:rsidRPr="0003510F">
        <w:rPr>
          <w:rFonts w:ascii="Arial" w:hAnsi="Arial" w:cs="Arial"/>
          <w:sz w:val="24"/>
          <w:szCs w:val="24"/>
        </w:rPr>
        <w:t>doi:</w:t>
      </w:r>
      <w:proofErr w:type="gramEnd"/>
      <w:r w:rsidRPr="0003510F">
        <w:rPr>
          <w:rFonts w:ascii="Arial" w:hAnsi="Arial" w:cs="Arial"/>
          <w:sz w:val="24"/>
          <w:szCs w:val="24"/>
        </w:rPr>
        <w:t>10.1136/ bmjhci-2021-100356</w:t>
      </w:r>
    </w:p>
    <w:p w14:paraId="0050FB48" w14:textId="77777777" w:rsidR="008C755F" w:rsidRPr="0003510F" w:rsidRDefault="008C755F" w:rsidP="0039267C">
      <w:pPr>
        <w:rPr>
          <w:rFonts w:ascii="Arial" w:hAnsi="Arial" w:cs="Arial"/>
          <w:sz w:val="24"/>
          <w:szCs w:val="24"/>
        </w:rPr>
      </w:pPr>
    </w:p>
    <w:p w14:paraId="3DC4B0D4" w14:textId="5B253C6C" w:rsidR="008C755F" w:rsidRPr="0003510F" w:rsidRDefault="008C755F" w:rsidP="0039267C">
      <w:pPr>
        <w:rPr>
          <w:rFonts w:ascii="Arial" w:hAnsi="Arial" w:cs="Arial"/>
          <w:color w:val="000000"/>
          <w:sz w:val="24"/>
          <w:szCs w:val="24"/>
          <w:shd w:val="clear" w:color="auto" w:fill="FFFFFF"/>
        </w:rPr>
      </w:pPr>
      <w:r w:rsidRPr="0003510F">
        <w:rPr>
          <w:rFonts w:ascii="Arial" w:hAnsi="Arial" w:cs="Arial"/>
          <w:color w:val="000000"/>
          <w:sz w:val="24"/>
          <w:szCs w:val="24"/>
          <w:shd w:val="clear" w:color="auto" w:fill="FFFFFF"/>
        </w:rPr>
        <w:t xml:space="preserve">Sharma, M. and Aggarwal, H., 2018. Development of Clinical Reporting System </w:t>
      </w:r>
      <w:proofErr w:type="gramStart"/>
      <w:r w:rsidRPr="0003510F">
        <w:rPr>
          <w:rFonts w:ascii="Arial" w:hAnsi="Arial" w:cs="Arial"/>
          <w:color w:val="000000"/>
          <w:sz w:val="24"/>
          <w:szCs w:val="24"/>
          <w:shd w:val="clear" w:color="auto" w:fill="FFFFFF"/>
        </w:rPr>
        <w:t>Through</w:t>
      </w:r>
      <w:proofErr w:type="gramEnd"/>
      <w:r w:rsidRPr="0003510F">
        <w:rPr>
          <w:rFonts w:ascii="Arial" w:hAnsi="Arial" w:cs="Arial"/>
          <w:color w:val="000000"/>
          <w:sz w:val="24"/>
          <w:szCs w:val="24"/>
          <w:shd w:val="clear" w:color="auto" w:fill="FFFFFF"/>
        </w:rPr>
        <w:t xml:space="preserve"> HL7 FHIR Web Services. </w:t>
      </w:r>
      <w:r w:rsidRPr="0003510F">
        <w:rPr>
          <w:rFonts w:ascii="Arial" w:hAnsi="Arial" w:cs="Arial"/>
          <w:i/>
          <w:iCs/>
          <w:color w:val="000000"/>
          <w:sz w:val="24"/>
          <w:szCs w:val="24"/>
          <w:shd w:val="clear" w:color="auto" w:fill="FFFFFF"/>
        </w:rPr>
        <w:t>International Journal of Sensors, Wireless Communications and Control</w:t>
      </w:r>
      <w:r w:rsidRPr="0003510F">
        <w:rPr>
          <w:rFonts w:ascii="Arial" w:hAnsi="Arial" w:cs="Arial"/>
          <w:color w:val="000000"/>
          <w:sz w:val="24"/>
          <w:szCs w:val="24"/>
          <w:shd w:val="clear" w:color="auto" w:fill="FFFFFF"/>
        </w:rPr>
        <w:t xml:space="preserve">, 7(3), pp.188-197. </w:t>
      </w:r>
    </w:p>
    <w:p w14:paraId="4E5ACF2F" w14:textId="77777777" w:rsidR="00E24AAE" w:rsidRPr="0003510F" w:rsidRDefault="00E24AAE" w:rsidP="0039267C">
      <w:pPr>
        <w:rPr>
          <w:rFonts w:ascii="Arial" w:hAnsi="Arial" w:cs="Arial"/>
          <w:color w:val="000000"/>
          <w:sz w:val="24"/>
          <w:szCs w:val="24"/>
          <w:shd w:val="clear" w:color="auto" w:fill="FFFFFF"/>
        </w:rPr>
      </w:pPr>
    </w:p>
    <w:p w14:paraId="0CCB299A" w14:textId="4ACC826B" w:rsidR="00E24AAE" w:rsidRPr="0003510F" w:rsidRDefault="00E24AAE" w:rsidP="0039267C">
      <w:pPr>
        <w:rPr>
          <w:rFonts w:ascii="Arial" w:hAnsi="Arial" w:cs="Arial"/>
          <w:color w:val="000000"/>
          <w:sz w:val="24"/>
          <w:szCs w:val="24"/>
          <w:shd w:val="clear" w:color="auto" w:fill="FFFFFF"/>
        </w:rPr>
      </w:pPr>
      <w:proofErr w:type="spellStart"/>
      <w:r w:rsidRPr="0003510F">
        <w:rPr>
          <w:rFonts w:ascii="Arial" w:hAnsi="Arial" w:cs="Arial"/>
          <w:color w:val="000000"/>
          <w:sz w:val="24"/>
          <w:szCs w:val="24"/>
          <w:shd w:val="clear" w:color="auto" w:fill="FFFFFF"/>
        </w:rPr>
        <w:t>Frickel</w:t>
      </w:r>
      <w:proofErr w:type="spellEnd"/>
      <w:r w:rsidRPr="0003510F">
        <w:rPr>
          <w:rFonts w:ascii="Arial" w:hAnsi="Arial" w:cs="Arial"/>
          <w:color w:val="000000"/>
          <w:sz w:val="24"/>
          <w:szCs w:val="24"/>
          <w:shd w:val="clear" w:color="auto" w:fill="FFFFFF"/>
        </w:rPr>
        <w:t>, S., 2017. </w:t>
      </w:r>
      <w:r w:rsidRPr="0003510F">
        <w:rPr>
          <w:rFonts w:ascii="Arial" w:hAnsi="Arial" w:cs="Arial"/>
          <w:i/>
          <w:iCs/>
          <w:color w:val="000000"/>
          <w:sz w:val="24"/>
          <w:szCs w:val="24"/>
          <w:shd w:val="clear" w:color="auto" w:fill="FFFFFF"/>
        </w:rPr>
        <w:t>Investigating interdisciplinary collaboration</w:t>
      </w:r>
      <w:r w:rsidRPr="0003510F">
        <w:rPr>
          <w:rFonts w:ascii="Arial" w:hAnsi="Arial" w:cs="Arial"/>
          <w:color w:val="000000"/>
          <w:sz w:val="24"/>
          <w:szCs w:val="24"/>
          <w:shd w:val="clear" w:color="auto" w:fill="FFFFFF"/>
        </w:rPr>
        <w:t>. Rutgers University Press.</w:t>
      </w:r>
    </w:p>
    <w:p w14:paraId="72A5FEF8" w14:textId="77777777" w:rsidR="00513C49" w:rsidRPr="0003510F" w:rsidRDefault="00513C49" w:rsidP="0039267C">
      <w:pPr>
        <w:rPr>
          <w:rFonts w:ascii="Arial" w:hAnsi="Arial" w:cs="Arial"/>
          <w:color w:val="000000"/>
          <w:sz w:val="24"/>
          <w:szCs w:val="24"/>
          <w:shd w:val="clear" w:color="auto" w:fill="FFFFFF"/>
        </w:rPr>
      </w:pPr>
    </w:p>
    <w:p w14:paraId="6533777D" w14:textId="2476FA5D" w:rsidR="00513C49" w:rsidRPr="0003510F" w:rsidRDefault="00513C49" w:rsidP="0039267C">
      <w:pPr>
        <w:rPr>
          <w:rFonts w:ascii="Arial" w:hAnsi="Arial" w:cs="Arial"/>
          <w:sz w:val="24"/>
          <w:szCs w:val="24"/>
        </w:rPr>
      </w:pPr>
      <w:proofErr w:type="spellStart"/>
      <w:r w:rsidRPr="0003510F">
        <w:rPr>
          <w:rFonts w:ascii="Arial" w:hAnsi="Arial" w:cs="Arial"/>
          <w:sz w:val="24"/>
          <w:szCs w:val="24"/>
        </w:rPr>
        <w:t>Lovewell</w:t>
      </w:r>
      <w:proofErr w:type="spellEnd"/>
      <w:r w:rsidRPr="0003510F">
        <w:rPr>
          <w:rFonts w:ascii="Arial" w:hAnsi="Arial" w:cs="Arial"/>
          <w:sz w:val="24"/>
          <w:szCs w:val="24"/>
        </w:rPr>
        <w:t>-Tuck, D., 2017. Confessions of a benefits manager: Candid - ProQuest. [</w:t>
      </w:r>
      <w:proofErr w:type="gramStart"/>
      <w:r w:rsidRPr="0003510F">
        <w:rPr>
          <w:rFonts w:ascii="Arial" w:hAnsi="Arial" w:cs="Arial"/>
          <w:sz w:val="24"/>
          <w:szCs w:val="24"/>
        </w:rPr>
        <w:t>online</w:t>
      </w:r>
      <w:proofErr w:type="gramEnd"/>
      <w:r w:rsidRPr="0003510F">
        <w:rPr>
          <w:rFonts w:ascii="Arial" w:hAnsi="Arial" w:cs="Arial"/>
          <w:sz w:val="24"/>
          <w:szCs w:val="24"/>
        </w:rPr>
        <w:t xml:space="preserve">] Proquest.com. Available at: &lt;https://www.proquest.com/docview/1931882868/citation/2ACE020419CA41F5PQ/1?accountid=130472#:~:text=https%3A//www.proquest.com/trade%2Djournals/confessions%2Dbenefits%2Dmanager%2Dcandid%2Dconducts/docview/1931882868/se%2D2%3Faccountid%3D130472&gt; [Accessed 18 May 2022]. </w:t>
      </w:r>
    </w:p>
    <w:p w14:paraId="0708AA7F" w14:textId="77777777" w:rsidR="00C11583" w:rsidRPr="0003510F" w:rsidRDefault="00C11583" w:rsidP="0039267C">
      <w:pPr>
        <w:rPr>
          <w:rFonts w:ascii="Arial" w:hAnsi="Arial" w:cs="Arial"/>
          <w:sz w:val="24"/>
          <w:szCs w:val="24"/>
        </w:rPr>
      </w:pPr>
    </w:p>
    <w:p w14:paraId="7281912A" w14:textId="0C942520" w:rsidR="00C11583" w:rsidRPr="0003510F" w:rsidRDefault="00C11583" w:rsidP="0039267C">
      <w:pPr>
        <w:rPr>
          <w:rFonts w:ascii="Arial" w:hAnsi="Arial" w:cs="Arial"/>
          <w:sz w:val="24"/>
          <w:szCs w:val="24"/>
        </w:rPr>
      </w:pPr>
      <w:r w:rsidRPr="0003510F">
        <w:rPr>
          <w:rFonts w:ascii="Arial" w:hAnsi="Arial" w:cs="Arial"/>
          <w:sz w:val="24"/>
          <w:szCs w:val="24"/>
        </w:rPr>
        <w:t xml:space="preserve">Cottrell E, Whitlock E, Kato E, </w:t>
      </w:r>
      <w:proofErr w:type="spellStart"/>
      <w:r w:rsidRPr="0003510F">
        <w:rPr>
          <w:rFonts w:ascii="Arial" w:hAnsi="Arial" w:cs="Arial"/>
          <w:sz w:val="24"/>
          <w:szCs w:val="24"/>
        </w:rPr>
        <w:t>Uhl</w:t>
      </w:r>
      <w:proofErr w:type="spellEnd"/>
      <w:r w:rsidRPr="0003510F">
        <w:rPr>
          <w:rFonts w:ascii="Arial" w:hAnsi="Arial" w:cs="Arial"/>
          <w:sz w:val="24"/>
          <w:szCs w:val="24"/>
        </w:rPr>
        <w:t xml:space="preserve"> S, </w:t>
      </w:r>
      <w:proofErr w:type="spellStart"/>
      <w:r w:rsidRPr="0003510F">
        <w:rPr>
          <w:rFonts w:ascii="Arial" w:hAnsi="Arial" w:cs="Arial"/>
          <w:sz w:val="24"/>
          <w:szCs w:val="24"/>
        </w:rPr>
        <w:t>Belinson</w:t>
      </w:r>
      <w:proofErr w:type="spellEnd"/>
      <w:r w:rsidRPr="0003510F">
        <w:rPr>
          <w:rFonts w:ascii="Arial" w:hAnsi="Arial" w:cs="Arial"/>
          <w:sz w:val="24"/>
          <w:szCs w:val="24"/>
        </w:rPr>
        <w:t xml:space="preserve"> S, Chang C, </w:t>
      </w:r>
      <w:proofErr w:type="spellStart"/>
      <w:r w:rsidRPr="0003510F">
        <w:rPr>
          <w:rFonts w:ascii="Arial" w:hAnsi="Arial" w:cs="Arial"/>
          <w:sz w:val="24"/>
          <w:szCs w:val="24"/>
        </w:rPr>
        <w:t>Hoomans</w:t>
      </w:r>
      <w:proofErr w:type="spellEnd"/>
      <w:r w:rsidRPr="0003510F">
        <w:rPr>
          <w:rFonts w:ascii="Arial" w:hAnsi="Arial" w:cs="Arial"/>
          <w:sz w:val="24"/>
          <w:szCs w:val="24"/>
        </w:rPr>
        <w:t xml:space="preserve"> T, Meltzer D, </w:t>
      </w:r>
      <w:proofErr w:type="spellStart"/>
      <w:r w:rsidRPr="0003510F">
        <w:rPr>
          <w:rFonts w:ascii="Arial" w:hAnsi="Arial" w:cs="Arial"/>
          <w:sz w:val="24"/>
          <w:szCs w:val="24"/>
        </w:rPr>
        <w:t>Noorani</w:t>
      </w:r>
      <w:proofErr w:type="spellEnd"/>
      <w:r w:rsidRPr="0003510F">
        <w:rPr>
          <w:rFonts w:ascii="Arial" w:hAnsi="Arial" w:cs="Arial"/>
          <w:sz w:val="24"/>
          <w:szCs w:val="24"/>
        </w:rPr>
        <w:t xml:space="preserve"> H, Robinson K, </w:t>
      </w:r>
      <w:proofErr w:type="spellStart"/>
      <w:r w:rsidRPr="0003510F">
        <w:rPr>
          <w:rFonts w:ascii="Arial" w:hAnsi="Arial" w:cs="Arial"/>
          <w:sz w:val="24"/>
          <w:szCs w:val="24"/>
        </w:rPr>
        <w:t>Schoelles</w:t>
      </w:r>
      <w:proofErr w:type="spellEnd"/>
      <w:r w:rsidRPr="0003510F">
        <w:rPr>
          <w:rFonts w:ascii="Arial" w:hAnsi="Arial" w:cs="Arial"/>
          <w:sz w:val="24"/>
          <w:szCs w:val="24"/>
        </w:rPr>
        <w:t xml:space="preserve"> K, </w:t>
      </w:r>
      <w:proofErr w:type="spellStart"/>
      <w:r w:rsidRPr="0003510F">
        <w:rPr>
          <w:rFonts w:ascii="Arial" w:hAnsi="Arial" w:cs="Arial"/>
          <w:sz w:val="24"/>
          <w:szCs w:val="24"/>
        </w:rPr>
        <w:t>Motu'apuaka</w:t>
      </w:r>
      <w:proofErr w:type="spellEnd"/>
      <w:r w:rsidRPr="0003510F">
        <w:rPr>
          <w:rFonts w:ascii="Arial" w:hAnsi="Arial" w:cs="Arial"/>
          <w:sz w:val="24"/>
          <w:szCs w:val="24"/>
        </w:rPr>
        <w:t xml:space="preserve"> M, Anderson J, Paynter R, Guise JM. Defining the Benefits of Stakeholder Engagement in Systematic Reviews. In: Defining the Benefits of Stakeholder Engagement in Systematic Reviews. Agency for Healthcare Research and Quality (US), Rockville (MD); 2014. Available from https://www.ncbi.nlm.nih.gov/books/NBK196180 PMID: 24783309.</w:t>
      </w:r>
    </w:p>
    <w:p w14:paraId="56B8C814" w14:textId="77777777" w:rsidR="00FE7B71" w:rsidRPr="0003510F" w:rsidRDefault="00FE7B71" w:rsidP="0039267C">
      <w:pPr>
        <w:rPr>
          <w:rFonts w:ascii="Arial" w:hAnsi="Arial" w:cs="Arial"/>
          <w:sz w:val="24"/>
          <w:szCs w:val="24"/>
        </w:rPr>
      </w:pPr>
    </w:p>
    <w:p w14:paraId="09E0811C" w14:textId="7E963772" w:rsidR="00FE7B71" w:rsidRPr="0003510F" w:rsidRDefault="00FE7B71" w:rsidP="0039267C">
      <w:pPr>
        <w:rPr>
          <w:rFonts w:ascii="Arial" w:hAnsi="Arial" w:cs="Arial"/>
          <w:sz w:val="24"/>
          <w:szCs w:val="24"/>
        </w:rPr>
      </w:pPr>
      <w:proofErr w:type="spellStart"/>
      <w:r w:rsidRPr="0003510F">
        <w:rPr>
          <w:rFonts w:ascii="Arial" w:hAnsi="Arial" w:cs="Arial"/>
          <w:color w:val="000000"/>
          <w:sz w:val="24"/>
          <w:szCs w:val="24"/>
          <w:shd w:val="clear" w:color="auto" w:fill="FFFFFF"/>
        </w:rPr>
        <w:t>Delnord</w:t>
      </w:r>
      <w:proofErr w:type="spellEnd"/>
      <w:r w:rsidRPr="0003510F">
        <w:rPr>
          <w:rFonts w:ascii="Arial" w:hAnsi="Arial" w:cs="Arial"/>
          <w:color w:val="000000"/>
          <w:sz w:val="24"/>
          <w:szCs w:val="24"/>
          <w:shd w:val="clear" w:color="auto" w:fill="FFFFFF"/>
        </w:rPr>
        <w:t xml:space="preserve">, M., </w:t>
      </w:r>
      <w:proofErr w:type="spellStart"/>
      <w:r w:rsidRPr="0003510F">
        <w:rPr>
          <w:rFonts w:ascii="Arial" w:hAnsi="Arial" w:cs="Arial"/>
          <w:color w:val="000000"/>
          <w:sz w:val="24"/>
          <w:szCs w:val="24"/>
          <w:shd w:val="clear" w:color="auto" w:fill="FFFFFF"/>
        </w:rPr>
        <w:t>Tille</w:t>
      </w:r>
      <w:proofErr w:type="spellEnd"/>
      <w:r w:rsidRPr="0003510F">
        <w:rPr>
          <w:rFonts w:ascii="Arial" w:hAnsi="Arial" w:cs="Arial"/>
          <w:color w:val="000000"/>
          <w:sz w:val="24"/>
          <w:szCs w:val="24"/>
          <w:shd w:val="clear" w:color="auto" w:fill="FFFFFF"/>
        </w:rPr>
        <w:t xml:space="preserve">, F., </w:t>
      </w:r>
      <w:proofErr w:type="spellStart"/>
      <w:r w:rsidRPr="0003510F">
        <w:rPr>
          <w:rFonts w:ascii="Arial" w:hAnsi="Arial" w:cs="Arial"/>
          <w:color w:val="000000"/>
          <w:sz w:val="24"/>
          <w:szCs w:val="24"/>
          <w:shd w:val="clear" w:color="auto" w:fill="FFFFFF"/>
        </w:rPr>
        <w:t>Abboud</w:t>
      </w:r>
      <w:proofErr w:type="spellEnd"/>
      <w:r w:rsidRPr="0003510F">
        <w:rPr>
          <w:rFonts w:ascii="Arial" w:hAnsi="Arial" w:cs="Arial"/>
          <w:color w:val="000000"/>
          <w:sz w:val="24"/>
          <w:szCs w:val="24"/>
          <w:shd w:val="clear" w:color="auto" w:fill="FFFFFF"/>
        </w:rPr>
        <w:t xml:space="preserve">, L., </w:t>
      </w:r>
      <w:proofErr w:type="spellStart"/>
      <w:r w:rsidRPr="0003510F">
        <w:rPr>
          <w:rFonts w:ascii="Arial" w:hAnsi="Arial" w:cs="Arial"/>
          <w:color w:val="000000"/>
          <w:sz w:val="24"/>
          <w:szCs w:val="24"/>
          <w:shd w:val="clear" w:color="auto" w:fill="FFFFFF"/>
        </w:rPr>
        <w:t>Ivankovic</w:t>
      </w:r>
      <w:proofErr w:type="spellEnd"/>
      <w:r w:rsidRPr="0003510F">
        <w:rPr>
          <w:rFonts w:ascii="Arial" w:hAnsi="Arial" w:cs="Arial"/>
          <w:color w:val="000000"/>
          <w:sz w:val="24"/>
          <w:szCs w:val="24"/>
          <w:shd w:val="clear" w:color="auto" w:fill="FFFFFF"/>
        </w:rPr>
        <w:t>, D. and Van Oyen, H., 2019. How can we monitor the impact of national health information systems? Results from a scoping review. </w:t>
      </w:r>
      <w:r w:rsidRPr="0003510F">
        <w:rPr>
          <w:rFonts w:ascii="Arial" w:hAnsi="Arial" w:cs="Arial"/>
          <w:i/>
          <w:iCs/>
          <w:color w:val="000000"/>
          <w:sz w:val="24"/>
          <w:szCs w:val="24"/>
          <w:shd w:val="clear" w:color="auto" w:fill="FFFFFF"/>
        </w:rPr>
        <w:t>European Journal of Public Health</w:t>
      </w:r>
      <w:r w:rsidRPr="0003510F">
        <w:rPr>
          <w:rFonts w:ascii="Arial" w:hAnsi="Arial" w:cs="Arial"/>
          <w:color w:val="000000"/>
          <w:sz w:val="24"/>
          <w:szCs w:val="24"/>
          <w:shd w:val="clear" w:color="auto" w:fill="FFFFFF"/>
        </w:rPr>
        <w:t xml:space="preserve">, 30(4), pp.648-659. </w:t>
      </w:r>
      <w:r w:rsidR="00981BD7" w:rsidRPr="0003510F">
        <w:rPr>
          <w:rFonts w:ascii="Arial" w:hAnsi="Arial" w:cs="Arial"/>
          <w:sz w:val="24"/>
          <w:szCs w:val="24"/>
        </w:rPr>
        <w:t>[Accessed 18 May 2022].</w:t>
      </w:r>
    </w:p>
    <w:p w14:paraId="0CA744C5" w14:textId="77777777" w:rsidR="009B44AE" w:rsidRPr="0003510F" w:rsidRDefault="009B44AE" w:rsidP="0039267C">
      <w:pPr>
        <w:rPr>
          <w:rFonts w:ascii="Arial" w:hAnsi="Arial" w:cs="Arial"/>
          <w:sz w:val="24"/>
          <w:szCs w:val="24"/>
        </w:rPr>
      </w:pPr>
    </w:p>
    <w:p w14:paraId="0805E5ED" w14:textId="145055AD" w:rsidR="009B44AE" w:rsidRPr="0003510F" w:rsidRDefault="00212907" w:rsidP="0039267C">
      <w:pPr>
        <w:rPr>
          <w:rFonts w:ascii="Arial" w:hAnsi="Arial" w:cs="Arial"/>
          <w:sz w:val="24"/>
          <w:szCs w:val="24"/>
        </w:rPr>
      </w:pPr>
      <w:proofErr w:type="spellStart"/>
      <w:r w:rsidRPr="0003510F">
        <w:rPr>
          <w:rFonts w:ascii="Arial" w:hAnsi="Arial" w:cs="Arial"/>
          <w:sz w:val="24"/>
          <w:szCs w:val="24"/>
        </w:rPr>
        <w:t>Suwardy</w:t>
      </w:r>
      <w:proofErr w:type="spellEnd"/>
      <w:r w:rsidR="009B44AE" w:rsidRPr="0003510F">
        <w:rPr>
          <w:rFonts w:ascii="Arial" w:hAnsi="Arial" w:cs="Arial"/>
          <w:sz w:val="24"/>
          <w:szCs w:val="24"/>
        </w:rPr>
        <w:t xml:space="preserve">, </w:t>
      </w:r>
      <w:proofErr w:type="spellStart"/>
      <w:r w:rsidR="009B44AE" w:rsidRPr="0003510F">
        <w:rPr>
          <w:rFonts w:ascii="Arial" w:hAnsi="Arial" w:cs="Arial"/>
          <w:sz w:val="24"/>
          <w:szCs w:val="24"/>
        </w:rPr>
        <w:t>Themin</w:t>
      </w:r>
      <w:proofErr w:type="spellEnd"/>
      <w:r w:rsidR="009B44AE" w:rsidRPr="0003510F">
        <w:rPr>
          <w:rFonts w:ascii="Arial" w:hAnsi="Arial" w:cs="Arial"/>
          <w:sz w:val="24"/>
          <w:szCs w:val="24"/>
        </w:rPr>
        <w:t xml:space="preserve">. Corporate governance: Avoid the groupthink pitfall. (2019). Business Times (Singapore). 19-19. Research Collection School </w:t>
      </w:r>
      <w:proofErr w:type="gramStart"/>
      <w:r w:rsidR="009B44AE" w:rsidRPr="0003510F">
        <w:rPr>
          <w:rFonts w:ascii="Arial" w:hAnsi="Arial" w:cs="Arial"/>
          <w:sz w:val="24"/>
          <w:szCs w:val="24"/>
        </w:rPr>
        <w:t>Of</w:t>
      </w:r>
      <w:proofErr w:type="gramEnd"/>
      <w:r w:rsidR="009B44AE" w:rsidRPr="0003510F">
        <w:rPr>
          <w:rFonts w:ascii="Arial" w:hAnsi="Arial" w:cs="Arial"/>
          <w:sz w:val="24"/>
          <w:szCs w:val="24"/>
        </w:rPr>
        <w:t xml:space="preserve"> Accountancy. Available at: </w:t>
      </w:r>
      <w:hyperlink r:id="rId7" w:history="1">
        <w:r w:rsidR="009B44AE" w:rsidRPr="0003510F">
          <w:rPr>
            <w:rStyle w:val="Hyperlink"/>
            <w:rFonts w:ascii="Arial" w:hAnsi="Arial" w:cs="Arial"/>
            <w:sz w:val="24"/>
            <w:szCs w:val="24"/>
          </w:rPr>
          <w:t>https://ink.library.smu.edu.sg/soa_research/1942</w:t>
        </w:r>
      </w:hyperlink>
      <w:r w:rsidR="009B44AE" w:rsidRPr="0003510F">
        <w:rPr>
          <w:rFonts w:ascii="Arial" w:hAnsi="Arial" w:cs="Arial"/>
          <w:sz w:val="24"/>
          <w:szCs w:val="24"/>
        </w:rPr>
        <w:t xml:space="preserve"> </w:t>
      </w:r>
      <w:r w:rsidR="00A94907" w:rsidRPr="0003510F">
        <w:rPr>
          <w:rFonts w:ascii="Arial" w:hAnsi="Arial" w:cs="Arial"/>
          <w:sz w:val="24"/>
          <w:szCs w:val="24"/>
        </w:rPr>
        <w:t>[Accessed 18 May 2022].</w:t>
      </w:r>
    </w:p>
    <w:p w14:paraId="4613B8E5" w14:textId="77777777" w:rsidR="00A94907" w:rsidRPr="0003510F" w:rsidRDefault="00A94907" w:rsidP="0039267C">
      <w:pPr>
        <w:rPr>
          <w:rFonts w:ascii="Arial" w:hAnsi="Arial" w:cs="Arial"/>
          <w:sz w:val="24"/>
          <w:szCs w:val="24"/>
        </w:rPr>
      </w:pPr>
    </w:p>
    <w:p w14:paraId="7DA912E9" w14:textId="2C645E5E" w:rsidR="00A94907" w:rsidRPr="0003510F" w:rsidRDefault="00212907" w:rsidP="0039267C">
      <w:pPr>
        <w:rPr>
          <w:rFonts w:ascii="Arial" w:hAnsi="Arial" w:cs="Arial"/>
          <w:sz w:val="24"/>
          <w:szCs w:val="24"/>
        </w:rPr>
      </w:pPr>
      <w:r w:rsidRPr="0003510F">
        <w:rPr>
          <w:rFonts w:ascii="Arial" w:hAnsi="Arial" w:cs="Arial"/>
          <w:sz w:val="24"/>
          <w:szCs w:val="24"/>
        </w:rPr>
        <w:lastRenderedPageBreak/>
        <w:t>Hennessy, C., &amp; Walker</w:t>
      </w:r>
      <w:r w:rsidR="00A94907" w:rsidRPr="0003510F">
        <w:rPr>
          <w:rFonts w:ascii="Arial" w:hAnsi="Arial" w:cs="Arial"/>
          <w:sz w:val="24"/>
          <w:szCs w:val="24"/>
        </w:rPr>
        <w:t xml:space="preserve">, A. (2011). Promoting multi-disciplinary and inter-disciplinary ageing research in the United Kingdom. Ageing and Society, 31(1), 52-69. </w:t>
      </w:r>
      <w:proofErr w:type="gramStart"/>
      <w:r w:rsidR="00A94907" w:rsidRPr="0003510F">
        <w:rPr>
          <w:rFonts w:ascii="Arial" w:hAnsi="Arial" w:cs="Arial"/>
          <w:sz w:val="24"/>
          <w:szCs w:val="24"/>
        </w:rPr>
        <w:t>doi:</w:t>
      </w:r>
      <w:proofErr w:type="gramEnd"/>
      <w:r w:rsidR="00A94907" w:rsidRPr="0003510F">
        <w:rPr>
          <w:rFonts w:ascii="Arial" w:hAnsi="Arial" w:cs="Arial"/>
          <w:sz w:val="24"/>
          <w:szCs w:val="24"/>
        </w:rPr>
        <w:t>10.1017/S0144686X1000067X [Accessed 18 May 2022].</w:t>
      </w:r>
    </w:p>
    <w:p w14:paraId="08C197B1" w14:textId="77777777" w:rsidR="00BC3749" w:rsidRPr="0003510F" w:rsidRDefault="00BC3749" w:rsidP="0039267C">
      <w:pPr>
        <w:rPr>
          <w:rFonts w:ascii="Arial" w:hAnsi="Arial" w:cs="Arial"/>
          <w:sz w:val="24"/>
          <w:szCs w:val="24"/>
        </w:rPr>
      </w:pPr>
    </w:p>
    <w:p w14:paraId="05E518E7" w14:textId="2D7D5859" w:rsidR="00BC3749" w:rsidRPr="0003510F" w:rsidRDefault="00BC3749" w:rsidP="0039267C">
      <w:pPr>
        <w:rPr>
          <w:rFonts w:ascii="Arial" w:hAnsi="Arial" w:cs="Arial"/>
          <w:sz w:val="24"/>
          <w:szCs w:val="24"/>
        </w:rPr>
      </w:pPr>
      <w:r w:rsidRPr="0003510F">
        <w:rPr>
          <w:rFonts w:ascii="Arial" w:hAnsi="Arial" w:cs="Arial"/>
          <w:sz w:val="24"/>
          <w:szCs w:val="24"/>
        </w:rPr>
        <w:t xml:space="preserve">Blanchard, A.L. and McBride, A. (2020), "Putting the “Group” in Group Meetings: Entitativity in Face-to-Face and Online Meetings", </w:t>
      </w:r>
      <w:proofErr w:type="spellStart"/>
      <w:r w:rsidRPr="0003510F">
        <w:rPr>
          <w:rFonts w:ascii="Arial" w:hAnsi="Arial" w:cs="Arial"/>
          <w:sz w:val="24"/>
          <w:szCs w:val="24"/>
        </w:rPr>
        <w:t>Meinecke</w:t>
      </w:r>
      <w:proofErr w:type="spellEnd"/>
      <w:r w:rsidRPr="0003510F">
        <w:rPr>
          <w:rFonts w:ascii="Arial" w:hAnsi="Arial" w:cs="Arial"/>
          <w:sz w:val="24"/>
          <w:szCs w:val="24"/>
        </w:rPr>
        <w:t>, A.L., Allen, J.A. and Lehmann-</w:t>
      </w:r>
      <w:proofErr w:type="spellStart"/>
      <w:r w:rsidRPr="0003510F">
        <w:rPr>
          <w:rFonts w:ascii="Arial" w:hAnsi="Arial" w:cs="Arial"/>
          <w:sz w:val="24"/>
          <w:szCs w:val="24"/>
        </w:rPr>
        <w:t>Willenbrock</w:t>
      </w:r>
      <w:proofErr w:type="spellEnd"/>
      <w:r w:rsidRPr="0003510F">
        <w:rPr>
          <w:rFonts w:ascii="Arial" w:hAnsi="Arial" w:cs="Arial"/>
          <w:sz w:val="24"/>
          <w:szCs w:val="24"/>
        </w:rPr>
        <w:t xml:space="preserve">, N. (Ed.) Managing Meetings in Organizations (Research on Managing Groups and Teams, Vol. 20), Emerald Publishing Limited, Bingley, pp. 71-92. </w:t>
      </w:r>
      <w:hyperlink r:id="rId8" w:history="1">
        <w:r w:rsidRPr="0003510F">
          <w:rPr>
            <w:rStyle w:val="Hyperlink"/>
            <w:rFonts w:ascii="Arial" w:hAnsi="Arial" w:cs="Arial"/>
            <w:sz w:val="24"/>
            <w:szCs w:val="24"/>
          </w:rPr>
          <w:t>https://doi.org/10.1108/S1534-085620200000020004</w:t>
        </w:r>
      </w:hyperlink>
      <w:r w:rsidRPr="0003510F">
        <w:rPr>
          <w:rFonts w:ascii="Arial" w:hAnsi="Arial" w:cs="Arial"/>
          <w:sz w:val="24"/>
          <w:szCs w:val="24"/>
        </w:rPr>
        <w:t xml:space="preserve"> [Accessed 18 May 2022]. </w:t>
      </w:r>
    </w:p>
    <w:p w14:paraId="367BF73C" w14:textId="77777777" w:rsidR="00A40860" w:rsidRPr="0003510F" w:rsidRDefault="00A40860" w:rsidP="0039267C">
      <w:pPr>
        <w:rPr>
          <w:rFonts w:ascii="Arial" w:hAnsi="Arial" w:cs="Arial"/>
          <w:sz w:val="24"/>
          <w:szCs w:val="24"/>
        </w:rPr>
      </w:pPr>
    </w:p>
    <w:p w14:paraId="4CC89901" w14:textId="1320974C" w:rsidR="00A40860" w:rsidRPr="0003510F" w:rsidRDefault="00A40860" w:rsidP="0039267C">
      <w:pPr>
        <w:rPr>
          <w:rFonts w:ascii="Arial" w:hAnsi="Arial" w:cs="Arial"/>
          <w:color w:val="000000"/>
          <w:sz w:val="24"/>
          <w:szCs w:val="24"/>
          <w:shd w:val="clear" w:color="auto" w:fill="FFFFFF"/>
        </w:rPr>
      </w:pPr>
      <w:r w:rsidRPr="0003510F">
        <w:rPr>
          <w:rFonts w:ascii="Arial" w:hAnsi="Arial" w:cs="Arial"/>
          <w:color w:val="000000"/>
          <w:sz w:val="24"/>
          <w:szCs w:val="24"/>
          <w:shd w:val="clear" w:color="auto" w:fill="FFFFFF"/>
        </w:rPr>
        <w:t xml:space="preserve">Jun </w:t>
      </w:r>
      <w:proofErr w:type="spellStart"/>
      <w:r w:rsidRPr="0003510F">
        <w:rPr>
          <w:rFonts w:ascii="Arial" w:hAnsi="Arial" w:cs="Arial"/>
          <w:color w:val="000000"/>
          <w:sz w:val="24"/>
          <w:szCs w:val="24"/>
          <w:shd w:val="clear" w:color="auto" w:fill="FFFFFF"/>
        </w:rPr>
        <w:t>Hao</w:t>
      </w:r>
      <w:proofErr w:type="spellEnd"/>
      <w:r w:rsidRPr="0003510F">
        <w:rPr>
          <w:rFonts w:ascii="Arial" w:hAnsi="Arial" w:cs="Arial"/>
          <w:color w:val="000000"/>
          <w:sz w:val="24"/>
          <w:szCs w:val="24"/>
          <w:shd w:val="clear" w:color="auto" w:fill="FFFFFF"/>
        </w:rPr>
        <w:t xml:space="preserve">, M. and </w:t>
      </w:r>
      <w:proofErr w:type="spellStart"/>
      <w:r w:rsidRPr="0003510F">
        <w:rPr>
          <w:rFonts w:ascii="Arial" w:hAnsi="Arial" w:cs="Arial"/>
          <w:color w:val="000000"/>
          <w:sz w:val="24"/>
          <w:szCs w:val="24"/>
          <w:shd w:val="clear" w:color="auto" w:fill="FFFFFF"/>
        </w:rPr>
        <w:t>Yazdanifard</w:t>
      </w:r>
      <w:proofErr w:type="spellEnd"/>
      <w:r w:rsidRPr="0003510F">
        <w:rPr>
          <w:rFonts w:ascii="Arial" w:hAnsi="Arial" w:cs="Arial"/>
          <w:color w:val="000000"/>
          <w:sz w:val="24"/>
          <w:szCs w:val="24"/>
          <w:shd w:val="clear" w:color="auto" w:fill="FFFFFF"/>
        </w:rPr>
        <w:t>, R., 2015. </w:t>
      </w:r>
      <w:r w:rsidRPr="0003510F">
        <w:rPr>
          <w:rFonts w:ascii="Arial" w:hAnsi="Arial" w:cs="Arial"/>
          <w:i/>
          <w:iCs/>
          <w:color w:val="000000"/>
          <w:sz w:val="24"/>
          <w:szCs w:val="24"/>
          <w:shd w:val="clear" w:color="auto" w:fill="FFFFFF"/>
        </w:rPr>
        <w:t>How Effective Leadership can Facilitate Change in Organizations through Improvement and Innovation</w:t>
      </w:r>
      <w:r w:rsidRPr="0003510F">
        <w:rPr>
          <w:rFonts w:ascii="Arial" w:hAnsi="Arial" w:cs="Arial"/>
          <w:color w:val="000000"/>
          <w:sz w:val="24"/>
          <w:szCs w:val="24"/>
          <w:shd w:val="clear" w:color="auto" w:fill="FFFFFF"/>
        </w:rPr>
        <w:t>. [</w:t>
      </w:r>
      <w:proofErr w:type="gramStart"/>
      <w:r w:rsidRPr="0003510F">
        <w:rPr>
          <w:rFonts w:ascii="Arial" w:hAnsi="Arial" w:cs="Arial"/>
          <w:color w:val="000000"/>
          <w:sz w:val="24"/>
          <w:szCs w:val="24"/>
          <w:shd w:val="clear" w:color="auto" w:fill="FFFFFF"/>
        </w:rPr>
        <w:t>online</w:t>
      </w:r>
      <w:proofErr w:type="gramEnd"/>
      <w:r w:rsidRPr="0003510F">
        <w:rPr>
          <w:rFonts w:ascii="Arial" w:hAnsi="Arial" w:cs="Arial"/>
          <w:color w:val="000000"/>
          <w:sz w:val="24"/>
          <w:szCs w:val="24"/>
          <w:shd w:val="clear" w:color="auto" w:fill="FFFFFF"/>
        </w:rPr>
        <w:t>] Globaljournals.org. Available at: &lt;https://globaljournals.org/GJMBR_Volume15/1-How-Effective-Leadership.pdf&gt; [Accessed 26 May 2022].</w:t>
      </w:r>
    </w:p>
    <w:p w14:paraId="2215D121" w14:textId="77777777" w:rsidR="00337E3D" w:rsidRPr="0003510F" w:rsidRDefault="00337E3D" w:rsidP="0039267C">
      <w:pPr>
        <w:rPr>
          <w:rFonts w:ascii="Arial" w:hAnsi="Arial" w:cs="Arial"/>
          <w:color w:val="000000"/>
          <w:sz w:val="24"/>
          <w:szCs w:val="24"/>
          <w:shd w:val="clear" w:color="auto" w:fill="FFFFFF"/>
        </w:rPr>
      </w:pPr>
    </w:p>
    <w:p w14:paraId="3A04B66E" w14:textId="3D0E5D80" w:rsidR="00337E3D" w:rsidRPr="0003510F" w:rsidRDefault="00337E3D" w:rsidP="0039267C">
      <w:pPr>
        <w:rPr>
          <w:rFonts w:ascii="Arial" w:hAnsi="Arial" w:cs="Arial"/>
          <w:sz w:val="24"/>
          <w:szCs w:val="24"/>
        </w:rPr>
      </w:pPr>
      <w:proofErr w:type="spellStart"/>
      <w:r w:rsidRPr="0003510F">
        <w:rPr>
          <w:rFonts w:ascii="Arial" w:hAnsi="Arial" w:cs="Arial"/>
          <w:sz w:val="24"/>
          <w:szCs w:val="24"/>
        </w:rPr>
        <w:t>Tambor</w:t>
      </w:r>
      <w:proofErr w:type="spellEnd"/>
      <w:r w:rsidRPr="0003510F">
        <w:rPr>
          <w:rFonts w:ascii="Arial" w:hAnsi="Arial" w:cs="Arial"/>
          <w:sz w:val="24"/>
          <w:szCs w:val="24"/>
        </w:rPr>
        <w:t xml:space="preserve">, E., </w:t>
      </w:r>
      <w:proofErr w:type="spellStart"/>
      <w:r w:rsidRPr="0003510F">
        <w:rPr>
          <w:rFonts w:ascii="Arial" w:hAnsi="Arial" w:cs="Arial"/>
          <w:sz w:val="24"/>
          <w:szCs w:val="24"/>
        </w:rPr>
        <w:t>Shalowitz</w:t>
      </w:r>
      <w:proofErr w:type="spellEnd"/>
      <w:r w:rsidRPr="0003510F">
        <w:rPr>
          <w:rFonts w:ascii="Arial" w:hAnsi="Arial" w:cs="Arial"/>
          <w:sz w:val="24"/>
          <w:szCs w:val="24"/>
        </w:rPr>
        <w:t xml:space="preserve">, M., Harrington, J., Hull, K., Watson, N., </w:t>
      </w:r>
      <w:proofErr w:type="spellStart"/>
      <w:r w:rsidRPr="0003510F">
        <w:rPr>
          <w:rFonts w:ascii="Arial" w:hAnsi="Arial" w:cs="Arial"/>
          <w:sz w:val="24"/>
          <w:szCs w:val="24"/>
        </w:rPr>
        <w:t>Sital</w:t>
      </w:r>
      <w:proofErr w:type="spellEnd"/>
      <w:r w:rsidRPr="0003510F">
        <w:rPr>
          <w:rFonts w:ascii="Arial" w:hAnsi="Arial" w:cs="Arial"/>
          <w:sz w:val="24"/>
          <w:szCs w:val="24"/>
        </w:rPr>
        <w:t xml:space="preserve">, S., Al </w:t>
      </w:r>
      <w:proofErr w:type="spellStart"/>
      <w:r w:rsidRPr="0003510F">
        <w:rPr>
          <w:rFonts w:ascii="Arial" w:hAnsi="Arial" w:cs="Arial"/>
          <w:sz w:val="24"/>
          <w:szCs w:val="24"/>
        </w:rPr>
        <w:t>Naber</w:t>
      </w:r>
      <w:proofErr w:type="spellEnd"/>
      <w:r w:rsidRPr="0003510F">
        <w:rPr>
          <w:rFonts w:ascii="Arial" w:hAnsi="Arial" w:cs="Arial"/>
          <w:sz w:val="24"/>
          <w:szCs w:val="24"/>
        </w:rPr>
        <w:t xml:space="preserve">, J. and Miller, D., 2019. Engaging patients, clinicians, and the community in a Clinical Data Research Network: Lessons learned from the </w:t>
      </w:r>
      <w:proofErr w:type="spellStart"/>
      <w:r w:rsidRPr="0003510F">
        <w:rPr>
          <w:rFonts w:ascii="Arial" w:hAnsi="Arial" w:cs="Arial"/>
          <w:sz w:val="24"/>
          <w:szCs w:val="24"/>
        </w:rPr>
        <w:t>CAPriCORN</w:t>
      </w:r>
      <w:proofErr w:type="spellEnd"/>
      <w:r w:rsidRPr="0003510F">
        <w:rPr>
          <w:rFonts w:ascii="Arial" w:hAnsi="Arial" w:cs="Arial"/>
          <w:sz w:val="24"/>
          <w:szCs w:val="24"/>
        </w:rPr>
        <w:t xml:space="preserve"> CDRN. Learning Health Systems, 3(2), p.e10079.</w:t>
      </w:r>
    </w:p>
    <w:p w14:paraId="5798D505" w14:textId="77777777" w:rsidR="00840B80" w:rsidRPr="0003510F" w:rsidRDefault="00840B80" w:rsidP="0039267C">
      <w:pPr>
        <w:rPr>
          <w:rFonts w:ascii="Arial" w:hAnsi="Arial" w:cs="Arial"/>
          <w:sz w:val="24"/>
          <w:szCs w:val="24"/>
        </w:rPr>
      </w:pPr>
    </w:p>
    <w:p w14:paraId="1D30F4F7" w14:textId="620248AE" w:rsidR="00840B80" w:rsidRPr="0003510F" w:rsidRDefault="00840B80" w:rsidP="0039267C">
      <w:pPr>
        <w:rPr>
          <w:rFonts w:ascii="Arial" w:hAnsi="Arial" w:cs="Arial"/>
          <w:sz w:val="24"/>
          <w:szCs w:val="24"/>
        </w:rPr>
      </w:pPr>
      <w:r w:rsidRPr="0003510F">
        <w:rPr>
          <w:rFonts w:ascii="Arial" w:hAnsi="Arial" w:cs="Arial"/>
          <w:sz w:val="24"/>
          <w:szCs w:val="24"/>
        </w:rPr>
        <w:t xml:space="preserve">Parke, M. R., </w:t>
      </w:r>
      <w:proofErr w:type="spellStart"/>
      <w:r w:rsidRPr="0003510F">
        <w:rPr>
          <w:rFonts w:ascii="Arial" w:hAnsi="Arial" w:cs="Arial"/>
          <w:sz w:val="24"/>
          <w:szCs w:val="24"/>
        </w:rPr>
        <w:t>Weinhardt</w:t>
      </w:r>
      <w:proofErr w:type="spellEnd"/>
      <w:r w:rsidRPr="0003510F">
        <w:rPr>
          <w:rFonts w:ascii="Arial" w:hAnsi="Arial" w:cs="Arial"/>
          <w:sz w:val="24"/>
          <w:szCs w:val="24"/>
        </w:rPr>
        <w:t xml:space="preserve">, J. M., Brodsky, A., </w:t>
      </w:r>
      <w:proofErr w:type="spellStart"/>
      <w:r w:rsidRPr="0003510F">
        <w:rPr>
          <w:rFonts w:ascii="Arial" w:hAnsi="Arial" w:cs="Arial"/>
          <w:sz w:val="24"/>
          <w:szCs w:val="24"/>
        </w:rPr>
        <w:t>Tangirala</w:t>
      </w:r>
      <w:proofErr w:type="spellEnd"/>
      <w:r w:rsidRPr="0003510F">
        <w:rPr>
          <w:rFonts w:ascii="Arial" w:hAnsi="Arial" w:cs="Arial"/>
          <w:sz w:val="24"/>
          <w:szCs w:val="24"/>
        </w:rPr>
        <w:t xml:space="preserve">, S., &amp; </w:t>
      </w:r>
      <w:proofErr w:type="spellStart"/>
      <w:r w:rsidRPr="0003510F">
        <w:rPr>
          <w:rFonts w:ascii="Arial" w:hAnsi="Arial" w:cs="Arial"/>
          <w:sz w:val="24"/>
          <w:szCs w:val="24"/>
        </w:rPr>
        <w:t>DeVoe</w:t>
      </w:r>
      <w:proofErr w:type="spellEnd"/>
      <w:r w:rsidRPr="0003510F">
        <w:rPr>
          <w:rFonts w:ascii="Arial" w:hAnsi="Arial" w:cs="Arial"/>
          <w:sz w:val="24"/>
          <w:szCs w:val="24"/>
        </w:rPr>
        <w:t xml:space="preserve">, S. E. (2018). When daily planning improves employee performance: The importance of planning type, engagement, and interruptions. Journal of Applied Psychology, 103(3), 300–312. </w:t>
      </w:r>
      <w:hyperlink r:id="rId9" w:history="1">
        <w:r w:rsidR="0090579C" w:rsidRPr="0003510F">
          <w:rPr>
            <w:rStyle w:val="Hyperlink"/>
            <w:rFonts w:ascii="Arial" w:hAnsi="Arial" w:cs="Arial"/>
            <w:sz w:val="24"/>
            <w:szCs w:val="24"/>
          </w:rPr>
          <w:t>https://doi.org/10.1037/apl0000278</w:t>
        </w:r>
      </w:hyperlink>
    </w:p>
    <w:p w14:paraId="7FB9B7D4" w14:textId="77777777" w:rsidR="0090579C" w:rsidRPr="0003510F" w:rsidRDefault="0090579C" w:rsidP="0039267C">
      <w:pPr>
        <w:rPr>
          <w:rFonts w:ascii="Arial" w:hAnsi="Arial" w:cs="Arial"/>
          <w:sz w:val="24"/>
          <w:szCs w:val="24"/>
        </w:rPr>
      </w:pPr>
    </w:p>
    <w:p w14:paraId="0CAB2503" w14:textId="69362C89" w:rsidR="0090579C" w:rsidRPr="0003510F" w:rsidRDefault="0090579C" w:rsidP="0039267C">
      <w:pPr>
        <w:rPr>
          <w:sz w:val="24"/>
          <w:szCs w:val="24"/>
        </w:rPr>
      </w:pPr>
      <w:hyperlink r:id="rId10" w:tooltip="John Edmonds" w:history="1">
        <w:r w:rsidRPr="0003510F">
          <w:rPr>
            <w:rStyle w:val="Hyperlink"/>
            <w:rFonts w:ascii="Arial" w:hAnsi="Arial" w:cs="Arial"/>
            <w:sz w:val="24"/>
            <w:szCs w:val="24"/>
            <w:shd w:val="clear" w:color="auto" w:fill="FFFFFF"/>
          </w:rPr>
          <w:t>Edmonds, J.</w:t>
        </w:r>
      </w:hyperlink>
      <w:r w:rsidRPr="0003510F">
        <w:rPr>
          <w:rFonts w:ascii="Arial" w:hAnsi="Arial" w:cs="Arial"/>
          <w:sz w:val="24"/>
          <w:szCs w:val="24"/>
          <w:shd w:val="clear" w:color="auto" w:fill="FFFFFF"/>
        </w:rPr>
        <w:t> (2011), "Managing successful change", </w:t>
      </w:r>
      <w:hyperlink r:id="rId11" w:history="1">
        <w:r w:rsidRPr="0003510F">
          <w:rPr>
            <w:rStyle w:val="Hyperlink"/>
            <w:rFonts w:ascii="Arial" w:hAnsi="Arial" w:cs="Arial"/>
            <w:i/>
            <w:iCs/>
            <w:color w:val="007377"/>
            <w:sz w:val="24"/>
            <w:szCs w:val="24"/>
          </w:rPr>
          <w:t>Industrial and Commercial Training</w:t>
        </w:r>
      </w:hyperlink>
      <w:r w:rsidRPr="0003510F">
        <w:rPr>
          <w:rFonts w:ascii="Arial" w:hAnsi="Arial" w:cs="Arial"/>
          <w:sz w:val="24"/>
          <w:szCs w:val="24"/>
          <w:shd w:val="clear" w:color="auto" w:fill="FFFFFF"/>
        </w:rPr>
        <w:t>, Vol. 43 No. 6, pp. 349-353. </w:t>
      </w:r>
      <w:hyperlink r:id="rId12" w:tooltip="DOI: https://doi.org/10.1108/00197851111160478" w:history="1">
        <w:r w:rsidRPr="0003510F">
          <w:rPr>
            <w:rStyle w:val="Hyperlink"/>
            <w:rFonts w:ascii="Arial" w:hAnsi="Arial" w:cs="Arial"/>
            <w:color w:val="007377"/>
            <w:sz w:val="24"/>
            <w:szCs w:val="24"/>
            <w:shd w:val="clear" w:color="auto" w:fill="FFFFFF"/>
          </w:rPr>
          <w:t>https://doi.org/10.1108/00197851111160478</w:t>
        </w:r>
      </w:hyperlink>
    </w:p>
    <w:p w14:paraId="0776D4AD" w14:textId="77777777" w:rsidR="00B763CE" w:rsidRPr="0003510F" w:rsidRDefault="00B763CE" w:rsidP="0039267C">
      <w:pPr>
        <w:rPr>
          <w:sz w:val="24"/>
          <w:szCs w:val="24"/>
        </w:rPr>
      </w:pPr>
    </w:p>
    <w:p w14:paraId="74C9A1EC" w14:textId="1A1C7E5A" w:rsidR="00B763CE" w:rsidRPr="0003510F" w:rsidRDefault="00B763CE" w:rsidP="0039267C">
      <w:pPr>
        <w:rPr>
          <w:rFonts w:ascii="Arial" w:hAnsi="Arial" w:cs="Arial"/>
          <w:sz w:val="24"/>
          <w:szCs w:val="24"/>
        </w:rPr>
      </w:pPr>
      <w:r w:rsidRPr="0003510F">
        <w:rPr>
          <w:rFonts w:ascii="Arial" w:hAnsi="Arial" w:cs="Arial"/>
          <w:color w:val="2A2A2A"/>
          <w:sz w:val="24"/>
          <w:szCs w:val="24"/>
          <w:shd w:val="clear" w:color="auto" w:fill="FFFFFF"/>
        </w:rPr>
        <w:t xml:space="preserve">Caroline Rosenthal </w:t>
      </w:r>
      <w:proofErr w:type="spellStart"/>
      <w:r w:rsidRPr="0003510F">
        <w:rPr>
          <w:rFonts w:ascii="Arial" w:hAnsi="Arial" w:cs="Arial"/>
          <w:color w:val="2A2A2A"/>
          <w:sz w:val="24"/>
          <w:szCs w:val="24"/>
          <w:shd w:val="clear" w:color="auto" w:fill="FFFFFF"/>
        </w:rPr>
        <w:t>Gelman</w:t>
      </w:r>
      <w:proofErr w:type="spellEnd"/>
      <w:r w:rsidRPr="0003510F">
        <w:rPr>
          <w:rFonts w:ascii="Arial" w:hAnsi="Arial" w:cs="Arial"/>
          <w:color w:val="2A2A2A"/>
          <w:sz w:val="24"/>
          <w:szCs w:val="24"/>
          <w:shd w:val="clear" w:color="auto" w:fill="FFFFFF"/>
        </w:rPr>
        <w:t xml:space="preserve">, Carol </w:t>
      </w:r>
      <w:proofErr w:type="spellStart"/>
      <w:r w:rsidRPr="0003510F">
        <w:rPr>
          <w:rFonts w:ascii="Arial" w:hAnsi="Arial" w:cs="Arial"/>
          <w:color w:val="2A2A2A"/>
          <w:sz w:val="24"/>
          <w:szCs w:val="24"/>
          <w:shd w:val="clear" w:color="auto" w:fill="FFFFFF"/>
        </w:rPr>
        <w:t>Tosone</w:t>
      </w:r>
      <w:proofErr w:type="spellEnd"/>
      <w:r w:rsidRPr="0003510F">
        <w:rPr>
          <w:rFonts w:ascii="Arial" w:hAnsi="Arial" w:cs="Arial"/>
          <w:color w:val="2A2A2A"/>
          <w:sz w:val="24"/>
          <w:szCs w:val="24"/>
          <w:shd w:val="clear" w:color="auto" w:fill="FFFFFF"/>
        </w:rPr>
        <w:t>, Teaching Social Workers to Harness Technology and Inter-Disciplinary Collaboration for Community Service, </w:t>
      </w:r>
      <w:r w:rsidRPr="0003510F">
        <w:rPr>
          <w:rStyle w:val="Emphasis"/>
          <w:rFonts w:ascii="Arial" w:hAnsi="Arial" w:cs="Arial"/>
          <w:color w:val="2A2A2A"/>
          <w:sz w:val="24"/>
          <w:szCs w:val="24"/>
          <w:bdr w:val="none" w:sz="0" w:space="0" w:color="auto" w:frame="1"/>
          <w:shd w:val="clear" w:color="auto" w:fill="FFFFFF"/>
        </w:rPr>
        <w:t>The British Journal of Social Work</w:t>
      </w:r>
      <w:r w:rsidRPr="0003510F">
        <w:rPr>
          <w:rFonts w:ascii="Arial" w:hAnsi="Arial" w:cs="Arial"/>
          <w:color w:val="2A2A2A"/>
          <w:sz w:val="24"/>
          <w:szCs w:val="24"/>
          <w:shd w:val="clear" w:color="auto" w:fill="FFFFFF"/>
        </w:rPr>
        <w:t>, Volume 40, Issue 1, January 2010, Pages 226–238, </w:t>
      </w:r>
      <w:hyperlink r:id="rId13" w:history="1">
        <w:r w:rsidRPr="0003510F">
          <w:rPr>
            <w:rStyle w:val="Hyperlink"/>
            <w:rFonts w:ascii="Arial" w:hAnsi="Arial" w:cs="Arial"/>
            <w:color w:val="006FB7"/>
            <w:sz w:val="24"/>
            <w:szCs w:val="24"/>
            <w:u w:val="none"/>
            <w:bdr w:val="none" w:sz="0" w:space="0" w:color="auto" w:frame="1"/>
            <w:shd w:val="clear" w:color="auto" w:fill="FFFFFF"/>
          </w:rPr>
          <w:t>https://doi.org/10.1093/bjsw/bcn081</w:t>
        </w:r>
      </w:hyperlink>
    </w:p>
    <w:p w14:paraId="55E5DE4C" w14:textId="77777777" w:rsidR="00A95CF4" w:rsidRPr="0003510F" w:rsidRDefault="00A95CF4" w:rsidP="0039267C">
      <w:pPr>
        <w:rPr>
          <w:rFonts w:ascii="Arial" w:hAnsi="Arial" w:cs="Arial"/>
          <w:sz w:val="24"/>
          <w:szCs w:val="24"/>
        </w:rPr>
      </w:pPr>
    </w:p>
    <w:p w14:paraId="6E8DDD60" w14:textId="61B4DEF9" w:rsidR="00A95CF4" w:rsidRPr="0003510F" w:rsidRDefault="00A95CF4" w:rsidP="0039267C">
      <w:pPr>
        <w:rPr>
          <w:rFonts w:ascii="Arial" w:hAnsi="Arial" w:cs="Arial"/>
          <w:color w:val="000000"/>
          <w:sz w:val="24"/>
          <w:szCs w:val="24"/>
          <w:shd w:val="clear" w:color="auto" w:fill="FFFFFF"/>
        </w:rPr>
      </w:pPr>
      <w:r w:rsidRPr="0003510F">
        <w:rPr>
          <w:rFonts w:ascii="Arial" w:hAnsi="Arial" w:cs="Arial"/>
          <w:color w:val="000000"/>
          <w:sz w:val="24"/>
          <w:szCs w:val="24"/>
          <w:shd w:val="clear" w:color="auto" w:fill="FFFFFF"/>
        </w:rPr>
        <w:t>Vain, C., 2021. </w:t>
      </w:r>
      <w:r w:rsidRPr="0003510F">
        <w:rPr>
          <w:rFonts w:ascii="Arial" w:hAnsi="Arial" w:cs="Arial"/>
          <w:i/>
          <w:iCs/>
          <w:color w:val="000000"/>
          <w:sz w:val="24"/>
          <w:szCs w:val="24"/>
          <w:shd w:val="clear" w:color="auto" w:fill="FFFFFF"/>
        </w:rPr>
        <w:t>Tips for engaging with stakeholders</w:t>
      </w:r>
      <w:r w:rsidRPr="0003510F">
        <w:rPr>
          <w:rFonts w:ascii="Arial" w:hAnsi="Arial" w:cs="Arial"/>
          <w:color w:val="000000"/>
          <w:sz w:val="24"/>
          <w:szCs w:val="24"/>
          <w:shd w:val="clear" w:color="auto" w:fill="FFFFFF"/>
        </w:rPr>
        <w:t>. [</w:t>
      </w:r>
      <w:proofErr w:type="gramStart"/>
      <w:r w:rsidRPr="0003510F">
        <w:rPr>
          <w:rFonts w:ascii="Arial" w:hAnsi="Arial" w:cs="Arial"/>
          <w:color w:val="000000"/>
          <w:sz w:val="24"/>
          <w:szCs w:val="24"/>
          <w:shd w:val="clear" w:color="auto" w:fill="FFFFFF"/>
        </w:rPr>
        <w:t>online</w:t>
      </w:r>
      <w:proofErr w:type="gramEnd"/>
      <w:r w:rsidRPr="0003510F">
        <w:rPr>
          <w:rFonts w:ascii="Arial" w:hAnsi="Arial" w:cs="Arial"/>
          <w:color w:val="000000"/>
          <w:sz w:val="24"/>
          <w:szCs w:val="24"/>
          <w:shd w:val="clear" w:color="auto" w:fill="FFFFFF"/>
        </w:rPr>
        <w:t>] CPD Online College. Available at: &lt;https://cpdonline.co.uk/knowledge-base/business/engaging-with-stakeholders/&gt; [Accessed 6 June 2022].</w:t>
      </w:r>
      <w:r w:rsidRPr="0003510F">
        <w:rPr>
          <w:rFonts w:ascii="Arial" w:hAnsi="Arial" w:cs="Arial"/>
          <w:color w:val="000000"/>
          <w:sz w:val="24"/>
          <w:szCs w:val="24"/>
          <w:shd w:val="clear" w:color="auto" w:fill="FFFFFF"/>
        </w:rPr>
        <w:t xml:space="preserve"> </w:t>
      </w:r>
    </w:p>
    <w:p w14:paraId="1F986D7E" w14:textId="77777777" w:rsidR="0003510F" w:rsidRPr="0003510F" w:rsidRDefault="0003510F" w:rsidP="0039267C">
      <w:pPr>
        <w:rPr>
          <w:rFonts w:ascii="Arial" w:hAnsi="Arial" w:cs="Arial"/>
          <w:color w:val="000000"/>
          <w:sz w:val="24"/>
          <w:szCs w:val="24"/>
          <w:shd w:val="clear" w:color="auto" w:fill="FFFFFF"/>
        </w:rPr>
      </w:pPr>
    </w:p>
    <w:p w14:paraId="35AD3119" w14:textId="3D570424" w:rsidR="0003510F" w:rsidRDefault="0003510F" w:rsidP="0039267C">
      <w:pPr>
        <w:rPr>
          <w:rFonts w:ascii="Arial" w:hAnsi="Arial" w:cs="Arial"/>
          <w:color w:val="000000"/>
          <w:sz w:val="24"/>
          <w:szCs w:val="24"/>
          <w:shd w:val="clear" w:color="auto" w:fill="FFFFFF"/>
        </w:rPr>
      </w:pPr>
      <w:r w:rsidRPr="0003510F">
        <w:rPr>
          <w:rFonts w:ascii="Arial" w:hAnsi="Arial" w:cs="Arial"/>
          <w:color w:val="000000"/>
          <w:sz w:val="24"/>
          <w:szCs w:val="24"/>
          <w:shd w:val="clear" w:color="auto" w:fill="FFFFFF"/>
        </w:rPr>
        <w:t>Estafanous, J., 2018. </w:t>
      </w:r>
      <w:r w:rsidRPr="0003510F">
        <w:rPr>
          <w:rFonts w:ascii="Arial" w:hAnsi="Arial" w:cs="Arial"/>
          <w:i/>
          <w:iCs/>
          <w:color w:val="000000"/>
          <w:sz w:val="24"/>
          <w:szCs w:val="24"/>
          <w:shd w:val="clear" w:color="auto" w:fill="FFFFFF"/>
        </w:rPr>
        <w:t xml:space="preserve">How to Manage a Dominating Personality on Your Team | </w:t>
      </w:r>
      <w:proofErr w:type="spellStart"/>
      <w:r w:rsidRPr="0003510F">
        <w:rPr>
          <w:rFonts w:ascii="Arial" w:hAnsi="Arial" w:cs="Arial"/>
          <w:i/>
          <w:iCs/>
          <w:color w:val="000000"/>
          <w:sz w:val="24"/>
          <w:szCs w:val="24"/>
          <w:shd w:val="clear" w:color="auto" w:fill="FFFFFF"/>
        </w:rPr>
        <w:t>RallyBright</w:t>
      </w:r>
      <w:proofErr w:type="spellEnd"/>
      <w:r w:rsidRPr="0003510F">
        <w:rPr>
          <w:rFonts w:ascii="Arial" w:hAnsi="Arial" w:cs="Arial"/>
          <w:color w:val="000000"/>
          <w:sz w:val="24"/>
          <w:szCs w:val="24"/>
          <w:shd w:val="clear" w:color="auto" w:fill="FFFFFF"/>
        </w:rPr>
        <w:t>. [</w:t>
      </w:r>
      <w:proofErr w:type="gramStart"/>
      <w:r w:rsidRPr="0003510F">
        <w:rPr>
          <w:rFonts w:ascii="Arial" w:hAnsi="Arial" w:cs="Arial"/>
          <w:color w:val="000000"/>
          <w:sz w:val="24"/>
          <w:szCs w:val="24"/>
          <w:shd w:val="clear" w:color="auto" w:fill="FFFFFF"/>
        </w:rPr>
        <w:t>online</w:t>
      </w:r>
      <w:proofErr w:type="gramEnd"/>
      <w:r w:rsidRPr="0003510F">
        <w:rPr>
          <w:rFonts w:ascii="Arial" w:hAnsi="Arial" w:cs="Arial"/>
          <w:color w:val="000000"/>
          <w:sz w:val="24"/>
          <w:szCs w:val="24"/>
          <w:shd w:val="clear" w:color="auto" w:fill="FFFFFF"/>
        </w:rPr>
        <w:t>] Rallybright.com. Available at: &lt;https://www.rallybright.com/how-to-manage-a-dominating-personality-on-your-team&gt; [Accessed 6 June 2022].</w:t>
      </w:r>
    </w:p>
    <w:p w14:paraId="11BDAA1E" w14:textId="77777777" w:rsidR="003B226E" w:rsidRDefault="003B226E" w:rsidP="0039267C">
      <w:pPr>
        <w:rPr>
          <w:rFonts w:ascii="Arial" w:hAnsi="Arial" w:cs="Arial"/>
          <w:color w:val="000000"/>
          <w:sz w:val="24"/>
          <w:szCs w:val="24"/>
          <w:shd w:val="clear" w:color="auto" w:fill="FFFFFF"/>
        </w:rPr>
      </w:pPr>
    </w:p>
    <w:p w14:paraId="34340BE7" w14:textId="103A5152" w:rsidR="003B226E" w:rsidRPr="0003510F" w:rsidRDefault="003B226E" w:rsidP="0039267C">
      <w:pPr>
        <w:rPr>
          <w:rFonts w:ascii="Arial" w:hAnsi="Arial" w:cs="Arial"/>
          <w:sz w:val="24"/>
          <w:szCs w:val="24"/>
        </w:rPr>
      </w:pPr>
      <w:r w:rsidRPr="003B226E">
        <w:rPr>
          <w:rFonts w:ascii="Arial" w:hAnsi="Arial" w:cs="Arial"/>
          <w:sz w:val="24"/>
          <w:szCs w:val="24"/>
        </w:rPr>
        <w:t>Stevens-Huffman, L., 2022. 8 Ways to Deal with a Dominating Personality on Your Team. [</w:t>
      </w:r>
      <w:proofErr w:type="gramStart"/>
      <w:r w:rsidRPr="003B226E">
        <w:rPr>
          <w:rFonts w:ascii="Arial" w:hAnsi="Arial" w:cs="Arial"/>
          <w:sz w:val="24"/>
          <w:szCs w:val="24"/>
        </w:rPr>
        <w:t>online</w:t>
      </w:r>
      <w:proofErr w:type="gramEnd"/>
      <w:r w:rsidRPr="003B226E">
        <w:rPr>
          <w:rFonts w:ascii="Arial" w:hAnsi="Arial" w:cs="Arial"/>
          <w:sz w:val="24"/>
          <w:szCs w:val="24"/>
        </w:rPr>
        <w:t>] Dice Insights. Available at: &lt;https://insights.dice.com/2022/03/03/8-ways-to-deal-with-a-dominating-personality-on-your-team/&gt; [Accessed 6 June 2022].</w:t>
      </w:r>
    </w:p>
    <w:sectPr w:rsidR="003B226E" w:rsidRPr="0003510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1B48AA" w14:textId="77777777" w:rsidR="00577330" w:rsidRDefault="00577330" w:rsidP="00A63A94">
      <w:r>
        <w:separator/>
      </w:r>
    </w:p>
  </w:endnote>
  <w:endnote w:type="continuationSeparator" w:id="0">
    <w:p w14:paraId="7B210ED7" w14:textId="77777777" w:rsidR="00577330" w:rsidRDefault="00577330" w:rsidP="00A63A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5687672"/>
      <w:docPartObj>
        <w:docPartGallery w:val="Page Numbers (Bottom of Page)"/>
        <w:docPartUnique/>
      </w:docPartObj>
    </w:sdtPr>
    <w:sdtEndPr>
      <w:rPr>
        <w:noProof/>
      </w:rPr>
    </w:sdtEndPr>
    <w:sdtContent>
      <w:p w14:paraId="5B1F500D" w14:textId="002D5B6A" w:rsidR="00A63A94" w:rsidRDefault="00A63A94">
        <w:pPr>
          <w:pStyle w:val="Footer"/>
          <w:jc w:val="right"/>
        </w:pPr>
        <w:r>
          <w:fldChar w:fldCharType="begin"/>
        </w:r>
        <w:r>
          <w:instrText xml:space="preserve"> PAGE   \* MERGEFORMAT </w:instrText>
        </w:r>
        <w:r>
          <w:fldChar w:fldCharType="separate"/>
        </w:r>
        <w:r w:rsidR="004C14A3">
          <w:rPr>
            <w:noProof/>
          </w:rPr>
          <w:t>5</w:t>
        </w:r>
        <w:r>
          <w:rPr>
            <w:noProof/>
          </w:rPr>
          <w:fldChar w:fldCharType="end"/>
        </w:r>
      </w:p>
    </w:sdtContent>
  </w:sdt>
  <w:p w14:paraId="16B83A26" w14:textId="77777777" w:rsidR="00A63A94" w:rsidRDefault="00A63A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701027" w14:textId="77777777" w:rsidR="00577330" w:rsidRDefault="00577330" w:rsidP="00A63A94">
      <w:r>
        <w:separator/>
      </w:r>
    </w:p>
  </w:footnote>
  <w:footnote w:type="continuationSeparator" w:id="0">
    <w:p w14:paraId="2F5860AD" w14:textId="77777777" w:rsidR="00577330" w:rsidRDefault="00577330" w:rsidP="00A63A9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D02C58"/>
    <w:multiLevelType w:val="hybridMultilevel"/>
    <w:tmpl w:val="1B84E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1CA"/>
    <w:rsid w:val="0003510F"/>
    <w:rsid w:val="00040F19"/>
    <w:rsid w:val="000710BA"/>
    <w:rsid w:val="000D5B8E"/>
    <w:rsid w:val="0015626B"/>
    <w:rsid w:val="00212907"/>
    <w:rsid w:val="00255D9F"/>
    <w:rsid w:val="002616C8"/>
    <w:rsid w:val="00337E3D"/>
    <w:rsid w:val="0034727A"/>
    <w:rsid w:val="003606A7"/>
    <w:rsid w:val="00363D03"/>
    <w:rsid w:val="0039267C"/>
    <w:rsid w:val="003B226E"/>
    <w:rsid w:val="003E2584"/>
    <w:rsid w:val="003E742F"/>
    <w:rsid w:val="003F145B"/>
    <w:rsid w:val="00462143"/>
    <w:rsid w:val="00473B4C"/>
    <w:rsid w:val="004C14A3"/>
    <w:rsid w:val="00513C49"/>
    <w:rsid w:val="00554464"/>
    <w:rsid w:val="00577330"/>
    <w:rsid w:val="005D5080"/>
    <w:rsid w:val="006C619F"/>
    <w:rsid w:val="006D5ABC"/>
    <w:rsid w:val="007E6207"/>
    <w:rsid w:val="007F0338"/>
    <w:rsid w:val="007F5FFB"/>
    <w:rsid w:val="007F779D"/>
    <w:rsid w:val="00840B80"/>
    <w:rsid w:val="00875E6E"/>
    <w:rsid w:val="008B352F"/>
    <w:rsid w:val="008C755F"/>
    <w:rsid w:val="008E19EC"/>
    <w:rsid w:val="0090579C"/>
    <w:rsid w:val="00932993"/>
    <w:rsid w:val="0097095B"/>
    <w:rsid w:val="009721CA"/>
    <w:rsid w:val="00981BD7"/>
    <w:rsid w:val="00997D33"/>
    <w:rsid w:val="009B44AE"/>
    <w:rsid w:val="009B64C5"/>
    <w:rsid w:val="009C2203"/>
    <w:rsid w:val="00A40860"/>
    <w:rsid w:val="00A63A94"/>
    <w:rsid w:val="00A640A6"/>
    <w:rsid w:val="00A94907"/>
    <w:rsid w:val="00A95CF4"/>
    <w:rsid w:val="00B74E7E"/>
    <w:rsid w:val="00B763CE"/>
    <w:rsid w:val="00B77A23"/>
    <w:rsid w:val="00BC3749"/>
    <w:rsid w:val="00C11583"/>
    <w:rsid w:val="00DE261F"/>
    <w:rsid w:val="00E24AAE"/>
    <w:rsid w:val="00E45677"/>
    <w:rsid w:val="00E622EE"/>
    <w:rsid w:val="00F06B0A"/>
    <w:rsid w:val="00F14420"/>
    <w:rsid w:val="00FB040C"/>
    <w:rsid w:val="00FD6820"/>
    <w:rsid w:val="00FE7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0D6C4"/>
  <w15:chartTrackingRefBased/>
  <w15:docId w15:val="{39FB5F3E-7A37-4EF0-A87E-6876C3EA4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21C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1CA"/>
    <w:pPr>
      <w:ind w:left="720"/>
      <w:contextualSpacing/>
    </w:pPr>
  </w:style>
  <w:style w:type="character" w:styleId="Hyperlink">
    <w:name w:val="Hyperlink"/>
    <w:basedOn w:val="DefaultParagraphFont"/>
    <w:uiPriority w:val="99"/>
    <w:unhideWhenUsed/>
    <w:rsid w:val="009B44AE"/>
    <w:rPr>
      <w:color w:val="0563C1" w:themeColor="hyperlink"/>
      <w:u w:val="single"/>
    </w:rPr>
  </w:style>
  <w:style w:type="paragraph" w:styleId="Header">
    <w:name w:val="header"/>
    <w:basedOn w:val="Normal"/>
    <w:link w:val="HeaderChar"/>
    <w:uiPriority w:val="99"/>
    <w:unhideWhenUsed/>
    <w:rsid w:val="00A63A94"/>
    <w:pPr>
      <w:tabs>
        <w:tab w:val="center" w:pos="4513"/>
        <w:tab w:val="right" w:pos="9026"/>
      </w:tabs>
    </w:pPr>
  </w:style>
  <w:style w:type="character" w:customStyle="1" w:styleId="HeaderChar">
    <w:name w:val="Header Char"/>
    <w:basedOn w:val="DefaultParagraphFont"/>
    <w:link w:val="Header"/>
    <w:uiPriority w:val="99"/>
    <w:rsid w:val="00A63A9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63A94"/>
    <w:pPr>
      <w:tabs>
        <w:tab w:val="center" w:pos="4513"/>
        <w:tab w:val="right" w:pos="9026"/>
      </w:tabs>
    </w:pPr>
  </w:style>
  <w:style w:type="character" w:customStyle="1" w:styleId="FooterChar">
    <w:name w:val="Footer Char"/>
    <w:basedOn w:val="DefaultParagraphFont"/>
    <w:link w:val="Footer"/>
    <w:uiPriority w:val="99"/>
    <w:rsid w:val="00A63A94"/>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B763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S1534-085620200000020004" TargetMode="External"/><Relationship Id="rId13" Type="http://schemas.openxmlformats.org/officeDocument/2006/relationships/hyperlink" Target="https://doi.org/10.1093/bjsw/bcn081" TargetMode="External"/><Relationship Id="rId3" Type="http://schemas.openxmlformats.org/officeDocument/2006/relationships/settings" Target="settings.xml"/><Relationship Id="rId7" Type="http://schemas.openxmlformats.org/officeDocument/2006/relationships/hyperlink" Target="https://ink.library.smu.edu.sg/soa_research/1942" TargetMode="External"/><Relationship Id="rId12" Type="http://schemas.openxmlformats.org/officeDocument/2006/relationships/hyperlink" Target="https://doi.org/10.1108/0019785111116047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publication/issn/0019-785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merald.com/insight/search?q=John%20Edmonds" TargetMode="External"/><Relationship Id="rId4" Type="http://schemas.openxmlformats.org/officeDocument/2006/relationships/webSettings" Target="webSettings.xml"/><Relationship Id="rId9" Type="http://schemas.openxmlformats.org/officeDocument/2006/relationships/hyperlink" Target="https://doi.org/10.1037/apl000027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4513</TotalTime>
  <Pages>5</Pages>
  <Words>2227</Words>
  <Characters>12700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Cooke, Gareth (Residential Child Care Worker (Relief))</dc:creator>
  <cp:keywords/>
  <dc:description/>
  <cp:lastModifiedBy>Gareth Cooke (Aneurin Bevan UHB - Planning)</cp:lastModifiedBy>
  <cp:revision>33</cp:revision>
  <dcterms:created xsi:type="dcterms:W3CDTF">2022-05-16T12:03:00Z</dcterms:created>
  <dcterms:modified xsi:type="dcterms:W3CDTF">2022-06-06T13:47:00Z</dcterms:modified>
</cp:coreProperties>
</file>