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D3C95F" w14:textId="6030F5EF" w:rsidR="006804B4" w:rsidRDefault="007F087F">
      <w:r w:rsidRPr="00714E7C">
        <w:rPr>
          <w:rFonts w:ascii="Aptos" w:eastAsia="DengXian" w:hAnsi="Aptos" w:cs="Arial"/>
          <w:noProof/>
          <w:lang w:eastAsia="zh-CN"/>
        </w:rPr>
        <w:drawing>
          <wp:inline distT="0" distB="0" distL="0" distR="0" wp14:anchorId="5157B16F" wp14:editId="2C3EC079">
            <wp:extent cx="3209925" cy="1428750"/>
            <wp:effectExtent l="0" t="0" r="9525" b="0"/>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32B84F7F" w14:textId="77777777" w:rsidR="007F087F" w:rsidRDefault="007F087F"/>
    <w:p w14:paraId="0586DFE5" w14:textId="77777777" w:rsidR="007F087F" w:rsidRDefault="007F087F"/>
    <w:p w14:paraId="40F07611" w14:textId="77777777" w:rsidR="007F087F" w:rsidRDefault="007F087F"/>
    <w:p w14:paraId="16218C75" w14:textId="272F1FA8" w:rsidR="007F087F" w:rsidRDefault="007F087F" w:rsidP="007F087F">
      <w:pPr>
        <w:jc w:val="center"/>
        <w:rPr>
          <w:rFonts w:ascii="Aptos" w:eastAsia="DengXian" w:hAnsi="Aptos" w:cs="Arial"/>
          <w:lang w:eastAsia="zh-CN"/>
        </w:rPr>
      </w:pPr>
      <w:r w:rsidRPr="00714E7C">
        <w:rPr>
          <w:rFonts w:ascii="Aptos" w:eastAsia="DengXian" w:hAnsi="Aptos" w:cs="Arial"/>
          <w:lang w:eastAsia="zh-CN"/>
        </w:rPr>
        <w:t xml:space="preserve">Task 2: </w:t>
      </w:r>
    </w:p>
    <w:p w14:paraId="513C4D2E" w14:textId="77777777" w:rsidR="007F087F" w:rsidRDefault="007F087F" w:rsidP="007F087F">
      <w:pPr>
        <w:jc w:val="center"/>
        <w:rPr>
          <w:rFonts w:ascii="Aptos" w:eastAsia="DengXian" w:hAnsi="Aptos" w:cs="Arial"/>
          <w:lang w:eastAsia="zh-CN"/>
        </w:rPr>
      </w:pPr>
    </w:p>
    <w:p w14:paraId="21BBB67D" w14:textId="77777777" w:rsidR="007F087F" w:rsidRDefault="007F087F" w:rsidP="007F087F">
      <w:pPr>
        <w:jc w:val="center"/>
        <w:rPr>
          <w:rFonts w:ascii="Aptos" w:eastAsia="DengXian" w:hAnsi="Aptos" w:cs="Arial"/>
          <w:lang w:eastAsia="zh-CN"/>
        </w:rPr>
      </w:pPr>
    </w:p>
    <w:p w14:paraId="3FFFA33A" w14:textId="77777777" w:rsidR="007F087F" w:rsidRDefault="007F087F" w:rsidP="007F087F">
      <w:pPr>
        <w:jc w:val="center"/>
        <w:rPr>
          <w:rFonts w:ascii="Aptos" w:eastAsia="DengXian" w:hAnsi="Aptos" w:cs="Arial"/>
          <w:lang w:eastAsia="zh-CN"/>
        </w:rPr>
      </w:pPr>
    </w:p>
    <w:p w14:paraId="54EEF802" w14:textId="77777777" w:rsidR="007F087F" w:rsidRPr="00714E7C" w:rsidRDefault="007F087F" w:rsidP="007F087F">
      <w:pPr>
        <w:rPr>
          <w:rFonts w:ascii="Aptos" w:eastAsia="DengXian" w:hAnsi="Aptos" w:cs="Arial"/>
          <w:lang w:eastAsia="zh-CN"/>
        </w:rPr>
      </w:pPr>
      <w:r w:rsidRPr="00714E7C">
        <w:rPr>
          <w:rFonts w:ascii="Aptos" w:eastAsia="DengXian" w:hAnsi="Aptos" w:cs="Arial"/>
          <w:lang w:eastAsia="zh-CN"/>
        </w:rPr>
        <w:t>Name: Patricia Lopes Faria Falcao</w:t>
      </w:r>
    </w:p>
    <w:p w14:paraId="6EAD4382" w14:textId="77777777" w:rsidR="007F087F" w:rsidRPr="00714E7C" w:rsidRDefault="007F087F" w:rsidP="007F087F">
      <w:pPr>
        <w:rPr>
          <w:rFonts w:ascii="Aptos" w:eastAsia="DengXian" w:hAnsi="Aptos" w:cs="Arial"/>
          <w:lang w:eastAsia="zh-CN"/>
        </w:rPr>
      </w:pPr>
      <w:r w:rsidRPr="00714E7C">
        <w:rPr>
          <w:rFonts w:ascii="Aptos" w:eastAsia="DengXian" w:hAnsi="Aptos" w:cs="Arial"/>
          <w:lang w:eastAsia="zh-CN"/>
        </w:rPr>
        <w:t>Student’s ID number: 2426390</w:t>
      </w:r>
    </w:p>
    <w:p w14:paraId="0803C9D1" w14:textId="0491CE54" w:rsidR="007F087F" w:rsidRPr="00714E7C" w:rsidRDefault="007F087F" w:rsidP="007F087F">
      <w:pPr>
        <w:rPr>
          <w:rFonts w:ascii="Aptos" w:eastAsia="DengXian" w:hAnsi="Aptos" w:cs="Arial"/>
          <w:lang w:eastAsia="zh-CN"/>
        </w:rPr>
      </w:pPr>
      <w:r w:rsidRPr="00714E7C">
        <w:rPr>
          <w:rFonts w:ascii="Aptos" w:eastAsia="DengXian" w:hAnsi="Aptos" w:cs="Arial"/>
          <w:lang w:eastAsia="zh-CN"/>
        </w:rPr>
        <w:t xml:space="preserve">Module Code: </w:t>
      </w:r>
      <w:r>
        <w:t>LCHS40</w:t>
      </w:r>
      <w:r>
        <w:t>10</w:t>
      </w:r>
    </w:p>
    <w:p w14:paraId="14620682" w14:textId="528A145C" w:rsidR="007F087F" w:rsidRPr="00714E7C" w:rsidRDefault="007F087F" w:rsidP="007F087F">
      <w:pPr>
        <w:rPr>
          <w:rFonts w:ascii="Aptos" w:eastAsia="DengXian" w:hAnsi="Aptos" w:cs="Arial"/>
          <w:lang w:eastAsia="zh-CN"/>
        </w:rPr>
      </w:pPr>
      <w:r w:rsidRPr="00714E7C">
        <w:rPr>
          <w:rFonts w:ascii="Aptos" w:eastAsia="DengXian" w:hAnsi="Aptos" w:cs="Arial"/>
          <w:lang w:eastAsia="zh-CN"/>
        </w:rPr>
        <w:t xml:space="preserve">Module name: </w:t>
      </w:r>
      <w:r>
        <w:t>Psychology in Health and Social Care</w:t>
      </w:r>
    </w:p>
    <w:p w14:paraId="0FA069D1" w14:textId="1EECB3EF" w:rsidR="007F087F" w:rsidRDefault="007F087F" w:rsidP="007F087F">
      <w:pPr>
        <w:rPr>
          <w:rFonts w:ascii="Aptos" w:eastAsia="DengXian" w:hAnsi="Aptos" w:cs="Arial"/>
          <w:lang w:eastAsia="zh-CN"/>
        </w:rPr>
      </w:pPr>
      <w:r w:rsidRPr="00714E7C">
        <w:rPr>
          <w:rFonts w:ascii="Aptos" w:eastAsia="DengXian" w:hAnsi="Aptos" w:cs="Arial"/>
          <w:lang w:eastAsia="zh-CN"/>
        </w:rPr>
        <w:t>Lecturer:</w:t>
      </w:r>
      <w:r>
        <w:rPr>
          <w:rFonts w:ascii="Aptos" w:eastAsia="DengXian" w:hAnsi="Aptos" w:cs="Arial"/>
          <w:lang w:eastAsia="zh-CN"/>
        </w:rPr>
        <w:t xml:space="preserve"> </w:t>
      </w:r>
      <w:r>
        <w:rPr>
          <w:rFonts w:ascii="Aptos" w:eastAsia="DengXian" w:hAnsi="Aptos" w:cs="Arial"/>
          <w:lang w:eastAsia="zh-CN"/>
        </w:rPr>
        <w:t xml:space="preserve">Peace </w:t>
      </w:r>
      <w:r w:rsidR="00580412">
        <w:rPr>
          <w:rFonts w:ascii="Aptos" w:eastAsia="DengXian" w:hAnsi="Aptos" w:cs="Arial"/>
          <w:lang w:eastAsia="zh-CN"/>
        </w:rPr>
        <w:t xml:space="preserve">Ukachukwu </w:t>
      </w:r>
    </w:p>
    <w:p w14:paraId="5E29BC9B" w14:textId="77777777" w:rsidR="007F087F" w:rsidRPr="00714E7C" w:rsidRDefault="007F087F" w:rsidP="007F087F">
      <w:pPr>
        <w:rPr>
          <w:rFonts w:ascii="Aptos" w:eastAsia="DengXian" w:hAnsi="Aptos" w:cs="Arial"/>
          <w:lang w:eastAsia="zh-CN"/>
        </w:rPr>
      </w:pPr>
    </w:p>
    <w:p w14:paraId="4904447C" w14:textId="77777777" w:rsidR="007F087F" w:rsidRDefault="007F087F"/>
    <w:p w14:paraId="746BDC77" w14:textId="77777777" w:rsidR="007F087F" w:rsidRDefault="007F087F"/>
    <w:p w14:paraId="374F8DF8" w14:textId="77777777" w:rsidR="007F087F" w:rsidRDefault="007F087F"/>
    <w:p w14:paraId="4203A986" w14:textId="77777777" w:rsidR="007F087F" w:rsidRDefault="007F087F"/>
    <w:p w14:paraId="7B96C0E4" w14:textId="77777777" w:rsidR="007F087F" w:rsidRDefault="007F087F"/>
    <w:p w14:paraId="0E483F55" w14:textId="77777777" w:rsidR="007F087F" w:rsidRDefault="007F087F"/>
    <w:p w14:paraId="491D7141" w14:textId="77777777" w:rsidR="007F087F" w:rsidRDefault="007F087F"/>
    <w:p w14:paraId="41EE54CD" w14:textId="77777777" w:rsidR="007F087F" w:rsidRDefault="007F087F"/>
    <w:p w14:paraId="36F16511" w14:textId="664BFE7E" w:rsidR="007F087F" w:rsidRPr="00224671" w:rsidRDefault="007F087F" w:rsidP="007F087F">
      <w:pPr>
        <w:jc w:val="center"/>
        <w:rPr>
          <w:rFonts w:ascii="Aptos" w:eastAsia="DengXian" w:hAnsi="Aptos" w:cs="Arial"/>
          <w:lang w:eastAsia="zh-CN"/>
        </w:rPr>
      </w:pPr>
      <w:r>
        <w:rPr>
          <w:rFonts w:ascii="Aptos" w:eastAsia="DengXian" w:hAnsi="Aptos" w:cs="Arial"/>
          <w:lang w:eastAsia="zh-CN"/>
        </w:rPr>
        <w:t>Submitted 1</w:t>
      </w:r>
      <w:r>
        <w:rPr>
          <w:rFonts w:ascii="Aptos" w:eastAsia="DengXian" w:hAnsi="Aptos" w:cs="Arial"/>
          <w:lang w:eastAsia="zh-CN"/>
        </w:rPr>
        <w:t>9</w:t>
      </w:r>
      <w:r>
        <w:rPr>
          <w:rFonts w:ascii="Aptos" w:eastAsia="DengXian" w:hAnsi="Aptos" w:cs="Arial"/>
          <w:lang w:eastAsia="zh-CN"/>
        </w:rPr>
        <w:t>/12/202</w:t>
      </w:r>
      <w:r>
        <w:rPr>
          <w:rFonts w:ascii="Aptos" w:eastAsia="DengXian" w:hAnsi="Aptos" w:cs="Arial"/>
          <w:lang w:eastAsia="zh-CN"/>
        </w:rPr>
        <w:t>5</w:t>
      </w:r>
    </w:p>
    <w:p w14:paraId="56DF1FAC" w14:textId="77777777" w:rsidR="007F087F" w:rsidRDefault="007F087F"/>
    <w:p w14:paraId="12B012D3" w14:textId="493B3805" w:rsidR="007F087F" w:rsidRDefault="007F087F" w:rsidP="00580412">
      <w:pPr>
        <w:spacing w:line="360" w:lineRule="auto"/>
        <w:rPr>
          <w:rFonts w:ascii="Arial" w:hAnsi="Arial" w:cs="Arial"/>
          <w:b/>
          <w:bCs/>
          <w:sz w:val="22"/>
          <w:szCs w:val="22"/>
        </w:rPr>
      </w:pPr>
      <w:r w:rsidRPr="007F087F">
        <w:rPr>
          <w:rFonts w:ascii="Arial" w:hAnsi="Arial" w:cs="Arial"/>
          <w:b/>
          <w:bCs/>
          <w:sz w:val="22"/>
          <w:szCs w:val="22"/>
        </w:rPr>
        <w:lastRenderedPageBreak/>
        <w:t>1 Introduction</w:t>
      </w:r>
    </w:p>
    <w:p w14:paraId="6FB57CF0" w14:textId="77777777" w:rsidR="00626D4B" w:rsidRDefault="00626D4B" w:rsidP="00580412">
      <w:pPr>
        <w:spacing w:line="360" w:lineRule="auto"/>
        <w:rPr>
          <w:rFonts w:ascii="Arial" w:hAnsi="Arial" w:cs="Arial"/>
          <w:b/>
          <w:bCs/>
          <w:sz w:val="22"/>
          <w:szCs w:val="22"/>
        </w:rPr>
      </w:pPr>
    </w:p>
    <w:p w14:paraId="72C635A9" w14:textId="77777777" w:rsidR="007F087F" w:rsidRDefault="007F087F" w:rsidP="00580412">
      <w:pPr>
        <w:spacing w:line="360" w:lineRule="auto"/>
        <w:rPr>
          <w:rFonts w:ascii="Arial" w:hAnsi="Arial" w:cs="Arial"/>
          <w:b/>
          <w:bCs/>
          <w:sz w:val="22"/>
          <w:szCs w:val="22"/>
        </w:rPr>
      </w:pPr>
    </w:p>
    <w:p w14:paraId="21E3F437" w14:textId="5ED39A30" w:rsidR="007F087F" w:rsidRDefault="00036238" w:rsidP="00580412">
      <w:pPr>
        <w:spacing w:line="360" w:lineRule="auto"/>
        <w:jc w:val="both"/>
        <w:rPr>
          <w:rFonts w:ascii="Arial" w:hAnsi="Arial" w:cs="Arial"/>
          <w:sz w:val="22"/>
          <w:szCs w:val="22"/>
        </w:rPr>
      </w:pPr>
      <w:r>
        <w:rPr>
          <w:rFonts w:ascii="Arial" w:hAnsi="Arial" w:cs="Arial"/>
          <w:sz w:val="22"/>
          <w:szCs w:val="22"/>
        </w:rPr>
        <w:t>Older adults aged 65 and o</w:t>
      </w:r>
      <w:r w:rsidR="00B93DAA">
        <w:rPr>
          <w:rFonts w:ascii="Arial" w:hAnsi="Arial" w:cs="Arial"/>
          <w:sz w:val="22"/>
          <w:szCs w:val="22"/>
        </w:rPr>
        <w:t>ver often experience emotional and psychological challenges as part of the ageing process</w:t>
      </w:r>
      <w:r>
        <w:rPr>
          <w:rFonts w:ascii="Arial" w:hAnsi="Arial" w:cs="Arial"/>
          <w:sz w:val="22"/>
          <w:szCs w:val="22"/>
        </w:rPr>
        <w:t>. These Challenges can become more complex for individuals living w</w:t>
      </w:r>
      <w:r w:rsidR="00AE36A9">
        <w:rPr>
          <w:rFonts w:ascii="Arial" w:hAnsi="Arial" w:cs="Arial"/>
          <w:sz w:val="22"/>
          <w:szCs w:val="22"/>
        </w:rPr>
        <w:t>ith</w:t>
      </w:r>
      <w:r>
        <w:rPr>
          <w:rFonts w:ascii="Arial" w:hAnsi="Arial" w:cs="Arial"/>
          <w:sz w:val="22"/>
          <w:szCs w:val="22"/>
        </w:rPr>
        <w:t xml:space="preserve"> dementia, particularly those reside in a dementia care home. Dementia affects memory, communication and behaviour,</w:t>
      </w:r>
      <w:r w:rsidR="00AE36A9">
        <w:rPr>
          <w:rFonts w:ascii="Arial" w:hAnsi="Arial" w:cs="Arial"/>
          <w:sz w:val="22"/>
          <w:szCs w:val="22"/>
        </w:rPr>
        <w:t xml:space="preserve"> which can influence how individuals understand themselves and interact with o</w:t>
      </w:r>
      <w:r w:rsidR="0048144C">
        <w:rPr>
          <w:rFonts w:ascii="Arial" w:hAnsi="Arial" w:cs="Arial"/>
          <w:sz w:val="22"/>
          <w:szCs w:val="22"/>
        </w:rPr>
        <w:t>thers</w:t>
      </w:r>
      <w:r>
        <w:rPr>
          <w:rFonts w:ascii="Arial" w:hAnsi="Arial" w:cs="Arial"/>
          <w:sz w:val="22"/>
          <w:szCs w:val="22"/>
        </w:rPr>
        <w:t>.</w:t>
      </w:r>
      <w:r w:rsidR="0048144C">
        <w:rPr>
          <w:rFonts w:ascii="Arial" w:hAnsi="Arial" w:cs="Arial"/>
          <w:sz w:val="22"/>
          <w:szCs w:val="22"/>
        </w:rPr>
        <w:t xml:space="preserve"> This can make everyday life distressing for both individuals with dementia and those who support them.</w:t>
      </w:r>
    </w:p>
    <w:p w14:paraId="0B16497C" w14:textId="51D7AC76" w:rsidR="00036238" w:rsidRDefault="00036238" w:rsidP="00580412">
      <w:pPr>
        <w:spacing w:line="360" w:lineRule="auto"/>
        <w:jc w:val="both"/>
        <w:rPr>
          <w:rFonts w:ascii="Arial" w:hAnsi="Arial" w:cs="Arial"/>
          <w:sz w:val="22"/>
          <w:szCs w:val="22"/>
        </w:rPr>
      </w:pPr>
      <w:r>
        <w:rPr>
          <w:rFonts w:ascii="Arial" w:hAnsi="Arial" w:cs="Arial"/>
          <w:sz w:val="22"/>
          <w:szCs w:val="22"/>
        </w:rPr>
        <w:t xml:space="preserve">For health and social care professionals, understand </w:t>
      </w:r>
      <w:r w:rsidR="0048144C">
        <w:rPr>
          <w:rFonts w:ascii="Arial" w:hAnsi="Arial" w:cs="Arial"/>
          <w:sz w:val="22"/>
          <w:szCs w:val="22"/>
        </w:rPr>
        <w:t>emotional and psychological needs is important as meeting physical needs</w:t>
      </w:r>
      <w:r w:rsidR="003F6BE8">
        <w:rPr>
          <w:rFonts w:ascii="Arial" w:hAnsi="Arial" w:cs="Arial"/>
          <w:sz w:val="22"/>
          <w:szCs w:val="22"/>
        </w:rPr>
        <w:t xml:space="preserve">. </w:t>
      </w:r>
      <w:r w:rsidR="0048144C">
        <w:rPr>
          <w:rFonts w:ascii="Arial" w:hAnsi="Arial" w:cs="Arial"/>
          <w:sz w:val="22"/>
          <w:szCs w:val="22"/>
        </w:rPr>
        <w:t>Psychological theories offer useful frameworks for understanding behaviour and emotional responses in later life. When applied effectively, these theories support person-centred care and help promote dignity, emotional wellbeing and quality of life.</w:t>
      </w:r>
    </w:p>
    <w:p w14:paraId="7241C63E" w14:textId="293CD12B" w:rsidR="003F6BE8" w:rsidRDefault="003F6BE8" w:rsidP="00580412">
      <w:pPr>
        <w:spacing w:line="360" w:lineRule="auto"/>
        <w:jc w:val="both"/>
        <w:rPr>
          <w:rFonts w:ascii="Arial" w:hAnsi="Arial" w:cs="Arial"/>
          <w:sz w:val="22"/>
          <w:szCs w:val="22"/>
        </w:rPr>
      </w:pPr>
      <w:r>
        <w:rPr>
          <w:rFonts w:ascii="Arial" w:hAnsi="Arial" w:cs="Arial"/>
          <w:sz w:val="22"/>
          <w:szCs w:val="22"/>
        </w:rPr>
        <w:t xml:space="preserve">This report focuses on older adults living in a dementia care home and explores how psychological theories can be used to support individuals aged 65 </w:t>
      </w:r>
      <w:r w:rsidR="00626D4B">
        <w:rPr>
          <w:rFonts w:ascii="Arial" w:hAnsi="Arial" w:cs="Arial"/>
          <w:sz w:val="22"/>
          <w:szCs w:val="22"/>
        </w:rPr>
        <w:t>and over. It examine</w:t>
      </w:r>
      <w:r w:rsidR="00DA71F7">
        <w:rPr>
          <w:rFonts w:ascii="Arial" w:hAnsi="Arial" w:cs="Arial"/>
          <w:sz w:val="22"/>
          <w:szCs w:val="22"/>
        </w:rPr>
        <w:t xml:space="preserve">s </w:t>
      </w:r>
      <w:r w:rsidR="00626D4B">
        <w:rPr>
          <w:rFonts w:ascii="Arial" w:hAnsi="Arial" w:cs="Arial"/>
          <w:sz w:val="22"/>
          <w:szCs w:val="22"/>
        </w:rPr>
        <w:t>Erikson’s theory of psychosocial development and Freud’s psychodynamic theory and consider how these frameworks can be applied within Health and Social Care setting</w:t>
      </w:r>
      <w:r w:rsidR="00DA71F7">
        <w:rPr>
          <w:rFonts w:ascii="Arial" w:hAnsi="Arial" w:cs="Arial"/>
          <w:sz w:val="22"/>
          <w:szCs w:val="22"/>
        </w:rPr>
        <w:t>s.</w:t>
      </w:r>
    </w:p>
    <w:p w14:paraId="74833D20" w14:textId="77777777" w:rsidR="00626D4B" w:rsidRDefault="00626D4B" w:rsidP="00580412">
      <w:pPr>
        <w:spacing w:line="360" w:lineRule="auto"/>
        <w:jc w:val="both"/>
        <w:rPr>
          <w:rFonts w:ascii="Arial" w:hAnsi="Arial" w:cs="Arial"/>
          <w:sz w:val="22"/>
          <w:szCs w:val="22"/>
        </w:rPr>
      </w:pPr>
    </w:p>
    <w:p w14:paraId="77B690BA" w14:textId="77777777" w:rsidR="00626D4B" w:rsidRDefault="00626D4B" w:rsidP="00580412">
      <w:pPr>
        <w:spacing w:line="360" w:lineRule="auto"/>
        <w:jc w:val="both"/>
        <w:rPr>
          <w:rFonts w:ascii="Arial" w:hAnsi="Arial" w:cs="Arial"/>
          <w:sz w:val="22"/>
          <w:szCs w:val="22"/>
        </w:rPr>
      </w:pPr>
    </w:p>
    <w:p w14:paraId="3F23C381" w14:textId="77777777" w:rsidR="00626D4B" w:rsidRDefault="00626D4B" w:rsidP="00580412">
      <w:pPr>
        <w:spacing w:line="360" w:lineRule="auto"/>
        <w:jc w:val="both"/>
        <w:rPr>
          <w:rFonts w:ascii="Arial" w:hAnsi="Arial" w:cs="Arial"/>
          <w:sz w:val="22"/>
          <w:szCs w:val="22"/>
        </w:rPr>
      </w:pPr>
    </w:p>
    <w:p w14:paraId="334D40D9" w14:textId="77777777" w:rsidR="00626D4B" w:rsidRDefault="00626D4B" w:rsidP="00580412">
      <w:pPr>
        <w:spacing w:line="360" w:lineRule="auto"/>
        <w:jc w:val="both"/>
        <w:rPr>
          <w:rFonts w:ascii="Arial" w:hAnsi="Arial" w:cs="Arial"/>
          <w:sz w:val="22"/>
          <w:szCs w:val="22"/>
        </w:rPr>
      </w:pPr>
    </w:p>
    <w:p w14:paraId="4646609D" w14:textId="77777777" w:rsidR="00626D4B" w:rsidRDefault="00626D4B" w:rsidP="00580412">
      <w:pPr>
        <w:spacing w:line="360" w:lineRule="auto"/>
        <w:jc w:val="both"/>
        <w:rPr>
          <w:rFonts w:ascii="Arial" w:hAnsi="Arial" w:cs="Arial"/>
          <w:sz w:val="22"/>
          <w:szCs w:val="22"/>
        </w:rPr>
      </w:pPr>
    </w:p>
    <w:p w14:paraId="1FF1C11C" w14:textId="77777777" w:rsidR="00626D4B" w:rsidRDefault="00626D4B" w:rsidP="00580412">
      <w:pPr>
        <w:spacing w:line="360" w:lineRule="auto"/>
        <w:jc w:val="both"/>
        <w:rPr>
          <w:rFonts w:ascii="Arial" w:hAnsi="Arial" w:cs="Arial"/>
          <w:sz w:val="22"/>
          <w:szCs w:val="22"/>
        </w:rPr>
      </w:pPr>
    </w:p>
    <w:p w14:paraId="03BF3305" w14:textId="77777777" w:rsidR="00626D4B" w:rsidRDefault="00626D4B" w:rsidP="00580412">
      <w:pPr>
        <w:spacing w:line="360" w:lineRule="auto"/>
        <w:jc w:val="both"/>
        <w:rPr>
          <w:rFonts w:ascii="Arial" w:hAnsi="Arial" w:cs="Arial"/>
          <w:sz w:val="22"/>
          <w:szCs w:val="22"/>
        </w:rPr>
      </w:pPr>
    </w:p>
    <w:p w14:paraId="164B6FFB" w14:textId="77777777" w:rsidR="00626D4B" w:rsidRDefault="00626D4B" w:rsidP="00580412">
      <w:pPr>
        <w:spacing w:line="360" w:lineRule="auto"/>
        <w:jc w:val="both"/>
        <w:rPr>
          <w:rFonts w:ascii="Arial" w:hAnsi="Arial" w:cs="Arial"/>
          <w:sz w:val="22"/>
          <w:szCs w:val="22"/>
        </w:rPr>
      </w:pPr>
    </w:p>
    <w:p w14:paraId="76FEC1A0" w14:textId="77777777" w:rsidR="00626D4B" w:rsidRDefault="00626D4B" w:rsidP="00580412">
      <w:pPr>
        <w:spacing w:line="360" w:lineRule="auto"/>
        <w:jc w:val="both"/>
        <w:rPr>
          <w:rFonts w:ascii="Arial" w:hAnsi="Arial" w:cs="Arial"/>
          <w:sz w:val="22"/>
          <w:szCs w:val="22"/>
        </w:rPr>
      </w:pPr>
    </w:p>
    <w:p w14:paraId="73E4FD54" w14:textId="77777777" w:rsidR="00626D4B" w:rsidRDefault="00626D4B" w:rsidP="00580412">
      <w:pPr>
        <w:spacing w:line="360" w:lineRule="auto"/>
        <w:jc w:val="both"/>
        <w:rPr>
          <w:rFonts w:ascii="Arial" w:hAnsi="Arial" w:cs="Arial"/>
          <w:sz w:val="22"/>
          <w:szCs w:val="22"/>
        </w:rPr>
      </w:pPr>
    </w:p>
    <w:p w14:paraId="11BA3819" w14:textId="2CF07D68" w:rsidR="00626D4B" w:rsidRDefault="00CE714C" w:rsidP="00580412">
      <w:pPr>
        <w:spacing w:line="360" w:lineRule="auto"/>
        <w:jc w:val="both"/>
        <w:rPr>
          <w:rFonts w:ascii="Arial" w:hAnsi="Arial" w:cs="Arial"/>
          <w:b/>
          <w:bCs/>
          <w:sz w:val="22"/>
          <w:szCs w:val="22"/>
        </w:rPr>
      </w:pPr>
      <w:r>
        <w:rPr>
          <w:rFonts w:ascii="Arial" w:hAnsi="Arial" w:cs="Arial"/>
          <w:b/>
          <w:bCs/>
          <w:sz w:val="22"/>
          <w:szCs w:val="22"/>
        </w:rPr>
        <w:t xml:space="preserve"> </w:t>
      </w:r>
    </w:p>
    <w:p w14:paraId="55872A8B" w14:textId="44F43E99" w:rsidR="00CE714C" w:rsidRDefault="00CE714C" w:rsidP="00580412">
      <w:pPr>
        <w:spacing w:line="360" w:lineRule="auto"/>
        <w:jc w:val="both"/>
        <w:rPr>
          <w:rFonts w:ascii="Arial" w:hAnsi="Arial" w:cs="Arial"/>
          <w:b/>
          <w:bCs/>
          <w:sz w:val="22"/>
          <w:szCs w:val="22"/>
        </w:rPr>
      </w:pPr>
      <w:r>
        <w:rPr>
          <w:rFonts w:ascii="Arial" w:hAnsi="Arial" w:cs="Arial"/>
          <w:b/>
          <w:bCs/>
          <w:sz w:val="22"/>
          <w:szCs w:val="22"/>
        </w:rPr>
        <w:lastRenderedPageBreak/>
        <w:t xml:space="preserve">2 Erikson’s Theory of Psychosocial Development </w:t>
      </w:r>
    </w:p>
    <w:p w14:paraId="0433655F" w14:textId="77777777" w:rsidR="00CE714C" w:rsidRDefault="00CE714C" w:rsidP="00580412">
      <w:pPr>
        <w:spacing w:line="360" w:lineRule="auto"/>
        <w:jc w:val="both"/>
        <w:rPr>
          <w:rFonts w:ascii="Arial" w:hAnsi="Arial" w:cs="Arial"/>
          <w:sz w:val="22"/>
          <w:szCs w:val="22"/>
        </w:rPr>
      </w:pPr>
    </w:p>
    <w:p w14:paraId="1F262CE2" w14:textId="7BAB74BE" w:rsidR="002C4535" w:rsidRDefault="00CE714C" w:rsidP="00580412">
      <w:pPr>
        <w:spacing w:line="360" w:lineRule="auto"/>
        <w:jc w:val="both"/>
        <w:rPr>
          <w:rFonts w:ascii="Arial" w:hAnsi="Arial" w:cs="Arial"/>
          <w:sz w:val="22"/>
          <w:szCs w:val="22"/>
        </w:rPr>
      </w:pPr>
      <w:r>
        <w:rPr>
          <w:rFonts w:ascii="Arial" w:hAnsi="Arial" w:cs="Arial"/>
          <w:sz w:val="22"/>
          <w:szCs w:val="22"/>
        </w:rPr>
        <w:t xml:space="preserve">Erikson’s </w:t>
      </w:r>
      <w:r w:rsidR="00503FDB">
        <w:rPr>
          <w:rFonts w:ascii="Arial" w:hAnsi="Arial" w:cs="Arial"/>
          <w:sz w:val="22"/>
          <w:szCs w:val="22"/>
        </w:rPr>
        <w:t>theory of psychosocial development explains that people experience a series of psychological stages throughout their lives, with each stage presenting a key emotional challenge (Erikson, 1982). In later adulthood, usually from the age of 65 onwards, individuals enter the stage know as integr</w:t>
      </w:r>
      <w:r w:rsidR="002C4535">
        <w:rPr>
          <w:rFonts w:ascii="Arial" w:hAnsi="Arial" w:cs="Arial"/>
          <w:sz w:val="22"/>
          <w:szCs w:val="22"/>
        </w:rPr>
        <w:t>ity versus despair. This stage relates to how older people look back on their lives and whether they feel a sense of acceptance or regret.</w:t>
      </w:r>
    </w:p>
    <w:p w14:paraId="5C476144" w14:textId="40B9E0FB" w:rsidR="002C4535" w:rsidRDefault="002C4535" w:rsidP="00580412">
      <w:pPr>
        <w:spacing w:line="360" w:lineRule="auto"/>
        <w:jc w:val="both"/>
        <w:rPr>
          <w:rFonts w:ascii="Arial" w:hAnsi="Arial" w:cs="Arial"/>
          <w:sz w:val="22"/>
          <w:szCs w:val="22"/>
        </w:rPr>
      </w:pPr>
      <w:r>
        <w:rPr>
          <w:rFonts w:ascii="Arial" w:hAnsi="Arial" w:cs="Arial"/>
          <w:sz w:val="22"/>
          <w:szCs w:val="22"/>
        </w:rPr>
        <w:t xml:space="preserve">According to Erikson (1982, p. 65), successfully resolving this stage can lead to </w:t>
      </w:r>
      <w:proofErr w:type="gramStart"/>
      <w:r>
        <w:rPr>
          <w:rFonts w:ascii="Arial" w:hAnsi="Arial" w:cs="Arial"/>
          <w:sz w:val="22"/>
          <w:szCs w:val="22"/>
        </w:rPr>
        <w:t>“ a</w:t>
      </w:r>
      <w:proofErr w:type="gramEnd"/>
      <w:r>
        <w:rPr>
          <w:rFonts w:ascii="Arial" w:hAnsi="Arial" w:cs="Arial"/>
          <w:sz w:val="22"/>
          <w:szCs w:val="22"/>
        </w:rPr>
        <w:t xml:space="preserve"> sense of coherence and wholeness” allowing individuals to feel at peace with their life experiences. In contrast, unresolved feelings may result in despair sadness or fear about the past and the future. For older adults living with dementia, these emotions My be intensified, as memory loss and confusion can disrupt their understanding of personal experiences and identify.</w:t>
      </w:r>
    </w:p>
    <w:p w14:paraId="25C85994" w14:textId="45B7340E" w:rsidR="002C4535" w:rsidRDefault="002C4535" w:rsidP="00580412">
      <w:pPr>
        <w:spacing w:line="360" w:lineRule="auto"/>
        <w:jc w:val="both"/>
        <w:rPr>
          <w:rFonts w:ascii="Arial" w:hAnsi="Arial" w:cs="Arial"/>
          <w:sz w:val="22"/>
          <w:szCs w:val="22"/>
        </w:rPr>
      </w:pPr>
      <w:r>
        <w:rPr>
          <w:rFonts w:ascii="Arial" w:hAnsi="Arial" w:cs="Arial"/>
          <w:sz w:val="22"/>
          <w:szCs w:val="22"/>
        </w:rPr>
        <w:t xml:space="preserve">In more practical terms, Erikson’s </w:t>
      </w:r>
      <w:r w:rsidR="00E01366">
        <w:rPr>
          <w:rFonts w:ascii="Arial" w:hAnsi="Arial" w:cs="Arial"/>
          <w:sz w:val="22"/>
          <w:szCs w:val="22"/>
        </w:rPr>
        <w:t>theory highlights the importance of emotional support in later life. Even when cognitive abilities are affected by dementia, older adults continue to have emotional needs and desire to feel valued. Understand this theory helps Health and Social Care professionals recognise the importance of respectful communication, reassurance and life-review activities, which can support</w:t>
      </w:r>
      <w:r w:rsidR="00580335">
        <w:rPr>
          <w:rFonts w:ascii="Arial" w:hAnsi="Arial" w:cs="Arial"/>
          <w:sz w:val="22"/>
          <w:szCs w:val="22"/>
        </w:rPr>
        <w:t xml:space="preserve"> emotional wellbeing and promote dignity within a dementia care home.</w:t>
      </w:r>
    </w:p>
    <w:p w14:paraId="702B0643" w14:textId="77777777" w:rsidR="00580335" w:rsidRDefault="00580335" w:rsidP="00580412">
      <w:pPr>
        <w:spacing w:line="360" w:lineRule="auto"/>
        <w:jc w:val="both"/>
        <w:rPr>
          <w:rFonts w:ascii="Arial" w:hAnsi="Arial" w:cs="Arial"/>
          <w:b/>
          <w:bCs/>
          <w:sz w:val="22"/>
          <w:szCs w:val="22"/>
        </w:rPr>
      </w:pPr>
    </w:p>
    <w:p w14:paraId="77C23930" w14:textId="7DEEDCE1" w:rsidR="00712FDF" w:rsidRDefault="00580335" w:rsidP="00580412">
      <w:pPr>
        <w:spacing w:line="360" w:lineRule="auto"/>
        <w:jc w:val="both"/>
        <w:rPr>
          <w:rFonts w:ascii="Arial" w:hAnsi="Arial" w:cs="Arial"/>
          <w:b/>
          <w:bCs/>
          <w:sz w:val="22"/>
          <w:szCs w:val="22"/>
        </w:rPr>
      </w:pPr>
      <w:r>
        <w:rPr>
          <w:rFonts w:ascii="Arial" w:hAnsi="Arial" w:cs="Arial"/>
          <w:b/>
          <w:bCs/>
          <w:sz w:val="22"/>
          <w:szCs w:val="22"/>
        </w:rPr>
        <w:t>2.</w:t>
      </w:r>
      <w:r w:rsidR="00DA71F7">
        <w:rPr>
          <w:rFonts w:ascii="Arial" w:hAnsi="Arial" w:cs="Arial"/>
          <w:b/>
          <w:bCs/>
          <w:sz w:val="22"/>
          <w:szCs w:val="22"/>
        </w:rPr>
        <w:t>1</w:t>
      </w:r>
      <w:r>
        <w:rPr>
          <w:rFonts w:ascii="Arial" w:hAnsi="Arial" w:cs="Arial"/>
          <w:b/>
          <w:bCs/>
          <w:sz w:val="22"/>
          <w:szCs w:val="22"/>
        </w:rPr>
        <w:t xml:space="preserve"> Freud’s Psychodynamic Theory</w:t>
      </w:r>
    </w:p>
    <w:p w14:paraId="2974C963" w14:textId="7FAF00E4" w:rsidR="00580335" w:rsidRDefault="00580335" w:rsidP="00580412">
      <w:pPr>
        <w:spacing w:line="360" w:lineRule="auto"/>
        <w:jc w:val="both"/>
        <w:rPr>
          <w:rFonts w:ascii="Arial" w:hAnsi="Arial" w:cs="Arial"/>
          <w:b/>
          <w:bCs/>
          <w:sz w:val="22"/>
          <w:szCs w:val="22"/>
        </w:rPr>
      </w:pPr>
      <w:r>
        <w:rPr>
          <w:rFonts w:ascii="Arial" w:hAnsi="Arial" w:cs="Arial"/>
          <w:b/>
          <w:bCs/>
          <w:sz w:val="22"/>
          <w:szCs w:val="22"/>
        </w:rPr>
        <w:t xml:space="preserve"> </w:t>
      </w:r>
    </w:p>
    <w:p w14:paraId="72055E51" w14:textId="7962A1AE" w:rsidR="00580335" w:rsidRDefault="00580335" w:rsidP="00580412">
      <w:pPr>
        <w:spacing w:line="360" w:lineRule="auto"/>
        <w:jc w:val="both"/>
        <w:rPr>
          <w:rFonts w:ascii="Arial" w:hAnsi="Arial" w:cs="Arial"/>
          <w:sz w:val="22"/>
          <w:szCs w:val="22"/>
        </w:rPr>
      </w:pPr>
      <w:r>
        <w:rPr>
          <w:rFonts w:ascii="Arial" w:hAnsi="Arial" w:cs="Arial"/>
          <w:sz w:val="22"/>
          <w:szCs w:val="22"/>
        </w:rPr>
        <w:t xml:space="preserve">Freud’s psychodynamic theory explores how the unconscious mind influences emotions and behaviour throughout a person life. Freud believed that early experiences and behaviour </w:t>
      </w:r>
      <w:r w:rsidR="000E5CAC">
        <w:rPr>
          <w:rFonts w:ascii="Arial" w:hAnsi="Arial" w:cs="Arial"/>
          <w:sz w:val="22"/>
          <w:szCs w:val="22"/>
        </w:rPr>
        <w:t>throughout a person’s life. Freud believed that early experiences and unresolved emotional conflicts can continue to shape how individuals respond to situations, even in later adulthood (Freud, 1923). This perspective is particularly relevant when considering older living with dementia, as changes in cognition may affect emotional expression and behaviour.</w:t>
      </w:r>
    </w:p>
    <w:p w14:paraId="0276CF61" w14:textId="613ED8D4" w:rsidR="000E5CAC" w:rsidRDefault="000E5CAC" w:rsidP="00580412">
      <w:pPr>
        <w:spacing w:line="360" w:lineRule="auto"/>
        <w:jc w:val="both"/>
        <w:rPr>
          <w:rFonts w:ascii="Arial" w:hAnsi="Arial" w:cs="Arial"/>
          <w:sz w:val="22"/>
          <w:szCs w:val="22"/>
        </w:rPr>
      </w:pPr>
      <w:r>
        <w:rPr>
          <w:rFonts w:ascii="Arial" w:hAnsi="Arial" w:cs="Arial"/>
          <w:sz w:val="22"/>
          <w:szCs w:val="22"/>
        </w:rPr>
        <w:t>A key aspect of Freud’s theory is the structure of personality, which includes the id, ego and superego. The ego plays an important role in helping individuals respond</w:t>
      </w:r>
      <w:r w:rsidR="00915651">
        <w:rPr>
          <w:rFonts w:ascii="Arial" w:hAnsi="Arial" w:cs="Arial"/>
          <w:sz w:val="22"/>
          <w:szCs w:val="22"/>
        </w:rPr>
        <w:t xml:space="preserve"> appropriately to the world around them. As Freud (1923, p. 25) explained the ego “represents what may be called reason and common sense”. When dementia affects cognitive functioning, this balance can become weakened, making it </w:t>
      </w:r>
      <w:r w:rsidR="00A92685">
        <w:rPr>
          <w:rFonts w:ascii="Arial" w:hAnsi="Arial" w:cs="Arial"/>
          <w:sz w:val="22"/>
          <w:szCs w:val="22"/>
        </w:rPr>
        <w:t xml:space="preserve">more difficult for </w:t>
      </w:r>
      <w:r w:rsidR="00915651">
        <w:rPr>
          <w:rFonts w:ascii="Arial" w:hAnsi="Arial" w:cs="Arial"/>
          <w:sz w:val="22"/>
          <w:szCs w:val="22"/>
        </w:rPr>
        <w:t>individuals to regulate emotions and behaviour.</w:t>
      </w:r>
    </w:p>
    <w:p w14:paraId="072345B9" w14:textId="1730178E" w:rsidR="00C16FF3" w:rsidRDefault="00915651" w:rsidP="00580412">
      <w:pPr>
        <w:spacing w:line="360" w:lineRule="auto"/>
        <w:jc w:val="both"/>
        <w:rPr>
          <w:rFonts w:ascii="Arial" w:hAnsi="Arial" w:cs="Arial"/>
          <w:sz w:val="22"/>
          <w:szCs w:val="22"/>
        </w:rPr>
      </w:pPr>
      <w:r>
        <w:rPr>
          <w:rFonts w:ascii="Arial" w:hAnsi="Arial" w:cs="Arial"/>
          <w:sz w:val="22"/>
          <w:szCs w:val="22"/>
        </w:rPr>
        <w:lastRenderedPageBreak/>
        <w:t xml:space="preserve">From a practical point of view, Freud’s theory encourages a more compassionate understanding of behaviour in dementia care. Action such as agitation, anxiety or emotional </w:t>
      </w:r>
      <w:r w:rsidR="00C16FF3">
        <w:rPr>
          <w:rFonts w:ascii="Arial" w:hAnsi="Arial" w:cs="Arial"/>
          <w:sz w:val="22"/>
          <w:szCs w:val="22"/>
        </w:rPr>
        <w:t>withdrawal may reflect inner distress rather than intentional behaviour.</w:t>
      </w:r>
      <w:r w:rsidR="00A92685">
        <w:rPr>
          <w:rFonts w:ascii="Arial" w:hAnsi="Arial" w:cs="Arial"/>
          <w:sz w:val="22"/>
          <w:szCs w:val="22"/>
        </w:rPr>
        <w:t xml:space="preserve"> V</w:t>
      </w:r>
      <w:r w:rsidR="00C16FF3">
        <w:rPr>
          <w:rFonts w:ascii="Arial" w:hAnsi="Arial" w:cs="Arial"/>
          <w:sz w:val="22"/>
          <w:szCs w:val="22"/>
        </w:rPr>
        <w:t>iewing behaviour as a form of communication</w:t>
      </w:r>
      <w:r w:rsidR="00A92685">
        <w:rPr>
          <w:rFonts w:ascii="Arial" w:hAnsi="Arial" w:cs="Arial"/>
          <w:sz w:val="22"/>
          <w:szCs w:val="22"/>
        </w:rPr>
        <w:t xml:space="preserve"> allows </w:t>
      </w:r>
      <w:r w:rsidR="00C16FF3">
        <w:rPr>
          <w:rFonts w:ascii="Arial" w:hAnsi="Arial" w:cs="Arial"/>
          <w:sz w:val="22"/>
          <w:szCs w:val="22"/>
        </w:rPr>
        <w:t>Health and Social Care professionals to respond with patience, empathy and emotional support</w:t>
      </w:r>
      <w:r w:rsidR="00CA7971">
        <w:rPr>
          <w:rFonts w:ascii="Arial" w:hAnsi="Arial" w:cs="Arial"/>
          <w:sz w:val="22"/>
          <w:szCs w:val="22"/>
        </w:rPr>
        <w:t xml:space="preserve">, </w:t>
      </w:r>
      <w:r w:rsidR="00C16FF3">
        <w:rPr>
          <w:rFonts w:ascii="Arial" w:hAnsi="Arial" w:cs="Arial"/>
          <w:sz w:val="22"/>
          <w:szCs w:val="22"/>
        </w:rPr>
        <w:t>help</w:t>
      </w:r>
      <w:r w:rsidR="00CA7971">
        <w:rPr>
          <w:rFonts w:ascii="Arial" w:hAnsi="Arial" w:cs="Arial"/>
          <w:sz w:val="22"/>
          <w:szCs w:val="22"/>
        </w:rPr>
        <w:t>ing</w:t>
      </w:r>
      <w:r w:rsidR="00C16FF3">
        <w:rPr>
          <w:rFonts w:ascii="Arial" w:hAnsi="Arial" w:cs="Arial"/>
          <w:sz w:val="22"/>
          <w:szCs w:val="22"/>
        </w:rPr>
        <w:t xml:space="preserve"> to maintain dignity and emotional wellbeing for older adults living in a dementia care home.</w:t>
      </w:r>
    </w:p>
    <w:p w14:paraId="1706EC96" w14:textId="77777777" w:rsidR="00712FDF" w:rsidRDefault="00712FDF" w:rsidP="00580412">
      <w:pPr>
        <w:spacing w:line="360" w:lineRule="auto"/>
        <w:jc w:val="both"/>
        <w:rPr>
          <w:rFonts w:ascii="Arial" w:hAnsi="Arial" w:cs="Arial"/>
          <w:sz w:val="22"/>
          <w:szCs w:val="22"/>
        </w:rPr>
      </w:pPr>
    </w:p>
    <w:p w14:paraId="566CCE82" w14:textId="442DEA32" w:rsidR="00E60E4F" w:rsidRDefault="00E60E4F" w:rsidP="00580412">
      <w:pPr>
        <w:spacing w:line="360" w:lineRule="auto"/>
        <w:jc w:val="both"/>
        <w:rPr>
          <w:rFonts w:ascii="Arial" w:hAnsi="Arial" w:cs="Arial"/>
          <w:b/>
          <w:bCs/>
          <w:sz w:val="22"/>
          <w:szCs w:val="22"/>
        </w:rPr>
      </w:pPr>
      <w:r>
        <w:rPr>
          <w:rFonts w:ascii="Arial" w:hAnsi="Arial" w:cs="Arial"/>
          <w:b/>
          <w:bCs/>
          <w:sz w:val="22"/>
          <w:szCs w:val="22"/>
        </w:rPr>
        <w:t xml:space="preserve">3 Applying Erikson’s Theory in a Dementia Care home </w:t>
      </w:r>
    </w:p>
    <w:p w14:paraId="64016B90" w14:textId="77777777" w:rsidR="00712FDF" w:rsidRDefault="00712FDF" w:rsidP="00580412">
      <w:pPr>
        <w:spacing w:line="360" w:lineRule="auto"/>
        <w:jc w:val="both"/>
        <w:rPr>
          <w:rFonts w:ascii="Arial" w:hAnsi="Arial" w:cs="Arial"/>
          <w:b/>
          <w:bCs/>
          <w:sz w:val="22"/>
          <w:szCs w:val="22"/>
        </w:rPr>
      </w:pPr>
    </w:p>
    <w:p w14:paraId="2A16D5EF" w14:textId="5807905F" w:rsidR="00E60E4F" w:rsidRDefault="00E60E4F" w:rsidP="00580412">
      <w:pPr>
        <w:spacing w:line="360" w:lineRule="auto"/>
        <w:jc w:val="both"/>
        <w:rPr>
          <w:rFonts w:ascii="Arial" w:hAnsi="Arial" w:cs="Arial"/>
          <w:sz w:val="22"/>
          <w:szCs w:val="22"/>
        </w:rPr>
      </w:pPr>
      <w:r>
        <w:rPr>
          <w:rFonts w:ascii="Arial" w:hAnsi="Arial" w:cs="Arial"/>
          <w:sz w:val="22"/>
          <w:szCs w:val="22"/>
        </w:rPr>
        <w:t>Erikson’s theory of psychosocial development can be effectively applied in dementia care homes to support the emotional wellbeing of older adults. The final stage of integrity versus despair highlights the importance of helping individuals feel that their life has meaning and value. For people living with dementia, this stage can be particularly challenging, as memory loss and confusion may affect their ability to reflect clearly on past experiences.</w:t>
      </w:r>
    </w:p>
    <w:p w14:paraId="1E38A811" w14:textId="4ED2911B" w:rsidR="00E60E4F" w:rsidRDefault="00E60E4F" w:rsidP="00580412">
      <w:pPr>
        <w:spacing w:line="360" w:lineRule="auto"/>
        <w:jc w:val="both"/>
        <w:rPr>
          <w:rFonts w:ascii="Arial" w:hAnsi="Arial" w:cs="Arial"/>
          <w:sz w:val="22"/>
          <w:szCs w:val="22"/>
        </w:rPr>
      </w:pPr>
      <w:r>
        <w:rPr>
          <w:rFonts w:ascii="Arial" w:hAnsi="Arial" w:cs="Arial"/>
          <w:sz w:val="22"/>
          <w:szCs w:val="22"/>
        </w:rPr>
        <w:t xml:space="preserve">Health and </w:t>
      </w:r>
      <w:r w:rsidR="00CA7971">
        <w:rPr>
          <w:rFonts w:ascii="Arial" w:hAnsi="Arial" w:cs="Arial"/>
          <w:sz w:val="22"/>
          <w:szCs w:val="22"/>
        </w:rPr>
        <w:t>S</w:t>
      </w:r>
      <w:r>
        <w:rPr>
          <w:rFonts w:ascii="Arial" w:hAnsi="Arial" w:cs="Arial"/>
          <w:sz w:val="22"/>
          <w:szCs w:val="22"/>
        </w:rPr>
        <w:t xml:space="preserve">ocial </w:t>
      </w:r>
      <w:r w:rsidR="00CA7971">
        <w:rPr>
          <w:rFonts w:ascii="Arial" w:hAnsi="Arial" w:cs="Arial"/>
          <w:sz w:val="22"/>
          <w:szCs w:val="22"/>
        </w:rPr>
        <w:t>C</w:t>
      </w:r>
      <w:r>
        <w:rPr>
          <w:rFonts w:ascii="Arial" w:hAnsi="Arial" w:cs="Arial"/>
          <w:sz w:val="22"/>
          <w:szCs w:val="22"/>
        </w:rPr>
        <w:t>are professionals can use Erikson’s</w:t>
      </w:r>
      <w:r w:rsidR="00FB3BBE">
        <w:rPr>
          <w:rFonts w:ascii="Arial" w:hAnsi="Arial" w:cs="Arial"/>
          <w:sz w:val="22"/>
          <w:szCs w:val="22"/>
        </w:rPr>
        <w:t xml:space="preserve"> theory to guide person-centred approaches that support identity and self-worth. For example, reminiscence activities such as looking at photographs, listening to familiar music or talking about meaningful life events can help individuals reconnect with positive memories. These activities may reduce distress and provide comfort, even when verbal communication is limited</w:t>
      </w:r>
      <w:r w:rsidR="00677B2C">
        <w:rPr>
          <w:rFonts w:ascii="Arial" w:hAnsi="Arial" w:cs="Arial"/>
          <w:sz w:val="22"/>
          <w:szCs w:val="22"/>
        </w:rPr>
        <w:t>.</w:t>
      </w:r>
    </w:p>
    <w:p w14:paraId="509E0BA6" w14:textId="17D452AD" w:rsidR="00FB3BBE" w:rsidRDefault="00FB3BBE" w:rsidP="00580412">
      <w:pPr>
        <w:spacing w:line="360" w:lineRule="auto"/>
        <w:jc w:val="both"/>
        <w:rPr>
          <w:rFonts w:ascii="Arial" w:hAnsi="Arial" w:cs="Arial"/>
          <w:sz w:val="22"/>
          <w:szCs w:val="22"/>
        </w:rPr>
      </w:pPr>
      <w:r>
        <w:rPr>
          <w:rFonts w:ascii="Arial" w:hAnsi="Arial" w:cs="Arial"/>
          <w:sz w:val="22"/>
          <w:szCs w:val="22"/>
        </w:rPr>
        <w:t>Respectful communication also plays an important role in supporting integrity. When staff listen</w:t>
      </w:r>
      <w:r w:rsidR="00712FDF">
        <w:rPr>
          <w:rFonts w:ascii="Arial" w:hAnsi="Arial" w:cs="Arial"/>
          <w:sz w:val="22"/>
          <w:szCs w:val="22"/>
        </w:rPr>
        <w:t xml:space="preserve"> patiently, show empathy and acknowledge emotions, older adults are more likely to feel valued and understood. According to Erikson (1982), achieving a sense of integrity allows individuals to experience acceptance rather than despair in later life. Although dementia can limit cognitive reflection, emotional support remains essential.</w:t>
      </w:r>
    </w:p>
    <w:p w14:paraId="5C69D26C" w14:textId="11C422FB" w:rsidR="00712FDF" w:rsidRDefault="00712FDF" w:rsidP="00580412">
      <w:pPr>
        <w:spacing w:line="360" w:lineRule="auto"/>
        <w:jc w:val="both"/>
        <w:rPr>
          <w:rFonts w:ascii="Arial" w:hAnsi="Arial" w:cs="Arial"/>
          <w:sz w:val="22"/>
          <w:szCs w:val="22"/>
        </w:rPr>
      </w:pPr>
      <w:r>
        <w:rPr>
          <w:rFonts w:ascii="Arial" w:hAnsi="Arial" w:cs="Arial"/>
          <w:sz w:val="22"/>
          <w:szCs w:val="22"/>
        </w:rPr>
        <w:t>By applying Erikson’s theory in daily care, professionals can respond more sensitively to emotional needs. This approach helps promote dignity, emotional wellbeing and stronger relationships between staff and residents Whitin a dementia care home.</w:t>
      </w:r>
    </w:p>
    <w:p w14:paraId="6F2E00C5" w14:textId="77777777" w:rsidR="00DA71F7" w:rsidRDefault="00DA71F7" w:rsidP="00580412">
      <w:pPr>
        <w:spacing w:line="360" w:lineRule="auto"/>
        <w:jc w:val="both"/>
        <w:rPr>
          <w:rFonts w:ascii="Arial" w:hAnsi="Arial" w:cs="Arial"/>
          <w:sz w:val="22"/>
          <w:szCs w:val="22"/>
        </w:rPr>
      </w:pPr>
    </w:p>
    <w:p w14:paraId="081463F0" w14:textId="77777777" w:rsidR="00DA71F7" w:rsidRDefault="00DA71F7" w:rsidP="00580412">
      <w:pPr>
        <w:spacing w:line="360" w:lineRule="auto"/>
        <w:jc w:val="both"/>
        <w:rPr>
          <w:rFonts w:ascii="Arial" w:hAnsi="Arial" w:cs="Arial"/>
          <w:sz w:val="22"/>
          <w:szCs w:val="22"/>
        </w:rPr>
      </w:pPr>
    </w:p>
    <w:p w14:paraId="787ED909" w14:textId="77777777" w:rsidR="00DA71F7" w:rsidRDefault="00DA71F7" w:rsidP="00580412">
      <w:pPr>
        <w:spacing w:line="360" w:lineRule="auto"/>
        <w:jc w:val="both"/>
        <w:rPr>
          <w:rFonts w:ascii="Arial" w:hAnsi="Arial" w:cs="Arial"/>
          <w:sz w:val="22"/>
          <w:szCs w:val="22"/>
        </w:rPr>
      </w:pPr>
    </w:p>
    <w:p w14:paraId="1243689F" w14:textId="77777777" w:rsidR="00712FDF" w:rsidRDefault="00712FDF" w:rsidP="00580412">
      <w:pPr>
        <w:spacing w:line="360" w:lineRule="auto"/>
        <w:jc w:val="both"/>
        <w:rPr>
          <w:rFonts w:ascii="Arial" w:hAnsi="Arial" w:cs="Arial"/>
          <w:sz w:val="22"/>
          <w:szCs w:val="22"/>
        </w:rPr>
      </w:pPr>
    </w:p>
    <w:p w14:paraId="7AFDCC95" w14:textId="77777777" w:rsidR="00677B2C" w:rsidRDefault="00677B2C" w:rsidP="00580412">
      <w:pPr>
        <w:spacing w:line="360" w:lineRule="auto"/>
        <w:jc w:val="both"/>
        <w:rPr>
          <w:rFonts w:ascii="Arial" w:hAnsi="Arial" w:cs="Arial"/>
          <w:sz w:val="22"/>
          <w:szCs w:val="22"/>
        </w:rPr>
      </w:pPr>
    </w:p>
    <w:p w14:paraId="17B1D678" w14:textId="7AEDC2EB" w:rsidR="00712FDF" w:rsidRDefault="00B01EA4" w:rsidP="00580412">
      <w:pPr>
        <w:spacing w:line="360" w:lineRule="auto"/>
        <w:jc w:val="both"/>
        <w:rPr>
          <w:rFonts w:ascii="Arial" w:hAnsi="Arial" w:cs="Arial"/>
          <w:b/>
          <w:bCs/>
          <w:sz w:val="22"/>
          <w:szCs w:val="22"/>
        </w:rPr>
      </w:pPr>
      <w:r>
        <w:rPr>
          <w:rFonts w:ascii="Arial" w:hAnsi="Arial" w:cs="Arial"/>
          <w:b/>
          <w:bCs/>
          <w:sz w:val="22"/>
          <w:szCs w:val="22"/>
        </w:rPr>
        <w:lastRenderedPageBreak/>
        <w:t>3.</w:t>
      </w:r>
      <w:r w:rsidR="00DA71F7">
        <w:rPr>
          <w:rFonts w:ascii="Arial" w:hAnsi="Arial" w:cs="Arial"/>
          <w:b/>
          <w:bCs/>
          <w:sz w:val="22"/>
          <w:szCs w:val="22"/>
        </w:rPr>
        <w:t>1</w:t>
      </w:r>
      <w:r>
        <w:rPr>
          <w:rFonts w:ascii="Arial" w:hAnsi="Arial" w:cs="Arial"/>
          <w:b/>
          <w:bCs/>
          <w:sz w:val="22"/>
          <w:szCs w:val="22"/>
        </w:rPr>
        <w:t xml:space="preserve"> Appling Freud’s Psychodynamic Theory in a Dementia Care Home</w:t>
      </w:r>
    </w:p>
    <w:p w14:paraId="6E28AC15" w14:textId="77777777" w:rsidR="00B01EA4" w:rsidRDefault="00B01EA4" w:rsidP="00580412">
      <w:pPr>
        <w:spacing w:line="360" w:lineRule="auto"/>
        <w:jc w:val="both"/>
        <w:rPr>
          <w:rFonts w:ascii="Arial" w:hAnsi="Arial" w:cs="Arial"/>
          <w:sz w:val="22"/>
          <w:szCs w:val="22"/>
        </w:rPr>
      </w:pPr>
    </w:p>
    <w:p w14:paraId="2A9C265B" w14:textId="48203113" w:rsidR="00B01EA4" w:rsidRDefault="00B01EA4" w:rsidP="00580412">
      <w:pPr>
        <w:spacing w:line="360" w:lineRule="auto"/>
        <w:jc w:val="both"/>
        <w:rPr>
          <w:rFonts w:ascii="Arial" w:hAnsi="Arial" w:cs="Arial"/>
          <w:sz w:val="22"/>
          <w:szCs w:val="22"/>
        </w:rPr>
      </w:pPr>
      <w:r>
        <w:rPr>
          <w:rFonts w:ascii="Arial" w:hAnsi="Arial" w:cs="Arial"/>
          <w:sz w:val="22"/>
          <w:szCs w:val="22"/>
        </w:rPr>
        <w:t>Freud’s psychodynamic theory can be used in dementia care homes to support a deeper understanding of the emotional causes behind certain actions. This theory suggests that response</w:t>
      </w:r>
      <w:r w:rsidR="004627C4">
        <w:rPr>
          <w:rFonts w:ascii="Arial" w:hAnsi="Arial" w:cs="Arial"/>
          <w:sz w:val="22"/>
          <w:szCs w:val="22"/>
        </w:rPr>
        <w:t>s</w:t>
      </w:r>
      <w:r>
        <w:rPr>
          <w:rFonts w:ascii="Arial" w:hAnsi="Arial" w:cs="Arial"/>
          <w:sz w:val="22"/>
          <w:szCs w:val="22"/>
        </w:rPr>
        <w:t xml:space="preserve"> are often influenced by unconscious feelings and past experiences rather than deliberate choice. </w:t>
      </w:r>
      <w:r w:rsidR="004627C4">
        <w:rPr>
          <w:rFonts w:ascii="Arial" w:hAnsi="Arial" w:cs="Arial"/>
          <w:sz w:val="22"/>
          <w:szCs w:val="22"/>
        </w:rPr>
        <w:t>In dementia care, this understanding is particularly helpful, as cognitive decline may reduce a person’s ability to express emotion clearly through speech.</w:t>
      </w:r>
    </w:p>
    <w:p w14:paraId="38F5EB1C" w14:textId="7612C6FF" w:rsidR="004627C4" w:rsidRDefault="004627C4" w:rsidP="00580412">
      <w:pPr>
        <w:spacing w:line="360" w:lineRule="auto"/>
        <w:jc w:val="both"/>
        <w:rPr>
          <w:rFonts w:ascii="Arial" w:hAnsi="Arial" w:cs="Arial"/>
          <w:sz w:val="22"/>
          <w:szCs w:val="22"/>
        </w:rPr>
      </w:pPr>
      <w:r>
        <w:rPr>
          <w:rFonts w:ascii="Arial" w:hAnsi="Arial" w:cs="Arial"/>
          <w:sz w:val="22"/>
          <w:szCs w:val="22"/>
        </w:rPr>
        <w:t>Older adults living with dementia may display behaviours such as agitation, anxiety, aggression or withdrawal. From a psychodynamic perspective, these reaction</w:t>
      </w:r>
      <w:r w:rsidR="00077D6A">
        <w:rPr>
          <w:rFonts w:ascii="Arial" w:hAnsi="Arial" w:cs="Arial"/>
          <w:sz w:val="22"/>
          <w:szCs w:val="22"/>
        </w:rPr>
        <w:t xml:space="preserve">s </w:t>
      </w:r>
      <w:r>
        <w:rPr>
          <w:rFonts w:ascii="Arial" w:hAnsi="Arial" w:cs="Arial"/>
          <w:sz w:val="22"/>
          <w:szCs w:val="22"/>
        </w:rPr>
        <w:t>may indicate emotional distress</w:t>
      </w:r>
      <w:r w:rsidR="00077D6A">
        <w:rPr>
          <w:rFonts w:ascii="Arial" w:hAnsi="Arial" w:cs="Arial"/>
          <w:sz w:val="22"/>
          <w:szCs w:val="22"/>
        </w:rPr>
        <w:t xml:space="preserve">, fear or unmet needs. For instance, a resident who becomes upset during personal care may be responding to feelings of vulnerability, confusion or loss of control. Viewing behaviour as a form of communication helps </w:t>
      </w:r>
      <w:r w:rsidR="00460BCB">
        <w:rPr>
          <w:rFonts w:ascii="Arial" w:hAnsi="Arial" w:cs="Arial"/>
          <w:sz w:val="22"/>
          <w:szCs w:val="22"/>
        </w:rPr>
        <w:t>staff respond with sensitivity rather than frustration.</w:t>
      </w:r>
    </w:p>
    <w:p w14:paraId="790A01AB" w14:textId="674D39D4" w:rsidR="00460BCB" w:rsidRDefault="00460BCB" w:rsidP="00580412">
      <w:pPr>
        <w:spacing w:line="360" w:lineRule="auto"/>
        <w:jc w:val="both"/>
        <w:rPr>
          <w:rFonts w:ascii="Arial" w:hAnsi="Arial" w:cs="Arial"/>
          <w:sz w:val="22"/>
          <w:szCs w:val="22"/>
        </w:rPr>
      </w:pPr>
      <w:r>
        <w:rPr>
          <w:rFonts w:ascii="Arial" w:hAnsi="Arial" w:cs="Arial"/>
          <w:sz w:val="22"/>
          <w:szCs w:val="22"/>
        </w:rPr>
        <w:t xml:space="preserve">Health and social care workers can apply this approach by offering emotional reassurance and offering emotional reassurance and maintaining consistency in daily routines. Calm interactions, familiar environments and predictable care practices can help reduce anxiety and increase a sense of safety. When verbal communication is limited, recognising non-verbal signals such as facial expressions, tone of voice and body </w:t>
      </w:r>
      <w:r w:rsidR="003032B0">
        <w:rPr>
          <w:rFonts w:ascii="Arial" w:hAnsi="Arial" w:cs="Arial"/>
          <w:sz w:val="22"/>
          <w:szCs w:val="22"/>
        </w:rPr>
        <w:t>language becomes especially important.</w:t>
      </w:r>
    </w:p>
    <w:p w14:paraId="40A1BDD1" w14:textId="5915FEC5" w:rsidR="003032B0" w:rsidRDefault="003032B0" w:rsidP="00580412">
      <w:pPr>
        <w:spacing w:line="360" w:lineRule="auto"/>
        <w:jc w:val="both"/>
        <w:rPr>
          <w:rFonts w:ascii="Arial" w:hAnsi="Arial" w:cs="Arial"/>
          <w:sz w:val="22"/>
          <w:szCs w:val="22"/>
        </w:rPr>
      </w:pPr>
      <w:r>
        <w:rPr>
          <w:rFonts w:ascii="Arial" w:hAnsi="Arial" w:cs="Arial"/>
          <w:sz w:val="22"/>
          <w:szCs w:val="22"/>
        </w:rPr>
        <w:t>By using a psychodynamic approach, professionals are encouraged to act with empathy and patience. This supports emotional wellbeing and helps protect the dignity for older adults living in a dementia care home.</w:t>
      </w:r>
    </w:p>
    <w:p w14:paraId="771E690D" w14:textId="77777777" w:rsidR="003032B0" w:rsidRDefault="003032B0" w:rsidP="00580412">
      <w:pPr>
        <w:spacing w:line="360" w:lineRule="auto"/>
        <w:jc w:val="both"/>
        <w:rPr>
          <w:rFonts w:ascii="Arial" w:hAnsi="Arial" w:cs="Arial"/>
          <w:sz w:val="22"/>
          <w:szCs w:val="22"/>
        </w:rPr>
      </w:pPr>
    </w:p>
    <w:p w14:paraId="780F7AEE" w14:textId="306E11C0" w:rsidR="003032B0" w:rsidRDefault="003032B0" w:rsidP="00580412">
      <w:pPr>
        <w:spacing w:line="360" w:lineRule="auto"/>
        <w:jc w:val="both"/>
        <w:rPr>
          <w:rFonts w:ascii="Arial" w:hAnsi="Arial" w:cs="Arial"/>
          <w:b/>
          <w:bCs/>
          <w:sz w:val="22"/>
          <w:szCs w:val="22"/>
        </w:rPr>
      </w:pPr>
      <w:r w:rsidRPr="003032B0">
        <w:rPr>
          <w:rFonts w:ascii="Arial" w:hAnsi="Arial" w:cs="Arial"/>
          <w:b/>
          <w:bCs/>
          <w:sz w:val="22"/>
          <w:szCs w:val="22"/>
        </w:rPr>
        <w:t xml:space="preserve">4 Critical </w:t>
      </w:r>
      <w:r>
        <w:rPr>
          <w:rFonts w:ascii="Arial" w:hAnsi="Arial" w:cs="Arial"/>
          <w:b/>
          <w:bCs/>
          <w:sz w:val="22"/>
          <w:szCs w:val="22"/>
        </w:rPr>
        <w:t>Evaluation</w:t>
      </w:r>
      <w:r w:rsidRPr="003032B0">
        <w:rPr>
          <w:rFonts w:ascii="Arial" w:hAnsi="Arial" w:cs="Arial"/>
          <w:b/>
          <w:bCs/>
          <w:sz w:val="22"/>
          <w:szCs w:val="22"/>
        </w:rPr>
        <w:t xml:space="preserve"> of </w:t>
      </w:r>
      <w:r>
        <w:rPr>
          <w:rFonts w:ascii="Arial" w:hAnsi="Arial" w:cs="Arial"/>
          <w:b/>
          <w:bCs/>
          <w:sz w:val="22"/>
          <w:szCs w:val="22"/>
        </w:rPr>
        <w:t>Psychological Theories</w:t>
      </w:r>
    </w:p>
    <w:p w14:paraId="1D563FBB" w14:textId="77777777" w:rsidR="003032B0" w:rsidRDefault="003032B0" w:rsidP="00580412">
      <w:pPr>
        <w:spacing w:line="360" w:lineRule="auto"/>
        <w:jc w:val="both"/>
        <w:rPr>
          <w:rFonts w:ascii="Arial" w:hAnsi="Arial" w:cs="Arial"/>
          <w:b/>
          <w:bCs/>
          <w:sz w:val="22"/>
          <w:szCs w:val="22"/>
        </w:rPr>
      </w:pPr>
    </w:p>
    <w:p w14:paraId="3C2D8795" w14:textId="4608B0D7" w:rsidR="003032B0" w:rsidRDefault="003032B0" w:rsidP="00580412">
      <w:pPr>
        <w:spacing w:line="360" w:lineRule="auto"/>
        <w:jc w:val="both"/>
        <w:rPr>
          <w:rFonts w:ascii="Arial" w:hAnsi="Arial" w:cs="Arial"/>
          <w:sz w:val="22"/>
          <w:szCs w:val="22"/>
        </w:rPr>
      </w:pPr>
      <w:r>
        <w:rPr>
          <w:rFonts w:ascii="Arial" w:hAnsi="Arial" w:cs="Arial"/>
          <w:sz w:val="22"/>
          <w:szCs w:val="22"/>
        </w:rPr>
        <w:t xml:space="preserve">Psychological theories such as Erikson’s psychosocial theory and Freud’s psychodynamic </w:t>
      </w:r>
      <w:r w:rsidR="00481DEE">
        <w:rPr>
          <w:rFonts w:ascii="Arial" w:hAnsi="Arial" w:cs="Arial"/>
          <w:sz w:val="22"/>
          <w:szCs w:val="22"/>
        </w:rPr>
        <w:t>theory provide useful frameworks</w:t>
      </w:r>
      <w:r w:rsidR="0063571E">
        <w:rPr>
          <w:rFonts w:ascii="Arial" w:hAnsi="Arial" w:cs="Arial"/>
          <w:sz w:val="22"/>
          <w:szCs w:val="22"/>
        </w:rPr>
        <w:t xml:space="preserve"> for professionals supporting older adults living with dementia. Key strength of both approaches is their emphasis on emotional experiences rather than focusing only on physical or cognitive decline. Erikson’s theory promotes a person-centred approach by highlighting </w:t>
      </w:r>
      <w:r w:rsidR="000346BB">
        <w:rPr>
          <w:rFonts w:ascii="Arial" w:hAnsi="Arial" w:cs="Arial"/>
          <w:sz w:val="22"/>
          <w:szCs w:val="22"/>
        </w:rPr>
        <w:t>identity, meaning and dignity in later life, which can support emotional wellbeing in dementia care settings.</w:t>
      </w:r>
    </w:p>
    <w:p w14:paraId="710473A6" w14:textId="019057D3" w:rsidR="000346BB" w:rsidRDefault="000346BB" w:rsidP="00580412">
      <w:pPr>
        <w:spacing w:line="360" w:lineRule="auto"/>
        <w:jc w:val="both"/>
        <w:rPr>
          <w:rFonts w:ascii="Arial" w:hAnsi="Arial" w:cs="Arial"/>
          <w:sz w:val="22"/>
          <w:szCs w:val="22"/>
        </w:rPr>
      </w:pPr>
      <w:r>
        <w:rPr>
          <w:rFonts w:ascii="Arial" w:hAnsi="Arial" w:cs="Arial"/>
          <w:sz w:val="22"/>
          <w:szCs w:val="22"/>
        </w:rPr>
        <w:lastRenderedPageBreak/>
        <w:t>In addition, Freud’s psychodynamic theory encourages professionals to view behaviour as an expression of emotional distress rather than intentional actions.</w:t>
      </w:r>
      <w:r w:rsidR="00830238">
        <w:rPr>
          <w:rFonts w:ascii="Arial" w:hAnsi="Arial" w:cs="Arial"/>
          <w:sz w:val="22"/>
          <w:szCs w:val="22"/>
        </w:rPr>
        <w:t xml:space="preserve"> </w:t>
      </w:r>
      <w:r>
        <w:rPr>
          <w:rFonts w:ascii="Arial" w:hAnsi="Arial" w:cs="Arial"/>
          <w:sz w:val="22"/>
          <w:szCs w:val="22"/>
        </w:rPr>
        <w:t>Understanding behaviour such as agitation or withdrawal in this way can foster empathy and improve interactions between staff and residents, contributing to more compassionate care.</w:t>
      </w:r>
    </w:p>
    <w:p w14:paraId="0891DC85" w14:textId="260315D6" w:rsidR="00830238" w:rsidRDefault="00830238" w:rsidP="00580412">
      <w:pPr>
        <w:spacing w:line="360" w:lineRule="auto"/>
        <w:jc w:val="both"/>
        <w:rPr>
          <w:rFonts w:ascii="Arial" w:hAnsi="Arial" w:cs="Arial"/>
          <w:sz w:val="22"/>
          <w:szCs w:val="22"/>
        </w:rPr>
      </w:pPr>
      <w:r>
        <w:rPr>
          <w:rFonts w:ascii="Arial" w:hAnsi="Arial" w:cs="Arial"/>
          <w:sz w:val="22"/>
          <w:szCs w:val="22"/>
        </w:rPr>
        <w:t>Despite these strengths, there are limitations to applying both theories in dementia care. Erikson’s theory depends on reflection and life review</w:t>
      </w:r>
      <w:r w:rsidR="00724D66">
        <w:rPr>
          <w:rFonts w:ascii="Arial" w:hAnsi="Arial" w:cs="Arial"/>
          <w:sz w:val="22"/>
          <w:szCs w:val="22"/>
        </w:rPr>
        <w:t>, which may be challenging for individuals with advanced dementia due to significant memory impairment. Freud’s theory can also be difficult to apply in practice, as its concepts may require specialist knowledge and training that are not always available in care settings.</w:t>
      </w:r>
    </w:p>
    <w:p w14:paraId="0B4CE800" w14:textId="172A13EF" w:rsidR="00CE714C" w:rsidRDefault="007C291A" w:rsidP="00580412">
      <w:pPr>
        <w:spacing w:line="360" w:lineRule="auto"/>
        <w:jc w:val="both"/>
        <w:rPr>
          <w:rFonts w:ascii="Arial" w:hAnsi="Arial" w:cs="Arial"/>
          <w:sz w:val="22"/>
          <w:szCs w:val="22"/>
        </w:rPr>
      </w:pPr>
      <w:r>
        <w:rPr>
          <w:rFonts w:ascii="Arial" w:hAnsi="Arial" w:cs="Arial"/>
          <w:sz w:val="22"/>
          <w:szCs w:val="22"/>
        </w:rPr>
        <w:t>Furthermore,</w:t>
      </w:r>
      <w:r w:rsidR="00D26987">
        <w:rPr>
          <w:rFonts w:ascii="Arial" w:hAnsi="Arial" w:cs="Arial"/>
          <w:sz w:val="22"/>
          <w:szCs w:val="22"/>
        </w:rPr>
        <w:t xml:space="preserve"> neither theory fully addresses the medical aspects of dementia. For this </w:t>
      </w:r>
      <w:r>
        <w:rPr>
          <w:rFonts w:ascii="Arial" w:hAnsi="Arial" w:cs="Arial"/>
          <w:sz w:val="22"/>
          <w:szCs w:val="22"/>
        </w:rPr>
        <w:t>reason, psychological theories should be used alongside practical care approaches and multidisciplinary support to ensure balanced and effective care.</w:t>
      </w:r>
    </w:p>
    <w:p w14:paraId="1C7459BE" w14:textId="77777777" w:rsidR="003E02F6" w:rsidRDefault="003E02F6" w:rsidP="00580412">
      <w:pPr>
        <w:spacing w:line="360" w:lineRule="auto"/>
        <w:jc w:val="both"/>
        <w:rPr>
          <w:rFonts w:ascii="Arial" w:hAnsi="Arial" w:cs="Arial"/>
          <w:sz w:val="22"/>
          <w:szCs w:val="22"/>
        </w:rPr>
      </w:pPr>
    </w:p>
    <w:p w14:paraId="0E1A4D16" w14:textId="288E670D" w:rsidR="008B143C" w:rsidRDefault="008B143C" w:rsidP="00580412">
      <w:pPr>
        <w:spacing w:line="360" w:lineRule="auto"/>
        <w:jc w:val="both"/>
        <w:rPr>
          <w:rFonts w:ascii="Arial" w:hAnsi="Arial" w:cs="Arial"/>
          <w:b/>
          <w:bCs/>
          <w:sz w:val="22"/>
          <w:szCs w:val="22"/>
        </w:rPr>
      </w:pPr>
      <w:r>
        <w:rPr>
          <w:rFonts w:ascii="Arial" w:hAnsi="Arial" w:cs="Arial"/>
          <w:b/>
          <w:bCs/>
          <w:sz w:val="22"/>
          <w:szCs w:val="22"/>
        </w:rPr>
        <w:t>5 Challenges and Management Strategies in Dementia Care</w:t>
      </w:r>
    </w:p>
    <w:p w14:paraId="730393BC" w14:textId="317443F5" w:rsidR="008B143C" w:rsidRDefault="008B143C" w:rsidP="00580412">
      <w:pPr>
        <w:spacing w:line="360" w:lineRule="auto"/>
        <w:jc w:val="both"/>
        <w:rPr>
          <w:rFonts w:ascii="Arial" w:hAnsi="Arial" w:cs="Arial"/>
          <w:b/>
          <w:bCs/>
          <w:sz w:val="22"/>
          <w:szCs w:val="22"/>
        </w:rPr>
      </w:pPr>
    </w:p>
    <w:p w14:paraId="7E6AD9D8" w14:textId="386D2CD6" w:rsidR="008B143C" w:rsidRDefault="008B143C" w:rsidP="00580412">
      <w:pPr>
        <w:spacing w:line="360" w:lineRule="auto"/>
        <w:jc w:val="both"/>
        <w:rPr>
          <w:rFonts w:ascii="Arial" w:hAnsi="Arial" w:cs="Arial"/>
          <w:sz w:val="22"/>
          <w:szCs w:val="22"/>
        </w:rPr>
      </w:pPr>
      <w:r>
        <w:rPr>
          <w:rFonts w:ascii="Arial" w:hAnsi="Arial" w:cs="Arial"/>
          <w:sz w:val="22"/>
          <w:szCs w:val="22"/>
        </w:rPr>
        <w:t>Health and social care professionals working in dementia care homes face several challenges when supporting older adults. One common difficulty is responding to behaviours such as agitation, confusion or emotional distress, especially when individuals are unable to clear</w:t>
      </w:r>
      <w:r w:rsidR="0026247D">
        <w:rPr>
          <w:rFonts w:ascii="Arial" w:hAnsi="Arial" w:cs="Arial"/>
          <w:sz w:val="22"/>
          <w:szCs w:val="22"/>
        </w:rPr>
        <w:t>ly express their needs. High workloads, limited time and staff shortages can further affect the quality of emotional support provided. In addition, some professionals may lack confidence in addressing may lack confidence in addressing psychological needs due to limited training.</w:t>
      </w:r>
    </w:p>
    <w:p w14:paraId="5DF7CE6A" w14:textId="47E17DBF" w:rsidR="0026247D" w:rsidRDefault="0026247D" w:rsidP="00580412">
      <w:pPr>
        <w:spacing w:line="360" w:lineRule="auto"/>
        <w:jc w:val="both"/>
        <w:rPr>
          <w:rFonts w:ascii="Arial" w:hAnsi="Arial" w:cs="Arial"/>
          <w:sz w:val="22"/>
          <w:szCs w:val="22"/>
        </w:rPr>
      </w:pPr>
      <w:r>
        <w:rPr>
          <w:rFonts w:ascii="Arial" w:hAnsi="Arial" w:cs="Arial"/>
          <w:sz w:val="22"/>
          <w:szCs w:val="22"/>
        </w:rPr>
        <w:t>To man</w:t>
      </w:r>
      <w:r w:rsidR="00342346">
        <w:rPr>
          <w:rFonts w:ascii="Arial" w:hAnsi="Arial" w:cs="Arial"/>
          <w:sz w:val="22"/>
          <w:szCs w:val="22"/>
        </w:rPr>
        <w:t>a</w:t>
      </w:r>
      <w:r>
        <w:rPr>
          <w:rFonts w:ascii="Arial" w:hAnsi="Arial" w:cs="Arial"/>
          <w:sz w:val="22"/>
          <w:szCs w:val="22"/>
        </w:rPr>
        <w:t>ge these challenges supportive strategies are essential. Regular training can help staff</w:t>
      </w:r>
      <w:r w:rsidR="007C3C5B">
        <w:rPr>
          <w:rFonts w:ascii="Arial" w:hAnsi="Arial" w:cs="Arial"/>
          <w:sz w:val="22"/>
          <w:szCs w:val="22"/>
        </w:rPr>
        <w:t xml:space="preserve"> develop a better understanding of emotional needs in later life and improve confidence in practice. Person-centred care approaches, such as maintaining </w:t>
      </w:r>
      <w:r w:rsidR="00342346">
        <w:rPr>
          <w:rFonts w:ascii="Arial" w:hAnsi="Arial" w:cs="Arial"/>
          <w:sz w:val="22"/>
          <w:szCs w:val="22"/>
        </w:rPr>
        <w:t xml:space="preserve">familiar routines and recognising individual life histories and recognising individual life histories, can </w:t>
      </w:r>
      <w:r w:rsidR="00A06BEC">
        <w:rPr>
          <w:rFonts w:ascii="Arial" w:hAnsi="Arial" w:cs="Arial"/>
          <w:sz w:val="22"/>
          <w:szCs w:val="22"/>
        </w:rPr>
        <w:t>help reduce distress and promote a sense of security.</w:t>
      </w:r>
    </w:p>
    <w:p w14:paraId="4BE6CE76" w14:textId="175B867A" w:rsidR="00A06BEC" w:rsidRDefault="00A06BEC" w:rsidP="00580412">
      <w:pPr>
        <w:spacing w:line="360" w:lineRule="auto"/>
        <w:jc w:val="both"/>
        <w:rPr>
          <w:rFonts w:ascii="Arial" w:hAnsi="Arial" w:cs="Arial"/>
          <w:sz w:val="22"/>
          <w:szCs w:val="22"/>
        </w:rPr>
      </w:pPr>
      <w:r>
        <w:rPr>
          <w:rFonts w:ascii="Arial" w:hAnsi="Arial" w:cs="Arial"/>
          <w:sz w:val="22"/>
          <w:szCs w:val="22"/>
        </w:rPr>
        <w:t>Effective teamwork also plays an important role. Sharing information and using calm, respectful communication can improve consistency of care. Simple actions to non-verbal cues, can significantly support</w:t>
      </w:r>
      <w:r w:rsidR="00E17AA2">
        <w:rPr>
          <w:rFonts w:ascii="Arial" w:hAnsi="Arial" w:cs="Arial"/>
          <w:sz w:val="22"/>
          <w:szCs w:val="22"/>
        </w:rPr>
        <w:t xml:space="preserve"> emotional wellbeing and dignity in dementia care settings.</w:t>
      </w:r>
    </w:p>
    <w:p w14:paraId="4CCE63DE" w14:textId="77777777" w:rsidR="00E17AA2" w:rsidRDefault="00E17AA2" w:rsidP="00580412">
      <w:pPr>
        <w:spacing w:line="360" w:lineRule="auto"/>
        <w:jc w:val="both"/>
        <w:rPr>
          <w:rFonts w:ascii="Arial" w:hAnsi="Arial" w:cs="Arial"/>
          <w:sz w:val="22"/>
          <w:szCs w:val="22"/>
        </w:rPr>
      </w:pPr>
    </w:p>
    <w:p w14:paraId="6D41076C" w14:textId="77777777" w:rsidR="00E17AA2" w:rsidRDefault="00E17AA2" w:rsidP="00580412">
      <w:pPr>
        <w:spacing w:line="360" w:lineRule="auto"/>
        <w:jc w:val="both"/>
        <w:rPr>
          <w:rFonts w:ascii="Arial" w:hAnsi="Arial" w:cs="Arial"/>
          <w:sz w:val="22"/>
          <w:szCs w:val="22"/>
        </w:rPr>
      </w:pPr>
    </w:p>
    <w:p w14:paraId="4CB76EC3" w14:textId="77777777" w:rsidR="00E17AA2" w:rsidRDefault="00E17AA2" w:rsidP="00580412">
      <w:pPr>
        <w:spacing w:line="360" w:lineRule="auto"/>
        <w:jc w:val="both"/>
        <w:rPr>
          <w:rFonts w:ascii="Arial" w:hAnsi="Arial" w:cs="Arial"/>
          <w:sz w:val="22"/>
          <w:szCs w:val="22"/>
        </w:rPr>
      </w:pPr>
    </w:p>
    <w:p w14:paraId="33D35E0C" w14:textId="77777777" w:rsidR="00CA7971" w:rsidRDefault="00CA7971" w:rsidP="00580412">
      <w:pPr>
        <w:spacing w:line="360" w:lineRule="auto"/>
        <w:jc w:val="both"/>
        <w:rPr>
          <w:rFonts w:ascii="Arial" w:hAnsi="Arial" w:cs="Arial"/>
          <w:b/>
          <w:bCs/>
          <w:sz w:val="22"/>
          <w:szCs w:val="22"/>
        </w:rPr>
      </w:pPr>
    </w:p>
    <w:p w14:paraId="7AB919F5" w14:textId="77777777" w:rsidR="00CA7971" w:rsidRDefault="00CA7971" w:rsidP="00580412">
      <w:pPr>
        <w:spacing w:line="360" w:lineRule="auto"/>
        <w:jc w:val="both"/>
        <w:rPr>
          <w:rFonts w:ascii="Arial" w:hAnsi="Arial" w:cs="Arial"/>
          <w:b/>
          <w:bCs/>
          <w:sz w:val="22"/>
          <w:szCs w:val="22"/>
        </w:rPr>
      </w:pPr>
    </w:p>
    <w:p w14:paraId="5F123B96" w14:textId="4ECBC7B4" w:rsidR="00E17AA2" w:rsidRDefault="00E17AA2" w:rsidP="00580412">
      <w:pPr>
        <w:spacing w:line="360" w:lineRule="auto"/>
        <w:jc w:val="both"/>
        <w:rPr>
          <w:rFonts w:ascii="Arial" w:hAnsi="Arial" w:cs="Arial"/>
          <w:b/>
          <w:bCs/>
          <w:sz w:val="22"/>
          <w:szCs w:val="22"/>
        </w:rPr>
      </w:pPr>
      <w:r>
        <w:rPr>
          <w:rFonts w:ascii="Arial" w:hAnsi="Arial" w:cs="Arial"/>
          <w:b/>
          <w:bCs/>
          <w:sz w:val="22"/>
          <w:szCs w:val="22"/>
        </w:rPr>
        <w:t>6 Conclusion</w:t>
      </w:r>
    </w:p>
    <w:p w14:paraId="2DD89CEC" w14:textId="77777777" w:rsidR="00E17AA2" w:rsidRDefault="00E17AA2" w:rsidP="00580412">
      <w:pPr>
        <w:spacing w:line="360" w:lineRule="auto"/>
        <w:jc w:val="both"/>
        <w:rPr>
          <w:rFonts w:ascii="Arial" w:hAnsi="Arial" w:cs="Arial"/>
          <w:b/>
          <w:bCs/>
          <w:sz w:val="22"/>
          <w:szCs w:val="22"/>
        </w:rPr>
      </w:pPr>
    </w:p>
    <w:p w14:paraId="1DFCA05E" w14:textId="7076E57F" w:rsidR="00E17AA2" w:rsidRDefault="00E17AA2" w:rsidP="00580412">
      <w:pPr>
        <w:spacing w:line="360" w:lineRule="auto"/>
        <w:jc w:val="both"/>
        <w:rPr>
          <w:rFonts w:ascii="Arial" w:hAnsi="Arial" w:cs="Arial"/>
          <w:sz w:val="22"/>
          <w:szCs w:val="22"/>
        </w:rPr>
      </w:pPr>
      <w:r w:rsidRPr="00E17AA2">
        <w:rPr>
          <w:rFonts w:ascii="Arial" w:hAnsi="Arial" w:cs="Arial"/>
          <w:sz w:val="22"/>
          <w:szCs w:val="22"/>
        </w:rPr>
        <w:t xml:space="preserve">This </w:t>
      </w:r>
      <w:r>
        <w:rPr>
          <w:rFonts w:ascii="Arial" w:hAnsi="Arial" w:cs="Arial"/>
          <w:sz w:val="22"/>
          <w:szCs w:val="22"/>
        </w:rPr>
        <w:t>report has examined how psychological theories can be used to support older adults aged</w:t>
      </w:r>
      <w:r w:rsidR="00705FA3">
        <w:rPr>
          <w:rFonts w:ascii="Arial" w:hAnsi="Arial" w:cs="Arial"/>
          <w:sz w:val="22"/>
          <w:szCs w:val="22"/>
        </w:rPr>
        <w:t xml:space="preserve"> 65 and over who live in a dementia care home. By focusing on Erikson’s theory of psychodynamic theory, the report has highlighted the importance of </w:t>
      </w:r>
      <w:r w:rsidR="00101391">
        <w:rPr>
          <w:rFonts w:ascii="Arial" w:hAnsi="Arial" w:cs="Arial"/>
          <w:sz w:val="22"/>
          <w:szCs w:val="22"/>
        </w:rPr>
        <w:t>understanding emotional and psychological needs in later life.</w:t>
      </w:r>
    </w:p>
    <w:p w14:paraId="039CB628" w14:textId="4321CAB0" w:rsidR="00101391" w:rsidRDefault="00101391" w:rsidP="00580412">
      <w:pPr>
        <w:spacing w:line="360" w:lineRule="auto"/>
        <w:jc w:val="both"/>
        <w:rPr>
          <w:rFonts w:ascii="Arial" w:hAnsi="Arial" w:cs="Arial"/>
          <w:sz w:val="22"/>
          <w:szCs w:val="22"/>
        </w:rPr>
      </w:pPr>
      <w:r>
        <w:rPr>
          <w:rFonts w:ascii="Arial" w:hAnsi="Arial" w:cs="Arial"/>
          <w:sz w:val="22"/>
          <w:szCs w:val="22"/>
        </w:rPr>
        <w:t xml:space="preserve">Erikson’s theory emphasises the need to support identity, dignity and a sense of meaning, while Freud’s theory helps professionals understand behaviours as a form of emotional expression. When applied in </w:t>
      </w:r>
      <w:r w:rsidR="00C92B93">
        <w:rPr>
          <w:rFonts w:ascii="Arial" w:hAnsi="Arial" w:cs="Arial"/>
          <w:sz w:val="22"/>
          <w:szCs w:val="22"/>
        </w:rPr>
        <w:t>practice,</w:t>
      </w:r>
      <w:r>
        <w:rPr>
          <w:rFonts w:ascii="Arial" w:hAnsi="Arial" w:cs="Arial"/>
          <w:sz w:val="22"/>
          <w:szCs w:val="22"/>
        </w:rPr>
        <w:t xml:space="preserve"> both theories encourage a more person-centred and compassionate approach to care.</w:t>
      </w:r>
    </w:p>
    <w:p w14:paraId="27C95BA2" w14:textId="5A96E128" w:rsidR="00C92B93" w:rsidRDefault="00C92B93" w:rsidP="00580412">
      <w:pPr>
        <w:spacing w:line="360" w:lineRule="auto"/>
        <w:jc w:val="both"/>
        <w:rPr>
          <w:rFonts w:ascii="Arial" w:hAnsi="Arial" w:cs="Arial"/>
          <w:sz w:val="22"/>
          <w:szCs w:val="22"/>
        </w:rPr>
      </w:pPr>
      <w:r>
        <w:rPr>
          <w:rFonts w:ascii="Arial" w:hAnsi="Arial" w:cs="Arial"/>
          <w:sz w:val="22"/>
          <w:szCs w:val="22"/>
        </w:rPr>
        <w:t>While each theory has its limitations, they remain valuable when combined with practical care strategies and multidisciplinary support. Overall, using psychological theories in dementia care can enhance emotional wellbeing, improve communication and support dignity. For health and social care professionals, this understanding is essential in delivering respectful and effective care for older adults living with dementia.</w:t>
      </w:r>
    </w:p>
    <w:p w14:paraId="4C82BB4C" w14:textId="77777777" w:rsidR="00547D96" w:rsidRDefault="00547D96" w:rsidP="00580412">
      <w:pPr>
        <w:spacing w:line="360" w:lineRule="auto"/>
        <w:jc w:val="both"/>
        <w:rPr>
          <w:rFonts w:ascii="Arial" w:hAnsi="Arial" w:cs="Arial"/>
          <w:sz w:val="22"/>
          <w:szCs w:val="22"/>
        </w:rPr>
      </w:pPr>
    </w:p>
    <w:p w14:paraId="63F88C5B" w14:textId="77777777" w:rsidR="00CA7971" w:rsidRDefault="00CA7971" w:rsidP="00580412">
      <w:pPr>
        <w:spacing w:line="360" w:lineRule="auto"/>
        <w:jc w:val="both"/>
        <w:rPr>
          <w:rFonts w:ascii="Arial" w:hAnsi="Arial" w:cs="Arial"/>
          <w:sz w:val="22"/>
          <w:szCs w:val="22"/>
        </w:rPr>
      </w:pPr>
    </w:p>
    <w:p w14:paraId="587B0A64" w14:textId="77777777" w:rsidR="00CA7971" w:rsidRDefault="00CA7971" w:rsidP="00580412">
      <w:pPr>
        <w:spacing w:line="360" w:lineRule="auto"/>
        <w:jc w:val="both"/>
        <w:rPr>
          <w:rFonts w:ascii="Arial" w:hAnsi="Arial" w:cs="Arial"/>
          <w:sz w:val="22"/>
          <w:szCs w:val="22"/>
        </w:rPr>
      </w:pPr>
    </w:p>
    <w:p w14:paraId="5D7A7E10" w14:textId="77777777" w:rsidR="00CA7971" w:rsidRDefault="00CA7971" w:rsidP="00580412">
      <w:pPr>
        <w:spacing w:line="360" w:lineRule="auto"/>
        <w:jc w:val="both"/>
        <w:rPr>
          <w:rFonts w:ascii="Arial" w:hAnsi="Arial" w:cs="Arial"/>
          <w:sz w:val="22"/>
          <w:szCs w:val="22"/>
        </w:rPr>
      </w:pPr>
    </w:p>
    <w:p w14:paraId="0D531146" w14:textId="77777777" w:rsidR="00CA7971" w:rsidRDefault="00CA7971" w:rsidP="00580412">
      <w:pPr>
        <w:spacing w:line="360" w:lineRule="auto"/>
        <w:jc w:val="both"/>
        <w:rPr>
          <w:rFonts w:ascii="Arial" w:hAnsi="Arial" w:cs="Arial"/>
          <w:sz w:val="22"/>
          <w:szCs w:val="22"/>
        </w:rPr>
      </w:pPr>
    </w:p>
    <w:p w14:paraId="5A7ED61A" w14:textId="77777777" w:rsidR="00CA7971" w:rsidRDefault="00CA7971" w:rsidP="00580412">
      <w:pPr>
        <w:spacing w:line="360" w:lineRule="auto"/>
        <w:jc w:val="both"/>
        <w:rPr>
          <w:rFonts w:ascii="Arial" w:hAnsi="Arial" w:cs="Arial"/>
          <w:sz w:val="22"/>
          <w:szCs w:val="22"/>
        </w:rPr>
      </w:pPr>
    </w:p>
    <w:p w14:paraId="495A3CD6" w14:textId="77777777" w:rsidR="00CA7971" w:rsidRDefault="00CA7971" w:rsidP="00580412">
      <w:pPr>
        <w:spacing w:line="360" w:lineRule="auto"/>
        <w:jc w:val="both"/>
        <w:rPr>
          <w:rFonts w:ascii="Arial" w:hAnsi="Arial" w:cs="Arial"/>
          <w:sz w:val="22"/>
          <w:szCs w:val="22"/>
        </w:rPr>
      </w:pPr>
    </w:p>
    <w:p w14:paraId="1FDA7C89" w14:textId="77777777" w:rsidR="00CA7971" w:rsidRDefault="00CA7971" w:rsidP="00580412">
      <w:pPr>
        <w:spacing w:line="360" w:lineRule="auto"/>
        <w:jc w:val="both"/>
        <w:rPr>
          <w:rFonts w:ascii="Arial" w:hAnsi="Arial" w:cs="Arial"/>
          <w:sz w:val="22"/>
          <w:szCs w:val="22"/>
        </w:rPr>
      </w:pPr>
    </w:p>
    <w:p w14:paraId="3B8E9034" w14:textId="77777777" w:rsidR="00CA7971" w:rsidRDefault="00CA7971" w:rsidP="00580412">
      <w:pPr>
        <w:spacing w:line="360" w:lineRule="auto"/>
        <w:jc w:val="both"/>
        <w:rPr>
          <w:rFonts w:ascii="Arial" w:hAnsi="Arial" w:cs="Arial"/>
          <w:sz w:val="22"/>
          <w:szCs w:val="22"/>
        </w:rPr>
      </w:pPr>
    </w:p>
    <w:p w14:paraId="72F7F5DB" w14:textId="77777777" w:rsidR="00CA7971" w:rsidRDefault="00CA7971" w:rsidP="00580412">
      <w:pPr>
        <w:spacing w:line="360" w:lineRule="auto"/>
        <w:jc w:val="both"/>
        <w:rPr>
          <w:rFonts w:ascii="Arial" w:hAnsi="Arial" w:cs="Arial"/>
          <w:sz w:val="22"/>
          <w:szCs w:val="22"/>
        </w:rPr>
      </w:pPr>
    </w:p>
    <w:p w14:paraId="6637823D" w14:textId="77777777" w:rsidR="00CA7971" w:rsidRDefault="00CA7971" w:rsidP="00580412">
      <w:pPr>
        <w:spacing w:line="360" w:lineRule="auto"/>
        <w:jc w:val="both"/>
        <w:rPr>
          <w:rFonts w:ascii="Arial" w:hAnsi="Arial" w:cs="Arial"/>
          <w:sz w:val="22"/>
          <w:szCs w:val="22"/>
        </w:rPr>
      </w:pPr>
    </w:p>
    <w:p w14:paraId="73ED9FE6" w14:textId="77777777" w:rsidR="00CA7971" w:rsidRDefault="00CA7971" w:rsidP="00580412">
      <w:pPr>
        <w:spacing w:line="360" w:lineRule="auto"/>
        <w:jc w:val="both"/>
        <w:rPr>
          <w:rFonts w:ascii="Arial" w:hAnsi="Arial" w:cs="Arial"/>
          <w:sz w:val="22"/>
          <w:szCs w:val="22"/>
        </w:rPr>
      </w:pPr>
    </w:p>
    <w:p w14:paraId="17F6650B" w14:textId="77777777" w:rsidR="00CA7971" w:rsidRDefault="00CA7971" w:rsidP="00580412">
      <w:pPr>
        <w:spacing w:line="360" w:lineRule="auto"/>
        <w:jc w:val="both"/>
        <w:rPr>
          <w:rFonts w:ascii="Arial" w:hAnsi="Arial" w:cs="Arial"/>
          <w:sz w:val="22"/>
          <w:szCs w:val="22"/>
        </w:rPr>
      </w:pPr>
    </w:p>
    <w:p w14:paraId="24E7D1C0" w14:textId="77777777" w:rsidR="00CA7971" w:rsidRDefault="00CA7971" w:rsidP="00580412">
      <w:pPr>
        <w:spacing w:line="360" w:lineRule="auto"/>
        <w:jc w:val="both"/>
        <w:rPr>
          <w:rFonts w:ascii="Arial" w:hAnsi="Arial" w:cs="Arial"/>
          <w:sz w:val="22"/>
          <w:szCs w:val="22"/>
        </w:rPr>
      </w:pPr>
    </w:p>
    <w:p w14:paraId="281864AA" w14:textId="6D57321B" w:rsidR="00547D96" w:rsidRDefault="00547D96" w:rsidP="00580412">
      <w:pPr>
        <w:spacing w:line="360" w:lineRule="auto"/>
        <w:jc w:val="both"/>
        <w:rPr>
          <w:rFonts w:ascii="Arial" w:hAnsi="Arial" w:cs="Arial"/>
          <w:b/>
          <w:bCs/>
          <w:sz w:val="22"/>
          <w:szCs w:val="22"/>
        </w:rPr>
      </w:pPr>
      <w:r w:rsidRPr="00547D96">
        <w:rPr>
          <w:rFonts w:ascii="Arial" w:hAnsi="Arial" w:cs="Arial"/>
          <w:b/>
          <w:bCs/>
          <w:sz w:val="22"/>
          <w:szCs w:val="22"/>
        </w:rPr>
        <w:t xml:space="preserve">7 Reference list </w:t>
      </w:r>
    </w:p>
    <w:p w14:paraId="7CF71EF9" w14:textId="77777777" w:rsidR="00547D96" w:rsidRDefault="00547D96" w:rsidP="00580412">
      <w:pPr>
        <w:spacing w:line="360" w:lineRule="auto"/>
        <w:jc w:val="both"/>
        <w:rPr>
          <w:rFonts w:ascii="Arial" w:hAnsi="Arial" w:cs="Arial"/>
          <w:b/>
          <w:bCs/>
          <w:sz w:val="22"/>
          <w:szCs w:val="22"/>
        </w:rPr>
      </w:pPr>
    </w:p>
    <w:p w14:paraId="068BC2A6" w14:textId="77777777" w:rsidR="006044C2" w:rsidRPr="00580412" w:rsidRDefault="006044C2" w:rsidP="00580412">
      <w:pPr>
        <w:pStyle w:val="NormalWeb"/>
        <w:shd w:val="clear" w:color="auto" w:fill="FFFFFF"/>
        <w:spacing w:before="0" w:beforeAutospacing="0" w:after="0" w:afterAutospacing="0" w:line="360" w:lineRule="auto"/>
        <w:rPr>
          <w:rFonts w:ascii="Arial" w:hAnsi="Arial" w:cs="Arial"/>
          <w:color w:val="242424"/>
          <w:sz w:val="22"/>
          <w:szCs w:val="22"/>
        </w:rPr>
      </w:pPr>
      <w:r w:rsidRPr="00580412">
        <w:rPr>
          <w:rFonts w:ascii="Arial" w:hAnsi="Arial" w:cs="Arial"/>
          <w:color w:val="242424"/>
          <w:sz w:val="22"/>
          <w:szCs w:val="22"/>
          <w:bdr w:val="none" w:sz="0" w:space="0" w:color="auto" w:frame="1"/>
        </w:rPr>
        <w:t>Erikson, E.H. (1982) The Life Cycle Completed. New York: W. W. Norton &amp; Company.</w:t>
      </w:r>
    </w:p>
    <w:p w14:paraId="3AB70E02" w14:textId="77777777" w:rsidR="006044C2" w:rsidRPr="00580412" w:rsidRDefault="006044C2" w:rsidP="00580412">
      <w:pPr>
        <w:pStyle w:val="NormalWeb"/>
        <w:shd w:val="clear" w:color="auto" w:fill="FFFFFF"/>
        <w:spacing w:before="0" w:beforeAutospacing="0" w:after="0" w:afterAutospacing="0" w:line="360" w:lineRule="auto"/>
        <w:rPr>
          <w:rFonts w:ascii="Arial" w:hAnsi="Arial" w:cs="Arial"/>
          <w:color w:val="242424"/>
          <w:sz w:val="22"/>
          <w:szCs w:val="22"/>
        </w:rPr>
      </w:pPr>
    </w:p>
    <w:p w14:paraId="1BA122F1" w14:textId="77777777" w:rsidR="006044C2" w:rsidRPr="00580412" w:rsidRDefault="006044C2" w:rsidP="00580412">
      <w:pPr>
        <w:pStyle w:val="NormalWeb"/>
        <w:shd w:val="clear" w:color="auto" w:fill="FFFFFF"/>
        <w:spacing w:before="0" w:beforeAutospacing="0" w:after="0" w:afterAutospacing="0" w:line="360" w:lineRule="auto"/>
        <w:rPr>
          <w:rFonts w:ascii="Arial" w:hAnsi="Arial" w:cs="Arial"/>
          <w:color w:val="242424"/>
          <w:sz w:val="22"/>
          <w:szCs w:val="22"/>
        </w:rPr>
      </w:pPr>
      <w:r w:rsidRPr="00580412">
        <w:rPr>
          <w:rFonts w:ascii="Arial" w:hAnsi="Arial" w:cs="Arial"/>
          <w:color w:val="242424"/>
          <w:sz w:val="22"/>
          <w:szCs w:val="22"/>
          <w:bdr w:val="none" w:sz="0" w:space="0" w:color="auto" w:frame="1"/>
        </w:rPr>
        <w:t>Freud, S. (1923) The Ego and the Id. London: Hogarth Press.</w:t>
      </w:r>
    </w:p>
    <w:p w14:paraId="0FC64495" w14:textId="77777777" w:rsidR="006044C2" w:rsidRPr="00580412" w:rsidRDefault="006044C2" w:rsidP="00580412">
      <w:pPr>
        <w:pStyle w:val="NormalWeb"/>
        <w:shd w:val="clear" w:color="auto" w:fill="FFFFFF"/>
        <w:spacing w:before="0" w:beforeAutospacing="0" w:after="0" w:afterAutospacing="0" w:line="360" w:lineRule="auto"/>
        <w:rPr>
          <w:rFonts w:ascii="Arial" w:hAnsi="Arial" w:cs="Arial"/>
          <w:color w:val="242424"/>
          <w:sz w:val="22"/>
          <w:szCs w:val="22"/>
        </w:rPr>
      </w:pPr>
    </w:p>
    <w:p w14:paraId="4441B11D" w14:textId="77777777" w:rsidR="006044C2" w:rsidRPr="00580412" w:rsidRDefault="006044C2" w:rsidP="00580412">
      <w:pPr>
        <w:pStyle w:val="NormalWeb"/>
        <w:shd w:val="clear" w:color="auto" w:fill="FFFFFF"/>
        <w:spacing w:before="0" w:beforeAutospacing="0" w:after="0" w:afterAutospacing="0" w:line="360" w:lineRule="auto"/>
        <w:rPr>
          <w:rFonts w:ascii="Arial" w:hAnsi="Arial" w:cs="Arial"/>
          <w:color w:val="242424"/>
          <w:sz w:val="22"/>
          <w:szCs w:val="22"/>
        </w:rPr>
      </w:pPr>
      <w:proofErr w:type="spellStart"/>
      <w:r w:rsidRPr="00580412">
        <w:rPr>
          <w:rFonts w:ascii="Arial" w:hAnsi="Arial" w:cs="Arial"/>
          <w:color w:val="242424"/>
          <w:sz w:val="22"/>
          <w:szCs w:val="22"/>
          <w:bdr w:val="none" w:sz="0" w:space="0" w:color="auto" w:frame="1"/>
        </w:rPr>
        <w:t>Kitwood</w:t>
      </w:r>
      <w:proofErr w:type="spellEnd"/>
      <w:r w:rsidRPr="00580412">
        <w:rPr>
          <w:rFonts w:ascii="Arial" w:hAnsi="Arial" w:cs="Arial"/>
          <w:color w:val="242424"/>
          <w:sz w:val="22"/>
          <w:szCs w:val="22"/>
          <w:bdr w:val="none" w:sz="0" w:space="0" w:color="auto" w:frame="1"/>
        </w:rPr>
        <w:t>, T. (1997) Dementia Reconsidered: The Person Comes First. Buckingham: Open University Press.</w:t>
      </w:r>
    </w:p>
    <w:p w14:paraId="27348D17" w14:textId="77777777" w:rsidR="006044C2" w:rsidRPr="00580412" w:rsidRDefault="006044C2" w:rsidP="00580412">
      <w:pPr>
        <w:pStyle w:val="NormalWeb"/>
        <w:shd w:val="clear" w:color="auto" w:fill="FFFFFF"/>
        <w:spacing w:before="0" w:beforeAutospacing="0" w:after="0" w:afterAutospacing="0" w:line="360" w:lineRule="auto"/>
        <w:rPr>
          <w:rFonts w:ascii="Arial" w:hAnsi="Arial" w:cs="Arial"/>
          <w:color w:val="242424"/>
          <w:sz w:val="22"/>
          <w:szCs w:val="22"/>
        </w:rPr>
      </w:pPr>
    </w:p>
    <w:p w14:paraId="26155FE2" w14:textId="7F2228AD" w:rsidR="006044C2" w:rsidRPr="00580412" w:rsidRDefault="006044C2" w:rsidP="00580412">
      <w:pPr>
        <w:pStyle w:val="NormalWeb"/>
        <w:shd w:val="clear" w:color="auto" w:fill="FFFFFF"/>
        <w:spacing w:before="0" w:beforeAutospacing="0" w:after="0" w:afterAutospacing="0" w:line="360" w:lineRule="auto"/>
        <w:rPr>
          <w:rFonts w:ascii="Arial" w:hAnsi="Arial" w:cs="Arial"/>
          <w:color w:val="242424"/>
          <w:sz w:val="22"/>
          <w:szCs w:val="22"/>
        </w:rPr>
      </w:pPr>
      <w:r w:rsidRPr="00580412">
        <w:rPr>
          <w:rFonts w:ascii="Arial" w:hAnsi="Arial" w:cs="Arial"/>
          <w:color w:val="242424"/>
          <w:sz w:val="22"/>
          <w:szCs w:val="22"/>
          <w:bdr w:val="none" w:sz="0" w:space="0" w:color="auto" w:frame="1"/>
        </w:rPr>
        <w:t xml:space="preserve">McLeod, S. (2018) Erik Erikson’s stages of psychosocial development. Simply Psychology. Available at: </w:t>
      </w:r>
      <w:hyperlink r:id="rId5" w:history="1">
        <w:r w:rsidRPr="00580412">
          <w:rPr>
            <w:rStyle w:val="Hyperlink"/>
            <w:rFonts w:ascii="Arial" w:hAnsi="Arial" w:cs="Arial"/>
            <w:sz w:val="22"/>
            <w:szCs w:val="22"/>
            <w:bdr w:val="none" w:sz="0" w:space="0" w:color="auto" w:frame="1"/>
          </w:rPr>
          <w:t>https://www.simplypsychology.org/Erik-Erikson.htm</w:t>
        </w:r>
        <w:r w:rsidRPr="00580412">
          <w:rPr>
            <w:rStyle w:val="Hyperlink"/>
            <w:rFonts w:ascii="Arial" w:hAnsi="Arial" w:cs="Arial"/>
            <w:sz w:val="22"/>
            <w:szCs w:val="22"/>
            <w:bdr w:val="none" w:sz="0" w:space="0" w:color="auto" w:frame="1"/>
          </w:rPr>
          <w:t>l</w:t>
        </w:r>
      </w:hyperlink>
      <w:r w:rsidRPr="00580412">
        <w:rPr>
          <w:rFonts w:ascii="Arial" w:hAnsi="Arial" w:cs="Arial"/>
          <w:color w:val="242424"/>
          <w:sz w:val="22"/>
          <w:szCs w:val="22"/>
          <w:bdr w:val="none" w:sz="0" w:space="0" w:color="auto" w:frame="1"/>
        </w:rPr>
        <w:t xml:space="preserve"> </w:t>
      </w:r>
    </w:p>
    <w:p w14:paraId="1D0C213E" w14:textId="77777777" w:rsidR="006044C2" w:rsidRPr="00580412" w:rsidRDefault="006044C2" w:rsidP="00580412">
      <w:pPr>
        <w:pStyle w:val="NormalWeb"/>
        <w:shd w:val="clear" w:color="auto" w:fill="FFFFFF"/>
        <w:spacing w:before="0" w:beforeAutospacing="0" w:after="0" w:afterAutospacing="0" w:line="360" w:lineRule="auto"/>
        <w:rPr>
          <w:rFonts w:ascii="Arial" w:hAnsi="Arial" w:cs="Arial"/>
          <w:color w:val="242424"/>
          <w:sz w:val="22"/>
          <w:szCs w:val="22"/>
        </w:rPr>
      </w:pPr>
    </w:p>
    <w:p w14:paraId="75640D94" w14:textId="3245BD68" w:rsidR="006044C2" w:rsidRPr="00580412" w:rsidRDefault="006044C2" w:rsidP="00580412">
      <w:pPr>
        <w:pStyle w:val="NormalWeb"/>
        <w:shd w:val="clear" w:color="auto" w:fill="FFFFFF"/>
        <w:spacing w:before="0" w:beforeAutospacing="0" w:after="0" w:afterAutospacing="0" w:line="360" w:lineRule="auto"/>
        <w:rPr>
          <w:rFonts w:ascii="Arial" w:hAnsi="Arial" w:cs="Arial"/>
          <w:color w:val="242424"/>
          <w:sz w:val="22"/>
          <w:szCs w:val="22"/>
        </w:rPr>
      </w:pPr>
      <w:r w:rsidRPr="00580412">
        <w:rPr>
          <w:rFonts w:ascii="Arial" w:hAnsi="Arial" w:cs="Arial"/>
          <w:color w:val="242424"/>
          <w:sz w:val="22"/>
          <w:szCs w:val="22"/>
          <w:bdr w:val="none" w:sz="0" w:space="0" w:color="auto" w:frame="1"/>
        </w:rPr>
        <w:t xml:space="preserve">NHS (2023) Dementia. Available at: </w:t>
      </w:r>
      <w:hyperlink r:id="rId6" w:history="1">
        <w:r w:rsidRPr="00580412">
          <w:rPr>
            <w:rStyle w:val="Hyperlink"/>
            <w:rFonts w:ascii="Arial" w:hAnsi="Arial" w:cs="Arial"/>
            <w:sz w:val="22"/>
            <w:szCs w:val="22"/>
            <w:bdr w:val="none" w:sz="0" w:space="0" w:color="auto" w:frame="1"/>
          </w:rPr>
          <w:t>https://www.nhs.uk/conditions/dementia</w:t>
        </w:r>
        <w:r w:rsidRPr="00580412">
          <w:rPr>
            <w:rStyle w:val="Hyperlink"/>
            <w:rFonts w:ascii="Arial" w:hAnsi="Arial" w:cs="Arial"/>
            <w:sz w:val="22"/>
            <w:szCs w:val="22"/>
            <w:bdr w:val="none" w:sz="0" w:space="0" w:color="auto" w:frame="1"/>
          </w:rPr>
          <w:t>/</w:t>
        </w:r>
      </w:hyperlink>
      <w:r w:rsidRPr="00580412">
        <w:rPr>
          <w:rFonts w:ascii="Arial" w:hAnsi="Arial" w:cs="Arial"/>
          <w:color w:val="242424"/>
          <w:sz w:val="22"/>
          <w:szCs w:val="22"/>
          <w:bdr w:val="none" w:sz="0" w:space="0" w:color="auto" w:frame="1"/>
        </w:rPr>
        <w:t xml:space="preserve"> </w:t>
      </w:r>
    </w:p>
    <w:p w14:paraId="1A69E09A" w14:textId="77777777" w:rsidR="006044C2" w:rsidRPr="00580412" w:rsidRDefault="006044C2" w:rsidP="00580412">
      <w:pPr>
        <w:pStyle w:val="NormalWeb"/>
        <w:shd w:val="clear" w:color="auto" w:fill="FFFFFF"/>
        <w:spacing w:before="0" w:beforeAutospacing="0" w:after="0" w:afterAutospacing="0" w:line="360" w:lineRule="auto"/>
        <w:rPr>
          <w:rFonts w:ascii="Arial" w:hAnsi="Arial" w:cs="Arial"/>
          <w:color w:val="242424"/>
          <w:sz w:val="22"/>
          <w:szCs w:val="22"/>
        </w:rPr>
      </w:pPr>
    </w:p>
    <w:p w14:paraId="6ADA34E8" w14:textId="77777777" w:rsidR="006044C2" w:rsidRPr="00580412" w:rsidRDefault="006044C2" w:rsidP="00580412">
      <w:pPr>
        <w:pStyle w:val="NormalWeb"/>
        <w:shd w:val="clear" w:color="auto" w:fill="FFFFFF"/>
        <w:spacing w:before="0" w:beforeAutospacing="0" w:after="0" w:afterAutospacing="0" w:line="360" w:lineRule="auto"/>
        <w:rPr>
          <w:rFonts w:ascii="Arial" w:hAnsi="Arial" w:cs="Arial"/>
          <w:color w:val="242424"/>
          <w:sz w:val="22"/>
          <w:szCs w:val="22"/>
        </w:rPr>
      </w:pPr>
      <w:r w:rsidRPr="00580412">
        <w:rPr>
          <w:rFonts w:ascii="Arial" w:hAnsi="Arial" w:cs="Arial"/>
          <w:color w:val="242424"/>
          <w:sz w:val="22"/>
          <w:szCs w:val="22"/>
          <w:bdr w:val="none" w:sz="0" w:space="0" w:color="auto" w:frame="1"/>
        </w:rPr>
        <w:t>World Health Organization (2017) Global action plan on the public health response to dementia 2017–2025. Geneva: World Health Organization.</w:t>
      </w:r>
    </w:p>
    <w:p w14:paraId="762FB4A3" w14:textId="5D429767" w:rsidR="006044C2" w:rsidRPr="00580412" w:rsidRDefault="006044C2" w:rsidP="007F087F">
      <w:pPr>
        <w:spacing w:line="360" w:lineRule="auto"/>
        <w:jc w:val="both"/>
        <w:rPr>
          <w:rFonts w:ascii="Arial" w:hAnsi="Arial" w:cs="Arial"/>
          <w:sz w:val="22"/>
          <w:szCs w:val="22"/>
        </w:rPr>
      </w:pPr>
    </w:p>
    <w:p w14:paraId="129D5369" w14:textId="77777777" w:rsidR="00101391" w:rsidRPr="00580412" w:rsidRDefault="00101391" w:rsidP="007F087F">
      <w:pPr>
        <w:spacing w:line="360" w:lineRule="auto"/>
        <w:jc w:val="both"/>
        <w:rPr>
          <w:rFonts w:ascii="Arial" w:hAnsi="Arial" w:cs="Arial"/>
          <w:sz w:val="22"/>
          <w:szCs w:val="22"/>
        </w:rPr>
      </w:pPr>
    </w:p>
    <w:p w14:paraId="1353E51D" w14:textId="77777777" w:rsidR="00E17AA2" w:rsidRPr="00E17AA2" w:rsidRDefault="00E17AA2" w:rsidP="007F087F">
      <w:pPr>
        <w:spacing w:line="360" w:lineRule="auto"/>
        <w:jc w:val="both"/>
        <w:rPr>
          <w:rFonts w:ascii="Arial" w:hAnsi="Arial" w:cs="Arial"/>
          <w:b/>
          <w:bCs/>
          <w:sz w:val="22"/>
          <w:szCs w:val="22"/>
        </w:rPr>
      </w:pPr>
    </w:p>
    <w:sectPr w:rsidR="00E17AA2" w:rsidRPr="00E17A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87F"/>
    <w:rsid w:val="000346BB"/>
    <w:rsid w:val="00036238"/>
    <w:rsid w:val="00050993"/>
    <w:rsid w:val="00077D6A"/>
    <w:rsid w:val="000E5CAC"/>
    <w:rsid w:val="00101391"/>
    <w:rsid w:val="0026247D"/>
    <w:rsid w:val="002C4535"/>
    <w:rsid w:val="003032B0"/>
    <w:rsid w:val="00342346"/>
    <w:rsid w:val="003E02F6"/>
    <w:rsid w:val="003F6BE8"/>
    <w:rsid w:val="00460BCB"/>
    <w:rsid w:val="004627C4"/>
    <w:rsid w:val="0048144C"/>
    <w:rsid w:val="00481DEE"/>
    <w:rsid w:val="00503FDB"/>
    <w:rsid w:val="00547D96"/>
    <w:rsid w:val="00580335"/>
    <w:rsid w:val="00580412"/>
    <w:rsid w:val="006044C2"/>
    <w:rsid w:val="00626D4B"/>
    <w:rsid w:val="0063571E"/>
    <w:rsid w:val="006529AB"/>
    <w:rsid w:val="00677B2C"/>
    <w:rsid w:val="006804B4"/>
    <w:rsid w:val="00705FA3"/>
    <w:rsid w:val="00712FDF"/>
    <w:rsid w:val="00724D66"/>
    <w:rsid w:val="007C291A"/>
    <w:rsid w:val="007C3C5B"/>
    <w:rsid w:val="007F087F"/>
    <w:rsid w:val="00830238"/>
    <w:rsid w:val="00853990"/>
    <w:rsid w:val="008B143C"/>
    <w:rsid w:val="00915651"/>
    <w:rsid w:val="00A06BEC"/>
    <w:rsid w:val="00A765F2"/>
    <w:rsid w:val="00A92685"/>
    <w:rsid w:val="00AE36A9"/>
    <w:rsid w:val="00B01EA4"/>
    <w:rsid w:val="00B02973"/>
    <w:rsid w:val="00B41863"/>
    <w:rsid w:val="00B93DAA"/>
    <w:rsid w:val="00C16FF3"/>
    <w:rsid w:val="00C92B93"/>
    <w:rsid w:val="00CA7971"/>
    <w:rsid w:val="00CE714C"/>
    <w:rsid w:val="00D26987"/>
    <w:rsid w:val="00DA71F7"/>
    <w:rsid w:val="00E01366"/>
    <w:rsid w:val="00E17AA2"/>
    <w:rsid w:val="00E60E4F"/>
    <w:rsid w:val="00FB3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E2617"/>
  <w15:chartTrackingRefBased/>
  <w15:docId w15:val="{B85833F4-3CF2-44AB-B71E-CF9983FE1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087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F087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08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08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08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08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8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8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8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87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F08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F08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08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08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08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8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8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87F"/>
    <w:rPr>
      <w:rFonts w:eastAsiaTheme="majorEastAsia" w:cstheme="majorBidi"/>
      <w:color w:val="272727" w:themeColor="text1" w:themeTint="D8"/>
    </w:rPr>
  </w:style>
  <w:style w:type="paragraph" w:styleId="Title">
    <w:name w:val="Title"/>
    <w:basedOn w:val="Normal"/>
    <w:next w:val="Normal"/>
    <w:link w:val="TitleChar"/>
    <w:uiPriority w:val="10"/>
    <w:qFormat/>
    <w:rsid w:val="007F08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8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8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8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87F"/>
    <w:pPr>
      <w:spacing w:before="160"/>
      <w:jc w:val="center"/>
    </w:pPr>
    <w:rPr>
      <w:i/>
      <w:iCs/>
      <w:color w:val="404040" w:themeColor="text1" w:themeTint="BF"/>
    </w:rPr>
  </w:style>
  <w:style w:type="character" w:customStyle="1" w:styleId="QuoteChar">
    <w:name w:val="Quote Char"/>
    <w:basedOn w:val="DefaultParagraphFont"/>
    <w:link w:val="Quote"/>
    <w:uiPriority w:val="29"/>
    <w:rsid w:val="007F087F"/>
    <w:rPr>
      <w:i/>
      <w:iCs/>
      <w:color w:val="404040" w:themeColor="text1" w:themeTint="BF"/>
    </w:rPr>
  </w:style>
  <w:style w:type="paragraph" w:styleId="ListParagraph">
    <w:name w:val="List Paragraph"/>
    <w:basedOn w:val="Normal"/>
    <w:uiPriority w:val="34"/>
    <w:qFormat/>
    <w:rsid w:val="007F087F"/>
    <w:pPr>
      <w:ind w:left="720"/>
      <w:contextualSpacing/>
    </w:pPr>
  </w:style>
  <w:style w:type="character" w:styleId="IntenseEmphasis">
    <w:name w:val="Intense Emphasis"/>
    <w:basedOn w:val="DefaultParagraphFont"/>
    <w:uiPriority w:val="21"/>
    <w:qFormat/>
    <w:rsid w:val="007F087F"/>
    <w:rPr>
      <w:i/>
      <w:iCs/>
      <w:color w:val="2F5496" w:themeColor="accent1" w:themeShade="BF"/>
    </w:rPr>
  </w:style>
  <w:style w:type="paragraph" w:styleId="IntenseQuote">
    <w:name w:val="Intense Quote"/>
    <w:basedOn w:val="Normal"/>
    <w:next w:val="Normal"/>
    <w:link w:val="IntenseQuoteChar"/>
    <w:uiPriority w:val="30"/>
    <w:qFormat/>
    <w:rsid w:val="007F08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087F"/>
    <w:rPr>
      <w:i/>
      <w:iCs/>
      <w:color w:val="2F5496" w:themeColor="accent1" w:themeShade="BF"/>
    </w:rPr>
  </w:style>
  <w:style w:type="character" w:styleId="IntenseReference">
    <w:name w:val="Intense Reference"/>
    <w:basedOn w:val="DefaultParagraphFont"/>
    <w:uiPriority w:val="32"/>
    <w:qFormat/>
    <w:rsid w:val="007F087F"/>
    <w:rPr>
      <w:b/>
      <w:bCs/>
      <w:smallCaps/>
      <w:color w:val="2F5496" w:themeColor="accent1" w:themeShade="BF"/>
      <w:spacing w:val="5"/>
    </w:rPr>
  </w:style>
  <w:style w:type="paragraph" w:styleId="NormalWeb">
    <w:name w:val="Normal (Web)"/>
    <w:basedOn w:val="Normal"/>
    <w:uiPriority w:val="99"/>
    <w:semiHidden/>
    <w:unhideWhenUsed/>
    <w:rsid w:val="006044C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044C2"/>
    <w:rPr>
      <w:color w:val="0563C1" w:themeColor="hyperlink"/>
      <w:u w:val="single"/>
    </w:rPr>
  </w:style>
  <w:style w:type="character" w:styleId="UnresolvedMention">
    <w:name w:val="Unresolved Mention"/>
    <w:basedOn w:val="DefaultParagraphFont"/>
    <w:uiPriority w:val="99"/>
    <w:semiHidden/>
    <w:unhideWhenUsed/>
    <w:rsid w:val="006044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dementia/" TargetMode="External"/><Relationship Id="rId5" Type="http://schemas.openxmlformats.org/officeDocument/2006/relationships/hyperlink" Target="https://www.simplypsychology.org/Erik-Erikson.html"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1317</TotalTime>
  <Pages>8</Pages>
  <Words>1834</Words>
  <Characters>10458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Faria</dc:creator>
  <cp:keywords/>
  <dc:description/>
  <cp:lastModifiedBy>Patricia Faria</cp:lastModifiedBy>
  <cp:revision>2</cp:revision>
  <dcterms:created xsi:type="dcterms:W3CDTF">2025-12-18T03:15:00Z</dcterms:created>
  <dcterms:modified xsi:type="dcterms:W3CDTF">2025-12-19T01:15:00Z</dcterms:modified>
</cp:coreProperties>
</file>