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9CC50" w14:textId="152AB1B7" w:rsidR="00CF1336" w:rsidRDefault="22D3F933" w:rsidP="0EBA1261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EBA1261">
        <w:rPr>
          <w:rFonts w:ascii="Arial" w:eastAsia="Arial" w:hAnsi="Arial" w:cs="Arial"/>
          <w:color w:val="000000" w:themeColor="text1"/>
          <w:sz w:val="24"/>
          <w:szCs w:val="24"/>
        </w:rPr>
        <w:t xml:space="preserve">              </w:t>
      </w:r>
    </w:p>
    <w:p w14:paraId="1638CC50" w14:textId="6BAC0939" w:rsidR="00CF1336" w:rsidRDefault="00CF1336" w:rsidP="0EBA1261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94537CF" w14:textId="0AA96FBE" w:rsidR="00CF1336" w:rsidRDefault="00CF1336" w:rsidP="0EBA1261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EE45C58" w14:textId="77D88EE6" w:rsidR="00CF1336" w:rsidRDefault="00CF1336" w:rsidP="0EBA1261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5AD17D1" w14:textId="149EAD59" w:rsidR="00CF1336" w:rsidRDefault="00CF1336" w:rsidP="0EBA1261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FFEBAFC" w14:textId="72464CD8" w:rsidR="00CF1336" w:rsidRDefault="22D3F933" w:rsidP="0EBA1261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EBA1261">
        <w:rPr>
          <w:rFonts w:ascii="Arial" w:eastAsia="Arial" w:hAnsi="Arial" w:cs="Arial"/>
          <w:color w:val="000000" w:themeColor="text1"/>
          <w:sz w:val="24"/>
          <w:szCs w:val="24"/>
        </w:rPr>
        <w:t xml:space="preserve">                                </w:t>
      </w:r>
      <w:r w:rsidR="710EA98B" w:rsidRPr="0EBA1261">
        <w:rPr>
          <w:rFonts w:ascii="Arial" w:eastAsia="Arial" w:hAnsi="Arial" w:cs="Arial"/>
          <w:color w:val="000000" w:themeColor="text1"/>
          <w:sz w:val="24"/>
          <w:szCs w:val="24"/>
        </w:rPr>
        <w:t xml:space="preserve">                </w:t>
      </w:r>
      <w:r w:rsidRPr="0EBA1261">
        <w:rPr>
          <w:rFonts w:ascii="Arial" w:eastAsia="Arial" w:hAnsi="Arial" w:cs="Arial"/>
          <w:color w:val="000000" w:themeColor="text1"/>
          <w:sz w:val="24"/>
          <w:szCs w:val="24"/>
        </w:rPr>
        <w:t xml:space="preserve">  Feasibility Plan </w:t>
      </w:r>
    </w:p>
    <w:p w14:paraId="3F11EDBE" w14:textId="4FB94A9E" w:rsidR="00CF1336" w:rsidRDefault="22D3F933" w:rsidP="7AA8FB85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7AA8FB85">
        <w:rPr>
          <w:rFonts w:ascii="Arial" w:eastAsia="Arial" w:hAnsi="Arial" w:cs="Arial"/>
          <w:color w:val="000000" w:themeColor="text1"/>
          <w:sz w:val="24"/>
          <w:szCs w:val="24"/>
        </w:rPr>
        <w:t xml:space="preserve">         </w:t>
      </w:r>
      <w:r w:rsidR="40EA678F" w:rsidRPr="7AA8FB85">
        <w:rPr>
          <w:rFonts w:ascii="Arial" w:eastAsia="Arial" w:hAnsi="Arial" w:cs="Arial"/>
          <w:color w:val="000000" w:themeColor="text1"/>
          <w:sz w:val="24"/>
          <w:szCs w:val="24"/>
        </w:rPr>
        <w:t xml:space="preserve">                         </w:t>
      </w:r>
      <w:r w:rsidRPr="7AA8FB85">
        <w:rPr>
          <w:rFonts w:ascii="Arial" w:eastAsia="Arial" w:hAnsi="Arial" w:cs="Arial"/>
          <w:color w:val="000000" w:themeColor="text1"/>
          <w:sz w:val="24"/>
          <w:szCs w:val="24"/>
        </w:rPr>
        <w:t>Edible Drinking Straws Conference</w:t>
      </w:r>
    </w:p>
    <w:p w14:paraId="2F2750DB" w14:textId="353A0BDD" w:rsidR="00CF1336" w:rsidRDefault="00CF1336" w:rsidP="0EBA1261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5383037" w14:textId="453461F2" w:rsidR="00CF1336" w:rsidRDefault="00CF1336" w:rsidP="0EBA1261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6C6F3C5" w14:textId="33943C00" w:rsidR="00CF1336" w:rsidRDefault="00CF1336" w:rsidP="0EBA1261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4F409328" w14:textId="4EA997FA" w:rsidR="00CF1336" w:rsidRDefault="00CF1336" w:rsidP="0EBA1261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11794D57" w14:textId="5711A122" w:rsidR="00CF1336" w:rsidRDefault="00CF1336" w:rsidP="0EBA1261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A3909EE" w14:textId="5E718B57" w:rsidR="00CF1336" w:rsidRDefault="00CF1336" w:rsidP="0EBA1261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B84C5CD" w14:textId="430300B9" w:rsidR="00CF1336" w:rsidRDefault="00CF1336" w:rsidP="0EBA1261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1E09B3BD" w14:textId="72816F1E" w:rsidR="00CF1336" w:rsidRDefault="00CF1336" w:rsidP="0EBA1261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128AB599" w14:textId="4B884216" w:rsidR="00CF1336" w:rsidRDefault="00CF1336" w:rsidP="0EBA1261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63C8AEC" w14:textId="6452DD10" w:rsidR="00CF1336" w:rsidRDefault="00CF1336" w:rsidP="0EBA1261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0EB7D56" w14:textId="1AFC79C7" w:rsidR="00CF1336" w:rsidRDefault="22D3F933" w:rsidP="0EBA1261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EBA1261">
        <w:rPr>
          <w:rFonts w:ascii="Arial" w:eastAsia="Arial" w:hAnsi="Arial" w:cs="Arial"/>
          <w:color w:val="000000" w:themeColor="text1"/>
          <w:sz w:val="24"/>
          <w:szCs w:val="24"/>
        </w:rPr>
        <w:t xml:space="preserve">Student name: Madalina </w:t>
      </w:r>
      <w:proofErr w:type="spellStart"/>
      <w:r w:rsidRPr="0EBA1261">
        <w:rPr>
          <w:rFonts w:ascii="Arial" w:eastAsia="Arial" w:hAnsi="Arial" w:cs="Arial"/>
          <w:color w:val="000000" w:themeColor="text1"/>
          <w:sz w:val="24"/>
          <w:szCs w:val="24"/>
        </w:rPr>
        <w:t>Andreea</w:t>
      </w:r>
      <w:proofErr w:type="spellEnd"/>
      <w:r w:rsidRPr="0EBA1261">
        <w:rPr>
          <w:rFonts w:ascii="Arial" w:eastAsia="Arial" w:hAnsi="Arial" w:cs="Arial"/>
          <w:color w:val="000000" w:themeColor="text1"/>
          <w:sz w:val="24"/>
          <w:szCs w:val="24"/>
        </w:rPr>
        <w:t xml:space="preserve"> Iordache</w:t>
      </w:r>
    </w:p>
    <w:p w14:paraId="22090C5B" w14:textId="778EF5EB" w:rsidR="00CF1336" w:rsidRDefault="22D3F933" w:rsidP="0EBA1261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EBA1261">
        <w:rPr>
          <w:rFonts w:ascii="Arial" w:eastAsia="Arial" w:hAnsi="Arial" w:cs="Arial"/>
          <w:color w:val="000000" w:themeColor="text1"/>
          <w:sz w:val="24"/>
          <w:szCs w:val="24"/>
        </w:rPr>
        <w:t>Student ID Number: 2119156</w:t>
      </w:r>
    </w:p>
    <w:p w14:paraId="1D596BF3" w14:textId="18AAD664" w:rsidR="00CF1336" w:rsidRDefault="22D3F933" w:rsidP="0EBA1261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EBA1261">
        <w:rPr>
          <w:rFonts w:ascii="Arial" w:eastAsia="Arial" w:hAnsi="Arial" w:cs="Arial"/>
          <w:color w:val="000000" w:themeColor="text1"/>
          <w:sz w:val="24"/>
          <w:szCs w:val="24"/>
        </w:rPr>
        <w:t>International Meetings Management for the Hotel Industry - BMIH6007</w:t>
      </w:r>
    </w:p>
    <w:p w14:paraId="04326BB3" w14:textId="0FF5F8D5" w:rsidR="00CF1336" w:rsidRDefault="22D3F933" w:rsidP="0EBA1261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0EBA1261">
        <w:rPr>
          <w:rFonts w:ascii="Arial" w:eastAsia="Arial" w:hAnsi="Arial" w:cs="Arial"/>
          <w:color w:val="000000" w:themeColor="text1"/>
          <w:sz w:val="24"/>
          <w:szCs w:val="24"/>
        </w:rPr>
        <w:t>Lecturer’s name: Kathryn Flynn</w:t>
      </w:r>
    </w:p>
    <w:p w14:paraId="664B6557" w14:textId="4731A725" w:rsidR="00CF1336" w:rsidRDefault="00CF1336" w:rsidP="0EBA1261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E5787A5" w14:textId="5E89766A" w:rsidR="00CF1336" w:rsidRDefault="00CF1336" w:rsidP="0EBA1261"/>
    <w:p w14:paraId="5D5A35F6" w14:textId="6B99C06E" w:rsidR="0EBA1261" w:rsidRDefault="0EBA1261" w:rsidP="0EBA1261"/>
    <w:p w14:paraId="3D4CE0C1" w14:textId="135DEC89" w:rsidR="0EBA1261" w:rsidRDefault="0EBA1261" w:rsidP="0EBA1261"/>
    <w:p w14:paraId="30DE2539" w14:textId="2DFC039F" w:rsidR="0EBA1261" w:rsidRDefault="0EBA1261" w:rsidP="0EBA1261"/>
    <w:p w14:paraId="2BFCF562" w14:textId="7DF5550A" w:rsidR="0EBA1261" w:rsidRDefault="0EBA1261" w:rsidP="0EBA1261"/>
    <w:p w14:paraId="3A2871B7" w14:textId="069BC6C1" w:rsidR="0EBA1261" w:rsidRDefault="0EBA1261" w:rsidP="0EBA1261"/>
    <w:p w14:paraId="5CB5899E" w14:textId="663BD551" w:rsidR="0EBA1261" w:rsidRDefault="0EBA1261" w:rsidP="0EBA1261"/>
    <w:p w14:paraId="475E16AD" w14:textId="55914B8A" w:rsidR="0EBA1261" w:rsidRDefault="0EBA1261" w:rsidP="0EBA1261"/>
    <w:p w14:paraId="219A0BA5" w14:textId="77777777" w:rsidR="00C507DA" w:rsidRDefault="00C507DA" w:rsidP="7AA8FB85">
      <w:pPr>
        <w:rPr>
          <w:rFonts w:ascii="Arial" w:eastAsia="Arial" w:hAnsi="Arial" w:cs="Arial"/>
          <w:sz w:val="24"/>
          <w:szCs w:val="24"/>
        </w:rPr>
      </w:pPr>
    </w:p>
    <w:p w14:paraId="5C41D980" w14:textId="77777777" w:rsidR="00C507DA" w:rsidRDefault="00C507DA" w:rsidP="7AA8FB85">
      <w:pPr>
        <w:rPr>
          <w:rFonts w:ascii="Arial" w:eastAsia="Arial" w:hAnsi="Arial" w:cs="Arial"/>
          <w:sz w:val="24"/>
          <w:szCs w:val="24"/>
        </w:rPr>
      </w:pPr>
    </w:p>
    <w:p w14:paraId="0BC3DA83" w14:textId="2DBD8FC9" w:rsidR="3A348DB4" w:rsidRDefault="3A348DB4" w:rsidP="7AA8FB85">
      <w:r w:rsidRPr="7AA8FB85">
        <w:rPr>
          <w:rFonts w:ascii="Arial" w:eastAsia="Arial" w:hAnsi="Arial" w:cs="Arial"/>
          <w:sz w:val="24"/>
          <w:szCs w:val="24"/>
        </w:rPr>
        <w:t>Link to the video on Microsoft Stream/Teams:</w:t>
      </w:r>
    </w:p>
    <w:p w14:paraId="2B4DA445" w14:textId="38B383E6" w:rsidR="3A348DB4" w:rsidRDefault="00272E33" w:rsidP="7AA8FB85">
      <w:pPr>
        <w:rPr>
          <w:rFonts w:ascii="Arial" w:eastAsia="Arial" w:hAnsi="Arial" w:cs="Arial"/>
          <w:sz w:val="24"/>
          <w:szCs w:val="24"/>
        </w:rPr>
      </w:pPr>
      <w:hyperlink r:id="rId4">
        <w:r w:rsidR="3A348DB4" w:rsidRPr="7AA8FB85">
          <w:rPr>
            <w:rStyle w:val="Hyperlink"/>
            <w:rFonts w:ascii="Arial" w:eastAsia="Arial" w:hAnsi="Arial" w:cs="Arial"/>
            <w:sz w:val="24"/>
            <w:szCs w:val="24"/>
          </w:rPr>
          <w:t>Madalina Iordache Group B IMM Assign 1 Presentation Recording-20240208_204156-Meeting Recording.mp4 (sharepoint.com)</w:t>
        </w:r>
      </w:hyperlink>
    </w:p>
    <w:p w14:paraId="7DF0AA76" w14:textId="5B87DE8D" w:rsidR="7AA8FB85" w:rsidRDefault="7AA8FB85" w:rsidP="7AA8FB85">
      <w:pPr>
        <w:rPr>
          <w:rFonts w:ascii="Arial" w:eastAsia="Arial" w:hAnsi="Arial" w:cs="Arial"/>
          <w:sz w:val="24"/>
          <w:szCs w:val="24"/>
        </w:rPr>
      </w:pPr>
    </w:p>
    <w:p w14:paraId="4E4AA2FC" w14:textId="77777777" w:rsidR="00DD60F9" w:rsidRDefault="00DD60F9" w:rsidP="7AA8FB85">
      <w:pPr>
        <w:rPr>
          <w:rFonts w:ascii="Arial" w:eastAsia="Arial" w:hAnsi="Arial" w:cs="Arial"/>
          <w:sz w:val="24"/>
          <w:szCs w:val="24"/>
        </w:rPr>
      </w:pPr>
    </w:p>
    <w:p w14:paraId="734CFC9D" w14:textId="77777777" w:rsidR="00DD60F9" w:rsidRDefault="00DD60F9" w:rsidP="7AA8FB85">
      <w:pPr>
        <w:rPr>
          <w:rFonts w:ascii="Arial" w:eastAsia="Arial" w:hAnsi="Arial" w:cs="Arial"/>
          <w:sz w:val="24"/>
          <w:szCs w:val="24"/>
        </w:rPr>
      </w:pPr>
    </w:p>
    <w:p w14:paraId="615C1D1F" w14:textId="205B8D6B" w:rsidR="294CF859" w:rsidRDefault="294CF859" w:rsidP="7AA8FB85">
      <w:pPr>
        <w:rPr>
          <w:rFonts w:ascii="Arial" w:eastAsia="Arial" w:hAnsi="Arial" w:cs="Arial"/>
          <w:sz w:val="24"/>
          <w:szCs w:val="24"/>
        </w:rPr>
      </w:pPr>
      <w:r w:rsidRPr="7AA8FB85">
        <w:rPr>
          <w:rFonts w:ascii="Arial" w:eastAsia="Arial" w:hAnsi="Arial" w:cs="Arial"/>
          <w:sz w:val="24"/>
          <w:szCs w:val="24"/>
        </w:rPr>
        <w:t>PowerPoint Presentation:</w:t>
      </w:r>
    </w:p>
    <w:p w14:paraId="2C78D166" w14:textId="77777777" w:rsidR="00C507DA" w:rsidRDefault="00C507DA" w:rsidP="7AA8FB85">
      <w:pPr>
        <w:rPr>
          <w:rFonts w:ascii="Arial" w:eastAsia="Arial" w:hAnsi="Arial" w:cs="Arial"/>
          <w:sz w:val="24"/>
          <w:szCs w:val="24"/>
        </w:rPr>
      </w:pPr>
    </w:p>
    <w:p w14:paraId="299D43E8" w14:textId="40292503" w:rsidR="00C507DA" w:rsidRDefault="0072110A" w:rsidP="7AA8FB8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drawing>
          <wp:inline distT="0" distB="0" distL="0" distR="0" wp14:anchorId="6E72B63E" wp14:editId="64464BC1">
            <wp:extent cx="5657850" cy="3023689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925" cy="3037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B933C" w14:textId="68837F6F" w:rsidR="0072110A" w:rsidRDefault="0072110A" w:rsidP="0EBA1261">
      <w:r>
        <w:rPr>
          <w:noProof/>
        </w:rPr>
        <w:drawing>
          <wp:inline distT="0" distB="0" distL="0" distR="0" wp14:anchorId="1AD615D7" wp14:editId="5D89B452">
            <wp:extent cx="5715000" cy="316719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416" cy="3178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F32E3F" w14:textId="7E1FC77E" w:rsidR="44A524A4" w:rsidRDefault="00D04346" w:rsidP="44A524A4">
      <w:r>
        <w:rPr>
          <w:noProof/>
        </w:rPr>
        <w:lastRenderedPageBreak/>
        <w:drawing>
          <wp:inline distT="0" distB="0" distL="0" distR="0" wp14:anchorId="65E96CEE" wp14:editId="31C5CE08">
            <wp:extent cx="5824220" cy="3629025"/>
            <wp:effectExtent l="0" t="0" r="508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1393" cy="363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4048B3" w14:textId="7C9DB1E5" w:rsidR="44A524A4" w:rsidRDefault="00D04346" w:rsidP="44A524A4">
      <w:r>
        <w:rPr>
          <w:noProof/>
        </w:rPr>
        <w:drawing>
          <wp:inline distT="0" distB="0" distL="0" distR="0" wp14:anchorId="4CF3BB06" wp14:editId="34C2B3D5">
            <wp:extent cx="5805488" cy="3747770"/>
            <wp:effectExtent l="0" t="0" r="508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1553" cy="3758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B631" w14:textId="03336173" w:rsidR="44A524A4" w:rsidRDefault="44A524A4" w:rsidP="44A524A4"/>
    <w:p w14:paraId="52FAB990" w14:textId="1CDBC2E7" w:rsidR="44A524A4" w:rsidRDefault="44A524A4" w:rsidP="44A524A4"/>
    <w:p w14:paraId="7D9FC600" w14:textId="6C3BCBF7" w:rsidR="44A524A4" w:rsidRDefault="00D04346" w:rsidP="44A524A4">
      <w:r>
        <w:rPr>
          <w:noProof/>
        </w:rPr>
        <w:lastRenderedPageBreak/>
        <w:drawing>
          <wp:inline distT="0" distB="0" distL="0" distR="0" wp14:anchorId="2F506B11" wp14:editId="2320EF2E">
            <wp:extent cx="5676900" cy="3395663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152" cy="3408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2D18AF" w14:textId="36ABD701" w:rsidR="44A524A4" w:rsidRDefault="44A524A4" w:rsidP="44A524A4"/>
    <w:p w14:paraId="213A7B04" w14:textId="77777777" w:rsidR="007839C2" w:rsidRDefault="007839C2" w:rsidP="44A524A4"/>
    <w:p w14:paraId="04F325E9" w14:textId="7423ECA5" w:rsidR="44A524A4" w:rsidRDefault="00D04346" w:rsidP="44A524A4">
      <w:r>
        <w:rPr>
          <w:noProof/>
        </w:rPr>
        <w:drawing>
          <wp:inline distT="0" distB="0" distL="0" distR="0" wp14:anchorId="658A109E" wp14:editId="4A6F9DBA">
            <wp:extent cx="5724525" cy="322453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2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083D1" w14:textId="77777777" w:rsidR="007839C2" w:rsidRDefault="007839C2" w:rsidP="7AA8FB85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6E9B7D8" w14:textId="65FDCAEA" w:rsidR="007839C2" w:rsidRDefault="007839C2" w:rsidP="7AA8FB85">
      <w:pPr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0EE0C960" wp14:editId="7151B0F0">
            <wp:extent cx="5729605" cy="3319780"/>
            <wp:effectExtent l="0" t="0" r="444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31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E54F7" w14:textId="77777777" w:rsidR="007839C2" w:rsidRDefault="007839C2" w:rsidP="7AA8FB85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764AD5C9" w14:textId="76A3F669" w:rsidR="007839C2" w:rsidRDefault="00256A2C" w:rsidP="7AA8FB85">
      <w:pPr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noProof/>
          <w:color w:val="000000" w:themeColor="text1"/>
          <w:sz w:val="24"/>
          <w:szCs w:val="24"/>
        </w:rPr>
        <w:drawing>
          <wp:inline distT="0" distB="0" distL="0" distR="0" wp14:anchorId="7CE9FBCD" wp14:editId="53797C57">
            <wp:extent cx="5729605" cy="3329305"/>
            <wp:effectExtent l="0" t="0" r="4445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32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927A12" w14:textId="77777777" w:rsidR="007839C2" w:rsidRDefault="007839C2" w:rsidP="7AA8FB85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0660C7F" w14:textId="77777777" w:rsidR="007839C2" w:rsidRDefault="007839C2" w:rsidP="7AA8FB85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DBADF63" w14:textId="70B7B5A7" w:rsidR="007839C2" w:rsidRDefault="00256A2C" w:rsidP="7AA8FB85">
      <w:pPr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1F765021" wp14:editId="18077246">
            <wp:extent cx="5729605" cy="3291205"/>
            <wp:effectExtent l="0" t="0" r="4445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29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59DDF" w14:textId="77777777" w:rsidR="007839C2" w:rsidRDefault="007839C2" w:rsidP="7AA8FB85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1D63845B" w14:textId="77777777" w:rsidR="007839C2" w:rsidRDefault="007839C2" w:rsidP="7AA8FB85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429FA25" w14:textId="3AFC619F" w:rsidR="007839C2" w:rsidRDefault="00256A2C" w:rsidP="7AA8FB85">
      <w:pPr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noProof/>
          <w:color w:val="000000" w:themeColor="text1"/>
          <w:sz w:val="24"/>
          <w:szCs w:val="24"/>
        </w:rPr>
        <w:drawing>
          <wp:inline distT="0" distB="0" distL="0" distR="0" wp14:anchorId="431FDEBA" wp14:editId="74B410FB">
            <wp:extent cx="5724525" cy="322453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2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8CDA4D" w14:textId="77777777" w:rsidR="007839C2" w:rsidRDefault="007839C2" w:rsidP="7AA8FB85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85F2EE8" w14:textId="77777777" w:rsidR="007839C2" w:rsidRDefault="007839C2" w:rsidP="7AA8FB85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EE052E0" w14:textId="632F5D31" w:rsidR="007839C2" w:rsidRDefault="00256A2C" w:rsidP="7AA8FB85">
      <w:pPr>
        <w:rPr>
          <w:rFonts w:ascii="Arial" w:eastAsia="Arial" w:hAnsi="Arial" w:cs="Arial"/>
          <w:color w:val="000000" w:themeColor="text1"/>
          <w:sz w:val="24"/>
          <w:szCs w:val="24"/>
        </w:rPr>
      </w:pPr>
      <w:r>
        <w:rPr>
          <w:rFonts w:ascii="Arial" w:eastAsia="Arial" w:hAnsi="Arial" w:cs="Arial"/>
          <w:noProof/>
          <w:color w:val="000000" w:themeColor="text1"/>
          <w:sz w:val="24"/>
          <w:szCs w:val="24"/>
        </w:rPr>
        <w:lastRenderedPageBreak/>
        <w:drawing>
          <wp:inline distT="0" distB="0" distL="0" distR="0" wp14:anchorId="7446BCCF" wp14:editId="3D78ED2B">
            <wp:extent cx="5729605" cy="3314700"/>
            <wp:effectExtent l="0" t="0" r="444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20E52" w14:textId="77777777" w:rsidR="007839C2" w:rsidRDefault="007839C2" w:rsidP="7AA8FB85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15ABE167" w14:textId="77777777" w:rsidR="007839C2" w:rsidRDefault="007839C2" w:rsidP="7AA8FB85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E2F7499" w14:textId="77777777" w:rsidR="007839C2" w:rsidRDefault="007839C2" w:rsidP="7AA8FB85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B989AAE" w14:textId="0BAD30A2" w:rsidR="0EBA1261" w:rsidRDefault="27DEC48C" w:rsidP="7AA8FB85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7AA8FB85">
        <w:rPr>
          <w:rFonts w:ascii="Arial" w:eastAsia="Arial" w:hAnsi="Arial" w:cs="Arial"/>
          <w:color w:val="000000" w:themeColor="text1"/>
          <w:sz w:val="24"/>
          <w:szCs w:val="24"/>
        </w:rPr>
        <w:t>Reference list:</w:t>
      </w:r>
    </w:p>
    <w:p w14:paraId="4E7F1B34" w14:textId="13D20CB5" w:rsidR="0EBA1261" w:rsidRDefault="0EBA1261" w:rsidP="44A524A4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4155257" w14:textId="2AA33CD8" w:rsidR="0EBA1261" w:rsidRDefault="27DEC48C" w:rsidP="44A524A4">
      <w:pPr>
        <w:rPr>
          <w:rFonts w:ascii="Calibri" w:eastAsia="Calibri" w:hAnsi="Calibri" w:cs="Calibri"/>
          <w:color w:val="2C3E50"/>
          <w:sz w:val="27"/>
          <w:szCs w:val="27"/>
        </w:rPr>
      </w:pPr>
      <w:proofErr w:type="spellStart"/>
      <w:r w:rsidRPr="44A524A4">
        <w:rPr>
          <w:rFonts w:ascii="Calibri" w:eastAsia="Calibri" w:hAnsi="Calibri" w:cs="Calibri"/>
          <w:color w:val="2C3E50"/>
          <w:sz w:val="27"/>
          <w:szCs w:val="27"/>
        </w:rPr>
        <w:t>Acutt</w:t>
      </w:r>
      <w:proofErr w:type="spellEnd"/>
      <w:r w:rsidRPr="44A524A4">
        <w:rPr>
          <w:rFonts w:ascii="Calibri" w:eastAsia="Calibri" w:hAnsi="Calibri" w:cs="Calibri"/>
          <w:color w:val="2C3E50"/>
          <w:sz w:val="27"/>
          <w:szCs w:val="27"/>
        </w:rPr>
        <w:t xml:space="preserve">, M. (2016). </w:t>
      </w:r>
      <w:r w:rsidRPr="44A524A4">
        <w:rPr>
          <w:rFonts w:ascii="Calibri" w:eastAsia="Calibri" w:hAnsi="Calibri" w:cs="Calibri"/>
          <w:i/>
          <w:iCs/>
          <w:color w:val="2C3E50"/>
          <w:sz w:val="27"/>
          <w:szCs w:val="27"/>
        </w:rPr>
        <w:t>The Marketing Mix</w:t>
      </w:r>
      <w:r w:rsidRPr="44A524A4">
        <w:rPr>
          <w:rFonts w:ascii="Calibri" w:eastAsia="Calibri" w:hAnsi="Calibri" w:cs="Calibri"/>
          <w:color w:val="2C3E50"/>
          <w:sz w:val="27"/>
          <w:szCs w:val="27"/>
        </w:rPr>
        <w:t xml:space="preserve">. Available at: </w:t>
      </w:r>
      <w:hyperlink r:id="rId16">
        <w:r w:rsidRPr="44A524A4">
          <w:rPr>
            <w:rStyle w:val="Hyperlink"/>
            <w:rFonts w:ascii="Calibri" w:eastAsia="Calibri" w:hAnsi="Calibri" w:cs="Calibri"/>
            <w:sz w:val="27"/>
            <w:szCs w:val="27"/>
          </w:rPr>
          <w:t>https://marketingmix.co.uk/</w:t>
        </w:r>
      </w:hyperlink>
      <w:r w:rsidRPr="44A524A4">
        <w:rPr>
          <w:rFonts w:ascii="Calibri" w:eastAsia="Calibri" w:hAnsi="Calibri" w:cs="Calibri"/>
          <w:color w:val="2C3E50"/>
          <w:sz w:val="27"/>
          <w:szCs w:val="27"/>
        </w:rPr>
        <w:t xml:space="preserve">. (Accessed 06 February 2024). </w:t>
      </w:r>
    </w:p>
    <w:p w14:paraId="10F94FB2" w14:textId="0ED9C838" w:rsidR="0EBA1261" w:rsidRDefault="0EBA1261" w:rsidP="44A524A4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055E4F6C" w14:textId="3ED2C42F" w:rsidR="0EBA1261" w:rsidRDefault="27DEC48C" w:rsidP="44A524A4">
      <w:pPr>
        <w:rPr>
          <w:rFonts w:ascii="Arial" w:eastAsia="Arial" w:hAnsi="Arial" w:cs="Arial"/>
          <w:color w:val="2C3E50"/>
          <w:sz w:val="24"/>
          <w:szCs w:val="24"/>
        </w:rPr>
      </w:pP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Anon, (2023). </w:t>
      </w:r>
      <w:r w:rsidRPr="44A524A4">
        <w:rPr>
          <w:rFonts w:ascii="Arial" w:eastAsia="Arial" w:hAnsi="Arial" w:cs="Arial"/>
          <w:i/>
          <w:iCs/>
          <w:color w:val="2C3E50"/>
          <w:sz w:val="24"/>
          <w:szCs w:val="24"/>
        </w:rPr>
        <w:t>Conference Marketing: A Comprehensive Guide To Making Your Event A Success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. Available at: </w:t>
      </w:r>
      <w:hyperlink r:id="rId17">
        <w:r w:rsidRPr="44A524A4">
          <w:rPr>
            <w:rStyle w:val="Hyperlink"/>
            <w:rFonts w:ascii="Arial" w:eastAsia="Arial" w:hAnsi="Arial" w:cs="Arial"/>
            <w:sz w:val="24"/>
            <w:szCs w:val="24"/>
          </w:rPr>
          <w:t>https://www.eventible.com/learning/conference-marketing/</w:t>
        </w:r>
      </w:hyperlink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  (Accessed 25 January 2024).</w:t>
      </w:r>
    </w:p>
    <w:p w14:paraId="639C222B" w14:textId="4A8F44BB" w:rsidR="0EBA1261" w:rsidRDefault="0EBA1261" w:rsidP="44A524A4">
      <w:pPr>
        <w:rPr>
          <w:rFonts w:ascii="Arial" w:eastAsia="Arial" w:hAnsi="Arial" w:cs="Arial"/>
          <w:color w:val="2C3E50"/>
          <w:sz w:val="24"/>
          <w:szCs w:val="24"/>
        </w:rPr>
      </w:pPr>
    </w:p>
    <w:p w14:paraId="018D96C9" w14:textId="60C04695" w:rsidR="0EBA1261" w:rsidRDefault="27DEC48C" w:rsidP="44A524A4">
      <w:pPr>
        <w:rPr>
          <w:rFonts w:ascii="Arial" w:eastAsia="Arial" w:hAnsi="Arial" w:cs="Arial"/>
          <w:color w:val="2C3E50"/>
          <w:sz w:val="24"/>
          <w:szCs w:val="24"/>
        </w:rPr>
      </w:pPr>
      <w:proofErr w:type="spellStart"/>
      <w:r w:rsidRPr="44A524A4">
        <w:rPr>
          <w:rFonts w:ascii="Arial" w:eastAsia="Arial" w:hAnsi="Arial" w:cs="Arial"/>
          <w:color w:val="2C3E50"/>
          <w:sz w:val="24"/>
          <w:szCs w:val="24"/>
        </w:rPr>
        <w:t>Bizzabo</w:t>
      </w:r>
      <w:proofErr w:type="spellEnd"/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. (2021). </w:t>
      </w:r>
      <w:r w:rsidRPr="44A524A4">
        <w:rPr>
          <w:rFonts w:ascii="Arial" w:eastAsia="Arial" w:hAnsi="Arial" w:cs="Arial"/>
          <w:i/>
          <w:iCs/>
          <w:color w:val="2C3E50"/>
          <w:sz w:val="24"/>
          <w:szCs w:val="24"/>
        </w:rPr>
        <w:t>22 Important KPIs for Measuring Event Success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. Available at: </w:t>
      </w:r>
      <w:hyperlink r:id="rId18">
        <w:r w:rsidRPr="44A524A4">
          <w:rPr>
            <w:rStyle w:val="Hyperlink"/>
            <w:rFonts w:ascii="Arial" w:eastAsia="Arial" w:hAnsi="Arial" w:cs="Arial"/>
            <w:sz w:val="24"/>
            <w:szCs w:val="24"/>
          </w:rPr>
          <w:t>https://www.bizzabo.com/blog/kpis-to-measure-event-success</w:t>
        </w:r>
      </w:hyperlink>
      <w:r w:rsidRPr="44A524A4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>(Accessed 25 January 2024).</w:t>
      </w:r>
    </w:p>
    <w:p w14:paraId="3A308F9F" w14:textId="2A48D37C" w:rsidR="0EBA1261" w:rsidRDefault="0EBA1261" w:rsidP="44A524A4">
      <w:pPr>
        <w:rPr>
          <w:rFonts w:ascii="Arial" w:eastAsia="Arial" w:hAnsi="Arial" w:cs="Arial"/>
          <w:color w:val="2C3E50"/>
          <w:sz w:val="24"/>
          <w:szCs w:val="24"/>
        </w:rPr>
      </w:pPr>
    </w:p>
    <w:p w14:paraId="3D24961A" w14:textId="31ED79AD" w:rsidR="0EBA1261" w:rsidRDefault="27DEC48C" w:rsidP="44A524A4">
      <w:pPr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 w:rsidRPr="44A524A4">
        <w:rPr>
          <w:rFonts w:ascii="Arial" w:eastAsia="Arial" w:hAnsi="Arial" w:cs="Arial"/>
          <w:color w:val="000000" w:themeColor="text1"/>
          <w:sz w:val="24"/>
          <w:szCs w:val="24"/>
        </w:rPr>
        <w:t>Bladen</w:t>
      </w:r>
      <w:proofErr w:type="spellEnd"/>
      <w:r w:rsidRPr="44A524A4">
        <w:rPr>
          <w:rFonts w:ascii="Arial" w:eastAsia="Arial" w:hAnsi="Arial" w:cs="Arial"/>
          <w:color w:val="000000" w:themeColor="text1"/>
          <w:sz w:val="24"/>
          <w:szCs w:val="24"/>
        </w:rPr>
        <w:t>, C. et al (2012) Events Management: An Introduction. Abingdon: Routledge Seven.</w:t>
      </w:r>
    </w:p>
    <w:p w14:paraId="4783B2AE" w14:textId="4412D7D9" w:rsidR="0EBA1261" w:rsidRDefault="0EBA1261" w:rsidP="44A524A4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3289678D" w14:textId="234D1C16" w:rsidR="0EBA1261" w:rsidRDefault="27DEC48C" w:rsidP="44A524A4">
      <w:pPr>
        <w:rPr>
          <w:rFonts w:ascii="Arial" w:eastAsia="Arial" w:hAnsi="Arial" w:cs="Arial"/>
          <w:color w:val="000000" w:themeColor="text1"/>
          <w:sz w:val="24"/>
          <w:szCs w:val="24"/>
        </w:rPr>
      </w:pPr>
      <w:proofErr w:type="spellStart"/>
      <w:r w:rsidRPr="44A524A4">
        <w:rPr>
          <w:rFonts w:ascii="Arial" w:eastAsia="Arial" w:hAnsi="Arial" w:cs="Arial"/>
          <w:color w:val="000000" w:themeColor="text1"/>
          <w:sz w:val="24"/>
          <w:szCs w:val="24"/>
        </w:rPr>
        <w:t>Bowdin</w:t>
      </w:r>
      <w:proofErr w:type="spellEnd"/>
      <w:r w:rsidRPr="44A524A4">
        <w:rPr>
          <w:rFonts w:ascii="Arial" w:eastAsia="Arial" w:hAnsi="Arial" w:cs="Arial"/>
          <w:color w:val="000000" w:themeColor="text1"/>
          <w:sz w:val="24"/>
          <w:szCs w:val="24"/>
        </w:rPr>
        <w:t>, G., Allen, J., O’Toole, W., Harris, R. and McDonnell, I. (2011) Events Management. Oxford: Elsevier. (Chapter Eleven)</w:t>
      </w:r>
    </w:p>
    <w:p w14:paraId="6790CEDD" w14:textId="1264A629" w:rsidR="0EBA1261" w:rsidRDefault="0EBA1261" w:rsidP="44A524A4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69FF2C53" w14:textId="5811A353" w:rsidR="0EBA1261" w:rsidRDefault="0EBA1261" w:rsidP="44A524A4">
      <w:pPr>
        <w:rPr>
          <w:rFonts w:ascii="Arial" w:eastAsia="Arial" w:hAnsi="Arial" w:cs="Arial"/>
          <w:color w:val="2C3E50"/>
          <w:sz w:val="24"/>
          <w:szCs w:val="24"/>
        </w:rPr>
      </w:pPr>
    </w:p>
    <w:p w14:paraId="6A0C9C10" w14:textId="27B39B08" w:rsidR="0EBA1261" w:rsidRDefault="27DEC48C" w:rsidP="44A524A4">
      <w:pPr>
        <w:rPr>
          <w:rFonts w:ascii="Arial" w:eastAsia="Arial" w:hAnsi="Arial" w:cs="Arial"/>
          <w:color w:val="2C3E50"/>
          <w:sz w:val="24"/>
          <w:szCs w:val="24"/>
        </w:rPr>
      </w:pP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Bridges, J. (2023). </w:t>
      </w:r>
      <w:r w:rsidRPr="44A524A4">
        <w:rPr>
          <w:rFonts w:ascii="Arial" w:eastAsia="Arial" w:hAnsi="Arial" w:cs="Arial"/>
          <w:i/>
          <w:iCs/>
          <w:color w:val="2C3E50"/>
          <w:sz w:val="24"/>
          <w:szCs w:val="24"/>
        </w:rPr>
        <w:t>How to Conduct a Feasibility Study.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 Available at: </w:t>
      </w:r>
      <w:hyperlink r:id="rId19">
        <w:r w:rsidRPr="44A524A4">
          <w:rPr>
            <w:rStyle w:val="Hyperlink"/>
            <w:rFonts w:ascii="Arial" w:eastAsia="Arial" w:hAnsi="Arial" w:cs="Arial"/>
            <w:sz w:val="24"/>
            <w:szCs w:val="24"/>
          </w:rPr>
          <w:t>https://www.projectmanager.com/training/how-to-conduct-a-feasibility-study</w:t>
        </w:r>
      </w:hyperlink>
      <w:r w:rsidRPr="44A524A4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>(Accessed 25 January 2024).</w:t>
      </w:r>
    </w:p>
    <w:p w14:paraId="4C65DB16" w14:textId="0E5F8B8D" w:rsidR="0EBA1261" w:rsidRDefault="0EBA1261" w:rsidP="44A524A4">
      <w:pPr>
        <w:rPr>
          <w:rFonts w:ascii="Arial" w:eastAsia="Arial" w:hAnsi="Arial" w:cs="Arial"/>
          <w:color w:val="2C3E50"/>
          <w:sz w:val="24"/>
          <w:szCs w:val="24"/>
        </w:rPr>
      </w:pPr>
    </w:p>
    <w:p w14:paraId="7B310204" w14:textId="373DC56D" w:rsidR="0EBA1261" w:rsidRDefault="27DEC48C" w:rsidP="44A524A4">
      <w:pPr>
        <w:rPr>
          <w:rFonts w:ascii="Arial" w:eastAsia="Arial" w:hAnsi="Arial" w:cs="Arial"/>
          <w:color w:val="2C3E50"/>
          <w:sz w:val="24"/>
          <w:szCs w:val="24"/>
        </w:rPr>
      </w:pPr>
      <w:r w:rsidRPr="44A524A4">
        <w:rPr>
          <w:rFonts w:ascii="Calibri" w:eastAsia="Calibri" w:hAnsi="Calibri" w:cs="Calibri"/>
          <w:color w:val="2C3E50"/>
          <w:sz w:val="27"/>
          <w:szCs w:val="27"/>
        </w:rPr>
        <w:t xml:space="preserve">Burns, S. (2020). </w:t>
      </w:r>
      <w:r w:rsidRPr="44A524A4">
        <w:rPr>
          <w:rFonts w:ascii="Calibri" w:eastAsia="Calibri" w:hAnsi="Calibri" w:cs="Calibri"/>
          <w:i/>
          <w:iCs/>
          <w:color w:val="2C3E50"/>
          <w:sz w:val="27"/>
          <w:szCs w:val="27"/>
        </w:rPr>
        <w:t>How To Build A Legacy For Your Business</w:t>
      </w:r>
      <w:r w:rsidRPr="44A524A4">
        <w:rPr>
          <w:rFonts w:ascii="Calibri" w:eastAsia="Calibri" w:hAnsi="Calibri" w:cs="Calibri"/>
          <w:color w:val="2C3E50"/>
          <w:sz w:val="27"/>
          <w:szCs w:val="27"/>
        </w:rPr>
        <w:t xml:space="preserve">. Available at: </w:t>
      </w:r>
      <w:hyperlink r:id="rId20">
        <w:r w:rsidRPr="44A524A4">
          <w:rPr>
            <w:rStyle w:val="Hyperlink"/>
            <w:rFonts w:ascii="Calibri" w:eastAsia="Calibri" w:hAnsi="Calibri" w:cs="Calibri"/>
            <w:sz w:val="27"/>
            <w:szCs w:val="27"/>
          </w:rPr>
          <w:t>https://www.forbes.com/sites/stephanieburns/2020/05/24/how-to-build-a-legacy-for-your-business/</w:t>
        </w:r>
      </w:hyperlink>
      <w:r w:rsidRPr="44A524A4">
        <w:rPr>
          <w:rFonts w:ascii="Calibri" w:eastAsia="Calibri" w:hAnsi="Calibri" w:cs="Calibri"/>
          <w:color w:val="2C3E50"/>
          <w:sz w:val="27"/>
          <w:szCs w:val="27"/>
        </w:rPr>
        <w:t xml:space="preserve"> 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>(Accessed 25 January 2024).</w:t>
      </w:r>
    </w:p>
    <w:p w14:paraId="2CBD9B93" w14:textId="2389322A" w:rsidR="0EBA1261" w:rsidRDefault="0EBA1261" w:rsidP="44A524A4">
      <w:pPr>
        <w:rPr>
          <w:rFonts w:ascii="Calibri" w:eastAsia="Calibri" w:hAnsi="Calibri" w:cs="Calibri"/>
          <w:color w:val="2C3E50"/>
          <w:sz w:val="27"/>
          <w:szCs w:val="27"/>
        </w:rPr>
      </w:pPr>
    </w:p>
    <w:p w14:paraId="72D71524" w14:textId="251F5647" w:rsidR="0EBA1261" w:rsidRDefault="0EBA1261" w:rsidP="44A524A4">
      <w:pPr>
        <w:rPr>
          <w:rFonts w:ascii="Arial" w:eastAsia="Arial" w:hAnsi="Arial" w:cs="Arial"/>
          <w:color w:val="2C3E50"/>
          <w:sz w:val="24"/>
          <w:szCs w:val="24"/>
        </w:rPr>
      </w:pPr>
    </w:p>
    <w:p w14:paraId="6A34FBFC" w14:textId="09D7A2FD" w:rsidR="0EBA1261" w:rsidRDefault="27DEC48C" w:rsidP="44A524A4">
      <w:pPr>
        <w:rPr>
          <w:rFonts w:ascii="Arial" w:eastAsia="Arial" w:hAnsi="Arial" w:cs="Arial"/>
          <w:color w:val="2C3E50"/>
          <w:sz w:val="24"/>
          <w:szCs w:val="24"/>
        </w:rPr>
      </w:pP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Chang, L. and Tan, J. (2021). An integrated sustainability assessment of drinking straws. </w:t>
      </w:r>
      <w:r w:rsidRPr="44A524A4">
        <w:rPr>
          <w:rFonts w:ascii="Arial" w:eastAsia="Arial" w:hAnsi="Arial" w:cs="Arial"/>
          <w:i/>
          <w:iCs/>
          <w:color w:val="2C3E50"/>
          <w:sz w:val="24"/>
          <w:szCs w:val="24"/>
        </w:rPr>
        <w:t>Journal of Environmental Chemical Engineering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, 9(4), p.105527. </w:t>
      </w:r>
      <w:hyperlink r:id="rId21">
        <w:r w:rsidRPr="44A524A4">
          <w:rPr>
            <w:rStyle w:val="Hyperlink"/>
            <w:rFonts w:ascii="Arial" w:eastAsia="Arial" w:hAnsi="Arial" w:cs="Arial"/>
            <w:sz w:val="24"/>
            <w:szCs w:val="24"/>
          </w:rPr>
          <w:t>https://doi.org/10.1016/j.jece.2021.105527</w:t>
        </w:r>
      </w:hyperlink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 (Accessed 25 January 2024). </w:t>
      </w:r>
    </w:p>
    <w:p w14:paraId="33F1D767" w14:textId="3F3C3242" w:rsidR="0EBA1261" w:rsidRDefault="27DEC48C" w:rsidP="44A524A4">
      <w:pPr>
        <w:rPr>
          <w:rFonts w:ascii="Arial" w:eastAsia="Arial" w:hAnsi="Arial" w:cs="Arial"/>
          <w:color w:val="2C3E50"/>
          <w:sz w:val="24"/>
          <w:szCs w:val="24"/>
        </w:rPr>
      </w:pP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Cross, B. (2017). </w:t>
      </w:r>
      <w:r w:rsidRPr="44A524A4">
        <w:rPr>
          <w:rFonts w:ascii="Arial" w:eastAsia="Arial" w:hAnsi="Arial" w:cs="Arial"/>
          <w:i/>
          <w:iCs/>
          <w:color w:val="2C3E50"/>
          <w:sz w:val="24"/>
          <w:szCs w:val="24"/>
        </w:rPr>
        <w:t>The Ultimate Guide to Planning a Conference Panel Discussion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. Available at: </w:t>
      </w:r>
      <w:hyperlink r:id="rId22">
        <w:r w:rsidRPr="44A524A4">
          <w:rPr>
            <w:rStyle w:val="Hyperlink"/>
            <w:rFonts w:ascii="Arial" w:eastAsia="Arial" w:hAnsi="Arial" w:cs="Arial"/>
            <w:sz w:val="24"/>
            <w:szCs w:val="24"/>
          </w:rPr>
          <w:t>https://meetings.skift.com/guide-planning-conference-panel-discussion/</w:t>
        </w:r>
      </w:hyperlink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 (Accessed 25 January 2024).</w:t>
      </w:r>
    </w:p>
    <w:p w14:paraId="0228E0A7" w14:textId="3A476D2E" w:rsidR="0EBA1261" w:rsidRDefault="0EBA1261" w:rsidP="44A524A4">
      <w:pPr>
        <w:rPr>
          <w:rFonts w:ascii="Arial" w:eastAsia="Arial" w:hAnsi="Arial" w:cs="Arial"/>
          <w:color w:val="2C3E50"/>
          <w:sz w:val="24"/>
          <w:szCs w:val="24"/>
        </w:rPr>
      </w:pPr>
    </w:p>
    <w:p w14:paraId="5955B22C" w14:textId="5F249F63" w:rsidR="0EBA1261" w:rsidRDefault="27DEC48C" w:rsidP="44A524A4">
      <w:pPr>
        <w:rPr>
          <w:rFonts w:ascii="Arial" w:eastAsia="Arial" w:hAnsi="Arial" w:cs="Arial"/>
          <w:color w:val="2C3E50"/>
          <w:sz w:val="24"/>
          <w:szCs w:val="24"/>
        </w:rPr>
      </w:pP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Ctb.ku.edu. (2023). </w:t>
      </w:r>
      <w:r w:rsidRPr="44A524A4">
        <w:rPr>
          <w:rFonts w:ascii="Arial" w:eastAsia="Arial" w:hAnsi="Arial" w:cs="Arial"/>
          <w:i/>
          <w:iCs/>
          <w:color w:val="2C3E50"/>
          <w:sz w:val="24"/>
          <w:szCs w:val="24"/>
        </w:rPr>
        <w:t xml:space="preserve">Chapter 12. Providing Training and Technical Assistance | Section 5. Organizing a Conference. 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Available at: </w:t>
      </w:r>
      <w:hyperlink r:id="rId23">
        <w:r w:rsidRPr="44A524A4">
          <w:rPr>
            <w:rStyle w:val="Hyperlink"/>
            <w:rFonts w:ascii="Arial" w:eastAsia="Arial" w:hAnsi="Arial" w:cs="Arial"/>
            <w:sz w:val="24"/>
            <w:szCs w:val="24"/>
          </w:rPr>
          <w:t>https://ctb.ku.edu/en/table-of-contents/structure/training-and-technical-assistance/conferences/main</w:t>
        </w:r>
      </w:hyperlink>
      <w:r w:rsidRPr="44A524A4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>(Accessed 25 January 2024).</w:t>
      </w:r>
    </w:p>
    <w:p w14:paraId="18B495A4" w14:textId="0F99AB4F" w:rsidR="0EBA1261" w:rsidRDefault="0EBA1261" w:rsidP="44A524A4">
      <w:pPr>
        <w:rPr>
          <w:rFonts w:ascii="Arial" w:eastAsia="Arial" w:hAnsi="Arial" w:cs="Arial"/>
          <w:color w:val="2C3E50"/>
          <w:sz w:val="24"/>
          <w:szCs w:val="24"/>
        </w:rPr>
      </w:pPr>
    </w:p>
    <w:p w14:paraId="4EB613DE" w14:textId="29B791BA" w:rsidR="0EBA1261" w:rsidRDefault="27DEC48C" w:rsidP="44A524A4">
      <w:pPr>
        <w:rPr>
          <w:rFonts w:ascii="Arial" w:eastAsia="Arial" w:hAnsi="Arial" w:cs="Arial"/>
          <w:color w:val="2C3E50"/>
          <w:sz w:val="24"/>
          <w:szCs w:val="24"/>
        </w:rPr>
      </w:pP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EQUO. (2024). </w:t>
      </w:r>
      <w:r w:rsidRPr="44A524A4">
        <w:rPr>
          <w:rFonts w:ascii="Arial" w:eastAsia="Arial" w:hAnsi="Arial" w:cs="Arial"/>
          <w:i/>
          <w:iCs/>
          <w:color w:val="2C3E50"/>
          <w:sz w:val="24"/>
          <w:szCs w:val="24"/>
        </w:rPr>
        <w:t xml:space="preserve">Plant-Based Biodegradable Straws. 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Available at: </w:t>
      </w:r>
      <w:hyperlink r:id="rId24">
        <w:r w:rsidRPr="44A524A4">
          <w:rPr>
            <w:rStyle w:val="Hyperlink"/>
            <w:rFonts w:ascii="Arial" w:eastAsia="Arial" w:hAnsi="Arial" w:cs="Arial"/>
            <w:sz w:val="24"/>
            <w:szCs w:val="24"/>
          </w:rPr>
          <w:t>https://shopequo.com/collections/drinking-straws</w:t>
        </w:r>
      </w:hyperlink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  (Accessed 25 January 2024).</w:t>
      </w:r>
    </w:p>
    <w:p w14:paraId="5169EC2F" w14:textId="47D72F02" w:rsidR="0EBA1261" w:rsidRDefault="0EBA1261" w:rsidP="44A524A4">
      <w:pPr>
        <w:rPr>
          <w:rFonts w:ascii="Arial" w:eastAsia="Arial" w:hAnsi="Arial" w:cs="Arial"/>
          <w:color w:val="2C3E50"/>
          <w:sz w:val="24"/>
          <w:szCs w:val="24"/>
        </w:rPr>
      </w:pPr>
    </w:p>
    <w:p w14:paraId="50C650C1" w14:textId="0D4F185B" w:rsidR="0EBA1261" w:rsidRDefault="27DEC48C" w:rsidP="44A524A4">
      <w:pPr>
        <w:rPr>
          <w:rFonts w:ascii="Arial" w:eastAsia="Arial" w:hAnsi="Arial" w:cs="Arial"/>
          <w:color w:val="2C3E50"/>
          <w:sz w:val="24"/>
          <w:szCs w:val="24"/>
        </w:rPr>
      </w:pPr>
      <w:proofErr w:type="spellStart"/>
      <w:r w:rsidRPr="44A524A4">
        <w:rPr>
          <w:rFonts w:ascii="Arial" w:eastAsia="Arial" w:hAnsi="Arial" w:cs="Arial"/>
          <w:color w:val="2C3E50"/>
          <w:sz w:val="24"/>
          <w:szCs w:val="24"/>
        </w:rPr>
        <w:t>Gummert</w:t>
      </w:r>
      <w:proofErr w:type="spellEnd"/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 and </w:t>
      </w:r>
      <w:proofErr w:type="spellStart"/>
      <w:r w:rsidRPr="44A524A4">
        <w:rPr>
          <w:rFonts w:ascii="Arial" w:eastAsia="Arial" w:hAnsi="Arial" w:cs="Arial"/>
          <w:color w:val="2C3E50"/>
          <w:sz w:val="24"/>
          <w:szCs w:val="24"/>
        </w:rPr>
        <w:t>Deignan</w:t>
      </w:r>
      <w:proofErr w:type="spellEnd"/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 (2020). </w:t>
      </w:r>
      <w:r w:rsidRPr="44A524A4">
        <w:rPr>
          <w:rFonts w:ascii="Arial" w:eastAsia="Arial" w:hAnsi="Arial" w:cs="Arial"/>
          <w:i/>
          <w:iCs/>
          <w:color w:val="2C3E50"/>
          <w:sz w:val="24"/>
          <w:szCs w:val="24"/>
        </w:rPr>
        <w:t>Sustainable Rice Straw Management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>. Springer International Publishing.</w:t>
      </w:r>
    </w:p>
    <w:p w14:paraId="71681273" w14:textId="1BA6ABE2" w:rsidR="0EBA1261" w:rsidRDefault="0EBA1261" w:rsidP="44A524A4">
      <w:pPr>
        <w:rPr>
          <w:rFonts w:ascii="Arial" w:eastAsia="Arial" w:hAnsi="Arial" w:cs="Arial"/>
          <w:color w:val="2C3E50"/>
          <w:sz w:val="24"/>
          <w:szCs w:val="24"/>
        </w:rPr>
      </w:pPr>
    </w:p>
    <w:p w14:paraId="75D7AFBB" w14:textId="6F44C33A" w:rsidR="0EBA1261" w:rsidRDefault="27DEC48C" w:rsidP="44A524A4">
      <w:pPr>
        <w:rPr>
          <w:rFonts w:ascii="Arial" w:eastAsia="Arial" w:hAnsi="Arial" w:cs="Arial"/>
          <w:color w:val="2C3E50"/>
          <w:sz w:val="24"/>
          <w:szCs w:val="24"/>
        </w:rPr>
      </w:pP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Grapevine Event Management. (2018). </w:t>
      </w:r>
      <w:r w:rsidRPr="44A524A4">
        <w:rPr>
          <w:rFonts w:ascii="Arial" w:eastAsia="Arial" w:hAnsi="Arial" w:cs="Arial"/>
          <w:i/>
          <w:iCs/>
          <w:color w:val="2C3E50"/>
          <w:sz w:val="24"/>
          <w:szCs w:val="24"/>
        </w:rPr>
        <w:t>PESTLE – issues effecting UK events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. Available at: </w:t>
      </w:r>
      <w:hyperlink r:id="rId25">
        <w:r w:rsidRPr="44A524A4">
          <w:rPr>
            <w:rStyle w:val="Hyperlink"/>
            <w:rFonts w:ascii="Arial" w:eastAsia="Arial" w:hAnsi="Arial" w:cs="Arial"/>
            <w:sz w:val="24"/>
            <w:szCs w:val="24"/>
          </w:rPr>
          <w:t>https://grapevineeventmanagement.co.uk/news/2018/10/3/pestle-issues-effecting-uk-events</w:t>
        </w:r>
      </w:hyperlink>
      <w:r w:rsidRPr="44A524A4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>(Accessed 25 January 2024).</w:t>
      </w:r>
    </w:p>
    <w:p w14:paraId="3A6AC790" w14:textId="342DB039" w:rsidR="0EBA1261" w:rsidRDefault="0EBA1261" w:rsidP="44A524A4">
      <w:pPr>
        <w:rPr>
          <w:rFonts w:ascii="Arial" w:eastAsia="Arial" w:hAnsi="Arial" w:cs="Arial"/>
          <w:color w:val="2C3E50"/>
          <w:sz w:val="24"/>
          <w:szCs w:val="24"/>
        </w:rPr>
      </w:pPr>
    </w:p>
    <w:p w14:paraId="57C6EB34" w14:textId="43A1112F" w:rsidR="0EBA1261" w:rsidRDefault="27DEC48C" w:rsidP="44A524A4">
      <w:pPr>
        <w:rPr>
          <w:rFonts w:ascii="Arial" w:eastAsia="Arial" w:hAnsi="Arial" w:cs="Arial"/>
          <w:color w:val="2C3E50"/>
          <w:sz w:val="24"/>
          <w:szCs w:val="24"/>
        </w:rPr>
      </w:pP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Joelle, S. (2019). </w:t>
      </w:r>
      <w:r w:rsidRPr="44A524A4">
        <w:rPr>
          <w:rFonts w:ascii="Arial" w:eastAsia="Arial" w:hAnsi="Arial" w:cs="Arial"/>
          <w:i/>
          <w:iCs/>
          <w:color w:val="2C3E50"/>
          <w:sz w:val="24"/>
          <w:szCs w:val="24"/>
        </w:rPr>
        <w:t>Completing a risk assessment for your event or exhibition | Event advice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. Available at: </w:t>
      </w:r>
      <w:hyperlink r:id="rId26">
        <w:r w:rsidRPr="44A524A4">
          <w:rPr>
            <w:rStyle w:val="Hyperlink"/>
            <w:rFonts w:ascii="Arial" w:eastAsia="Arial" w:hAnsi="Arial" w:cs="Arial"/>
            <w:sz w:val="24"/>
            <w:szCs w:val="24"/>
          </w:rPr>
          <w:t>https://insureourevent.co.uk/the-guide-to-completing-a-risk-assessment-for-your-event-or-exhibition/</w:t>
        </w:r>
      </w:hyperlink>
      <w:r w:rsidRPr="44A524A4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>(Accessed 25 January 2024).</w:t>
      </w:r>
    </w:p>
    <w:p w14:paraId="2EE26452" w14:textId="446AC79B" w:rsidR="0EBA1261" w:rsidRDefault="0EBA1261" w:rsidP="44A524A4">
      <w:pPr>
        <w:rPr>
          <w:rFonts w:ascii="Arial" w:eastAsia="Arial" w:hAnsi="Arial" w:cs="Arial"/>
          <w:color w:val="2C3E50"/>
          <w:sz w:val="24"/>
          <w:szCs w:val="24"/>
        </w:rPr>
      </w:pPr>
    </w:p>
    <w:p w14:paraId="68432707" w14:textId="262CBF43" w:rsidR="0EBA1261" w:rsidRDefault="27DEC48C" w:rsidP="44A524A4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44A524A4">
        <w:rPr>
          <w:rFonts w:ascii="Arial" w:eastAsia="Arial" w:hAnsi="Arial" w:cs="Arial"/>
          <w:color w:val="000000" w:themeColor="text1"/>
          <w:sz w:val="24"/>
          <w:szCs w:val="24"/>
        </w:rPr>
        <w:t xml:space="preserve">Kristiansen, E., </w:t>
      </w:r>
      <w:proofErr w:type="spellStart"/>
      <w:r w:rsidRPr="44A524A4">
        <w:rPr>
          <w:rFonts w:ascii="Arial" w:eastAsia="Arial" w:hAnsi="Arial" w:cs="Arial"/>
          <w:color w:val="000000" w:themeColor="text1"/>
          <w:sz w:val="24"/>
          <w:szCs w:val="24"/>
        </w:rPr>
        <w:t>Solem</w:t>
      </w:r>
      <w:proofErr w:type="spellEnd"/>
      <w:r w:rsidRPr="44A524A4">
        <w:rPr>
          <w:rFonts w:ascii="Arial" w:eastAsia="Arial" w:hAnsi="Arial" w:cs="Arial"/>
          <w:color w:val="000000" w:themeColor="text1"/>
          <w:sz w:val="24"/>
          <w:szCs w:val="24"/>
        </w:rPr>
        <w:t xml:space="preserve">, B. A. A., Dille, T., and Houlihan, B. (2021) ‘Stakeholder Management of Temporary Sports Event Organizations’, Event Management, 25(6), 619–639. </w:t>
      </w:r>
      <w:hyperlink r:id="rId27">
        <w:r w:rsidRPr="44A524A4">
          <w:rPr>
            <w:rStyle w:val="Hyperlink"/>
            <w:rFonts w:ascii="Arial" w:eastAsia="Arial" w:hAnsi="Arial" w:cs="Arial"/>
            <w:sz w:val="24"/>
            <w:szCs w:val="24"/>
          </w:rPr>
          <w:t>https://doi.org.ezproxy.uwtsd.ac.uk/10.3727/152599521X16106577965080</w:t>
        </w:r>
      </w:hyperlink>
      <w:r w:rsidRPr="44A524A4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</w:p>
    <w:p w14:paraId="5E968111" w14:textId="512CFB64" w:rsidR="0EBA1261" w:rsidRDefault="0EBA1261" w:rsidP="44A524A4">
      <w:pPr>
        <w:rPr>
          <w:rFonts w:ascii="Arial" w:eastAsia="Arial" w:hAnsi="Arial" w:cs="Arial"/>
          <w:color w:val="2C3E50"/>
          <w:sz w:val="24"/>
          <w:szCs w:val="24"/>
        </w:rPr>
      </w:pPr>
    </w:p>
    <w:p w14:paraId="1EA804A3" w14:textId="753324FE" w:rsidR="0EBA1261" w:rsidRDefault="27DEC48C" w:rsidP="44A524A4">
      <w:pPr>
        <w:rPr>
          <w:rFonts w:ascii="Arial" w:eastAsia="Arial" w:hAnsi="Arial" w:cs="Arial"/>
          <w:color w:val="2C3E50"/>
          <w:sz w:val="24"/>
          <w:szCs w:val="24"/>
        </w:rPr>
      </w:pP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Leadingauthorities.com. (2024). </w:t>
      </w:r>
      <w:r w:rsidRPr="44A524A4">
        <w:rPr>
          <w:rFonts w:ascii="Arial" w:eastAsia="Arial" w:hAnsi="Arial" w:cs="Arial"/>
          <w:i/>
          <w:iCs/>
          <w:color w:val="2C3E50"/>
          <w:sz w:val="24"/>
          <w:szCs w:val="24"/>
        </w:rPr>
        <w:t xml:space="preserve">Blog: What Should My Budget Be For A Keynote Speaker In The UK? 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Available at: </w:t>
      </w:r>
      <w:hyperlink r:id="rId28" w:anchor=":~:text=In%20the%20UK%2C%20the%20price%20to%20hire%20a">
        <w:r w:rsidRPr="44A524A4">
          <w:rPr>
            <w:rStyle w:val="Hyperlink"/>
            <w:rFonts w:ascii="Arial" w:eastAsia="Arial" w:hAnsi="Arial" w:cs="Arial"/>
            <w:sz w:val="24"/>
            <w:szCs w:val="24"/>
          </w:rPr>
          <w:t>https://www.leadingauthorities.com/uk/blog/what-should-my-budget-be-speaker-uk#:~:text=In%20the%20UK%2C%20the%20price%20to%20hire%20a</w:t>
        </w:r>
      </w:hyperlink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 (Accessed 25 January 2024).</w:t>
      </w:r>
    </w:p>
    <w:p w14:paraId="02208E1A" w14:textId="2FCDCABB" w:rsidR="0EBA1261" w:rsidRDefault="0EBA1261" w:rsidP="44A524A4">
      <w:pPr>
        <w:rPr>
          <w:rFonts w:ascii="Arial" w:eastAsia="Arial" w:hAnsi="Arial" w:cs="Arial"/>
          <w:color w:val="2C3E50"/>
          <w:sz w:val="24"/>
          <w:szCs w:val="24"/>
        </w:rPr>
      </w:pPr>
    </w:p>
    <w:p w14:paraId="44B3158E" w14:textId="72F0D4EE" w:rsidR="0EBA1261" w:rsidRDefault="27DEC48C" w:rsidP="44A524A4">
      <w:pPr>
        <w:rPr>
          <w:rFonts w:ascii="Arial" w:eastAsia="Arial" w:hAnsi="Arial" w:cs="Arial"/>
          <w:color w:val="2C3E50"/>
          <w:sz w:val="24"/>
          <w:szCs w:val="24"/>
        </w:rPr>
      </w:pP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Marriott International. (2024). </w:t>
      </w:r>
      <w:r w:rsidRPr="44A524A4">
        <w:rPr>
          <w:rFonts w:ascii="Arial" w:eastAsia="Arial" w:hAnsi="Arial" w:cs="Arial"/>
          <w:i/>
          <w:iCs/>
          <w:color w:val="2C3E50"/>
          <w:sz w:val="24"/>
          <w:szCs w:val="24"/>
        </w:rPr>
        <w:t>Create Your Event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.  Available at: </w:t>
      </w:r>
      <w:hyperlink r:id="rId29">
        <w:r w:rsidRPr="44A524A4">
          <w:rPr>
            <w:rStyle w:val="Hyperlink"/>
            <w:rFonts w:ascii="Arial" w:eastAsia="Arial" w:hAnsi="Arial" w:cs="Arial"/>
            <w:sz w:val="24"/>
            <w:szCs w:val="24"/>
          </w:rPr>
          <w:t>https://www.marriott.com/en-gb/meetings-events/rfp/event-profile.mi?erfpSignInOverlay=true</w:t>
        </w:r>
      </w:hyperlink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  (Accessed 25 January 2024).</w:t>
      </w:r>
    </w:p>
    <w:p w14:paraId="704C1D97" w14:textId="5313A8D5" w:rsidR="0EBA1261" w:rsidRDefault="0EBA1261" w:rsidP="44A524A4">
      <w:pPr>
        <w:rPr>
          <w:rFonts w:ascii="Calibri" w:eastAsia="Calibri" w:hAnsi="Calibri" w:cs="Calibri"/>
          <w:color w:val="2C3E50"/>
          <w:sz w:val="27"/>
          <w:szCs w:val="27"/>
        </w:rPr>
      </w:pPr>
    </w:p>
    <w:p w14:paraId="22D01EEC" w14:textId="19C6BEE2" w:rsidR="0EBA1261" w:rsidRDefault="27DEC48C" w:rsidP="44A524A4">
      <w:pPr>
        <w:rPr>
          <w:rFonts w:ascii="Arial" w:eastAsia="Arial" w:hAnsi="Arial" w:cs="Arial"/>
          <w:color w:val="2C3E50"/>
          <w:sz w:val="24"/>
          <w:szCs w:val="24"/>
        </w:rPr>
      </w:pP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McCurry, D. (2019). </w:t>
      </w:r>
      <w:r w:rsidRPr="44A524A4">
        <w:rPr>
          <w:rFonts w:ascii="Arial" w:eastAsia="Arial" w:hAnsi="Arial" w:cs="Arial"/>
          <w:i/>
          <w:iCs/>
          <w:color w:val="2C3E50"/>
          <w:sz w:val="24"/>
          <w:szCs w:val="24"/>
        </w:rPr>
        <w:t>A Step-by-Step Guide on How to Organise a Conference in 2019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. Available at: </w:t>
      </w:r>
      <w:hyperlink r:id="rId30">
        <w:r w:rsidRPr="44A524A4">
          <w:rPr>
            <w:rStyle w:val="Hyperlink"/>
            <w:rFonts w:ascii="Arial" w:eastAsia="Arial" w:hAnsi="Arial" w:cs="Arial"/>
            <w:sz w:val="24"/>
            <w:szCs w:val="24"/>
          </w:rPr>
          <w:t>https://www.exordo.com/blog/organising-conference-tips/</w:t>
        </w:r>
      </w:hyperlink>
      <w:r w:rsidRPr="44A524A4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>(Accessed 25 January 2024).</w:t>
      </w:r>
    </w:p>
    <w:p w14:paraId="3B0450AF" w14:textId="2972E5A8" w:rsidR="0EBA1261" w:rsidRDefault="0EBA1261" w:rsidP="44A524A4">
      <w:pPr>
        <w:rPr>
          <w:rFonts w:ascii="Arial" w:eastAsia="Arial" w:hAnsi="Arial" w:cs="Arial"/>
          <w:color w:val="2C3E50"/>
          <w:sz w:val="24"/>
          <w:szCs w:val="24"/>
        </w:rPr>
      </w:pPr>
    </w:p>
    <w:p w14:paraId="644F8F1A" w14:textId="4BAD8974" w:rsidR="0EBA1261" w:rsidRDefault="27DEC48C" w:rsidP="44A524A4">
      <w:pPr>
        <w:rPr>
          <w:rFonts w:ascii="Arial" w:eastAsia="Arial" w:hAnsi="Arial" w:cs="Arial"/>
          <w:color w:val="2C3E50"/>
          <w:sz w:val="24"/>
          <w:szCs w:val="24"/>
        </w:rPr>
      </w:pP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Meagher, P. (2023). </w:t>
      </w:r>
      <w:r w:rsidRPr="44A524A4">
        <w:rPr>
          <w:rFonts w:ascii="Arial" w:eastAsia="Arial" w:hAnsi="Arial" w:cs="Arial"/>
          <w:i/>
          <w:iCs/>
          <w:color w:val="2C3E50"/>
          <w:sz w:val="24"/>
          <w:szCs w:val="24"/>
        </w:rPr>
        <w:t>SWOT Analysis: A Complete Guide with Examples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. Available at: </w:t>
      </w:r>
      <w:hyperlink r:id="rId31">
        <w:r w:rsidRPr="44A524A4">
          <w:rPr>
            <w:rStyle w:val="Hyperlink"/>
            <w:rFonts w:ascii="Arial" w:eastAsia="Arial" w:hAnsi="Arial" w:cs="Arial"/>
            <w:sz w:val="24"/>
            <w:szCs w:val="24"/>
          </w:rPr>
          <w:t>https://www.learnsignal.com/blog/swot-analysis-guide-examples/</w:t>
        </w:r>
      </w:hyperlink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  (Accessed 24 January 2024).</w:t>
      </w:r>
    </w:p>
    <w:p w14:paraId="43BED5EF" w14:textId="2987D125" w:rsidR="0EBA1261" w:rsidRDefault="0EBA1261" w:rsidP="44A524A4">
      <w:pPr>
        <w:rPr>
          <w:rFonts w:ascii="Arial" w:eastAsia="Arial" w:hAnsi="Arial" w:cs="Arial"/>
          <w:color w:val="2C3E50"/>
          <w:sz w:val="24"/>
          <w:szCs w:val="24"/>
        </w:rPr>
      </w:pPr>
    </w:p>
    <w:p w14:paraId="16434D63" w14:textId="23916A9A" w:rsidR="0EBA1261" w:rsidRDefault="27DEC48C" w:rsidP="44A524A4">
      <w:pPr>
        <w:rPr>
          <w:rFonts w:ascii="Arial" w:eastAsia="Arial" w:hAnsi="Arial" w:cs="Arial"/>
          <w:color w:val="2C3E50"/>
          <w:sz w:val="24"/>
          <w:szCs w:val="24"/>
        </w:rPr>
      </w:pPr>
      <w:proofErr w:type="spellStart"/>
      <w:r w:rsidRPr="44A524A4">
        <w:rPr>
          <w:rFonts w:ascii="Arial" w:eastAsia="Arial" w:hAnsi="Arial" w:cs="Arial"/>
          <w:color w:val="2C3E50"/>
          <w:sz w:val="24"/>
          <w:szCs w:val="24"/>
        </w:rPr>
        <w:t>Peguero</w:t>
      </w:r>
      <w:proofErr w:type="spellEnd"/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, M. (2023). </w:t>
      </w:r>
      <w:r w:rsidRPr="44A524A4">
        <w:rPr>
          <w:rFonts w:ascii="Arial" w:eastAsia="Arial" w:hAnsi="Arial" w:cs="Arial"/>
          <w:i/>
          <w:iCs/>
          <w:color w:val="2C3E50"/>
          <w:sz w:val="24"/>
          <w:szCs w:val="24"/>
        </w:rPr>
        <w:t>Tips for managing event logistics and operations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. One Way Event Productions. Available at: </w:t>
      </w:r>
      <w:hyperlink r:id="rId32">
        <w:r w:rsidRPr="44A524A4">
          <w:rPr>
            <w:rStyle w:val="Hyperlink"/>
            <w:rFonts w:ascii="Arial" w:eastAsia="Arial" w:hAnsi="Arial" w:cs="Arial"/>
            <w:sz w:val="24"/>
            <w:szCs w:val="24"/>
          </w:rPr>
          <w:t>https://onewayeventproductions.com/tips-for-managing-event-logistics-and-operations/</w:t>
        </w:r>
      </w:hyperlink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 (Accessed 24 January 2024).</w:t>
      </w:r>
    </w:p>
    <w:p w14:paraId="788D1B68" w14:textId="0F5E1096" w:rsidR="0EBA1261" w:rsidRDefault="0EBA1261" w:rsidP="44A524A4">
      <w:pPr>
        <w:rPr>
          <w:rFonts w:ascii="Arial" w:eastAsia="Arial" w:hAnsi="Arial" w:cs="Arial"/>
          <w:color w:val="2C3E50"/>
          <w:sz w:val="24"/>
          <w:szCs w:val="24"/>
        </w:rPr>
      </w:pPr>
    </w:p>
    <w:p w14:paraId="0C1235FD" w14:textId="080A595A" w:rsidR="0EBA1261" w:rsidRDefault="27DEC48C" w:rsidP="44A524A4">
      <w:pPr>
        <w:rPr>
          <w:rFonts w:ascii="Arial" w:eastAsia="Arial" w:hAnsi="Arial" w:cs="Arial"/>
          <w:color w:val="2C3E50"/>
          <w:sz w:val="24"/>
          <w:szCs w:val="24"/>
        </w:rPr>
      </w:pP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Perrysaccountants.co.uk. (2020). </w:t>
      </w:r>
      <w:r w:rsidRPr="44A524A4">
        <w:rPr>
          <w:rFonts w:ascii="Arial" w:eastAsia="Arial" w:hAnsi="Arial" w:cs="Arial"/>
          <w:i/>
          <w:iCs/>
          <w:color w:val="2C3E50"/>
          <w:sz w:val="24"/>
          <w:szCs w:val="24"/>
        </w:rPr>
        <w:t>Financial-factors-to-consider-whilst-event-planning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. Available at: </w:t>
      </w:r>
      <w:hyperlink r:id="rId33">
        <w:r w:rsidRPr="44A524A4">
          <w:rPr>
            <w:rStyle w:val="Hyperlink"/>
            <w:rFonts w:ascii="Arial" w:eastAsia="Arial" w:hAnsi="Arial" w:cs="Arial"/>
            <w:sz w:val="24"/>
            <w:szCs w:val="24"/>
          </w:rPr>
          <w:t>https://perrysaccountants.co.uk/news/financial-factors-whilst-event-planning</w:t>
        </w:r>
      </w:hyperlink>
      <w:r w:rsidRPr="44A524A4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>(Accessed 24 January 2024).</w:t>
      </w:r>
    </w:p>
    <w:p w14:paraId="21840699" w14:textId="7F7A572A" w:rsidR="0EBA1261" w:rsidRDefault="0EBA1261" w:rsidP="44A524A4">
      <w:pPr>
        <w:rPr>
          <w:rFonts w:ascii="Arial" w:eastAsia="Arial" w:hAnsi="Arial" w:cs="Arial"/>
          <w:color w:val="2C3E50"/>
          <w:sz w:val="24"/>
          <w:szCs w:val="24"/>
        </w:rPr>
      </w:pPr>
    </w:p>
    <w:p w14:paraId="4D57894B" w14:textId="33D8CE6E" w:rsidR="0EBA1261" w:rsidRDefault="27DEC48C" w:rsidP="44A524A4">
      <w:pPr>
        <w:rPr>
          <w:rFonts w:ascii="Arial" w:eastAsia="Arial" w:hAnsi="Arial" w:cs="Arial"/>
          <w:color w:val="000000" w:themeColor="text1"/>
          <w:sz w:val="24"/>
          <w:szCs w:val="24"/>
        </w:rPr>
      </w:pPr>
      <w:r w:rsidRPr="44A524A4">
        <w:rPr>
          <w:rFonts w:ascii="Arial" w:eastAsia="Arial" w:hAnsi="Arial" w:cs="Arial"/>
          <w:color w:val="000000" w:themeColor="text1"/>
          <w:sz w:val="24"/>
          <w:szCs w:val="24"/>
        </w:rPr>
        <w:t>Quick, L (2020) Managing Events, Real Challenges Real Outcomes. Sage.</w:t>
      </w:r>
    </w:p>
    <w:p w14:paraId="05BB3F69" w14:textId="562FD69A" w:rsidR="0EBA1261" w:rsidRDefault="0EBA1261" w:rsidP="44A524A4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2DAB7374" w14:textId="65889F80" w:rsidR="0EBA1261" w:rsidRDefault="27DEC48C" w:rsidP="44A524A4">
      <w:pPr>
        <w:rPr>
          <w:rFonts w:ascii="Arial" w:eastAsia="Arial" w:hAnsi="Arial" w:cs="Arial"/>
          <w:color w:val="2C3E50"/>
          <w:sz w:val="24"/>
          <w:szCs w:val="24"/>
        </w:rPr>
      </w:pP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Smith, M. (2023). </w:t>
      </w:r>
      <w:r w:rsidRPr="44A524A4">
        <w:rPr>
          <w:rFonts w:ascii="Arial" w:eastAsia="Arial" w:hAnsi="Arial" w:cs="Arial"/>
          <w:i/>
          <w:iCs/>
          <w:color w:val="2C3E50"/>
          <w:sz w:val="24"/>
          <w:szCs w:val="24"/>
        </w:rPr>
        <w:t>Setting Conference Goals &amp; Objectives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. Available at: </w:t>
      </w:r>
      <w:hyperlink r:id="rId34" w:anchor=":~:text=At%20the%20heart%20of%20every%20successful%20conference%20lies">
        <w:r w:rsidRPr="44A524A4">
          <w:rPr>
            <w:rStyle w:val="Hyperlink"/>
            <w:rFonts w:ascii="Arial" w:eastAsia="Arial" w:hAnsi="Arial" w:cs="Arial"/>
            <w:sz w:val="24"/>
            <w:szCs w:val="24"/>
          </w:rPr>
          <w:t>https://www.attendeeinteractive.com/blog/setting-conference-goals-and-objectives/#:~:text=At%20the%20heart%20of%20every%20successful%20conference%20lies</w:t>
        </w:r>
      </w:hyperlink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  (Accessed 24 January 2024).</w:t>
      </w:r>
    </w:p>
    <w:p w14:paraId="5F20B246" w14:textId="77C14288" w:rsidR="0EBA1261" w:rsidRDefault="0EBA1261" w:rsidP="44A524A4">
      <w:pPr>
        <w:rPr>
          <w:rFonts w:ascii="Arial" w:eastAsia="Arial" w:hAnsi="Arial" w:cs="Arial"/>
          <w:color w:val="2C3E50"/>
          <w:sz w:val="24"/>
          <w:szCs w:val="24"/>
        </w:rPr>
      </w:pPr>
    </w:p>
    <w:p w14:paraId="0AF69A78" w14:textId="11520BA5" w:rsidR="0EBA1261" w:rsidRDefault="27DEC48C" w:rsidP="44A524A4">
      <w:pPr>
        <w:rPr>
          <w:rFonts w:ascii="Arial" w:eastAsia="Arial" w:hAnsi="Arial" w:cs="Arial"/>
          <w:color w:val="2C3E50"/>
          <w:sz w:val="24"/>
          <w:szCs w:val="24"/>
        </w:rPr>
      </w:pP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Waechter, F.M. (2018). </w:t>
      </w:r>
      <w:r w:rsidRPr="44A524A4">
        <w:rPr>
          <w:rFonts w:ascii="Arial" w:eastAsia="Arial" w:hAnsi="Arial" w:cs="Arial"/>
          <w:i/>
          <w:iCs/>
          <w:color w:val="2C3E50"/>
          <w:sz w:val="24"/>
          <w:szCs w:val="24"/>
        </w:rPr>
        <w:t>The Key Factors for Planning a Conference Successfully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 xml:space="preserve">.  Available at: </w:t>
      </w:r>
      <w:hyperlink r:id="rId35">
        <w:r w:rsidRPr="44A524A4">
          <w:rPr>
            <w:rStyle w:val="Hyperlink"/>
            <w:rFonts w:ascii="Arial" w:eastAsia="Arial" w:hAnsi="Arial" w:cs="Arial"/>
            <w:sz w:val="24"/>
            <w:szCs w:val="24"/>
          </w:rPr>
          <w:t>https://congrex.com/blog/planning-conference-successfully/</w:t>
        </w:r>
      </w:hyperlink>
      <w:r w:rsidRPr="44A524A4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44A524A4">
        <w:rPr>
          <w:rFonts w:ascii="Arial" w:eastAsia="Arial" w:hAnsi="Arial" w:cs="Arial"/>
          <w:color w:val="2C3E50"/>
          <w:sz w:val="24"/>
          <w:szCs w:val="24"/>
        </w:rPr>
        <w:t>(Accessed 24 January 2024).</w:t>
      </w:r>
    </w:p>
    <w:p w14:paraId="532D631B" w14:textId="01D16FBC" w:rsidR="0EBA1261" w:rsidRDefault="0EBA1261" w:rsidP="0EBA1261"/>
    <w:p w14:paraId="0AE49021" w14:textId="634F7DA5" w:rsidR="0EBA1261" w:rsidRDefault="0EBA1261" w:rsidP="0EBA1261"/>
    <w:sectPr w:rsidR="0EBA126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4EDF86"/>
    <w:rsid w:val="00256A2C"/>
    <w:rsid w:val="00272E33"/>
    <w:rsid w:val="0072110A"/>
    <w:rsid w:val="007839C2"/>
    <w:rsid w:val="00844A40"/>
    <w:rsid w:val="00C507DA"/>
    <w:rsid w:val="00CF1336"/>
    <w:rsid w:val="00D04346"/>
    <w:rsid w:val="00DD60F9"/>
    <w:rsid w:val="00ED023F"/>
    <w:rsid w:val="0C23A7C4"/>
    <w:rsid w:val="0D0FC9B0"/>
    <w:rsid w:val="0EBA1261"/>
    <w:rsid w:val="22D3F933"/>
    <w:rsid w:val="27DEC48C"/>
    <w:rsid w:val="294CF859"/>
    <w:rsid w:val="2D94B57D"/>
    <w:rsid w:val="2F272870"/>
    <w:rsid w:val="308F41E0"/>
    <w:rsid w:val="3A348DB4"/>
    <w:rsid w:val="3BACCADD"/>
    <w:rsid w:val="3E4EDF86"/>
    <w:rsid w:val="40EA678F"/>
    <w:rsid w:val="44A524A4"/>
    <w:rsid w:val="5D86A696"/>
    <w:rsid w:val="5FE8E1BC"/>
    <w:rsid w:val="601864F9"/>
    <w:rsid w:val="710EA98B"/>
    <w:rsid w:val="76F10DCD"/>
    <w:rsid w:val="7AA8F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4EDF86"/>
  <w15:chartTrackingRefBased/>
  <w15:docId w15:val="{03E86AAB-59F6-431F-B59E-EE1F0E79F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hyperlink" Target="https://www.bizzabo.com/blog/kpis-to-measure-event-success" TargetMode="External"/><Relationship Id="rId26" Type="http://schemas.openxmlformats.org/officeDocument/2006/relationships/hyperlink" Target="https://insureourevent.co.uk/the-guide-to-completing-a-risk-assessment-for-your-event-or-exhibition/" TargetMode="External"/><Relationship Id="rId21" Type="http://schemas.openxmlformats.org/officeDocument/2006/relationships/hyperlink" Target="https://doi.org/10.1016/j.jece.2021.105527" TargetMode="External"/><Relationship Id="rId34" Type="http://schemas.openxmlformats.org/officeDocument/2006/relationships/hyperlink" Target="https://www.attendeeinteractive.com/blog/setting-conference-goals-and-objectives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www.eventible.com/learning/conference-marketing/" TargetMode="External"/><Relationship Id="rId25" Type="http://schemas.openxmlformats.org/officeDocument/2006/relationships/hyperlink" Target="https://grapevineeventmanagement.co.uk/news/2018/10/3/pestle-issues-effecting-uk-events" TargetMode="External"/><Relationship Id="rId33" Type="http://schemas.openxmlformats.org/officeDocument/2006/relationships/hyperlink" Target="https://perrysaccountants.co.uk/news/financial-factors-whilst-event-planning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marketingmix.co.uk/" TargetMode="External"/><Relationship Id="rId20" Type="http://schemas.openxmlformats.org/officeDocument/2006/relationships/hyperlink" Target="https://www.forbes.com/sites/stephanieburns/2020/05/24/how-to-build-a-legacy-for-your-business/" TargetMode="External"/><Relationship Id="rId29" Type="http://schemas.openxmlformats.org/officeDocument/2006/relationships/hyperlink" Target="https://www.marriott.com/en-gb/meetings-events/rfp/event-profile.mi?erfpSignInOverlay=true" TargetMode="Externa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s://shopequo.com/collections/drinking-straws" TargetMode="External"/><Relationship Id="rId32" Type="http://schemas.openxmlformats.org/officeDocument/2006/relationships/hyperlink" Target="https://onewayeventproductions.com/tips-for-managing-event-logistics-and-operations/" TargetMode="External"/><Relationship Id="rId37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s://ctb.ku.edu/en/table-of-contents/structure/training-and-technical-assistance/conferences/main" TargetMode="External"/><Relationship Id="rId28" Type="http://schemas.openxmlformats.org/officeDocument/2006/relationships/hyperlink" Target="https://www.leadingauthorities.com/uk/blog/what-should-my-budget-be-speaker-uk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hyperlink" Target="https://www.projectmanager.com/training/how-to-conduct-a-feasibility-study" TargetMode="External"/><Relationship Id="rId31" Type="http://schemas.openxmlformats.org/officeDocument/2006/relationships/hyperlink" Target="https://www.learnsignal.com/blog/swot-analysis-guide-examples/" TargetMode="External"/><Relationship Id="rId4" Type="http://schemas.openxmlformats.org/officeDocument/2006/relationships/hyperlink" Target="https://uowtsd-my.sharepoint.com/personal/2119156_student_uwtsd_ac_uk/_layouts/15/stream.aspx?id=%2Fpersonal%2F2119156%5Fstudent%5Fuwtsd%5Fac%5Fuk%2FDocuments%2FRecordings%2FMadalina%20Iordache%20Group%20B%20IMM%20Assign%201%20Presentation%20Recording%2D20240208%5F204156%2DMeeting%20Recording%2Emp4&amp;ga=1&amp;referrer=StreamWebApp%2EWeb&amp;referrerScenario=AddressBarCopied%2Eview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s://meetings.skift.com/guide-planning-conference-panel-discussion/" TargetMode="External"/><Relationship Id="rId27" Type="http://schemas.openxmlformats.org/officeDocument/2006/relationships/hyperlink" Target="https://doi.org.ezproxy.uwtsd.ac.uk/10.3727/152599521X16106577965080" TargetMode="External"/><Relationship Id="rId30" Type="http://schemas.openxmlformats.org/officeDocument/2006/relationships/hyperlink" Target="https://www.exordo.com/blog/organising-conference-tips/" TargetMode="External"/><Relationship Id="rId35" Type="http://schemas.openxmlformats.org/officeDocument/2006/relationships/hyperlink" Target="https://congrex.com/blog/planning-conference-successfully/" TargetMode="External"/><Relationship Id="rId8" Type="http://schemas.openxmlformats.org/officeDocument/2006/relationships/image" Target="media/image4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462</Words>
  <Characters>4331</Characters>
  <Application>Microsoft Office Word</Application>
  <DocSecurity>0</DocSecurity>
  <Lines>162</Lines>
  <Paragraphs>34</Paragraphs>
  <ScaleCrop>false</ScaleCrop>
  <Company/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 Andreea Iordache (2119156)</dc:creator>
  <cp:keywords/>
  <dc:description/>
  <cp:lastModifiedBy>Madalina Iordache</cp:lastModifiedBy>
  <cp:revision>14</cp:revision>
  <dcterms:created xsi:type="dcterms:W3CDTF">2024-02-06T01:32:00Z</dcterms:created>
  <dcterms:modified xsi:type="dcterms:W3CDTF">2024-02-08T22:27:00Z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5acdb703bbea0715c9b8fe2edb57bda51630c053b83aee2d09710c79afc8cf0b</vt:lpwstr>
  </property>
</Properties>
</file>