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pPr>
      <w:r>
        <w:tab/>
      </w:r>
    </w:p>
    <w:p>
      <w:pPr>
        <w:pStyle w:val="Body"/>
        <w:bidi w:val="0"/>
      </w:pPr>
    </w:p>
    <w:p>
      <w:pPr>
        <w:pStyle w:val="Body"/>
        <w:bidi w:val="0"/>
      </w:pPr>
    </w:p>
    <w:p>
      <w:pPr>
        <w:pStyle w:val="Body"/>
        <w:bidi w:val="0"/>
      </w:pPr>
    </w:p>
    <w:p>
      <w:pPr>
        <w:pStyle w:val="Body"/>
        <w:bidi w:val="0"/>
      </w:pPr>
    </w:p>
    <w:p>
      <w:pPr>
        <w:pStyle w:val="Body"/>
        <w:jc w:val="center"/>
        <w:rPr>
          <w:b w:val="1"/>
          <w:bCs w:val="1"/>
          <w:sz w:val="44"/>
          <w:szCs w:val="44"/>
          <w:u w:val="single"/>
        </w:rPr>
      </w:pPr>
      <w:r>
        <w:rPr>
          <w:b w:val="1"/>
          <w:bCs w:val="1"/>
          <w:sz w:val="44"/>
          <w:szCs w:val="44"/>
          <w:u w:val="single"/>
          <w:rtl w:val="0"/>
          <w:lang w:val="en-US"/>
        </w:rPr>
        <w:t xml:space="preserve">Tom Evans </w:t>
      </w:r>
    </w:p>
    <w:p>
      <w:pPr>
        <w:pStyle w:val="Body"/>
        <w:jc w:val="center"/>
        <w:rPr>
          <w:b w:val="1"/>
          <w:bCs w:val="1"/>
          <w:sz w:val="44"/>
          <w:szCs w:val="44"/>
          <w:u w:val="single"/>
        </w:rPr>
      </w:pPr>
      <w:r>
        <w:rPr>
          <w:b w:val="1"/>
          <w:bCs w:val="1"/>
          <w:sz w:val="44"/>
          <w:szCs w:val="44"/>
          <w:u w:val="single"/>
          <w:rtl w:val="0"/>
          <w:lang w:val="en-US"/>
        </w:rPr>
        <w:t>1707301</w:t>
      </w:r>
    </w:p>
    <w:p>
      <w:pPr>
        <w:pStyle w:val="Body"/>
        <w:jc w:val="center"/>
        <w:rPr>
          <w:b w:val="1"/>
          <w:bCs w:val="1"/>
          <w:sz w:val="44"/>
          <w:szCs w:val="44"/>
          <w:u w:val="single"/>
        </w:rPr>
      </w:pPr>
      <w:r>
        <w:rPr>
          <w:b w:val="1"/>
          <w:bCs w:val="1"/>
          <w:sz w:val="44"/>
          <w:szCs w:val="44"/>
          <w:u w:val="single"/>
          <w:rtl w:val="0"/>
          <w:lang w:val="en-US"/>
        </w:rPr>
        <w:t xml:space="preserve">Law for built environment </w:t>
      </w:r>
    </w:p>
    <w:p>
      <w:pPr>
        <w:pStyle w:val="Body"/>
        <w:jc w:val="center"/>
        <w:rPr>
          <w:b w:val="1"/>
          <w:bCs w:val="1"/>
          <w:sz w:val="44"/>
          <w:szCs w:val="44"/>
          <w:u w:val="single"/>
        </w:rPr>
      </w:pPr>
      <w:r>
        <w:rPr>
          <w:b w:val="1"/>
          <w:bCs w:val="1"/>
          <w:sz w:val="44"/>
          <w:szCs w:val="44"/>
          <w:u w:val="single"/>
          <w:rtl w:val="0"/>
          <w:lang w:val="en-US"/>
        </w:rPr>
        <w:t xml:space="preserve">Legal issues within construction projects </w:t>
      </w:r>
    </w:p>
    <w:p>
      <w:pPr>
        <w:pStyle w:val="Body"/>
        <w:jc w:val="center"/>
        <w:rPr>
          <w:sz w:val="30"/>
          <w:szCs w:val="30"/>
        </w:rPr>
      </w:pPr>
      <w:r>
        <w:rPr>
          <w:sz w:val="30"/>
          <w:szCs w:val="30"/>
          <w:rtl w:val="0"/>
          <w:lang w:val="en-US"/>
        </w:rPr>
        <w:t xml:space="preserve">1890 words </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r>
        <w:rPr>
          <w:rtl w:val="0"/>
          <w:lang w:val="en-US"/>
        </w:rPr>
        <w:tab/>
        <w:t>A contract is a written or spoken agreement that is intended to be enforceable by law. Contracts are used very often in the construction industry, some jobs only require a verbal contract due to their size and the trust involved between the parties. However, lager scale construction jobs require a written contract as often they include more than one party. One of the main objectives of a contract is to shift and allocate the risks of the job in hand. This is very important within construction as there are many risks in each job. One of the main risks of a construction job is the cost, shifting the risk can be achieved in a few different ways in a contract. A cost-plus contract with a maximum price is one way to reduce the risk of losing money, this is when t</w:t>
      </w:r>
      <w:r>
        <w:rPr>
          <w:rtl w:val="0"/>
          <w:lang w:val="en-US"/>
        </w:rPr>
        <w:t xml:space="preserve">he </w:t>
      </w:r>
      <w:r>
        <w:rPr>
          <w:rtl w:val="0"/>
          <w:lang w:val="en-US"/>
        </w:rPr>
        <w:t xml:space="preserve">contractor is given a maximum price to work up to, if they exceed this price then the money must come out of the contractors pocket, and not the owner. Constructing anything usually involves large sums of money, a contract will help set out a pricing strategy that will benefit both parties; for example a payment schedule should be included in a contract, this way the owner is committed to paying the agreed fees and the builder/contractor has no way of increasing the price unexpectedly. </w:t>
      </w:r>
    </w:p>
    <w:p>
      <w:pPr>
        <w:pStyle w:val="Body"/>
        <w:bidi w:val="0"/>
      </w:pPr>
      <w:r>
        <w:rPr>
          <w:rtl w:val="0"/>
          <w:lang w:val="en-US"/>
        </w:rPr>
        <w:tab/>
        <w:t xml:space="preserve">A contract offers both parties involved a clear understanding of what the project requires in order to be completed without any disruptions, and can also eliminate many risks such as theft or damage to the site. These such risks are eliminated with the use of insurance which will be stated in the contract. This is a very important part of contraction as its very likely that damage will occur at some point in time due to the characteristics of the job and the heavy duty equipment used. The construction industry loses a lot of money every year to theft, with one study finding that 38% of construction companies in Britain suffer a loss of over </w:t>
      </w:r>
      <w:r>
        <w:rPr>
          <w:rtl w:val="0"/>
          <w:lang w:val="en-US"/>
        </w:rPr>
        <w:t>£</w:t>
      </w:r>
      <w:r>
        <w:rPr>
          <w:rtl w:val="0"/>
          <w:lang w:val="en-US"/>
        </w:rPr>
        <w:t>10,000 a year. (</w:t>
      </w:r>
      <w:r>
        <w:rPr>
          <w:rStyle w:val="Hyperlink.0"/>
        </w:rPr>
        <w:fldChar w:fldCharType="begin" w:fldLock="0"/>
      </w:r>
      <w:r>
        <w:rPr>
          <w:rStyle w:val="Hyperlink.0"/>
        </w:rPr>
        <w:instrText xml:space="preserve"> HYPERLINK "http://ciob.org"</w:instrText>
      </w:r>
      <w:r>
        <w:rPr>
          <w:rStyle w:val="Hyperlink.0"/>
        </w:rPr>
        <w:fldChar w:fldCharType="separate" w:fldLock="0"/>
      </w:r>
      <w:r>
        <w:rPr>
          <w:rStyle w:val="Hyperlink.0"/>
          <w:rtl w:val="0"/>
          <w:lang w:val="en-US"/>
        </w:rPr>
        <w:t>ciob.org</w:t>
      </w:r>
      <w:r>
        <w:rPr/>
        <w:fldChar w:fldCharType="end" w:fldLock="0"/>
      </w:r>
      <w:r>
        <w:rPr>
          <w:rtl w:val="0"/>
          <w:lang w:val="en-US"/>
        </w:rPr>
        <w:t xml:space="preserve">) As many as 83% of contractors have experienced theft of their tools at the site. Although the rate of crime against construction sites is very high, there is very little the contractors are able to do unless they insure their equipment theirselves but this can be costly and very time consuming when dealing with trying to replace their stolen equipment. </w:t>
      </w:r>
    </w:p>
    <w:p>
      <w:pPr>
        <w:pStyle w:val="Body"/>
        <w:bidi w:val="0"/>
      </w:pPr>
      <w:r>
        <w:rPr>
          <w:rtl w:val="0"/>
          <w:lang w:val="en-US"/>
        </w:rPr>
        <w:tab/>
        <w:t>Another reason why contracts are critical in construction is that if the parties do have a dispute and it leads to litigation, the contract will reduce the legal costs as many of the terms have been written down, making the process quicker and more efficient as there is fewer terms to be disputed. Often, a written contract forces contractors to comply with business proceedings that they usually wouldn</w:t>
      </w:r>
      <w:r>
        <w:rPr>
          <w:rtl w:val="0"/>
          <w:lang w:val="en-US"/>
        </w:rPr>
        <w:t>’</w:t>
      </w:r>
      <w:r>
        <w:rPr>
          <w:rtl w:val="0"/>
          <w:lang w:val="en-US"/>
        </w:rPr>
        <w:t xml:space="preserve">t, this is known as </w:t>
      </w:r>
      <w:r>
        <w:rPr>
          <w:rtl w:val="0"/>
          <w:lang w:val="en-US"/>
        </w:rPr>
        <w:t>“</w:t>
      </w:r>
      <w:r>
        <w:rPr>
          <w:rtl w:val="0"/>
          <w:lang w:val="en-US"/>
        </w:rPr>
        <w:t>channeling function</w:t>
      </w:r>
      <w:r>
        <w:rPr>
          <w:rtl w:val="0"/>
          <w:lang w:val="en-US"/>
        </w:rPr>
        <w:t>”</w:t>
      </w:r>
      <w:r>
        <w:rPr>
          <w:rtl w:val="0"/>
          <w:lang w:val="en-US"/>
        </w:rPr>
        <w:t>. (</w:t>
      </w:r>
      <w:r>
        <w:rPr>
          <w:rStyle w:val="Hyperlink.0"/>
        </w:rPr>
        <w:fldChar w:fldCharType="begin" w:fldLock="0"/>
      </w:r>
      <w:r>
        <w:rPr>
          <w:rStyle w:val="Hyperlink.0"/>
        </w:rPr>
        <w:instrText xml:space="preserve"> HYPERLINK "http://wardandsmith.com"</w:instrText>
      </w:r>
      <w:r>
        <w:rPr>
          <w:rStyle w:val="Hyperlink.0"/>
        </w:rPr>
        <w:fldChar w:fldCharType="separate" w:fldLock="0"/>
      </w:r>
      <w:r>
        <w:rPr>
          <w:rStyle w:val="Hyperlink.0"/>
          <w:rtl w:val="0"/>
          <w:lang w:val="en-US"/>
        </w:rPr>
        <w:t>wardandsmith.com</w:t>
      </w:r>
      <w:r>
        <w:rPr/>
        <w:fldChar w:fldCharType="end" w:fldLock="0"/>
      </w:r>
      <w:r>
        <w:rPr>
          <w:rtl w:val="0"/>
          <w:lang w:val="en-US"/>
        </w:rPr>
        <w:t xml:space="preserve">) </w:t>
      </w:r>
    </w:p>
    <w:p>
      <w:pPr>
        <w:pStyle w:val="Body"/>
        <w:bidi w:val="0"/>
      </w:pPr>
      <w:r>
        <w:rPr>
          <w:rtl w:val="0"/>
          <w:lang w:val="en-US"/>
        </w:rPr>
        <w:tab/>
        <w:t xml:space="preserve">When a contract is not fully discharged, it is known as a breach of contract. This is when </w:t>
      </w:r>
      <w:r>
        <w:rPr>
          <w:rtl w:val="0"/>
          <w:lang w:val="en-US"/>
        </w:rPr>
        <w:t>‘</w:t>
      </w:r>
      <w:r>
        <w:rPr>
          <w:rtl w:val="0"/>
          <w:lang w:val="en-US"/>
        </w:rPr>
        <w:t>a party without lawful excuse fails or refuses to perform what is due from him under contract, or perform defectively or incapacitates himself from performing.</w:t>
      </w:r>
      <w:r>
        <w:rPr>
          <w:rtl w:val="0"/>
          <w:lang w:val="en-US"/>
        </w:rPr>
        <w:t xml:space="preserve">’ </w:t>
      </w:r>
      <w:r>
        <w:rPr>
          <w:rtl w:val="0"/>
          <w:lang w:val="en-US"/>
        </w:rPr>
        <w:t xml:space="preserve">E McKendrick (2013) </w:t>
      </w:r>
      <w:r>
        <w:rPr>
          <w:i w:val="1"/>
          <w:iCs w:val="1"/>
          <w:rtl w:val="0"/>
          <w:lang w:val="en-US"/>
        </w:rPr>
        <w:t>Contract Law</w:t>
      </w:r>
      <w:r>
        <w:rPr>
          <w:rtl w:val="0"/>
          <w:lang w:val="en-US"/>
        </w:rPr>
        <w:t xml:space="preserve"> 10th ed. A breach of a contract does not mean the contract has automatically been terminated, however it does give the innocent party options. For example, in the case of Geys v Societe Generale London Branch [2012] Geys was wrongfully terminated from his job with the bank, meaning Societe Generale (the employer) had to pay more damages than they had planned as they terminated the employment contract of Geys without 3 months notice, as was stated in the contract. </w:t>
      </w:r>
    </w:p>
    <w:p>
      <w:pPr>
        <w:pStyle w:val="Body"/>
        <w:bidi w:val="0"/>
      </w:pPr>
      <w:r>
        <w:rPr>
          <w:rtl w:val="0"/>
          <w:lang w:val="en-US"/>
        </w:rPr>
        <w:tab/>
        <w:t xml:space="preserve">The consequences of a breach of contract differ with every contract as not all contracts are the same. The most commonly known consequence is the claim of damages, every breach allows the innocent party to receive damages as a result of the breached contract, this could be avoided if there is an appropriate exclusion clause in the contract. For example, in the case of Wrotham park v Parkside homes [1974], Parkside homes were commissioned to build a certain number of houses on a plot of land by Wrotham park. Parkside built more homes than was stated in the contract, by doing so they were in breach of the contract even though the extra houses were at no loss to the claimant. The decision was made for damages to be awarded to Wrotham due to a lack of negotiation. If an appropriate exclusion cause was put in place prior to the construction of the houses, then no damages would have had to have been paid and both parties would have profited from the extra houses constructed. </w:t>
      </w:r>
    </w:p>
    <w:p>
      <w:pPr>
        <w:pStyle w:val="Body"/>
        <w:bidi w:val="0"/>
      </w:pPr>
      <w:r>
        <w:rPr>
          <w:rtl w:val="0"/>
          <w:lang w:val="en-US"/>
        </w:rPr>
        <w:tab/>
        <w:t xml:space="preserve">Repudiation of a contract is a lot more serious, this is when a breach of a contract is serious enough so that the innocent party is able to terminate the contract with immediate effect.  The case of </w:t>
      </w:r>
      <w:r>
        <w:rPr>
          <w:rtl w:val="0"/>
        </w:rPr>
        <w:t>Carr v JA Berriman Pty Ltd</w:t>
      </w:r>
      <w:r>
        <w:rPr>
          <w:rtl w:val="0"/>
          <w:lang w:val="en-US"/>
        </w:rPr>
        <w:t xml:space="preserve"> [1953] is a good example of how a contract may be terminated due to repudiation. Carr had contracted Berriman to build a house on a plot of land which Carr said he would prepare prior to Berrimans commence date. It was also agreed that Carr would buy the steel for the project and Berriman would fabricate it. However, when Berriman arrived to the site to start his work, the site was filled with machinery and it had not been prepared as Carr had promised. This alone would be enough of a reason for repudiation. Berriman had already accepted an offer for the fabrication of the steel which Carr knew about, yet Carr, after knowing this information decided to employ a third party to fabricate the steel for him. Both these breaches of the contract are enough for repudiation, giving Berriman full rights to terminate their contract. Outcomes of repudiation are all along the same lines, with one party refusing to carry out their work, abandoning the job mid-way through it and also employing another contractor to finish the job. </w:t>
      </w:r>
    </w:p>
    <w:p>
      <w:pPr>
        <w:pStyle w:val="Body"/>
        <w:bidi w:val="0"/>
      </w:pPr>
      <w:r>
        <w:rPr>
          <w:rtl w:val="0"/>
          <w:lang w:val="en-US"/>
        </w:rPr>
        <w:tab/>
        <w:t xml:space="preserve">Often contractors decide to burn their waste on site, this can have many ramifications for them due to many acts put in place to prevent it. Contractors can be fined as much as </w:t>
      </w:r>
      <w:r>
        <w:rPr>
          <w:rtl w:val="0"/>
          <w:lang w:val="en-US"/>
        </w:rPr>
        <w:t>£</w:t>
      </w:r>
      <w:r>
        <w:rPr>
          <w:rtl w:val="0"/>
          <w:lang w:val="en-US"/>
        </w:rPr>
        <w:t xml:space="preserve">20,000 for burning anything on an industrial or trade site that produces a dark smoke, this is under the Clean Air Act 1993. One case of this is </w:t>
      </w:r>
      <w:r>
        <w:rPr>
          <w:rtl w:val="0"/>
          <w:lang w:val="en-US"/>
        </w:rPr>
        <w:t>Fast Track Recycling Services</w:t>
      </w:r>
      <w:r>
        <w:rPr>
          <w:rtl w:val="0"/>
          <w:lang w:val="en-US"/>
        </w:rPr>
        <w:t xml:space="preserve"> v Newcastle City Council, here, Chapman, an employee for Fast Track Recycling had leased the land in order to recycle fridges and air conditioners. However, Chapman decided to burn the fridges and air conditioners, releasing many harmful chemicals into the atmosphere and potentially harming local wildlife. This saved Chapman over </w:t>
      </w:r>
      <w:r>
        <w:rPr>
          <w:rtl w:val="0"/>
          <w:lang w:val="en-US"/>
        </w:rPr>
        <w:t>£</w:t>
      </w:r>
      <w:r>
        <w:rPr>
          <w:rtl w:val="0"/>
          <w:lang w:val="en-US"/>
        </w:rPr>
        <w:t xml:space="preserve">10,000 by not having waste disposal licences. He was later fined </w:t>
      </w:r>
      <w:r>
        <w:rPr>
          <w:rtl w:val="0"/>
          <w:lang w:val="en-US"/>
        </w:rPr>
        <w:t>£</w:t>
      </w:r>
      <w:r>
        <w:rPr>
          <w:rtl w:val="0"/>
          <w:lang w:val="en-US"/>
        </w:rPr>
        <w:t>350 and had to serve 120 hours of community service work. (</w:t>
      </w:r>
      <w:r>
        <w:rPr>
          <w:rStyle w:val="Hyperlink.0"/>
        </w:rPr>
        <w:fldChar w:fldCharType="begin" w:fldLock="0"/>
      </w:r>
      <w:r>
        <w:rPr>
          <w:rStyle w:val="Hyperlink.0"/>
        </w:rPr>
        <w:instrText xml:space="preserve"> HYPERLINK "http://wrexham.gov.uk"</w:instrText>
      </w:r>
      <w:r>
        <w:rPr>
          <w:rStyle w:val="Hyperlink.0"/>
        </w:rPr>
        <w:fldChar w:fldCharType="separate" w:fldLock="0"/>
      </w:r>
      <w:r>
        <w:rPr>
          <w:rStyle w:val="Hyperlink.0"/>
          <w:rtl w:val="0"/>
          <w:lang w:val="en-US"/>
        </w:rPr>
        <w:t>wrexham.gov.uk</w:t>
      </w:r>
      <w:r>
        <w:rPr/>
        <w:fldChar w:fldCharType="end" w:fldLock="0"/>
      </w:r>
      <w:r>
        <w:rPr>
          <w:rtl w:val="0"/>
          <w:lang w:val="en-US"/>
        </w:rPr>
        <w:t>)</w:t>
      </w:r>
      <w:r>
        <w:rPr>
          <w:rtl w:val="0"/>
          <w:lang w:val="en-US"/>
        </w:rPr>
        <w:t xml:space="preserve"> In addition to the possible </w:t>
      </w:r>
      <w:r>
        <w:rPr>
          <w:rtl w:val="0"/>
        </w:rPr>
        <w:t>£</w:t>
      </w:r>
      <w:r>
        <w:rPr>
          <w:rtl w:val="0"/>
          <w:lang w:val="en-US"/>
        </w:rPr>
        <w:t>20,000 fine, nuisance legislation also applies.</w:t>
      </w:r>
      <w:r>
        <w:rPr>
          <w:rtl w:val="0"/>
          <w:lang w:val="en-US"/>
        </w:rPr>
        <w:t xml:space="preserve"> (</w:t>
      </w:r>
      <w:r>
        <w:rPr>
          <w:rStyle w:val="Hyperlink.0"/>
        </w:rPr>
        <w:fldChar w:fldCharType="begin" w:fldLock="0"/>
      </w:r>
      <w:r>
        <w:rPr>
          <w:rStyle w:val="Hyperlink.0"/>
        </w:rPr>
        <w:instrText xml:space="preserve"> HYPERLINK "http://thanet.gov.uk"</w:instrText>
      </w:r>
      <w:r>
        <w:rPr>
          <w:rStyle w:val="Hyperlink.0"/>
        </w:rPr>
        <w:fldChar w:fldCharType="separate" w:fldLock="0"/>
      </w:r>
      <w:r>
        <w:rPr>
          <w:rStyle w:val="Hyperlink.0"/>
          <w:rtl w:val="0"/>
          <w:lang w:val="en-US"/>
        </w:rPr>
        <w:t>thanet.gov.uk</w:t>
      </w:r>
      <w:r>
        <w:rPr/>
        <w:fldChar w:fldCharType="end" w:fldLock="0"/>
      </w:r>
      <w:r>
        <w:rPr>
          <w:rtl w:val="0"/>
          <w:lang w:val="en-US"/>
        </w:rPr>
        <w:t>)</w:t>
      </w:r>
      <w:r>
        <w:rPr>
          <w:rtl w:val="0"/>
          <w:lang w:val="en-US"/>
        </w:rPr>
        <w:t xml:space="preserve"> So if a neighbouring party</w:t>
      </w:r>
      <w:r>
        <w:rPr>
          <w:rtl w:val="0"/>
        </w:rPr>
        <w:t>’</w:t>
      </w:r>
      <w:r>
        <w:rPr>
          <w:rtl w:val="0"/>
          <w:lang w:val="en-US"/>
        </w:rPr>
        <w:t xml:space="preserve">s wellbeing has been interfered with, due to the burning of waste, then it is possible for an additional </w:t>
      </w:r>
      <w:r>
        <w:rPr>
          <w:rtl w:val="0"/>
        </w:rPr>
        <w:t>£</w:t>
      </w:r>
      <w:r>
        <w:rPr>
          <w:rtl w:val="0"/>
          <w:lang w:val="en-US"/>
        </w:rPr>
        <w:t>2,000 fine per day that the offence continues.</w:t>
      </w:r>
      <w:r>
        <w:rPr>
          <w:rtl w:val="0"/>
          <w:lang w:val="en-US"/>
        </w:rPr>
        <w:t xml:space="preserve"> Another act is the Environmental Act of 1990, this makes sure that all businesses dispose of their waste properly, with burning deemed to be unsuitable. There is, however, an exemption to burning waste. Contractors are able to burn waste on site which produces non toxic smoke such as waste wood, sawdust and plant tissue which has been removed. This exemption is D7 burning waste in the open. (</w:t>
      </w:r>
      <w:r>
        <w:rPr>
          <w:rStyle w:val="Hyperlink.0"/>
        </w:rPr>
        <w:fldChar w:fldCharType="begin" w:fldLock="0"/>
      </w:r>
      <w:r>
        <w:rPr>
          <w:rStyle w:val="Hyperlink.0"/>
        </w:rPr>
        <w:instrText xml:space="preserve"> HYPERLINK "http://gov.uk"</w:instrText>
      </w:r>
      <w:r>
        <w:rPr>
          <w:rStyle w:val="Hyperlink.0"/>
        </w:rPr>
        <w:fldChar w:fldCharType="separate" w:fldLock="0"/>
      </w:r>
      <w:r>
        <w:rPr>
          <w:rStyle w:val="Hyperlink.0"/>
          <w:rtl w:val="0"/>
          <w:lang w:val="en-US"/>
        </w:rPr>
        <w:t>gov.uk</w:t>
      </w:r>
      <w:r>
        <w:rPr/>
        <w:fldChar w:fldCharType="end" w:fldLock="0"/>
      </w:r>
      <w:r>
        <w:rPr>
          <w:rtl w:val="0"/>
          <w:lang w:val="en-US"/>
        </w:rPr>
        <w:t xml:space="preserve">) </w:t>
      </w:r>
    </w:p>
    <w:p>
      <w:pPr>
        <w:pStyle w:val="Body"/>
        <w:bidi w:val="0"/>
      </w:pPr>
      <w:r>
        <w:rPr>
          <w:rtl w:val="0"/>
          <w:lang w:val="en-US"/>
        </w:rPr>
        <w:tab/>
        <w:t xml:space="preserve">Construction sites are often victim to crime, and materials are often stolen or disturbed as building sites are seen as easy targets with little security during out of work hours and on the weekends. This theft costs contractors thousands of pounds each year. If theft does occur, then there are a few possible outcomes. Firstly, if there is an insurance policy in place within the contract stating that all materials and equipment which are left on site are insured, then the contractors will have no problem in replacing their stolen goods through an insurance claim. However, these types of policies are very rare and often contractors will have to insure their own equipment out of their own pocket, this can often be seen as costly and will be time consuming when trying to reclaim. Also, it is often cheaper overall to not insure their equipment as it may take a long time before the insurance claim comes back, and by this time they have lost work or are unable to complete their job. Theft is also often seen by insurance companies as the contractors own fault, this is because often sites are unattended with little light and with few deterrents, trespassers will often go without prosecution. </w:t>
      </w:r>
    </w:p>
    <w:p>
      <w:pPr>
        <w:pStyle w:val="Body"/>
        <w:bidi w:val="0"/>
      </w:pPr>
      <w:r>
        <w:rPr>
          <w:rtl w:val="0"/>
          <w:lang w:val="en-US"/>
        </w:rPr>
        <w:tab/>
        <w:t xml:space="preserve">If a trespasser injures theirselves while on the construction site, there could be severe ramifications for either party depending on different factors. The law states that the occupier of premises must take reasonable care to ensure the safety of visitors using the premises, including trespassers. This means that the owner of the land must make sure that there is reasonable warning of the dangers within their premises. For example, in the case of Tomlinson v </w:t>
      </w:r>
      <w:r>
        <w:rPr>
          <w:rtl w:val="0"/>
          <w:lang w:val="en-US"/>
        </w:rPr>
        <w:t>Congleton Council and Cheshire County Council</w:t>
      </w:r>
      <w:r>
        <w:rPr>
          <w:rtl w:val="0"/>
          <w:lang w:val="en-US"/>
        </w:rPr>
        <w:t xml:space="preserve"> (2003), Tomlinson had decided to to dive into a lake, suffering severe head injuries, he then sued the council. The area around the lake was known to be a popular spot for locals to relax, but signs stating that swimming is dangerous in the lake and </w:t>
      </w:r>
      <w:r>
        <w:rPr>
          <w:rtl w:val="0"/>
          <w:lang w:val="en-US"/>
        </w:rPr>
        <w:t>“</w:t>
      </w:r>
      <w:r>
        <w:rPr>
          <w:rtl w:val="0"/>
          <w:lang w:val="en-US"/>
        </w:rPr>
        <w:t>no swimming</w:t>
      </w:r>
      <w:r>
        <w:rPr>
          <w:rtl w:val="0"/>
          <w:lang w:val="en-US"/>
        </w:rPr>
        <w:t xml:space="preserve">” </w:t>
      </w:r>
      <w:r>
        <w:rPr>
          <w:rtl w:val="0"/>
          <w:lang w:val="en-US"/>
        </w:rPr>
        <w:t>sings were enough to deter most members of public away from swimming in the lake. Tomlinson</w:t>
      </w:r>
      <w:r>
        <w:rPr>
          <w:rtl w:val="0"/>
          <w:lang w:val="en-US"/>
        </w:rPr>
        <w:t>’</w:t>
      </w:r>
      <w:r>
        <w:rPr>
          <w:rtl w:val="0"/>
          <w:lang w:val="en-US"/>
        </w:rPr>
        <w:t xml:space="preserve">s argument was that the signs were not enough warning and that the council should do more to deter people from jumping into the lake, such as a fence. However, the court decided against Tomlinson, stating that the signs were sufficient enough to warn the public of the dangers of the lake. Contrast this case with the case of </w:t>
      </w:r>
      <w:r>
        <w:rPr>
          <w:rtl w:val="0"/>
          <w:lang w:val="en-US"/>
        </w:rPr>
        <w:t>Jolley v Sutton London Borough Council (2000)</w:t>
      </w:r>
      <w:r>
        <w:rPr>
          <w:rtl w:val="0"/>
          <w:lang w:val="en-US"/>
        </w:rPr>
        <w:t>, Jolley, a 14 year old boy had injured himself on a boat which the council knew about on a plot of land they owned. The boat had fallen onto the boy as it was held up by bricks only, causing him severe injury. The House of Lords found Borough council to be liable as it is their duty of care to make sure all land in their possession to be safe for all visitors. These cases are good examples for occupiers of construction sites as they show how additional work is necessary in order to inform the public of the dangers of the site, with signs sometimes not being sufficient. (</w:t>
      </w:r>
      <w:r>
        <w:rPr>
          <w:rStyle w:val="Hyperlink.0"/>
        </w:rPr>
        <w:fldChar w:fldCharType="begin" w:fldLock="0"/>
      </w:r>
      <w:r>
        <w:rPr>
          <w:rStyle w:val="Hyperlink.0"/>
        </w:rPr>
        <w:instrText xml:space="preserve"> HYPERLINK "http://constructionnews.co.uk"</w:instrText>
      </w:r>
      <w:r>
        <w:rPr>
          <w:rStyle w:val="Hyperlink.0"/>
        </w:rPr>
        <w:fldChar w:fldCharType="separate" w:fldLock="0"/>
      </w:r>
      <w:r>
        <w:rPr>
          <w:rStyle w:val="Hyperlink.0"/>
          <w:rtl w:val="0"/>
          <w:lang w:val="en-US"/>
        </w:rPr>
        <w:t>constructionnews.co.uk</w:t>
      </w:r>
      <w:r>
        <w:rPr/>
        <w:fldChar w:fldCharType="end" w:fldLock="0"/>
      </w:r>
      <w:r>
        <w:rPr>
          <w:rtl w:val="0"/>
          <w:lang w:val="en-US"/>
        </w:rPr>
        <w:t xml:space="preserve">) </w:t>
      </w:r>
    </w:p>
    <w:p>
      <w:pPr>
        <w:pStyle w:val="Body"/>
        <w:bidi w:val="0"/>
      </w:pPr>
      <w:r>
        <w:rPr>
          <w:rtl w:val="0"/>
          <w:lang w:val="en-US"/>
        </w:rPr>
        <w:tab/>
        <w:t xml:space="preserve">  </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rPr>
          <w:b w:val="1"/>
          <w:bCs w:val="1"/>
          <w:u w:val="single"/>
        </w:rPr>
      </w:pPr>
      <w:r>
        <w:rPr>
          <w:b w:val="1"/>
          <w:bCs w:val="1"/>
          <w:u w:val="single"/>
          <w:rtl w:val="0"/>
          <w:lang w:val="en-US"/>
        </w:rPr>
        <w:t>References</w:t>
      </w:r>
    </w:p>
    <w:p>
      <w:pPr>
        <w:pStyle w:val="Body"/>
        <w:bidi w:val="0"/>
      </w:pPr>
    </w:p>
    <w:p>
      <w:pPr>
        <w:pStyle w:val="Body"/>
        <w:bidi w:val="0"/>
      </w:pPr>
    </w:p>
    <w:p>
      <w:pPr>
        <w:pStyle w:val="Body"/>
        <w:numPr>
          <w:ilvl w:val="0"/>
          <w:numId w:val="2"/>
        </w:numPr>
        <w:bidi w:val="0"/>
      </w:pPr>
      <w:r>
        <w:rPr>
          <w:rtl w:val="0"/>
          <w:lang w:val="en-US"/>
        </w:rPr>
        <w:t xml:space="preserve"> </w:t>
      </w:r>
      <w:r>
        <w:rPr>
          <w:rStyle w:val="Hyperlink.0"/>
        </w:rPr>
        <w:fldChar w:fldCharType="begin" w:fldLock="0"/>
      </w:r>
      <w:r>
        <w:rPr>
          <w:rStyle w:val="Hyperlink.0"/>
        </w:rPr>
        <w:instrText xml:space="preserve"> HYPERLINK "https://www.wardandsmith.com/articles/the-importance-of-construction-contracts"</w:instrText>
      </w:r>
      <w:r>
        <w:rPr>
          <w:rStyle w:val="Hyperlink.0"/>
        </w:rPr>
        <w:fldChar w:fldCharType="separate" w:fldLock="0"/>
      </w:r>
      <w:r>
        <w:rPr>
          <w:rStyle w:val="Hyperlink.0"/>
          <w:rtl w:val="0"/>
          <w:lang w:val="en-US"/>
        </w:rPr>
        <w:t>https://www.wardandsmith.com/articles/the-importance-of-construction-contracts</w:t>
      </w:r>
      <w:r>
        <w:rPr/>
        <w:fldChar w:fldCharType="end" w:fldLock="0"/>
      </w:r>
    </w:p>
    <w:p>
      <w:pPr>
        <w:pStyle w:val="Body"/>
        <w:numPr>
          <w:ilvl w:val="0"/>
          <w:numId w:val="2"/>
        </w:numPr>
        <w:bidi w:val="0"/>
      </w:pPr>
      <w:r>
        <w:rPr>
          <w:rStyle w:val="Hyperlink.0"/>
        </w:rPr>
        <w:fldChar w:fldCharType="begin" w:fldLock="0"/>
      </w:r>
      <w:r>
        <w:rPr>
          <w:rStyle w:val="Hyperlink.0"/>
        </w:rPr>
        <w:instrText xml:space="preserve"> HYPERLINK "https://www.ciob.org/sites/default/files/CIOB%20research%20-%20Crime%20in%20the%20Construction%20Industry_0.pdf"</w:instrText>
      </w:r>
      <w:r>
        <w:rPr>
          <w:rStyle w:val="Hyperlink.0"/>
        </w:rPr>
        <w:fldChar w:fldCharType="separate" w:fldLock="0"/>
      </w:r>
      <w:r>
        <w:rPr>
          <w:rStyle w:val="Hyperlink.0"/>
          <w:rtl w:val="0"/>
          <w:lang w:val="en-US"/>
        </w:rPr>
        <w:t>https://www.ciob.org/sites/default/files/CIOB%20research%20-%20Crime%20in%20the%20Construction%20Industry_0.pdf</w:t>
      </w:r>
      <w:r>
        <w:rPr/>
        <w:fldChar w:fldCharType="end" w:fldLock="0"/>
      </w:r>
    </w:p>
    <w:p>
      <w:pPr>
        <w:pStyle w:val="Body"/>
        <w:numPr>
          <w:ilvl w:val="0"/>
          <w:numId w:val="2"/>
        </w:numPr>
        <w:bidi w:val="0"/>
      </w:pPr>
      <w:r>
        <w:rPr>
          <w:rStyle w:val="Hyperlink.0"/>
        </w:rPr>
        <w:fldChar w:fldCharType="begin" w:fldLock="0"/>
      </w:r>
      <w:r>
        <w:rPr>
          <w:rStyle w:val="Hyperlink.0"/>
        </w:rPr>
        <w:instrText xml:space="preserve"> HYPERLINK "https://www.wrexham.gov.uk/assets/pdfs/env_services/env_protection/L45_dark_smoke_from_trade_and_ind_premises.pdf"</w:instrText>
      </w:r>
      <w:r>
        <w:rPr>
          <w:rStyle w:val="Hyperlink.0"/>
        </w:rPr>
        <w:fldChar w:fldCharType="separate" w:fldLock="0"/>
      </w:r>
      <w:r>
        <w:rPr>
          <w:rStyle w:val="Hyperlink.0"/>
          <w:rtl w:val="0"/>
          <w:lang w:val="en-US"/>
        </w:rPr>
        <w:t>https://www.wrexham.gov.uk/assets/pdfs/env_services/env_protection/L45_dark_smoke_from_trade_and_ind_premises.pdf</w:t>
      </w:r>
      <w:r>
        <w:rPr/>
        <w:fldChar w:fldCharType="end" w:fldLock="0"/>
      </w:r>
    </w:p>
    <w:p>
      <w:pPr>
        <w:pStyle w:val="Body"/>
        <w:numPr>
          <w:ilvl w:val="0"/>
          <w:numId w:val="2"/>
        </w:numPr>
        <w:bidi w:val="0"/>
      </w:pPr>
      <w:r>
        <w:rPr>
          <w:rtl w:val="0"/>
          <w:lang w:val="en-US"/>
        </w:rPr>
        <w:t xml:space="preserve">Ewan McKendrick, Contract Law 2013 10th edition </w:t>
      </w:r>
    </w:p>
    <w:p>
      <w:pPr>
        <w:pStyle w:val="Body"/>
        <w:numPr>
          <w:ilvl w:val="0"/>
          <w:numId w:val="2"/>
        </w:numPr>
        <w:bidi w:val="0"/>
      </w:pPr>
      <w:r>
        <w:rPr>
          <w:rStyle w:val="Hyperlink.0"/>
        </w:rPr>
        <w:fldChar w:fldCharType="begin" w:fldLock="0"/>
      </w:r>
      <w:r>
        <w:rPr>
          <w:rStyle w:val="Hyperlink.0"/>
        </w:rPr>
        <w:instrText xml:space="preserve"> HYPERLINK "https://www.thanet.gov.uk/your-services/noise-and-air-quality/nuisance-noise/construction-and-building-sites/"</w:instrText>
      </w:r>
      <w:r>
        <w:rPr>
          <w:rStyle w:val="Hyperlink.0"/>
        </w:rPr>
        <w:fldChar w:fldCharType="separate" w:fldLock="0"/>
      </w:r>
      <w:r>
        <w:rPr>
          <w:rStyle w:val="Hyperlink.0"/>
          <w:rtl w:val="0"/>
          <w:lang w:val="en-US"/>
        </w:rPr>
        <w:t>https://www.thanet.gov.uk/your-services/noise-and-air-quality/nuisance-noise/construction-and-building-sites/</w:t>
      </w:r>
      <w:r>
        <w:rPr/>
        <w:fldChar w:fldCharType="end" w:fldLock="0"/>
      </w:r>
    </w:p>
    <w:p>
      <w:pPr>
        <w:pStyle w:val="Body"/>
        <w:numPr>
          <w:ilvl w:val="0"/>
          <w:numId w:val="2"/>
        </w:numPr>
        <w:bidi w:val="0"/>
      </w:pPr>
      <w:r>
        <w:rPr>
          <w:rStyle w:val="Hyperlink.0"/>
        </w:rPr>
        <w:fldChar w:fldCharType="begin" w:fldLock="0"/>
      </w:r>
      <w:r>
        <w:rPr>
          <w:rStyle w:val="Hyperlink.0"/>
        </w:rPr>
        <w:instrText xml:space="preserve"> HYPERLINK "https://www.constructionnews.co.uk/home/a-trespasser-injured-on-site-can-prosecute/859669.article"</w:instrText>
      </w:r>
      <w:r>
        <w:rPr>
          <w:rStyle w:val="Hyperlink.0"/>
        </w:rPr>
        <w:fldChar w:fldCharType="separate" w:fldLock="0"/>
      </w:r>
      <w:r>
        <w:rPr>
          <w:rStyle w:val="Hyperlink.0"/>
          <w:rtl w:val="0"/>
          <w:lang w:val="en-US"/>
        </w:rPr>
        <w:t>https://www.constructionnews.co.uk/home/a-trespasser-injured-on-site-can-prosecute/859669.article</w:t>
      </w:r>
      <w:r>
        <w:rPr/>
        <w:fldChar w:fldCharType="end" w:fldLock="0"/>
      </w:r>
    </w:p>
    <w:p>
      <w:pPr>
        <w:pStyle w:val="Body"/>
        <w:bidi w:val="0"/>
      </w:p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Lettered"/>
  </w:abstractNum>
  <w:abstractNum w:abstractNumId="1">
    <w:multiLevelType w:val="hybridMultilevel"/>
    <w:styleLink w:val="Lettered"/>
    <w:lvl w:ilvl="0">
      <w:start w:val="1"/>
      <w:numFmt w:val="decimal"/>
      <w:suff w:val="tab"/>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rPr>
  </w:style>
  <w:style w:type="character" w:styleId="Hyperlink.0">
    <w:name w:val="Hyperlink.0"/>
    <w:basedOn w:val="Hyperlink"/>
    <w:next w:val="Hyperlink.0"/>
    <w:rPr>
      <w:u w:val="single"/>
    </w:rPr>
  </w:style>
  <w:style w:type="numbering" w:styleId="Lettered">
    <w:name w:val="Lettered"/>
    <w:pPr>
      <w:numPr>
        <w:numId w:val="1"/>
      </w:numPr>
    </w:p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