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E3AA0" w14:textId="34D3554E" w:rsidR="00BB6CCC" w:rsidRDefault="009F5158" w:rsidP="00BB6CCC">
      <w:pPr>
        <w:spacing w:line="240" w:lineRule="auto"/>
        <w:jc w:val="center"/>
        <w:rPr>
          <w:u w:val="single"/>
        </w:rPr>
      </w:pPr>
      <w:r w:rsidRPr="009F5158">
        <w:rPr>
          <w:u w:val="single"/>
        </w:rPr>
        <w:t>Diptych with the Coronation of the Virgin</w:t>
      </w:r>
      <w:r w:rsidR="000B46A9">
        <w:rPr>
          <w:u w:val="single"/>
        </w:rPr>
        <w:t xml:space="preserve"> </w:t>
      </w:r>
      <w:r w:rsidRPr="009F5158">
        <w:rPr>
          <w:u w:val="single"/>
        </w:rPr>
        <w:t>and the Last Judgement</w:t>
      </w:r>
    </w:p>
    <w:p w14:paraId="4B655C87" w14:textId="77777777" w:rsidR="00D47489" w:rsidRDefault="00D47489" w:rsidP="00397D31">
      <w:pPr>
        <w:jc w:val="center"/>
        <w:rPr>
          <w:u w:val="single"/>
        </w:rPr>
      </w:pPr>
    </w:p>
    <w:p w14:paraId="4028BCAD" w14:textId="4AE91569" w:rsidR="00913E45" w:rsidRDefault="00D47489" w:rsidP="00913E45">
      <w:pPr>
        <w:jc w:val="center"/>
        <w:rPr>
          <w:u w:val="single"/>
        </w:rPr>
      </w:pPr>
      <w:r w:rsidRPr="00D47489">
        <w:rPr>
          <w:noProof/>
        </w:rPr>
        <w:drawing>
          <wp:inline distT="0" distB="0" distL="0" distR="0" wp14:anchorId="6AE74225" wp14:editId="589A1712">
            <wp:extent cx="5731510" cy="4711065"/>
            <wp:effectExtent l="0" t="0" r="0" b="635"/>
            <wp:docPr id="335778809" name="Picture 1" descr="A carved wood panel with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778809" name="Picture 1" descr="A carved wood panel with a group of peopl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711065"/>
                    </a:xfrm>
                    <a:prstGeom prst="rect">
                      <a:avLst/>
                    </a:prstGeom>
                  </pic:spPr>
                </pic:pic>
              </a:graphicData>
            </a:graphic>
          </wp:inline>
        </w:drawing>
      </w:r>
    </w:p>
    <w:p w14:paraId="191C94AE" w14:textId="72EF5695" w:rsidR="001A61E7" w:rsidRPr="001A61E7" w:rsidRDefault="001A61E7" w:rsidP="001A61E7">
      <w:pPr>
        <w:spacing w:line="240" w:lineRule="auto"/>
        <w:rPr>
          <w:sz w:val="18"/>
          <w:szCs w:val="18"/>
        </w:rPr>
      </w:pPr>
      <w:r w:rsidRPr="001A61E7">
        <w:rPr>
          <w:sz w:val="18"/>
          <w:szCs w:val="18"/>
        </w:rPr>
        <w:t>Anonymous, </w:t>
      </w:r>
      <w:r w:rsidRPr="001A61E7">
        <w:rPr>
          <w:i/>
          <w:iCs/>
          <w:sz w:val="18"/>
          <w:szCs w:val="18"/>
        </w:rPr>
        <w:t xml:space="preserve">Diptych with the Coronation of the Virgin and the Last Judgment, </w:t>
      </w:r>
      <w:r>
        <w:rPr>
          <w:i/>
          <w:iCs/>
          <w:sz w:val="18"/>
          <w:szCs w:val="18"/>
        </w:rPr>
        <w:t xml:space="preserve">ca. </w:t>
      </w:r>
      <w:r w:rsidRPr="001A61E7">
        <w:rPr>
          <w:sz w:val="18"/>
          <w:szCs w:val="18"/>
        </w:rPr>
        <w:t>1260-70, from</w:t>
      </w:r>
      <w:r w:rsidRPr="001A61E7">
        <w:rPr>
          <w:i/>
          <w:iCs/>
          <w:sz w:val="18"/>
          <w:szCs w:val="18"/>
        </w:rPr>
        <w:t xml:space="preserve"> </w:t>
      </w:r>
      <w:r w:rsidRPr="001A61E7">
        <w:rPr>
          <w:sz w:val="18"/>
          <w:szCs w:val="18"/>
        </w:rPr>
        <w:t xml:space="preserve"> &lt;</w:t>
      </w:r>
      <w:hyperlink r:id="rId8" w:tgtFrame="_blank" w:history="1">
        <w:r w:rsidRPr="001A61E7">
          <w:rPr>
            <w:rStyle w:val="Hyperlink"/>
            <w:sz w:val="18"/>
            <w:szCs w:val="18"/>
          </w:rPr>
          <w:t>https://www.metmuseum.org/art/collection/search/471975</w:t>
        </w:r>
      </w:hyperlink>
      <w:r w:rsidRPr="001A61E7">
        <w:rPr>
          <w:sz w:val="18"/>
          <w:szCs w:val="18"/>
        </w:rPr>
        <w:t>&gt; [accessed 29 December 2025]</w:t>
      </w:r>
    </w:p>
    <w:p w14:paraId="7FD63AC8" w14:textId="77777777" w:rsidR="00D47489" w:rsidRDefault="00D47489" w:rsidP="00913E45">
      <w:pPr>
        <w:jc w:val="center"/>
        <w:rPr>
          <w:u w:val="single"/>
        </w:rPr>
      </w:pPr>
    </w:p>
    <w:p w14:paraId="097B7D7C" w14:textId="77777777" w:rsidR="00D47489" w:rsidRPr="00913E45" w:rsidRDefault="00D47489" w:rsidP="00913E45">
      <w:pPr>
        <w:jc w:val="center"/>
        <w:rPr>
          <w:u w:val="single"/>
        </w:rPr>
      </w:pPr>
    </w:p>
    <w:p w14:paraId="67320C57" w14:textId="58E11A7C" w:rsidR="00617BE3" w:rsidRDefault="00D462FC" w:rsidP="00D5230C">
      <w:pPr>
        <w:spacing w:line="480" w:lineRule="auto"/>
        <w:jc w:val="both"/>
      </w:pPr>
      <w:bookmarkStart w:id="0" w:name="OLE_LINK2"/>
      <w:r w:rsidRPr="00D462FC">
        <w:t xml:space="preserve">The </w:t>
      </w:r>
      <w:r w:rsidRPr="00D462FC">
        <w:rPr>
          <w:i/>
          <w:iCs/>
        </w:rPr>
        <w:t>Diptych with the Coronation of the Virgin and the Last Judgement</w:t>
      </w:r>
      <w:r w:rsidRPr="00D462FC">
        <w:t xml:space="preserve"> (ca. 1260-70) is a devotional object carved in high relief from elephant ivory. </w:t>
      </w:r>
      <w:r w:rsidR="008E34AC">
        <w:t xml:space="preserve">Likely produced in Paris, France, the </w:t>
      </w:r>
      <w:r w:rsidR="002550A1">
        <w:t>d</w:t>
      </w:r>
      <w:r w:rsidRPr="00D462FC">
        <w:t xml:space="preserve">iptych now resides in the Cloisters Collection of the Metropolitan Museum of Art, New York. The two thick ivory panels telescope two central themes of medieval Christian belief: the Coronation of the Virgin and the Last Judgement. The introspective nature of such programmatic themes reflects medieval private religious practices, in </w:t>
      </w:r>
      <w:r w:rsidRPr="00D462FC">
        <w:lastRenderedPageBreak/>
        <w:t xml:space="preserve">which viewers use such iconography to contemplate salvation, sin, and divine justice. </w:t>
      </w:r>
      <w:r w:rsidR="00617BE3">
        <w:t xml:space="preserve">This commentary will demonstrate how visual imagery mediated theological ideas in the medieval world. </w:t>
      </w:r>
    </w:p>
    <w:p w14:paraId="2234A875" w14:textId="77777777" w:rsidR="008B1354" w:rsidRDefault="008B1354" w:rsidP="00D5230C">
      <w:pPr>
        <w:spacing w:line="480" w:lineRule="auto"/>
        <w:jc w:val="both"/>
      </w:pPr>
    </w:p>
    <w:p w14:paraId="1D860722" w14:textId="5745EDBC" w:rsidR="00C9006D" w:rsidRDefault="001073EB" w:rsidP="00D5230C">
      <w:pPr>
        <w:spacing w:line="480" w:lineRule="auto"/>
        <w:jc w:val="both"/>
      </w:pPr>
      <w:r w:rsidRPr="001073EB">
        <w:t xml:space="preserve">A diptych is an object composed of two equal-sized plates, often held together by hinges: the simile of a book is frequently used to describe such an object. Initially, </w:t>
      </w:r>
      <w:r w:rsidR="00E53B1C">
        <w:t>a</w:t>
      </w:r>
      <w:r w:rsidRPr="001073EB">
        <w:t xml:space="preserve"> diptych was used as a writing tablet, with wax stored in the hollowed in</w:t>
      </w:r>
      <w:r w:rsidR="00FE50B8">
        <w:t xml:space="preserve">terior </w:t>
      </w:r>
      <w:r w:rsidRPr="001073EB">
        <w:t xml:space="preserve">of the plates. </w:t>
      </w:r>
      <w:r w:rsidR="00FA7F51">
        <w:t>On its reverse</w:t>
      </w:r>
      <w:r w:rsidR="00B11D09">
        <w:t xml:space="preserve"> would often be relief work of portraits and historical or symbolic scenes</w:t>
      </w:r>
      <w:r w:rsidR="00FA7F51">
        <w:t xml:space="preserve">. </w:t>
      </w:r>
      <w:r w:rsidRPr="001073EB">
        <w:t>During the late Roman Empire, it was commonplace for a diptych to commemorate the appointment of a new consul, though th</w:t>
      </w:r>
      <w:r w:rsidR="009173C7">
        <w:t>is</w:t>
      </w:r>
      <w:r w:rsidRPr="001073EB">
        <w:t xml:space="preserve"> practice ceased in 541. It was these ‘consular diptychs’ that were repurposed for Christian purposes</w:t>
      </w:r>
      <w:r w:rsidR="00842416">
        <w:t>.</w:t>
      </w:r>
      <w:r w:rsidR="00A619C4">
        <w:rPr>
          <w:rStyle w:val="FootnoteReference"/>
        </w:rPr>
        <w:footnoteReference w:id="1"/>
      </w:r>
      <w:r w:rsidR="006E39B5">
        <w:t xml:space="preserve"> </w:t>
      </w:r>
      <w:r w:rsidR="00891717">
        <w:t>An e</w:t>
      </w:r>
      <w:r w:rsidR="00A46F84">
        <w:t>arly Christian church practice</w:t>
      </w:r>
      <w:r w:rsidR="00891717">
        <w:t xml:space="preserve"> </w:t>
      </w:r>
      <w:r w:rsidR="00533C03">
        <w:t>required</w:t>
      </w:r>
      <w:r w:rsidR="003668C7">
        <w:t xml:space="preserve"> a list of persons, living or deceased, who needed to be remembered liturgically to be inscribed on diptychs.</w:t>
      </w:r>
      <w:r w:rsidR="00003B52">
        <w:rPr>
          <w:rStyle w:val="FootnoteReference"/>
        </w:rPr>
        <w:footnoteReference w:id="2"/>
      </w:r>
      <w:r w:rsidR="00A32305">
        <w:t xml:space="preserve"> </w:t>
      </w:r>
      <w:r w:rsidR="00FA7F51">
        <w:t xml:space="preserve"> </w:t>
      </w:r>
      <w:r w:rsidR="002B10F6">
        <w:t>By</w:t>
      </w:r>
      <w:r w:rsidR="00424383">
        <w:t xml:space="preserve"> the Middle Ages, a diptych’s dual structure </w:t>
      </w:r>
      <w:r w:rsidR="002B10F6">
        <w:t xml:space="preserve">increasingly </w:t>
      </w:r>
      <w:r w:rsidR="00C9006D">
        <w:t>invited the pairing of iconographic Biblical themes</w:t>
      </w:r>
      <w:r w:rsidR="007A2D74">
        <w:t xml:space="preserve">, summarising </w:t>
      </w:r>
      <w:r w:rsidR="002B10F6">
        <w:t>complex</w:t>
      </w:r>
      <w:r w:rsidR="007A2D74">
        <w:t xml:space="preserve"> theological ideas into </w:t>
      </w:r>
      <w:r w:rsidR="002B10F6">
        <w:t xml:space="preserve">a single, easily viewable object. </w:t>
      </w:r>
      <w:r w:rsidR="002D031A">
        <w:t xml:space="preserve">It was less likely to find one singular theme divided over two panels of a diptych than it was to find a combination of two </w:t>
      </w:r>
      <w:r w:rsidR="00DB04CB">
        <w:t>partitioned</w:t>
      </w:r>
      <w:r w:rsidR="002D031A">
        <w:t xml:space="preserve">, yet complementary, themes. </w:t>
      </w:r>
      <w:r w:rsidR="006F20E9">
        <w:t xml:space="preserve">Though it became common to see the Redemption of Christ </w:t>
      </w:r>
      <w:r w:rsidR="00533C03">
        <w:t xml:space="preserve">summarised </w:t>
      </w:r>
      <w:r w:rsidR="006F20E9">
        <w:t xml:space="preserve">in its entirety in a single diptych in </w:t>
      </w:r>
      <w:r w:rsidR="00127830">
        <w:t>many</w:t>
      </w:r>
      <w:r w:rsidR="006F20E9">
        <w:t xml:space="preserve"> </w:t>
      </w:r>
      <w:proofErr w:type="gramStart"/>
      <w:r w:rsidR="006F20E9">
        <w:t>fourteen</w:t>
      </w:r>
      <w:r w:rsidR="001F361C">
        <w:t>th</w:t>
      </w:r>
      <w:proofErr w:type="gramEnd"/>
      <w:r w:rsidR="001F361C">
        <w:t xml:space="preserve"> </w:t>
      </w:r>
      <w:r w:rsidR="006F20E9">
        <w:t xml:space="preserve">and early fifteenth-century diptychs, the </w:t>
      </w:r>
      <w:r w:rsidR="00070678">
        <w:t xml:space="preserve">prominence of specific Biblical </w:t>
      </w:r>
      <w:r w:rsidR="006F20E9">
        <w:t>scenes</w:t>
      </w:r>
      <w:r w:rsidR="00070678">
        <w:t xml:space="preserve"> over others often </w:t>
      </w:r>
      <w:r w:rsidR="006F20E9">
        <w:t>depended</w:t>
      </w:r>
      <w:r w:rsidR="00070678">
        <w:t xml:space="preserve"> on the </w:t>
      </w:r>
      <w:r w:rsidR="00127830">
        <w:t xml:space="preserve">diptych's </w:t>
      </w:r>
      <w:r w:rsidR="00070678">
        <w:t>place of origin.</w:t>
      </w:r>
      <w:r w:rsidR="00127830">
        <w:t xml:space="preserve"> For example, </w:t>
      </w:r>
      <w:r w:rsidR="00070678">
        <w:t xml:space="preserve">combining the </w:t>
      </w:r>
      <w:r w:rsidR="00070678">
        <w:lastRenderedPageBreak/>
        <w:t>Crucifixion with the Coronation of the Virgin</w:t>
      </w:r>
      <w:r w:rsidR="00C10859">
        <w:t xml:space="preserve"> was more common in French Gothic diptychs.</w:t>
      </w:r>
      <w:r w:rsidR="003D10C4">
        <w:rPr>
          <w:rStyle w:val="FootnoteReference"/>
        </w:rPr>
        <w:footnoteReference w:id="3"/>
      </w:r>
    </w:p>
    <w:p w14:paraId="7B71B7FF" w14:textId="77777777" w:rsidR="00D47489" w:rsidRDefault="00D47489" w:rsidP="00D5230C">
      <w:pPr>
        <w:spacing w:line="480" w:lineRule="auto"/>
        <w:jc w:val="both"/>
      </w:pPr>
    </w:p>
    <w:p w14:paraId="7BE1EB43" w14:textId="46332057" w:rsidR="00CD2FA1" w:rsidRDefault="00E43B2A" w:rsidP="00D5230C">
      <w:pPr>
        <w:spacing w:line="480" w:lineRule="auto"/>
        <w:jc w:val="both"/>
        <w:rPr>
          <w:kern w:val="0"/>
          <w14:ligatures w14:val="none"/>
        </w:rPr>
      </w:pPr>
      <w:r>
        <w:t xml:space="preserve">The diptych in question, </w:t>
      </w:r>
      <w:r w:rsidRPr="00D462FC">
        <w:rPr>
          <w:i/>
          <w:iCs/>
        </w:rPr>
        <w:t>Diptych with the Coronation of the Virgin and the Last Judgement</w:t>
      </w:r>
      <w:r>
        <w:rPr>
          <w:i/>
          <w:iCs/>
        </w:rPr>
        <w:t xml:space="preserve">, </w:t>
      </w:r>
      <w:r w:rsidRPr="00E43B2A">
        <w:t xml:space="preserve">follows </w:t>
      </w:r>
      <w:r>
        <w:t xml:space="preserve">the expected conventions of a French Gothic diptych. The left panel of the diptych depicts the Coronation of the Virgin. </w:t>
      </w:r>
      <w:r w:rsidR="000244B0">
        <w:t xml:space="preserve">Pictured sharing a throne, </w:t>
      </w:r>
      <w:r w:rsidR="00F40F67">
        <w:t xml:space="preserve">the Virgin Mary receives </w:t>
      </w:r>
      <w:r w:rsidR="00A93577">
        <w:t>a</w:t>
      </w:r>
      <w:r w:rsidR="00F40F67">
        <w:t xml:space="preserve"> crown from a descending angel as </w:t>
      </w:r>
      <w:r w:rsidR="002123EA">
        <w:t>Christ</w:t>
      </w:r>
      <w:r w:rsidR="00F40F67">
        <w:t xml:space="preserve"> raises his hand “in a gesture of benediction.”</w:t>
      </w:r>
      <w:r w:rsidR="00791015">
        <w:rPr>
          <w:rStyle w:val="FootnoteReference"/>
        </w:rPr>
        <w:footnoteReference w:id="4"/>
      </w:r>
      <w:r w:rsidR="00A93577">
        <w:t xml:space="preserve"> </w:t>
      </w:r>
      <w:r w:rsidR="000C0429">
        <w:t xml:space="preserve">While Mary’s sitting position is frontal, the upper half of her body turns toward Jesus, and her hands are </w:t>
      </w:r>
      <w:r w:rsidR="00C846D1">
        <w:t>joined</w:t>
      </w:r>
      <w:r w:rsidR="000C0429">
        <w:t xml:space="preserve"> in prayer, her head slightly</w:t>
      </w:r>
      <w:r w:rsidR="00C846D1">
        <w:t xml:space="preserve"> lowered</w:t>
      </w:r>
      <w:r w:rsidR="000C0429">
        <w:t xml:space="preserve">. </w:t>
      </w:r>
      <w:r w:rsidR="00997406">
        <w:t>The</w:t>
      </w:r>
      <w:r w:rsidR="00633F3C">
        <w:t xml:space="preserve"> </w:t>
      </w:r>
      <w:r w:rsidR="00997406">
        <w:t>Coronation of the Virgin highlights one of Mary’s renowned characteristics, her humility</w:t>
      </w:r>
      <w:r w:rsidR="007F4379">
        <w:t xml:space="preserve">, and was a highly popular image in the thirteenth and fourteenth centuries. Though certain elements varied, such as the figure crowning Mary, </w:t>
      </w:r>
      <w:r w:rsidR="00533C03">
        <w:rPr>
          <w:kern w:val="0"/>
          <w14:ligatures w14:val="none"/>
        </w:rPr>
        <w:t xml:space="preserve">which </w:t>
      </w:r>
      <w:r w:rsidR="009003FD">
        <w:rPr>
          <w:kern w:val="0"/>
          <w14:ligatures w14:val="none"/>
        </w:rPr>
        <w:t>alternated</w:t>
      </w:r>
      <w:r w:rsidR="00533C03">
        <w:rPr>
          <w:kern w:val="0"/>
          <w14:ligatures w14:val="none"/>
        </w:rPr>
        <w:t xml:space="preserve"> between Christ and one or more angels, this image became </w:t>
      </w:r>
      <w:r w:rsidR="009003FD">
        <w:rPr>
          <w:kern w:val="0"/>
          <w14:ligatures w14:val="none"/>
        </w:rPr>
        <w:t>prevalent</w:t>
      </w:r>
      <w:r w:rsidR="00533C03">
        <w:rPr>
          <w:kern w:val="0"/>
          <w14:ligatures w14:val="none"/>
        </w:rPr>
        <w:t xml:space="preserve"> in diptych imagery.</w:t>
      </w:r>
      <w:r w:rsidR="005D4828">
        <w:rPr>
          <w:kern w:val="0"/>
          <w14:ligatures w14:val="none"/>
        </w:rPr>
        <w:t xml:space="preserve"> </w:t>
      </w:r>
      <w:r w:rsidR="00500F2E">
        <w:rPr>
          <w:kern w:val="0"/>
          <w14:ligatures w14:val="none"/>
        </w:rPr>
        <w:t xml:space="preserve">In later depictions of this scene, Mary’s </w:t>
      </w:r>
      <w:r w:rsidR="001229F4">
        <w:rPr>
          <w:kern w:val="0"/>
          <w14:ligatures w14:val="none"/>
        </w:rPr>
        <w:t xml:space="preserve">growing </w:t>
      </w:r>
      <w:r w:rsidR="00500F2E">
        <w:rPr>
          <w:kern w:val="0"/>
          <w14:ligatures w14:val="none"/>
        </w:rPr>
        <w:t xml:space="preserve">humility is emphasised by showing her on her knees as she receives the crown from Christ. </w:t>
      </w:r>
      <w:r w:rsidR="005D4828">
        <w:rPr>
          <w:kern w:val="0"/>
          <w14:ligatures w14:val="none"/>
        </w:rPr>
        <w:t xml:space="preserve">This scene became the progeny of the Triumph of the Virgin, an earlier image of </w:t>
      </w:r>
      <w:r w:rsidR="008C2C66">
        <w:rPr>
          <w:kern w:val="0"/>
          <w14:ligatures w14:val="none"/>
        </w:rPr>
        <w:t xml:space="preserve">Mary and Christ in which Mary </w:t>
      </w:r>
      <w:r w:rsidR="0058258B">
        <w:rPr>
          <w:kern w:val="0"/>
          <w14:ligatures w14:val="none"/>
        </w:rPr>
        <w:t xml:space="preserve">is already </w:t>
      </w:r>
      <w:r w:rsidR="001B6760">
        <w:rPr>
          <w:kern w:val="0"/>
          <w14:ligatures w14:val="none"/>
        </w:rPr>
        <w:t>crowned</w:t>
      </w:r>
      <w:r w:rsidR="008C2C66">
        <w:rPr>
          <w:kern w:val="0"/>
          <w14:ligatures w14:val="none"/>
        </w:rPr>
        <w:t xml:space="preserve"> as they share the throne. </w:t>
      </w:r>
      <w:r w:rsidR="00655A00">
        <w:rPr>
          <w:kern w:val="0"/>
          <w14:ligatures w14:val="none"/>
        </w:rPr>
        <w:t xml:space="preserve">Although both images, the Coronation and the Triumph, are similar enough to both be accredited as the </w:t>
      </w:r>
      <w:r w:rsidR="00FD42B5">
        <w:rPr>
          <w:kern w:val="0"/>
          <w14:ligatures w14:val="none"/>
        </w:rPr>
        <w:t>‘</w:t>
      </w:r>
      <w:r w:rsidR="00655A00">
        <w:rPr>
          <w:kern w:val="0"/>
          <w14:ligatures w14:val="none"/>
        </w:rPr>
        <w:t>Coronation</w:t>
      </w:r>
      <w:r w:rsidR="00FD42B5">
        <w:rPr>
          <w:kern w:val="0"/>
          <w14:ligatures w14:val="none"/>
        </w:rPr>
        <w:t>’</w:t>
      </w:r>
      <w:r w:rsidR="00655A00">
        <w:rPr>
          <w:kern w:val="0"/>
          <w14:ligatures w14:val="none"/>
        </w:rPr>
        <w:t xml:space="preserve"> by many scholars, </w:t>
      </w:r>
      <w:r w:rsidR="002206ED">
        <w:rPr>
          <w:kern w:val="0"/>
          <w14:ligatures w14:val="none"/>
        </w:rPr>
        <w:t xml:space="preserve">the meaning shifted from </w:t>
      </w:r>
      <w:r w:rsidR="004D3A3A">
        <w:rPr>
          <w:kern w:val="0"/>
          <w14:ligatures w14:val="none"/>
        </w:rPr>
        <w:t>one image to another.</w:t>
      </w:r>
      <w:r w:rsidR="002C4BC9">
        <w:rPr>
          <w:kern w:val="0"/>
          <w14:ligatures w14:val="none"/>
        </w:rPr>
        <w:t xml:space="preserve"> </w:t>
      </w:r>
      <w:r w:rsidR="00992EC1">
        <w:rPr>
          <w:kern w:val="0"/>
          <w14:ligatures w14:val="none"/>
        </w:rPr>
        <w:t>Subtle changes</w:t>
      </w:r>
      <w:r w:rsidR="00825F8A">
        <w:rPr>
          <w:kern w:val="0"/>
          <w14:ligatures w14:val="none"/>
        </w:rPr>
        <w:t xml:space="preserve"> </w:t>
      </w:r>
      <w:r w:rsidR="00992EC1">
        <w:rPr>
          <w:kern w:val="0"/>
          <w14:ligatures w14:val="none"/>
        </w:rPr>
        <w:t xml:space="preserve">contrast with the regal, majestic Mary as she sits </w:t>
      </w:r>
      <w:r w:rsidR="00992EC1">
        <w:rPr>
          <w:kern w:val="0"/>
          <w14:ligatures w14:val="none"/>
        </w:rPr>
        <w:lastRenderedPageBreak/>
        <w:t>upon the throne in the Triumph</w:t>
      </w:r>
      <w:r w:rsidR="00825F8A">
        <w:rPr>
          <w:kern w:val="0"/>
          <w14:ligatures w14:val="none"/>
        </w:rPr>
        <w:t xml:space="preserve">, such as the humble, submissive bending of Mary’s head as </w:t>
      </w:r>
      <w:r w:rsidR="006B5F71">
        <w:rPr>
          <w:kern w:val="0"/>
          <w14:ligatures w14:val="none"/>
        </w:rPr>
        <w:t>Christ places the crown</w:t>
      </w:r>
      <w:r w:rsidR="00825F8A">
        <w:rPr>
          <w:kern w:val="0"/>
          <w14:ligatures w14:val="none"/>
        </w:rPr>
        <w:t xml:space="preserve"> upon her in the Coronation.</w:t>
      </w:r>
      <w:r w:rsidR="007B05B2">
        <w:rPr>
          <w:kern w:val="0"/>
          <w14:ligatures w14:val="none"/>
        </w:rPr>
        <w:t xml:space="preserve"> </w:t>
      </w:r>
      <w:r w:rsidR="00313437">
        <w:rPr>
          <w:kern w:val="0"/>
          <w14:ligatures w14:val="none"/>
        </w:rPr>
        <w:t>Such changes affirm Christ’s authority over Mary</w:t>
      </w:r>
      <w:r w:rsidR="004477B2">
        <w:rPr>
          <w:kern w:val="0"/>
          <w14:ligatures w14:val="none"/>
        </w:rPr>
        <w:t>.</w:t>
      </w:r>
      <w:r w:rsidR="00AC1509">
        <w:rPr>
          <w:rStyle w:val="FootnoteReference"/>
          <w:kern w:val="0"/>
          <w14:ligatures w14:val="none"/>
        </w:rPr>
        <w:footnoteReference w:id="5"/>
      </w:r>
    </w:p>
    <w:p w14:paraId="3C836765" w14:textId="77777777" w:rsidR="00D47489" w:rsidRPr="00D47489" w:rsidRDefault="00D47489" w:rsidP="00D5230C">
      <w:pPr>
        <w:spacing w:line="480" w:lineRule="auto"/>
        <w:jc w:val="both"/>
        <w:rPr>
          <w:kern w:val="0"/>
          <w14:ligatures w14:val="none"/>
        </w:rPr>
      </w:pPr>
    </w:p>
    <w:p w14:paraId="250B60A1" w14:textId="1ECDADD3" w:rsidR="00CD2FA1" w:rsidRDefault="00CD2FA1" w:rsidP="00D5230C">
      <w:pPr>
        <w:spacing w:line="480" w:lineRule="auto"/>
        <w:jc w:val="both"/>
      </w:pPr>
      <w:r>
        <w:t>Beneath th</w:t>
      </w:r>
      <w:r w:rsidR="002939E8">
        <w:t>e scene of the Coronation of the Virgin</w:t>
      </w:r>
      <w:r>
        <w:t xml:space="preserve">, angels guide blessed souls to a ladder, while another angel appears to welcome these souls into Heaven. </w:t>
      </w:r>
      <w:r w:rsidR="00F62B2E">
        <w:t>Many theologians, such as Saint Augustine, Saint Bernard of Clairvaux, and Richard of Saint Laurent, have linked Mary to the Ladder to Heaven. Particularly Saint Bernard, who described Mary as the ladder “</w:t>
      </w:r>
      <w:r w:rsidR="00F62B2E" w:rsidRPr="00F62B2E">
        <w:t>through the steps (of humility) the angels climb and elevate men who rise up.</w:t>
      </w:r>
      <w:r w:rsidR="00F62B2E">
        <w:t>”</w:t>
      </w:r>
      <w:r w:rsidR="00F62B2E">
        <w:rPr>
          <w:rStyle w:val="FootnoteReference"/>
        </w:rPr>
        <w:footnoteReference w:id="6"/>
      </w:r>
      <w:r w:rsidR="0086463B">
        <w:t xml:space="preserve"> </w:t>
      </w:r>
      <w:r w:rsidR="00F6388F">
        <w:t xml:space="preserve">The theme of divine </w:t>
      </w:r>
      <w:r w:rsidR="001224C8">
        <w:t>justice</w:t>
      </w:r>
      <w:r w:rsidR="004114B9">
        <w:t xml:space="preserve"> continues onto the right panel of the diptych. </w:t>
      </w:r>
      <w:r w:rsidR="000242D0">
        <w:t xml:space="preserve">Central to this panel is Christ, revealing the wounds he received during </w:t>
      </w:r>
      <w:r w:rsidR="00200F07">
        <w:t>the</w:t>
      </w:r>
      <w:r w:rsidR="000242D0">
        <w:t xml:space="preserve"> </w:t>
      </w:r>
      <w:r w:rsidR="00200F07">
        <w:t>C</w:t>
      </w:r>
      <w:r w:rsidR="000242D0">
        <w:t xml:space="preserve">rucifixion. </w:t>
      </w:r>
      <w:r w:rsidR="008E1A0A">
        <w:t>Two angels descend from above to present three nails, the lance of Longinus, and the cross</w:t>
      </w:r>
      <w:r w:rsidR="0051354F">
        <w:t xml:space="preserve">. </w:t>
      </w:r>
      <w:r w:rsidR="00D53A3D">
        <w:t xml:space="preserve">These attributes lend themselves to the </w:t>
      </w:r>
      <w:r w:rsidR="000B6FBB">
        <w:t xml:space="preserve">iconographic type of the </w:t>
      </w:r>
      <w:r w:rsidR="00D53A3D">
        <w:t xml:space="preserve">Man of Sorrows with the </w:t>
      </w:r>
      <w:r w:rsidR="004A1D11">
        <w:t xml:space="preserve">Instruments of Passion, the </w:t>
      </w:r>
      <w:r w:rsidR="004A1D11" w:rsidRPr="00FB5A97">
        <w:rPr>
          <w:i/>
          <w:iCs/>
        </w:rPr>
        <w:t>Arma Christi</w:t>
      </w:r>
      <w:r w:rsidR="004A1D11">
        <w:t>.</w:t>
      </w:r>
      <w:r w:rsidR="00F06BDD">
        <w:rPr>
          <w:rStyle w:val="FootnoteReference"/>
        </w:rPr>
        <w:footnoteReference w:id="7"/>
      </w:r>
      <w:r w:rsidR="004A1D11">
        <w:t xml:space="preserve"> </w:t>
      </w:r>
      <w:r w:rsidR="000E3846">
        <w:t xml:space="preserve">Between the early thirteenth and the early sixteenth centuries, the image of the </w:t>
      </w:r>
      <w:r w:rsidR="000E3846" w:rsidRPr="005C17F2">
        <w:rPr>
          <w:i/>
          <w:iCs/>
        </w:rPr>
        <w:t>Man of Sorrows</w:t>
      </w:r>
      <w:r w:rsidR="000E3846">
        <w:t xml:space="preserve"> was one of the most emotive devotional images in Europe</w:t>
      </w:r>
      <w:r w:rsidR="00B731A5">
        <w:t xml:space="preserve">. It encouraged medieval religious piety </w:t>
      </w:r>
      <w:r w:rsidR="00200F07">
        <w:t>by depicting</w:t>
      </w:r>
      <w:r w:rsidR="00B731A5">
        <w:t xml:space="preserve"> Christ’s </w:t>
      </w:r>
      <w:r w:rsidR="00787EF9">
        <w:t>“</w:t>
      </w:r>
      <w:r w:rsidR="00B731A5">
        <w:t>plight and obedience to God’s will</w:t>
      </w:r>
      <w:r w:rsidR="00787EF9">
        <w:t>.”</w:t>
      </w:r>
      <w:r w:rsidR="004D5AB4">
        <w:rPr>
          <w:rStyle w:val="FootnoteReference"/>
        </w:rPr>
        <w:footnoteReference w:id="8"/>
      </w:r>
      <w:r w:rsidR="00D35480">
        <w:t xml:space="preserve"> Christ is s</w:t>
      </w:r>
      <w:r w:rsidR="00200F07">
        <w:t>eated</w:t>
      </w:r>
      <w:r w:rsidR="00D35480">
        <w:t xml:space="preserve"> upon a throne, the crowned Virgin </w:t>
      </w:r>
      <w:r w:rsidR="00D35480">
        <w:lastRenderedPageBreak/>
        <w:t xml:space="preserve">Mary and Saint John the Evangelist </w:t>
      </w:r>
      <w:r w:rsidR="006C009F">
        <w:t xml:space="preserve">kneeling at </w:t>
      </w:r>
      <w:r w:rsidR="00D35480">
        <w:t xml:space="preserve">either side. </w:t>
      </w:r>
      <w:r w:rsidR="00F234E5">
        <w:t xml:space="preserve">In this image, Christ appears as both the sorrowful, suffering Messiah </w:t>
      </w:r>
      <w:r w:rsidR="00DA49AB">
        <w:t xml:space="preserve">and the divine judge of human souls. </w:t>
      </w:r>
      <w:r w:rsidR="00BE50F6">
        <w:t xml:space="preserve">His gaze is set downward at the </w:t>
      </w:r>
      <w:r w:rsidR="00716BAF">
        <w:t xml:space="preserve">scene beneath him, in the lower register of the right panel. A pair of angels blow trumpets to raise the dead from their graves to receive judgment. To the right of this scene is a small alcove in which three damned souls are driven into Hell by demons. </w:t>
      </w:r>
    </w:p>
    <w:p w14:paraId="73682D54" w14:textId="30FDE666" w:rsidR="004C328F" w:rsidRDefault="004C328F" w:rsidP="00D5230C">
      <w:pPr>
        <w:spacing w:line="480" w:lineRule="auto"/>
        <w:jc w:val="both"/>
      </w:pPr>
    </w:p>
    <w:p w14:paraId="61E04D37" w14:textId="4392D248" w:rsidR="00134456" w:rsidRDefault="004C328F" w:rsidP="00134456">
      <w:pPr>
        <w:spacing w:line="480" w:lineRule="auto"/>
        <w:jc w:val="both"/>
      </w:pPr>
      <w:r>
        <w:t xml:space="preserve">This diptych was created with the intention of being an object of the private contemplation and devotion of its </w:t>
      </w:r>
      <w:r w:rsidR="00B95F95">
        <w:t>owner and</w:t>
      </w:r>
      <w:r w:rsidR="00394C40">
        <w:t xml:space="preserve"> is therefore a ‘devotional diptych’.</w:t>
      </w:r>
      <w:r w:rsidR="00B95F95">
        <w:rPr>
          <w:rStyle w:val="FootnoteReference"/>
        </w:rPr>
        <w:footnoteReference w:id="9"/>
      </w:r>
      <w:r w:rsidR="00445A8D">
        <w:t xml:space="preserve"> </w:t>
      </w:r>
      <w:r w:rsidR="000E5ED3">
        <w:t xml:space="preserve">Its depiction of divine judgment likely encouraged its viewers to pray to the Virgin Mary, </w:t>
      </w:r>
      <w:r w:rsidR="009912B4">
        <w:t>asking to join the queue to ascend the Ladder to Heaven when the time came, rather than be driven into Hell by demons.</w:t>
      </w:r>
      <w:r w:rsidR="007D6085">
        <w:rPr>
          <w:rStyle w:val="FootnoteReference"/>
        </w:rPr>
        <w:footnoteReference w:id="10"/>
      </w:r>
      <w:bookmarkEnd w:id="0"/>
      <w:r w:rsidR="00D421EE">
        <w:t xml:space="preserve"> </w:t>
      </w:r>
      <w:r w:rsidR="006E5095">
        <w:t xml:space="preserve">However, </w:t>
      </w:r>
      <w:r w:rsidR="00A94B7A">
        <w:t>while there is a clear distinction between private and public</w:t>
      </w:r>
      <w:r w:rsidR="006E5095">
        <w:t xml:space="preserve"> </w:t>
      </w:r>
      <w:r w:rsidR="00A94B7A">
        <w:t xml:space="preserve">in the modern day, this is not necessarily the case for the late Middle Ages. </w:t>
      </w:r>
      <w:r w:rsidR="003B394D">
        <w:t>In fact, public and private spheres constantly overlapped.</w:t>
      </w:r>
      <w:r w:rsidR="001B63BE">
        <w:t xml:space="preserve"> </w:t>
      </w:r>
      <w:r w:rsidR="00EB3360">
        <w:t xml:space="preserve">Therefore, these devotional diptychs could function within public liturgical contexts, allowing for personal prayer during Mass. </w:t>
      </w:r>
      <w:r w:rsidR="00580286">
        <w:t xml:space="preserve">The presence </w:t>
      </w:r>
      <w:proofErr w:type="gramStart"/>
      <w:r w:rsidR="00580286">
        <w:t xml:space="preserve">of </w:t>
      </w:r>
      <w:r w:rsidR="001B63BE">
        <w:t xml:space="preserve"> “</w:t>
      </w:r>
      <w:proofErr w:type="gramEnd"/>
      <w:r w:rsidR="001B63BE">
        <w:t xml:space="preserve">accessories of public worship, the altar, the Missal, and the </w:t>
      </w:r>
      <w:proofErr w:type="spellStart"/>
      <w:r w:rsidR="001B63BE">
        <w:t>retable</w:t>
      </w:r>
      <w:proofErr w:type="spellEnd"/>
      <w:r w:rsidR="001B63BE">
        <w:t>”</w:t>
      </w:r>
      <w:r w:rsidR="00F40E2A">
        <w:rPr>
          <w:rStyle w:val="FootnoteReference"/>
        </w:rPr>
        <w:footnoteReference w:id="11"/>
      </w:r>
      <w:r w:rsidR="001B63BE">
        <w:t xml:space="preserve"> </w:t>
      </w:r>
      <w:r w:rsidR="00580286">
        <w:t xml:space="preserve">alongside objects of personal devotion implies that devotion itself was not necessarily private, but rather personal within a public setting. </w:t>
      </w:r>
      <w:r w:rsidR="00134456">
        <w:t xml:space="preserve">This allowed for these </w:t>
      </w:r>
      <w:r w:rsidR="00134456">
        <w:lastRenderedPageBreak/>
        <w:t xml:space="preserve">diptychs to be temporarily displayed and easily transportable between functional contexts. </w:t>
      </w:r>
    </w:p>
    <w:p w14:paraId="44F5CDBA" w14:textId="77777777" w:rsidR="00202F38" w:rsidRDefault="00202F38" w:rsidP="00134456">
      <w:pPr>
        <w:spacing w:line="480" w:lineRule="auto"/>
        <w:jc w:val="both"/>
      </w:pPr>
    </w:p>
    <w:p w14:paraId="6ADC7321" w14:textId="42EC9C62" w:rsidR="00B27614" w:rsidRDefault="00202F38" w:rsidP="00D5230C">
      <w:pPr>
        <w:spacing w:line="480" w:lineRule="auto"/>
        <w:jc w:val="both"/>
      </w:pPr>
      <w:r>
        <w:t>These devotional diptychs were, in most instances, gender</w:t>
      </w:r>
      <w:r w:rsidR="00B27614">
        <w:t>-</w:t>
      </w:r>
      <w:r>
        <w:t xml:space="preserve">specific: women owned personal prayer books, </w:t>
      </w:r>
      <w:r w:rsidR="00B27614">
        <w:t>whereas men owned devotional diptychs</w:t>
      </w:r>
      <w:r>
        <w:t xml:space="preserve">. </w:t>
      </w:r>
      <w:r w:rsidR="007B2878">
        <w:t>Such men would be heads of a family, or officials, either civic or religious.</w:t>
      </w:r>
      <w:r w:rsidR="004B7435">
        <w:rPr>
          <w:rStyle w:val="FootnoteReference"/>
        </w:rPr>
        <w:footnoteReference w:id="12"/>
      </w:r>
      <w:r w:rsidR="00B27614">
        <w:t xml:space="preserve"> The material of such diptychs further emphasises this: ivory. </w:t>
      </w:r>
      <w:r w:rsidR="001B6760">
        <w:t>In</w:t>
      </w:r>
      <w:r w:rsidR="00B27614">
        <w:t xml:space="preserve"> mid-thirteenth-century France</w:t>
      </w:r>
      <w:r w:rsidR="001B6760">
        <w:t>,</w:t>
      </w:r>
      <w:r w:rsidR="00B27614">
        <w:t xml:space="preserve"> an increase</w:t>
      </w:r>
      <w:r w:rsidR="001B6760">
        <w:t xml:space="preserve"> in the</w:t>
      </w:r>
      <w:r w:rsidR="00B27614">
        <w:t xml:space="preserve"> availability of ivory </w:t>
      </w:r>
      <w:r w:rsidR="001B6760">
        <w:t xml:space="preserve">was observed </w:t>
      </w:r>
      <w:r w:rsidR="00B27614">
        <w:t xml:space="preserve">due to </w:t>
      </w:r>
      <w:r w:rsidR="001B6760">
        <w:t>changes</w:t>
      </w:r>
      <w:r w:rsidR="00B27614">
        <w:t xml:space="preserve"> in trade routes. Consequently, elephant husks from the Swahili coast of Africa arrived in Europe. </w:t>
      </w:r>
      <w:r w:rsidR="00A066C7">
        <w:t>This journey</w:t>
      </w:r>
      <w:r w:rsidR="00306CE8">
        <w:t>, which traversed two seas and two oceans,</w:t>
      </w:r>
      <w:r w:rsidR="00A066C7">
        <w:t xml:space="preserve"> was not easy and was often very long, which was reflected in the price and prestige of ivory. </w:t>
      </w:r>
      <w:r w:rsidR="00DE3311">
        <w:t>The bible considered</w:t>
      </w:r>
      <w:r w:rsidR="008D5E08">
        <w:t xml:space="preserve"> ivory a</w:t>
      </w:r>
      <w:r w:rsidR="00DE3311">
        <w:t>s a</w:t>
      </w:r>
      <w:r w:rsidR="008D5E08">
        <w:t xml:space="preserve"> luxurious material of foreign glory, enhancing its appeal. </w:t>
      </w:r>
      <w:r w:rsidR="00257E4D">
        <w:t xml:space="preserve">The rarity of ivory in the twelfth century also likely contributed to </w:t>
      </w:r>
      <w:r w:rsidR="00DE3311">
        <w:t xml:space="preserve">its appeal. </w:t>
      </w:r>
      <w:r w:rsidR="0039507C">
        <w:t xml:space="preserve">To create an ivory diptych, the patron would purchase the ivory and then, with a general </w:t>
      </w:r>
      <w:r w:rsidR="00EE34A1">
        <w:t>iconographic or thematic concept in mind</w:t>
      </w:r>
      <w:r w:rsidR="0039507C">
        <w:t>, would commission an artisan to complete the work. Such an artisan was not always a sculptor, but a skilful artist nonetheless, such as an illuminator.</w:t>
      </w:r>
      <w:r w:rsidR="00A1682B">
        <w:rPr>
          <w:rStyle w:val="FootnoteReference"/>
        </w:rPr>
        <w:footnoteReference w:id="13"/>
      </w:r>
    </w:p>
    <w:p w14:paraId="0C6CB9D7" w14:textId="77777777" w:rsidR="00264563" w:rsidRDefault="00264563" w:rsidP="00D5230C">
      <w:pPr>
        <w:spacing w:line="480" w:lineRule="auto"/>
        <w:jc w:val="both"/>
      </w:pPr>
    </w:p>
    <w:p w14:paraId="0F967D92" w14:textId="3418BA09" w:rsidR="00B27614" w:rsidRDefault="00AD4C60" w:rsidP="00D5230C">
      <w:pPr>
        <w:spacing w:line="480" w:lineRule="auto"/>
        <w:jc w:val="both"/>
      </w:pPr>
      <w:r>
        <w:t xml:space="preserve">Art historian </w:t>
      </w:r>
      <w:r w:rsidR="007A68BE">
        <w:t>Hans Belting argue</w:t>
      </w:r>
      <w:r>
        <w:t>s</w:t>
      </w:r>
      <w:r w:rsidR="00772738">
        <w:t xml:space="preserve">, in his book </w:t>
      </w:r>
      <w:r w:rsidR="00772738" w:rsidRPr="00772738">
        <w:rPr>
          <w:i/>
          <w:iCs/>
        </w:rPr>
        <w:t>Likeness and Presence</w:t>
      </w:r>
      <w:r w:rsidR="00772738">
        <w:t>,</w:t>
      </w:r>
      <w:r w:rsidR="007A68BE">
        <w:t xml:space="preserve"> that the</w:t>
      </w:r>
      <w:r w:rsidR="007B6CA6">
        <w:t xml:space="preserve"> progression from religious images to modern art was not linear</w:t>
      </w:r>
      <w:r w:rsidR="007A68BE">
        <w:t xml:space="preserve"> and that i</w:t>
      </w:r>
      <w:r w:rsidR="007B6CA6">
        <w:t xml:space="preserve">mages from the Middle Ages </w:t>
      </w:r>
      <w:r w:rsidR="007B6CA6">
        <w:lastRenderedPageBreak/>
        <w:t xml:space="preserve">are not ‘art’ in the sense that images are ‘art’ </w:t>
      </w:r>
      <w:r w:rsidR="007A68BE">
        <w:t>to</w:t>
      </w:r>
      <w:r w:rsidR="007B6CA6">
        <w:t>day.</w:t>
      </w:r>
      <w:r w:rsidR="00182B60">
        <w:rPr>
          <w:rStyle w:val="FootnoteReference"/>
        </w:rPr>
        <w:footnoteReference w:id="14"/>
      </w:r>
      <w:r w:rsidR="007B6CA6">
        <w:t xml:space="preserve"> </w:t>
      </w:r>
      <w:r w:rsidR="00FC6E5A">
        <w:t xml:space="preserve">In fact, the emergence of private devotional images marked a significant shift in visual culture as we know it today. </w:t>
      </w:r>
      <w:r w:rsidR="006100B9">
        <w:t xml:space="preserve">Images were removed from collective, church-controlled contexts and instead used in private settings, at home and in personal prayer. Such images were made for a private gaze, which prompted a new aesthetic of imagery, one that was more intimate, detailed, and emotionally engaging. While this began with Books of Hours, personal prayer books that included imagery and were designed for individual users, it continued with devotional pictures, where owners would often insert themselves into the image. Such images would reflect personal identity and piety. </w:t>
      </w:r>
      <w:r w:rsidR="00EE34A1">
        <w:rPr>
          <w:kern w:val="0"/>
          <w14:ligatures w14:val="none"/>
        </w:rPr>
        <w:t>Belting</w:t>
      </w:r>
      <w:r w:rsidR="00C623B5">
        <w:rPr>
          <w:kern w:val="0"/>
          <w14:ligatures w14:val="none"/>
        </w:rPr>
        <w:t>,</w:t>
      </w:r>
      <w:r w:rsidR="00EE34A1">
        <w:rPr>
          <w:kern w:val="0"/>
          <w14:ligatures w14:val="none"/>
        </w:rPr>
        <w:t xml:space="preserve"> therefore</w:t>
      </w:r>
      <w:r w:rsidR="00C623B5">
        <w:rPr>
          <w:kern w:val="0"/>
          <w14:ligatures w14:val="none"/>
        </w:rPr>
        <w:t xml:space="preserve">, </w:t>
      </w:r>
      <w:r w:rsidR="00EE34A1">
        <w:rPr>
          <w:kern w:val="0"/>
          <w14:ligatures w14:val="none"/>
        </w:rPr>
        <w:t>suggests that private ownership of religious images fostered a new aesthetic sensibility that</w:t>
      </w:r>
      <w:r w:rsidR="006100B9">
        <w:t xml:space="preserve"> </w:t>
      </w:r>
      <w:r w:rsidR="00081BF6">
        <w:t>contributed to</w:t>
      </w:r>
      <w:r w:rsidR="006100B9">
        <w:t xml:space="preserve"> later ideas about art.</w:t>
      </w:r>
      <w:r w:rsidR="00642340">
        <w:rPr>
          <w:rStyle w:val="FootnoteReference"/>
        </w:rPr>
        <w:footnoteReference w:id="15"/>
      </w:r>
    </w:p>
    <w:p w14:paraId="48796729" w14:textId="03B3F677" w:rsidR="00B50364" w:rsidRDefault="00B50364" w:rsidP="00D5230C">
      <w:pPr>
        <w:spacing w:line="480" w:lineRule="auto"/>
        <w:jc w:val="both"/>
      </w:pPr>
    </w:p>
    <w:p w14:paraId="4CCC7A41" w14:textId="082CCF2C" w:rsidR="00F6729B" w:rsidRDefault="00F6729B" w:rsidP="00D5230C">
      <w:pPr>
        <w:spacing w:line="480" w:lineRule="auto"/>
        <w:jc w:val="both"/>
      </w:pPr>
      <w:r>
        <w:t xml:space="preserve">Belting’s </w:t>
      </w:r>
      <w:r w:rsidR="00772738" w:rsidRPr="00772738">
        <w:rPr>
          <w:i/>
          <w:iCs/>
        </w:rPr>
        <w:t>Likeness and Presence</w:t>
      </w:r>
      <w:r w:rsidR="00772738">
        <w:t xml:space="preserve">, however, was met with criticism from fellow scholars, who claimed </w:t>
      </w:r>
      <w:r w:rsidR="007223CF">
        <w:t>that,</w:t>
      </w:r>
      <w:r w:rsidR="00772738">
        <w:t xml:space="preserve"> </w:t>
      </w:r>
      <w:r w:rsidR="00C623B5">
        <w:t>by implying</w:t>
      </w:r>
      <w:r w:rsidR="00772738">
        <w:t xml:space="preserve"> a direct progression from religious imagery to art</w:t>
      </w:r>
      <w:r w:rsidR="007223CF">
        <w:t>, his thesis was too teleological and neat</w:t>
      </w:r>
      <w:r w:rsidR="00772738">
        <w:t>.</w:t>
      </w:r>
      <w:r w:rsidR="004347D2">
        <w:t xml:space="preserve"> In a review for </w:t>
      </w:r>
      <w:r w:rsidR="004347D2" w:rsidRPr="004347D2">
        <w:rPr>
          <w:i/>
          <w:iCs/>
        </w:rPr>
        <w:t>The Medieval Review</w:t>
      </w:r>
      <w:r w:rsidR="004347D2">
        <w:rPr>
          <w:i/>
          <w:iCs/>
        </w:rPr>
        <w:t>,</w:t>
      </w:r>
      <w:r w:rsidR="004347D2" w:rsidRPr="004347D2">
        <w:t xml:space="preserve"> Jaroslav Folda and </w:t>
      </w:r>
      <w:r w:rsidR="004347D2">
        <w:t xml:space="preserve">Jo Wetter </w:t>
      </w:r>
      <w:r w:rsidR="008A6598">
        <w:t>note that</w:t>
      </w:r>
      <w:r w:rsidR="00344657">
        <w:t xml:space="preserve"> Belting</w:t>
      </w:r>
      <w:r w:rsidR="00390C1C">
        <w:t>’s framework, though useful,</w:t>
      </w:r>
      <w:r w:rsidR="00344657">
        <w:t xml:space="preserve"> privileges cult-images</w:t>
      </w:r>
      <w:r w:rsidR="006A1B7F">
        <w:t xml:space="preserve"> understood as ‘living presences’, such as miraculous icons or </w:t>
      </w:r>
      <w:r w:rsidR="006A1B7F" w:rsidRPr="006A1B7F">
        <w:rPr>
          <w:i/>
          <w:iCs/>
        </w:rPr>
        <w:t>Acheiropoieta</w:t>
      </w:r>
      <w:r w:rsidR="006A1B7F">
        <w:rPr>
          <w:i/>
          <w:iCs/>
        </w:rPr>
        <w:t xml:space="preserve">, </w:t>
      </w:r>
      <w:r w:rsidR="00E20488">
        <w:t>at the expense of</w:t>
      </w:r>
      <w:r w:rsidR="006A1B7F">
        <w:t xml:space="preserve"> narrative and devotional imagery</w:t>
      </w:r>
      <w:r w:rsidR="00390C1C">
        <w:t>, such as diptychs</w:t>
      </w:r>
      <w:r w:rsidR="006A1B7F">
        <w:t>.</w:t>
      </w:r>
      <w:r w:rsidR="004347D2">
        <w:rPr>
          <w:rStyle w:val="FootnoteReference"/>
        </w:rPr>
        <w:footnoteReference w:id="16"/>
      </w:r>
      <w:r w:rsidR="00390C1C">
        <w:t xml:space="preserve"> </w:t>
      </w:r>
      <w:r w:rsidR="009B5077">
        <w:t>Designed for personal prayer, diptychs require an approach that accounts for intimacy and narrative engagement.</w:t>
      </w:r>
    </w:p>
    <w:p w14:paraId="1DE8B575" w14:textId="77777777" w:rsidR="0059564A" w:rsidRDefault="0059564A" w:rsidP="00D5230C">
      <w:pPr>
        <w:spacing w:line="480" w:lineRule="auto"/>
        <w:jc w:val="both"/>
      </w:pPr>
    </w:p>
    <w:p w14:paraId="5BA629F4" w14:textId="77777777" w:rsidR="00CA2E99" w:rsidRDefault="00CA2E99" w:rsidP="00CA2E99">
      <w:pPr>
        <w:spacing w:line="480" w:lineRule="auto"/>
        <w:jc w:val="both"/>
      </w:pPr>
      <w:r>
        <w:t xml:space="preserve">In conclusion, the late-thirteenth-century </w:t>
      </w:r>
      <w:r w:rsidRPr="00D462FC">
        <w:rPr>
          <w:i/>
          <w:iCs/>
        </w:rPr>
        <w:t>Diptych with the Coronation of the Virgin and the Last Judgement</w:t>
      </w:r>
      <w:r>
        <w:t xml:space="preserve"> demonstrates how medieval devotional objects combined image, material, and use to communicate complex theological ideas. The meaning of the diptych emerges through its use. Its dual narrative structure allowed viewers to meditate on multiple interconnected theological ideas at once. For example, the diptych in question invokes the Virgin Mary as the intercessor for human souls, to whom one prays for admittance into Heaven. Thus, the diptych exemplifies medieval visual culture, where images were activated through intimate engagement rather than passive observation.  Positioned within the context of Gothic ivory carving in the thirteenth century, this diptych illustrates the role that private and elite ownership played in shaping the production, form, and aesthetics of devotional images, from public liturgical images to private, visual culture. This diptych offers insight into how medieval people experienced images: as Hans Belting argues, the diptych can be understood as a tool through which individuals encountered images physically, emotionally, and intellectually. Ultimately, the study of such objects highlights the central role that visual culture plays in understanding the spiritual, social, and aesthetic lives of medieval people. </w:t>
      </w:r>
    </w:p>
    <w:p w14:paraId="203E4F68" w14:textId="77777777" w:rsidR="008732D4" w:rsidRPr="004347D2" w:rsidRDefault="008732D4" w:rsidP="00D5230C">
      <w:pPr>
        <w:spacing w:line="480" w:lineRule="auto"/>
        <w:jc w:val="both"/>
      </w:pPr>
    </w:p>
    <w:p w14:paraId="2562147C" w14:textId="77777777" w:rsidR="00B50364" w:rsidRDefault="00B50364" w:rsidP="00D5230C">
      <w:pPr>
        <w:spacing w:line="480" w:lineRule="auto"/>
        <w:jc w:val="both"/>
      </w:pPr>
    </w:p>
    <w:p w14:paraId="7F3233B2" w14:textId="77777777" w:rsidR="000E57ED" w:rsidRDefault="000E57ED" w:rsidP="00D5230C">
      <w:pPr>
        <w:spacing w:line="480" w:lineRule="auto"/>
        <w:jc w:val="both"/>
      </w:pPr>
    </w:p>
    <w:p w14:paraId="74AC1BB2" w14:textId="77777777" w:rsidR="0045427E" w:rsidRDefault="0045427E" w:rsidP="00D5230C">
      <w:pPr>
        <w:spacing w:line="480" w:lineRule="auto"/>
        <w:jc w:val="both"/>
      </w:pPr>
    </w:p>
    <w:p w14:paraId="640EA402" w14:textId="7C76E64C" w:rsidR="007A51C4" w:rsidRPr="007A51C4" w:rsidRDefault="000E57ED" w:rsidP="0045427E">
      <w:pPr>
        <w:spacing w:line="480" w:lineRule="auto"/>
        <w:jc w:val="center"/>
        <w:rPr>
          <w:i/>
          <w:iCs/>
          <w:sz w:val="21"/>
          <w:szCs w:val="21"/>
          <w:u w:val="single"/>
        </w:rPr>
      </w:pPr>
      <w:r w:rsidRPr="000E57ED">
        <w:rPr>
          <w:i/>
          <w:iCs/>
          <w:sz w:val="21"/>
          <w:szCs w:val="21"/>
          <w:u w:val="single"/>
        </w:rPr>
        <w:t>Bibliography</w:t>
      </w:r>
    </w:p>
    <w:p w14:paraId="6B8A0A50" w14:textId="264FA920" w:rsidR="00E26761" w:rsidRPr="00E26761" w:rsidRDefault="00E26761" w:rsidP="00E26761">
      <w:pPr>
        <w:spacing w:line="240" w:lineRule="auto"/>
        <w:rPr>
          <w:sz w:val="21"/>
          <w:szCs w:val="21"/>
        </w:rPr>
      </w:pPr>
      <w:r w:rsidRPr="00E26761">
        <w:rPr>
          <w:sz w:val="21"/>
          <w:szCs w:val="21"/>
        </w:rPr>
        <w:t>Anonymous, </w:t>
      </w:r>
      <w:r w:rsidRPr="00E26761">
        <w:rPr>
          <w:i/>
          <w:iCs/>
          <w:sz w:val="21"/>
          <w:szCs w:val="21"/>
        </w:rPr>
        <w:t>Diptych with the Coronation of the Virgin and the Last Judgment</w:t>
      </w:r>
      <w:r w:rsidR="001879B2">
        <w:rPr>
          <w:i/>
          <w:iCs/>
          <w:sz w:val="21"/>
          <w:szCs w:val="21"/>
        </w:rPr>
        <w:t xml:space="preserve">, </w:t>
      </w:r>
      <w:r w:rsidR="001879B2" w:rsidRPr="001879B2">
        <w:rPr>
          <w:sz w:val="21"/>
          <w:szCs w:val="21"/>
        </w:rPr>
        <w:t>1260-70, from</w:t>
      </w:r>
      <w:r w:rsidR="001879B2">
        <w:rPr>
          <w:i/>
          <w:iCs/>
          <w:sz w:val="21"/>
          <w:szCs w:val="21"/>
        </w:rPr>
        <w:t xml:space="preserve"> </w:t>
      </w:r>
      <w:r w:rsidRPr="00E26761">
        <w:rPr>
          <w:sz w:val="21"/>
          <w:szCs w:val="21"/>
        </w:rPr>
        <w:t xml:space="preserve"> &lt;</w:t>
      </w:r>
      <w:hyperlink r:id="rId9" w:tgtFrame="_blank" w:history="1">
        <w:r w:rsidRPr="00E26761">
          <w:rPr>
            <w:rStyle w:val="Hyperlink"/>
            <w:sz w:val="21"/>
            <w:szCs w:val="21"/>
          </w:rPr>
          <w:t>https://www.metmuseum.org/art/collection/search/471975</w:t>
        </w:r>
      </w:hyperlink>
      <w:r w:rsidRPr="00E26761">
        <w:rPr>
          <w:sz w:val="21"/>
          <w:szCs w:val="21"/>
        </w:rPr>
        <w:t>&gt; [accessed 29 December 2025]</w:t>
      </w:r>
    </w:p>
    <w:p w14:paraId="29BA9227" w14:textId="77777777" w:rsidR="00E26761" w:rsidRPr="00E26761" w:rsidRDefault="00E26761" w:rsidP="00E26761">
      <w:pPr>
        <w:spacing w:line="240" w:lineRule="auto"/>
        <w:rPr>
          <w:sz w:val="21"/>
          <w:szCs w:val="21"/>
        </w:rPr>
      </w:pPr>
      <w:r w:rsidRPr="00E26761">
        <w:rPr>
          <w:sz w:val="21"/>
          <w:szCs w:val="21"/>
        </w:rPr>
        <w:t>Belting, Hans, 'Iconic Presence. Images in Religious Traditions', </w:t>
      </w:r>
      <w:r w:rsidRPr="00E26761">
        <w:rPr>
          <w:i/>
          <w:iCs/>
          <w:sz w:val="21"/>
          <w:szCs w:val="21"/>
        </w:rPr>
        <w:t>Material Religion, </w:t>
      </w:r>
      <w:r w:rsidRPr="00E26761">
        <w:rPr>
          <w:sz w:val="21"/>
          <w:szCs w:val="21"/>
        </w:rPr>
        <w:t>12 (2016), 235–237 &lt;</w:t>
      </w:r>
      <w:hyperlink r:id="rId10" w:tgtFrame="_blank" w:history="1">
        <w:r w:rsidRPr="00E26761">
          <w:rPr>
            <w:rStyle w:val="Hyperlink"/>
            <w:sz w:val="21"/>
            <w:szCs w:val="21"/>
          </w:rPr>
          <w:t>https://doi.org/10.1080/17432200.2016.1172769</w:t>
        </w:r>
      </w:hyperlink>
      <w:r w:rsidRPr="00E26761">
        <w:rPr>
          <w:sz w:val="21"/>
          <w:szCs w:val="21"/>
        </w:rPr>
        <w:t>&gt; [accessed 4 January 2026]</w:t>
      </w:r>
    </w:p>
    <w:p w14:paraId="7585BC01" w14:textId="77777777" w:rsidR="00E26761" w:rsidRPr="00E26761" w:rsidRDefault="00E26761" w:rsidP="00E26761">
      <w:pPr>
        <w:spacing w:line="240" w:lineRule="auto"/>
        <w:rPr>
          <w:sz w:val="21"/>
          <w:szCs w:val="21"/>
        </w:rPr>
      </w:pPr>
      <w:r w:rsidRPr="00E26761">
        <w:rPr>
          <w:sz w:val="21"/>
          <w:szCs w:val="21"/>
        </w:rPr>
        <w:t>---</w:t>
      </w:r>
      <w:r w:rsidRPr="00E26761">
        <w:rPr>
          <w:i/>
          <w:iCs/>
          <w:sz w:val="21"/>
          <w:szCs w:val="21"/>
        </w:rPr>
        <w:t>Likeness and Presence: A History of the Image before the Era of Art</w:t>
      </w:r>
      <w:r w:rsidRPr="00E26761">
        <w:rPr>
          <w:sz w:val="21"/>
          <w:szCs w:val="21"/>
        </w:rPr>
        <w:t> (Chicago: University of Chicago Press, 1994) &lt;</w:t>
      </w:r>
      <w:hyperlink r:id="rId11" w:tgtFrame="_blank" w:history="1">
        <w:r w:rsidRPr="00E26761">
          <w:rPr>
            <w:rStyle w:val="Hyperlink"/>
            <w:sz w:val="21"/>
            <w:szCs w:val="21"/>
          </w:rPr>
          <w:t>https://books.google.co.uk/books/about/Likeness_and_Presence.html?id=kuWm7jVWFiEC&amp;redir_esc=y</w:t>
        </w:r>
      </w:hyperlink>
      <w:r w:rsidRPr="00E26761">
        <w:rPr>
          <w:sz w:val="21"/>
          <w:szCs w:val="21"/>
        </w:rPr>
        <w:t>&gt; [accessed 5 January 2026]</w:t>
      </w:r>
    </w:p>
    <w:p w14:paraId="268A6A66" w14:textId="77777777" w:rsidR="00E26761" w:rsidRPr="00E26761" w:rsidRDefault="00E26761" w:rsidP="00E26761">
      <w:pPr>
        <w:spacing w:line="240" w:lineRule="auto"/>
        <w:rPr>
          <w:sz w:val="21"/>
          <w:szCs w:val="21"/>
        </w:rPr>
      </w:pPr>
      <w:r w:rsidRPr="00E26761">
        <w:rPr>
          <w:sz w:val="21"/>
          <w:szCs w:val="21"/>
        </w:rPr>
        <w:t>Boehm, Barbara D., 'The Age of Saint Louis (1226–1270)', </w:t>
      </w:r>
      <w:r w:rsidRPr="00E26761">
        <w:rPr>
          <w:i/>
          <w:iCs/>
          <w:sz w:val="21"/>
          <w:szCs w:val="21"/>
        </w:rPr>
        <w:t>Heilbrunn Timeline of Art History, </w:t>
      </w:r>
      <w:r w:rsidRPr="00E26761">
        <w:rPr>
          <w:sz w:val="21"/>
          <w:szCs w:val="21"/>
        </w:rPr>
        <w:t>(2001) &lt;</w:t>
      </w:r>
      <w:hyperlink r:id="rId12" w:tgtFrame="_blank" w:history="1">
        <w:r w:rsidRPr="00E26761">
          <w:rPr>
            <w:rStyle w:val="Hyperlink"/>
            <w:sz w:val="21"/>
            <w:szCs w:val="21"/>
          </w:rPr>
          <w:t>https://www.metmuseum.org/essays/the-age-of-saint-louis-1226-1270</w:t>
        </w:r>
      </w:hyperlink>
      <w:r w:rsidRPr="00E26761">
        <w:rPr>
          <w:sz w:val="21"/>
          <w:szCs w:val="21"/>
        </w:rPr>
        <w:t>&gt; [accessed 30 December 2025]</w:t>
      </w:r>
    </w:p>
    <w:p w14:paraId="2720A472" w14:textId="77777777" w:rsidR="00E26761" w:rsidRPr="00E26761" w:rsidRDefault="00E26761" w:rsidP="00E26761">
      <w:pPr>
        <w:spacing w:line="240" w:lineRule="auto"/>
        <w:rPr>
          <w:sz w:val="21"/>
          <w:szCs w:val="21"/>
        </w:rPr>
      </w:pPr>
      <w:r w:rsidRPr="00E26761">
        <w:rPr>
          <w:sz w:val="21"/>
          <w:szCs w:val="21"/>
        </w:rPr>
        <w:t>Britannica Editors, 'Diptych', </w:t>
      </w:r>
      <w:proofErr w:type="spellStart"/>
      <w:r w:rsidRPr="00E26761">
        <w:rPr>
          <w:i/>
          <w:iCs/>
          <w:sz w:val="21"/>
          <w:szCs w:val="21"/>
        </w:rPr>
        <w:t>Encyclopedia</w:t>
      </w:r>
      <w:proofErr w:type="spellEnd"/>
      <w:r w:rsidRPr="00E26761">
        <w:rPr>
          <w:i/>
          <w:iCs/>
          <w:sz w:val="21"/>
          <w:szCs w:val="21"/>
        </w:rPr>
        <w:t xml:space="preserve"> Britannica, </w:t>
      </w:r>
      <w:r w:rsidRPr="00E26761">
        <w:rPr>
          <w:sz w:val="21"/>
          <w:szCs w:val="21"/>
        </w:rPr>
        <w:t>(2017) &lt;</w:t>
      </w:r>
      <w:hyperlink r:id="rId13" w:tgtFrame="_blank" w:history="1">
        <w:r w:rsidRPr="00E26761">
          <w:rPr>
            <w:rStyle w:val="Hyperlink"/>
            <w:sz w:val="21"/>
            <w:szCs w:val="21"/>
          </w:rPr>
          <w:t>https://www.britannica.com/topic/diptych</w:t>
        </w:r>
      </w:hyperlink>
      <w:r w:rsidRPr="00E26761">
        <w:rPr>
          <w:sz w:val="21"/>
          <w:szCs w:val="21"/>
        </w:rPr>
        <w:t>&gt; [accessed 30 December 2025]</w:t>
      </w:r>
    </w:p>
    <w:p w14:paraId="2A5177A4" w14:textId="77777777" w:rsidR="00E26761" w:rsidRPr="00E26761" w:rsidRDefault="00E26761" w:rsidP="00E26761">
      <w:pPr>
        <w:spacing w:line="240" w:lineRule="auto"/>
        <w:rPr>
          <w:sz w:val="21"/>
          <w:szCs w:val="21"/>
        </w:rPr>
      </w:pPr>
      <w:r w:rsidRPr="00E26761">
        <w:rPr>
          <w:sz w:val="21"/>
          <w:szCs w:val="21"/>
        </w:rPr>
        <w:t>Chapuis, Julien, 'Gothic Art.', </w:t>
      </w:r>
      <w:r w:rsidRPr="00E26761">
        <w:rPr>
          <w:i/>
          <w:iCs/>
          <w:sz w:val="21"/>
          <w:szCs w:val="21"/>
        </w:rPr>
        <w:t>Heilbrunn Timeline of Art History, </w:t>
      </w:r>
      <w:r w:rsidRPr="00E26761">
        <w:rPr>
          <w:sz w:val="21"/>
          <w:szCs w:val="21"/>
        </w:rPr>
        <w:t>(2002) &lt;</w:t>
      </w:r>
      <w:hyperlink r:id="rId14" w:tgtFrame="_blank" w:history="1">
        <w:r w:rsidRPr="00E26761">
          <w:rPr>
            <w:rStyle w:val="Hyperlink"/>
            <w:sz w:val="21"/>
            <w:szCs w:val="21"/>
          </w:rPr>
          <w:t>https://www.metmuseum.org/essays/gothic-art</w:t>
        </w:r>
      </w:hyperlink>
      <w:r w:rsidRPr="00E26761">
        <w:rPr>
          <w:sz w:val="21"/>
          <w:szCs w:val="21"/>
        </w:rPr>
        <w:t>&gt; [accessed 30 December 2025]</w:t>
      </w:r>
    </w:p>
    <w:p w14:paraId="35B4D568" w14:textId="09AF7A5F" w:rsidR="00E26761" w:rsidRPr="0045427E" w:rsidRDefault="00E26761" w:rsidP="0045427E">
      <w:pPr>
        <w:spacing w:line="240" w:lineRule="auto"/>
        <w:rPr>
          <w:sz w:val="21"/>
          <w:szCs w:val="21"/>
        </w:rPr>
      </w:pPr>
      <w:r w:rsidRPr="00E26761">
        <w:rPr>
          <w:sz w:val="21"/>
          <w:szCs w:val="21"/>
        </w:rPr>
        <w:t>Chilvers, Ian, </w:t>
      </w:r>
      <w:r w:rsidRPr="00E26761">
        <w:rPr>
          <w:i/>
          <w:iCs/>
          <w:sz w:val="21"/>
          <w:szCs w:val="21"/>
        </w:rPr>
        <w:t>The Oxford Dictionary of Art</w:t>
      </w:r>
      <w:r w:rsidRPr="00E26761">
        <w:rPr>
          <w:sz w:val="21"/>
          <w:szCs w:val="21"/>
        </w:rPr>
        <w:t xml:space="preserve">, 3rd ed. </w:t>
      </w:r>
      <w:proofErr w:type="spellStart"/>
      <w:r w:rsidRPr="00E26761">
        <w:rPr>
          <w:sz w:val="21"/>
          <w:szCs w:val="21"/>
        </w:rPr>
        <w:t>edn</w:t>
      </w:r>
      <w:proofErr w:type="spellEnd"/>
      <w:r w:rsidRPr="00E26761">
        <w:rPr>
          <w:sz w:val="21"/>
          <w:szCs w:val="21"/>
        </w:rPr>
        <w:t xml:space="preserve"> (New York: Oxford University Press, 2004) &lt;</w:t>
      </w:r>
      <w:hyperlink r:id="rId15" w:tgtFrame="_blank" w:history="1">
        <w:r w:rsidRPr="00E26761">
          <w:rPr>
            <w:rStyle w:val="Hyperlink"/>
            <w:sz w:val="21"/>
            <w:szCs w:val="21"/>
          </w:rPr>
          <w:t>https://books.google.co.uk/books/about/The_Oxford_Dictionary_of_Art_and_Artists.html?id=WYaRX58a0_IC&amp;redir_esc=y</w:t>
        </w:r>
      </w:hyperlink>
      <w:r w:rsidRPr="00E26761">
        <w:rPr>
          <w:sz w:val="21"/>
          <w:szCs w:val="21"/>
        </w:rPr>
        <w:t>&gt; [accessed 30 December 2025]</w:t>
      </w:r>
    </w:p>
    <w:p w14:paraId="25A49354" w14:textId="448E112A" w:rsidR="00E26761" w:rsidRPr="00E26761" w:rsidRDefault="00E26761" w:rsidP="00E26761">
      <w:pPr>
        <w:spacing w:line="240" w:lineRule="auto"/>
        <w:rPr>
          <w:sz w:val="21"/>
          <w:szCs w:val="21"/>
        </w:rPr>
      </w:pPr>
      <w:r w:rsidRPr="00957306">
        <w:rPr>
          <w:sz w:val="21"/>
          <w:szCs w:val="21"/>
        </w:rPr>
        <w:t>Folda, Jaroslav, and Kathy Jo Wetter, </w:t>
      </w:r>
      <w:r w:rsidRPr="00957306">
        <w:rPr>
          <w:i/>
          <w:iCs/>
          <w:sz w:val="21"/>
          <w:szCs w:val="21"/>
        </w:rPr>
        <w:t>Review of</w:t>
      </w:r>
      <w:r w:rsidRPr="00957306">
        <w:rPr>
          <w:sz w:val="21"/>
          <w:szCs w:val="21"/>
        </w:rPr>
        <w:t> Hans Belting, </w:t>
      </w:r>
      <w:r w:rsidRPr="00957306">
        <w:rPr>
          <w:i/>
          <w:iCs/>
          <w:sz w:val="21"/>
          <w:szCs w:val="21"/>
        </w:rPr>
        <w:t>Likeness and Presence: A History of the Image before the Era of Art</w:t>
      </w:r>
      <w:r w:rsidRPr="00957306">
        <w:rPr>
          <w:sz w:val="21"/>
          <w:szCs w:val="21"/>
        </w:rPr>
        <w:t>, trans. by Edmund Jephcott (Chicago and London: University of Chicago Press, 1994), </w:t>
      </w:r>
      <w:r w:rsidRPr="00957306">
        <w:rPr>
          <w:i/>
          <w:iCs/>
          <w:sz w:val="21"/>
          <w:szCs w:val="21"/>
        </w:rPr>
        <w:t>The Medieval Review</w:t>
      </w:r>
      <w:r w:rsidRPr="00957306">
        <w:rPr>
          <w:sz w:val="21"/>
          <w:szCs w:val="21"/>
        </w:rPr>
        <w:t>(1995), </w:t>
      </w:r>
      <w:hyperlink r:id="rId16" w:tgtFrame="_new" w:history="1">
        <w:r w:rsidRPr="00957306">
          <w:rPr>
            <w:rStyle w:val="Hyperlink"/>
            <w:sz w:val="21"/>
            <w:szCs w:val="21"/>
          </w:rPr>
          <w:t>https://scholarworks.iu.edu/journals/index.php/tmr/article/view/14294</w:t>
        </w:r>
      </w:hyperlink>
      <w:r w:rsidRPr="00957306">
        <w:rPr>
          <w:sz w:val="21"/>
          <w:szCs w:val="21"/>
        </w:rPr>
        <w:t> [accessed 5 January 2026]</w:t>
      </w:r>
    </w:p>
    <w:p w14:paraId="2B987ADC" w14:textId="77777777" w:rsidR="00E26761" w:rsidRPr="00E26761" w:rsidRDefault="00E26761" w:rsidP="00E26761">
      <w:pPr>
        <w:spacing w:line="240" w:lineRule="auto"/>
        <w:rPr>
          <w:sz w:val="21"/>
          <w:szCs w:val="21"/>
        </w:rPr>
      </w:pPr>
      <w:r w:rsidRPr="00E26761">
        <w:rPr>
          <w:sz w:val="21"/>
          <w:szCs w:val="21"/>
        </w:rPr>
        <w:t>Gold, Penny S., </w:t>
      </w:r>
      <w:r w:rsidRPr="00E26761">
        <w:rPr>
          <w:i/>
          <w:iCs/>
          <w:sz w:val="21"/>
          <w:szCs w:val="21"/>
        </w:rPr>
        <w:t>The Lady &amp; the Virgin: Image, Attitude, and Experience in Twelfth-Century France</w:t>
      </w:r>
      <w:r w:rsidRPr="00E26761">
        <w:rPr>
          <w:sz w:val="21"/>
          <w:szCs w:val="21"/>
        </w:rPr>
        <w:t> (Chicago: University of Chicago Press, 1987) &lt;</w:t>
      </w:r>
      <w:hyperlink r:id="rId17" w:anchor="stats" w:tgtFrame="_blank" w:history="1">
        <w:r w:rsidRPr="00E26761">
          <w:rPr>
            <w:rStyle w:val="Hyperlink"/>
            <w:sz w:val="21"/>
            <w:szCs w:val="21"/>
          </w:rPr>
          <w:t>https://www-fulcrum-org.ezproxy.uwtsd.ac.uk/concern/monographs/p8418n46q#stats</w:t>
        </w:r>
      </w:hyperlink>
      <w:r w:rsidRPr="00E26761">
        <w:rPr>
          <w:sz w:val="21"/>
          <w:szCs w:val="21"/>
        </w:rPr>
        <w:t>&gt; [accessed 29 December 2025]</w:t>
      </w:r>
    </w:p>
    <w:p w14:paraId="13AE0472" w14:textId="77777777" w:rsidR="00E26761" w:rsidRPr="00E26761" w:rsidRDefault="00E26761" w:rsidP="00E26761">
      <w:pPr>
        <w:spacing w:line="240" w:lineRule="auto"/>
        <w:rPr>
          <w:sz w:val="21"/>
          <w:szCs w:val="21"/>
        </w:rPr>
      </w:pPr>
      <w:r w:rsidRPr="00E26761">
        <w:rPr>
          <w:sz w:val="21"/>
          <w:szCs w:val="21"/>
        </w:rPr>
        <w:t>Guérin, Sarah M., '“Tears of Compunction”</w:t>
      </w:r>
      <w:r w:rsidRPr="00E26761">
        <w:rPr>
          <w:sz w:val="21"/>
          <w:szCs w:val="21"/>
        </w:rPr>
        <w:br/>
        <w:t>French Gothic Ivories in Devotional Practice' (unpublished doctoral thesis, University of Toronto, 2009), 19 &lt;</w:t>
      </w:r>
      <w:hyperlink r:id="rId18" w:tgtFrame="_blank" w:history="1">
        <w:r w:rsidRPr="00E26761">
          <w:rPr>
            <w:rStyle w:val="Hyperlink"/>
            <w:sz w:val="21"/>
            <w:szCs w:val="21"/>
          </w:rPr>
          <w:t>https://utoronto.scholaris.ca/items/490dda9d-0313-49a4-878c-d89e049c2d53</w:t>
        </w:r>
      </w:hyperlink>
      <w:r w:rsidRPr="00E26761">
        <w:rPr>
          <w:sz w:val="21"/>
          <w:szCs w:val="21"/>
        </w:rPr>
        <w:t>&gt; [accessed 4 January 2026]</w:t>
      </w:r>
    </w:p>
    <w:p w14:paraId="15ED3793" w14:textId="77777777" w:rsidR="00E26761" w:rsidRPr="00E26761" w:rsidRDefault="00E26761" w:rsidP="00E26761">
      <w:pPr>
        <w:spacing w:line="240" w:lineRule="auto"/>
        <w:rPr>
          <w:sz w:val="21"/>
          <w:szCs w:val="21"/>
        </w:rPr>
      </w:pPr>
      <w:r w:rsidRPr="00E26761">
        <w:rPr>
          <w:sz w:val="21"/>
          <w:szCs w:val="21"/>
        </w:rPr>
        <w:t>---'Ivory Carving in the Gothic Era, Thirteenth–Fifteenth Centuries.', </w:t>
      </w:r>
      <w:r w:rsidRPr="00E26761">
        <w:rPr>
          <w:i/>
          <w:iCs/>
          <w:sz w:val="21"/>
          <w:szCs w:val="21"/>
        </w:rPr>
        <w:t>Heilbrunn Timeline of Art History, </w:t>
      </w:r>
      <w:r w:rsidRPr="00E26761">
        <w:rPr>
          <w:sz w:val="21"/>
          <w:szCs w:val="21"/>
        </w:rPr>
        <w:t>(2010) &lt;</w:t>
      </w:r>
      <w:hyperlink r:id="rId19" w:tgtFrame="_blank" w:history="1">
        <w:r w:rsidRPr="00E26761">
          <w:rPr>
            <w:rStyle w:val="Hyperlink"/>
            <w:sz w:val="21"/>
            <w:szCs w:val="21"/>
          </w:rPr>
          <w:t>https://www.metmuseum.org/essays/ivory-carving-in-the-gothic-era-13th-15th-centuries?utm_source=chatgpt.com</w:t>
        </w:r>
      </w:hyperlink>
      <w:r w:rsidRPr="00E26761">
        <w:rPr>
          <w:sz w:val="21"/>
          <w:szCs w:val="21"/>
        </w:rPr>
        <w:t>&gt; [accessed 29 December 2025]</w:t>
      </w:r>
    </w:p>
    <w:p w14:paraId="4879B1AF" w14:textId="77777777" w:rsidR="00E26761" w:rsidRPr="00E26761" w:rsidRDefault="00E26761" w:rsidP="00E26761">
      <w:pPr>
        <w:spacing w:line="240" w:lineRule="auto"/>
        <w:rPr>
          <w:sz w:val="21"/>
          <w:szCs w:val="21"/>
        </w:rPr>
      </w:pPr>
      <w:r w:rsidRPr="00E26761">
        <w:rPr>
          <w:sz w:val="21"/>
          <w:szCs w:val="21"/>
        </w:rPr>
        <w:t xml:space="preserve">Iovino, </w:t>
      </w:r>
      <w:proofErr w:type="spellStart"/>
      <w:r w:rsidRPr="00E26761">
        <w:rPr>
          <w:sz w:val="21"/>
          <w:szCs w:val="21"/>
        </w:rPr>
        <w:t>Serenella</w:t>
      </w:r>
      <w:proofErr w:type="spellEnd"/>
      <w:r w:rsidRPr="00E26761">
        <w:rPr>
          <w:sz w:val="21"/>
          <w:szCs w:val="21"/>
        </w:rPr>
        <w:t xml:space="preserve"> and Serpil Oppermann, 'Theorizing Material Ecocriticism: A Diptych', </w:t>
      </w:r>
      <w:r w:rsidRPr="00E26761">
        <w:rPr>
          <w:i/>
          <w:iCs/>
          <w:sz w:val="21"/>
          <w:szCs w:val="21"/>
        </w:rPr>
        <w:t>ISLE: Interdisciplinary Studies in Literature and Environment, </w:t>
      </w:r>
      <w:r w:rsidRPr="00E26761">
        <w:rPr>
          <w:sz w:val="21"/>
          <w:szCs w:val="21"/>
        </w:rPr>
        <w:t>19 (2012), 448–475 &lt;</w:t>
      </w:r>
      <w:hyperlink r:id="rId20" w:tgtFrame="_blank" w:history="1">
        <w:r w:rsidRPr="00E26761">
          <w:rPr>
            <w:rStyle w:val="Hyperlink"/>
            <w:sz w:val="21"/>
            <w:szCs w:val="21"/>
          </w:rPr>
          <w:t>https://doi.org/10.1093/isle/iss087</w:t>
        </w:r>
      </w:hyperlink>
      <w:r w:rsidRPr="00E26761">
        <w:rPr>
          <w:sz w:val="21"/>
          <w:szCs w:val="21"/>
        </w:rPr>
        <w:t>&gt; [accessed 29 December 2025]</w:t>
      </w:r>
    </w:p>
    <w:p w14:paraId="7FA251A6" w14:textId="77777777" w:rsidR="00E26761" w:rsidRPr="00E26761" w:rsidRDefault="00E26761" w:rsidP="00E26761">
      <w:pPr>
        <w:spacing w:line="240" w:lineRule="auto"/>
        <w:rPr>
          <w:sz w:val="21"/>
          <w:szCs w:val="21"/>
        </w:rPr>
      </w:pPr>
      <w:r w:rsidRPr="00E26761">
        <w:rPr>
          <w:sz w:val="21"/>
          <w:szCs w:val="21"/>
        </w:rPr>
        <w:t>Little, Charles T., </w:t>
      </w:r>
      <w:r w:rsidRPr="00E26761">
        <w:rPr>
          <w:i/>
          <w:iCs/>
          <w:sz w:val="21"/>
          <w:szCs w:val="21"/>
        </w:rPr>
        <w:t>Images in Ivory: Precious Objects of the Gothic Age</w:t>
      </w:r>
      <w:r w:rsidRPr="00E26761">
        <w:rPr>
          <w:sz w:val="21"/>
          <w:szCs w:val="21"/>
        </w:rPr>
        <w:t> (Princeton, New Jersey: The Detroit Institute of Arts; Princeton University Press, 1997) &lt;</w:t>
      </w:r>
      <w:hyperlink r:id="rId21" w:tgtFrame="_blank" w:history="1">
        <w:r w:rsidRPr="00E26761">
          <w:rPr>
            <w:rStyle w:val="Hyperlink"/>
            <w:sz w:val="21"/>
            <w:szCs w:val="21"/>
          </w:rPr>
          <w:t>https://archive.org/details/imagesinivorypre0000unse</w:t>
        </w:r>
      </w:hyperlink>
      <w:r w:rsidRPr="00E26761">
        <w:rPr>
          <w:sz w:val="21"/>
          <w:szCs w:val="21"/>
        </w:rPr>
        <w:t>&gt; [accessed 29 December 2025]</w:t>
      </w:r>
    </w:p>
    <w:p w14:paraId="11234DA9" w14:textId="77777777" w:rsidR="00E26761" w:rsidRPr="00E26761" w:rsidRDefault="00E26761" w:rsidP="00E26761">
      <w:pPr>
        <w:spacing w:line="240" w:lineRule="auto"/>
        <w:rPr>
          <w:sz w:val="21"/>
          <w:szCs w:val="21"/>
        </w:rPr>
      </w:pPr>
      <w:r w:rsidRPr="00E26761">
        <w:rPr>
          <w:sz w:val="21"/>
          <w:szCs w:val="21"/>
        </w:rPr>
        <w:lastRenderedPageBreak/>
        <w:t>Montiel Seguí, 'Virgin Mary as the “Gate of Heaven” with Angelic Musicians in the Doorway of the Apostles at the Cathedral of Valencia', </w:t>
      </w:r>
      <w:r w:rsidRPr="00E26761">
        <w:rPr>
          <w:i/>
          <w:iCs/>
          <w:sz w:val="21"/>
          <w:szCs w:val="21"/>
        </w:rPr>
        <w:t>Religions, </w:t>
      </w:r>
      <w:r w:rsidRPr="00E26761">
        <w:rPr>
          <w:sz w:val="21"/>
          <w:szCs w:val="21"/>
        </w:rPr>
        <w:t>13 (2022)</w:t>
      </w:r>
      <w:r w:rsidRPr="00E26761">
        <w:rPr>
          <w:i/>
          <w:iCs/>
          <w:sz w:val="21"/>
          <w:szCs w:val="21"/>
        </w:rPr>
        <w:t>, in ProQuest Central</w:t>
      </w:r>
      <w:r w:rsidRPr="00E26761">
        <w:rPr>
          <w:sz w:val="21"/>
          <w:szCs w:val="21"/>
        </w:rPr>
        <w:t> &lt;</w:t>
      </w:r>
      <w:hyperlink r:id="rId22" w:tgtFrame="_blank" w:history="1">
        <w:r w:rsidRPr="00E26761">
          <w:rPr>
            <w:rStyle w:val="Hyperlink"/>
            <w:sz w:val="21"/>
            <w:szCs w:val="21"/>
          </w:rPr>
          <w:t>https://www.proquest.com/scholarly-journals/virgin-mary-as-gate-heaven-with-angelic-musicians/docview/2748373098/se-2?accountid=130472</w:t>
        </w:r>
      </w:hyperlink>
      <w:r w:rsidRPr="00E26761">
        <w:rPr>
          <w:sz w:val="21"/>
          <w:szCs w:val="21"/>
        </w:rPr>
        <w:t> </w:t>
      </w:r>
      <w:hyperlink r:id="rId23" w:tgtFrame="_blank" w:history="1">
        <w:r w:rsidRPr="00E26761">
          <w:rPr>
            <w:rStyle w:val="Hyperlink"/>
            <w:sz w:val="21"/>
            <w:szCs w:val="21"/>
          </w:rPr>
          <w:t>https://libkey.io/libraries/1422/openurl?ctx_ver=Z39.88-2004&amp;ctx_enc=info:ofi/enc:UTF-8&amp;rfr_id=info:sid/ProQuest&amp;rft_val_fmt=journal&amp;rft.genre=article&amp;rft.jtitle=Religions&amp;rft.atitle=Virgin+Mary+as+the+%2526ldquo%253BGate+of+Heaven%2526rdquo%253B+with+Angelic+Musicians+in+the+Doorway+of+the+Apostles+at+the+Cathedral+of+Valencia&amp;rft.au=Montiel+Segu%25C3%25AD.&amp;rft.aulast=Montiel+Segu%25C3%25AD&amp;rft.aufirst=&amp;rft.date=2022-01-01&amp;rft.volume=13&amp;rft.issue=11&amp;rft.spage=1098&amp;rft.isbn=&amp;rft.btitle=&amp;rft.title=Religions&amp;rft.issn=&amp;rft_id=info:doi/10.3390%252Frel13111098</w:t>
        </w:r>
      </w:hyperlink>
      <w:r w:rsidRPr="00E26761">
        <w:rPr>
          <w:sz w:val="21"/>
          <w:szCs w:val="21"/>
        </w:rPr>
        <w:t> </w:t>
      </w:r>
      <w:hyperlink r:id="rId24" w:tgtFrame="_blank" w:history="1">
        <w:r w:rsidRPr="00E26761">
          <w:rPr>
            <w:rStyle w:val="Hyperlink"/>
            <w:sz w:val="21"/>
            <w:szCs w:val="21"/>
          </w:rPr>
          <w:t>https://doi.org/10.3390/rel13111098</w:t>
        </w:r>
      </w:hyperlink>
      <w:r w:rsidRPr="00E26761">
        <w:rPr>
          <w:sz w:val="21"/>
          <w:szCs w:val="21"/>
        </w:rPr>
        <w:t>&gt; [accessed 29 December 2025]</w:t>
      </w:r>
    </w:p>
    <w:p w14:paraId="126705B8" w14:textId="77777777" w:rsidR="00E26761" w:rsidRPr="00E26761" w:rsidRDefault="00E26761" w:rsidP="00E26761">
      <w:pPr>
        <w:spacing w:line="240" w:lineRule="auto"/>
        <w:rPr>
          <w:sz w:val="21"/>
          <w:szCs w:val="21"/>
        </w:rPr>
      </w:pPr>
      <w:proofErr w:type="spellStart"/>
      <w:r w:rsidRPr="00E26761">
        <w:rPr>
          <w:sz w:val="21"/>
          <w:szCs w:val="21"/>
        </w:rPr>
        <w:t>Os</w:t>
      </w:r>
      <w:proofErr w:type="spellEnd"/>
      <w:r w:rsidRPr="00E26761">
        <w:rPr>
          <w:sz w:val="21"/>
          <w:szCs w:val="21"/>
        </w:rPr>
        <w:t>, H. W. v., </w:t>
      </w:r>
      <w:r w:rsidRPr="00E26761">
        <w:rPr>
          <w:i/>
          <w:iCs/>
          <w:sz w:val="21"/>
          <w:szCs w:val="21"/>
        </w:rPr>
        <w:t>The Art of Devotion in the Late Middle Ages in Europe, 1300-1500</w:t>
      </w:r>
      <w:r w:rsidRPr="00E26761">
        <w:rPr>
          <w:sz w:val="21"/>
          <w:szCs w:val="21"/>
        </w:rPr>
        <w:t> (Princeton, N.J.: Princeton University Press, 1994) &lt;</w:t>
      </w:r>
      <w:hyperlink r:id="rId25" w:tgtFrame="_blank" w:history="1">
        <w:r w:rsidRPr="00E26761">
          <w:rPr>
            <w:rStyle w:val="Hyperlink"/>
            <w:sz w:val="21"/>
            <w:szCs w:val="21"/>
          </w:rPr>
          <w:t>https://archive.org/details/artofdevotioninl1994oshw/page/n7/mode/2up</w:t>
        </w:r>
      </w:hyperlink>
      <w:r w:rsidRPr="00E26761">
        <w:rPr>
          <w:sz w:val="21"/>
          <w:szCs w:val="21"/>
        </w:rPr>
        <w:t>&gt; [accessed 29 December 2025]</w:t>
      </w:r>
    </w:p>
    <w:p w14:paraId="15531599" w14:textId="77777777" w:rsidR="00E26761" w:rsidRPr="00E26761" w:rsidRDefault="00E26761" w:rsidP="00E26761">
      <w:pPr>
        <w:spacing w:line="240" w:lineRule="auto"/>
        <w:rPr>
          <w:sz w:val="21"/>
          <w:szCs w:val="21"/>
        </w:rPr>
      </w:pPr>
      <w:r w:rsidRPr="00E26761">
        <w:rPr>
          <w:sz w:val="21"/>
          <w:szCs w:val="21"/>
        </w:rPr>
        <w:t>Schmidt, Victor M., 'Diptychs and Supplicants: Precedents and Contexts of Fifteenth-Century Devotional Diptychs', in </w:t>
      </w:r>
      <w:r w:rsidRPr="00E26761">
        <w:rPr>
          <w:i/>
          <w:iCs/>
          <w:sz w:val="21"/>
          <w:szCs w:val="21"/>
        </w:rPr>
        <w:t>Essays in Context: Unfolding the Netherlandish Diptych</w:t>
      </w:r>
      <w:r w:rsidRPr="00E26761">
        <w:rPr>
          <w:sz w:val="21"/>
          <w:szCs w:val="21"/>
        </w:rPr>
        <w:t>, ed. by &amp;</w:t>
      </w:r>
      <w:proofErr w:type="spellStart"/>
      <w:r w:rsidRPr="00E26761">
        <w:rPr>
          <w:sz w:val="21"/>
          <w:szCs w:val="21"/>
        </w:rPr>
        <w:t>nbsp</w:t>
      </w:r>
      <w:proofErr w:type="spellEnd"/>
      <w:r w:rsidRPr="00E26761">
        <w:rPr>
          <w:sz w:val="21"/>
          <w:szCs w:val="21"/>
        </w:rPr>
        <w:t xml:space="preserve"> Hand and others(New Haven and London: Yale University Press, 2006), pp. 14–31 &lt;</w:t>
      </w:r>
      <w:hyperlink r:id="rId26" w:tgtFrame="_blank" w:history="1">
        <w:r w:rsidRPr="00E26761">
          <w:rPr>
            <w:rStyle w:val="Hyperlink"/>
            <w:sz w:val="21"/>
            <w:szCs w:val="21"/>
          </w:rPr>
          <w:t>https://www.academia.edu/31890029/Diptychs_and_Supplicants_Precedents_and_Contexts_of_Fifteenth_Century_Devotional_Diptychs_in_Essays_in_Context_Unfolding_the_Netherlandish_Diptych_eds_John_Oliver_Hand_and_Ron_Spronk_Cambridge_Harvard_University_Art_Museums_New_Haven_and_London_Yale_University_Press_2006_pp_14_31?source=swp_share</w:t>
        </w:r>
      </w:hyperlink>
      <w:r w:rsidRPr="00E26761">
        <w:rPr>
          <w:sz w:val="21"/>
          <w:szCs w:val="21"/>
        </w:rPr>
        <w:t>&gt; [accessed 30 December 2025]</w:t>
      </w:r>
    </w:p>
    <w:p w14:paraId="2F705970" w14:textId="77777777" w:rsidR="00E26761" w:rsidRPr="00E26761" w:rsidRDefault="00E26761" w:rsidP="00E26761">
      <w:pPr>
        <w:spacing w:line="240" w:lineRule="auto"/>
        <w:rPr>
          <w:sz w:val="21"/>
          <w:szCs w:val="21"/>
        </w:rPr>
      </w:pPr>
      <w:r w:rsidRPr="00E26761">
        <w:rPr>
          <w:sz w:val="21"/>
          <w:szCs w:val="21"/>
        </w:rPr>
        <w:t>Seaver, Kirsten A., 'Desirable Teeth: The Medieval Trade in Arctic and African Ivory', </w:t>
      </w:r>
      <w:r w:rsidRPr="00E26761">
        <w:rPr>
          <w:i/>
          <w:iCs/>
          <w:sz w:val="21"/>
          <w:szCs w:val="21"/>
        </w:rPr>
        <w:t>Journal of Global History, </w:t>
      </w:r>
      <w:r w:rsidRPr="00E26761">
        <w:rPr>
          <w:sz w:val="21"/>
          <w:szCs w:val="21"/>
        </w:rPr>
        <w:t>4 (2009)</w:t>
      </w:r>
      <w:r w:rsidRPr="00E26761">
        <w:rPr>
          <w:i/>
          <w:iCs/>
          <w:sz w:val="21"/>
          <w:szCs w:val="21"/>
        </w:rPr>
        <w:t>, in ProQuest Central</w:t>
      </w:r>
      <w:r w:rsidRPr="00E26761">
        <w:rPr>
          <w:sz w:val="21"/>
          <w:szCs w:val="21"/>
        </w:rPr>
        <w:t> &lt;</w:t>
      </w:r>
      <w:hyperlink r:id="rId27" w:tgtFrame="_blank" w:history="1">
        <w:r w:rsidRPr="00E26761">
          <w:rPr>
            <w:rStyle w:val="Hyperlink"/>
            <w:sz w:val="21"/>
            <w:szCs w:val="21"/>
          </w:rPr>
          <w:t>https://www.proquest.com/scholarly-journals/desirable-teeth-medieval-trade-arctic-african/docview/229040165/se-2?accountid=130472</w:t>
        </w:r>
      </w:hyperlink>
      <w:r w:rsidRPr="00E26761">
        <w:rPr>
          <w:sz w:val="21"/>
          <w:szCs w:val="21"/>
        </w:rPr>
        <w:t> </w:t>
      </w:r>
      <w:hyperlink r:id="rId28" w:tgtFrame="_blank" w:history="1">
        <w:r w:rsidRPr="00E26761">
          <w:rPr>
            <w:rStyle w:val="Hyperlink"/>
            <w:sz w:val="21"/>
            <w:szCs w:val="21"/>
          </w:rPr>
          <w:t>https://libkey.io/libraries/1422/openurl?ctx_ver=Z39.88-2004&amp;ctx_enc=info:ofi/enc:UTF-8&amp;rfr_id=info:sid/ProQuest&amp;rft_val_fmt=journal&amp;rft.genre=article&amp;rft.jtitle=Journal+of+Global+History&amp;rft.atitle=Desirable+teeth%253A+the+medieval+trade+in+Arctic+and+African+ivory&amp;rft.au=Seaver%252C+Kirsten+A.&amp;rft.aulast=Seaver&amp;rft.aufirst=Kirsten&amp;rft.date=2009-07-01&amp;rft.volume=4&amp;rft.issue=2&amp;rft.spage=271&amp;rft.isbn=&amp;rft.btitle=&amp;rft.title=Journal+of+Global+History&amp;rft.issn=17400228&amp;rft_id=info:doi/10.1017%252FS1740022809003155</w:t>
        </w:r>
      </w:hyperlink>
      <w:hyperlink r:id="rId29" w:tgtFrame="_blank" w:history="1">
        <w:r w:rsidRPr="00E26761">
          <w:rPr>
            <w:rStyle w:val="Hyperlink"/>
            <w:sz w:val="21"/>
            <w:szCs w:val="21"/>
          </w:rPr>
          <w:t>https://doi.org/10.1017/S1740022809003155</w:t>
        </w:r>
      </w:hyperlink>
      <w:r w:rsidRPr="00E26761">
        <w:rPr>
          <w:sz w:val="21"/>
          <w:szCs w:val="21"/>
        </w:rPr>
        <w:t>&gt; [accessed 29 December 2025]</w:t>
      </w:r>
    </w:p>
    <w:p w14:paraId="0423E2C6" w14:textId="77777777" w:rsidR="00E26761" w:rsidRPr="00E26761" w:rsidRDefault="00E26761" w:rsidP="00E26761">
      <w:pPr>
        <w:spacing w:line="240" w:lineRule="auto"/>
        <w:rPr>
          <w:sz w:val="21"/>
          <w:szCs w:val="21"/>
        </w:rPr>
      </w:pPr>
      <w:r w:rsidRPr="00E26761">
        <w:rPr>
          <w:sz w:val="21"/>
          <w:szCs w:val="21"/>
        </w:rPr>
        <w:t>The Metropolitan Museum of Art, </w:t>
      </w:r>
      <w:r w:rsidRPr="00E26761">
        <w:rPr>
          <w:i/>
          <w:iCs/>
          <w:sz w:val="21"/>
          <w:szCs w:val="21"/>
        </w:rPr>
        <w:t>Diptych with the Coronation of the Virgin and the Last Judgment, </w:t>
      </w:r>
      <w:r w:rsidRPr="00E26761">
        <w:rPr>
          <w:sz w:val="21"/>
          <w:szCs w:val="21"/>
        </w:rPr>
        <w:t>2026 vols &lt;</w:t>
      </w:r>
      <w:hyperlink r:id="rId30" w:tgtFrame="_blank" w:history="1">
        <w:r w:rsidRPr="00E26761">
          <w:rPr>
            <w:rStyle w:val="Hyperlink"/>
            <w:sz w:val="21"/>
            <w:szCs w:val="21"/>
          </w:rPr>
          <w:t>https://www.metmuseum.org/art/collection/search/471975</w:t>
        </w:r>
      </w:hyperlink>
      <w:r w:rsidRPr="00E26761">
        <w:rPr>
          <w:sz w:val="21"/>
          <w:szCs w:val="21"/>
        </w:rPr>
        <w:t>&gt; [accessed 2 January 2026]</w:t>
      </w:r>
    </w:p>
    <w:p w14:paraId="139C86F1" w14:textId="33129926" w:rsidR="000E57ED" w:rsidRPr="000E57ED" w:rsidRDefault="000E57ED" w:rsidP="00E26761">
      <w:pPr>
        <w:spacing w:line="240" w:lineRule="auto"/>
        <w:rPr>
          <w:sz w:val="21"/>
          <w:szCs w:val="21"/>
        </w:rPr>
      </w:pPr>
    </w:p>
    <w:sectPr w:rsidR="000E57ED" w:rsidRPr="000E57ED">
      <w:headerReference w:type="default" r:id="rId31"/>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F7333C" w14:textId="77777777" w:rsidR="00437080" w:rsidRDefault="00437080" w:rsidP="009F5158">
      <w:pPr>
        <w:spacing w:after="0" w:line="240" w:lineRule="auto"/>
      </w:pPr>
      <w:r>
        <w:separator/>
      </w:r>
    </w:p>
  </w:endnote>
  <w:endnote w:type="continuationSeparator" w:id="0">
    <w:p w14:paraId="08DE60CF" w14:textId="77777777" w:rsidR="00437080" w:rsidRDefault="00437080" w:rsidP="009F5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05310242"/>
      <w:docPartObj>
        <w:docPartGallery w:val="Page Numbers (Bottom of Page)"/>
        <w:docPartUnique/>
      </w:docPartObj>
    </w:sdtPr>
    <w:sdtContent>
      <w:p w14:paraId="02B5E60F" w14:textId="2F9C7995" w:rsidR="009F5158" w:rsidRDefault="009F5158" w:rsidP="007C18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03DECE6" w14:textId="77777777" w:rsidR="009F5158" w:rsidRDefault="009F5158" w:rsidP="009F51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86060642"/>
      <w:docPartObj>
        <w:docPartGallery w:val="Page Numbers (Bottom of Page)"/>
        <w:docPartUnique/>
      </w:docPartObj>
    </w:sdtPr>
    <w:sdtEndPr>
      <w:rPr>
        <w:rStyle w:val="PageNumber"/>
        <w:i/>
        <w:iCs/>
        <w:sz w:val="21"/>
        <w:szCs w:val="21"/>
      </w:rPr>
    </w:sdtEndPr>
    <w:sdtContent>
      <w:p w14:paraId="243E1758" w14:textId="5B6131B8" w:rsidR="009F5158" w:rsidRPr="009F5158" w:rsidRDefault="009F5158" w:rsidP="007C18A4">
        <w:pPr>
          <w:pStyle w:val="Footer"/>
          <w:framePr w:wrap="none" w:vAnchor="text" w:hAnchor="margin" w:xAlign="right" w:y="1"/>
          <w:rPr>
            <w:rStyle w:val="PageNumber"/>
            <w:i/>
            <w:iCs/>
            <w:sz w:val="21"/>
            <w:szCs w:val="21"/>
          </w:rPr>
        </w:pPr>
        <w:r w:rsidRPr="009F5158">
          <w:rPr>
            <w:rStyle w:val="PageNumber"/>
            <w:i/>
            <w:iCs/>
            <w:sz w:val="21"/>
            <w:szCs w:val="21"/>
          </w:rPr>
          <w:fldChar w:fldCharType="begin"/>
        </w:r>
        <w:r w:rsidRPr="009F5158">
          <w:rPr>
            <w:rStyle w:val="PageNumber"/>
            <w:i/>
            <w:iCs/>
            <w:sz w:val="21"/>
            <w:szCs w:val="21"/>
          </w:rPr>
          <w:instrText xml:space="preserve"> PAGE </w:instrText>
        </w:r>
        <w:r w:rsidRPr="009F5158">
          <w:rPr>
            <w:rStyle w:val="PageNumber"/>
            <w:i/>
            <w:iCs/>
            <w:sz w:val="21"/>
            <w:szCs w:val="21"/>
          </w:rPr>
          <w:fldChar w:fldCharType="separate"/>
        </w:r>
        <w:r w:rsidRPr="009F5158">
          <w:rPr>
            <w:rStyle w:val="PageNumber"/>
            <w:i/>
            <w:iCs/>
            <w:noProof/>
            <w:sz w:val="21"/>
            <w:szCs w:val="21"/>
          </w:rPr>
          <w:t>1</w:t>
        </w:r>
        <w:r w:rsidRPr="009F5158">
          <w:rPr>
            <w:rStyle w:val="PageNumber"/>
            <w:i/>
            <w:iCs/>
            <w:sz w:val="21"/>
            <w:szCs w:val="21"/>
          </w:rPr>
          <w:fldChar w:fldCharType="end"/>
        </w:r>
      </w:p>
    </w:sdtContent>
  </w:sdt>
  <w:p w14:paraId="56EB8444" w14:textId="77777777" w:rsidR="009F5158" w:rsidRPr="009F5158" w:rsidRDefault="009F5158" w:rsidP="009F5158">
    <w:pPr>
      <w:pStyle w:val="Footer"/>
      <w:ind w:right="360"/>
      <w:rPr>
        <w:i/>
        <w:iCs/>
        <w:sz w:val="21"/>
        <w:szCs w:val="2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B1717F" w14:textId="77777777" w:rsidR="00437080" w:rsidRDefault="00437080" w:rsidP="009F5158">
      <w:pPr>
        <w:spacing w:after="0" w:line="240" w:lineRule="auto"/>
      </w:pPr>
      <w:r>
        <w:separator/>
      </w:r>
    </w:p>
  </w:footnote>
  <w:footnote w:type="continuationSeparator" w:id="0">
    <w:p w14:paraId="38CA451B" w14:textId="77777777" w:rsidR="00437080" w:rsidRDefault="00437080" w:rsidP="009F5158">
      <w:pPr>
        <w:spacing w:after="0" w:line="240" w:lineRule="auto"/>
      </w:pPr>
      <w:r>
        <w:continuationSeparator/>
      </w:r>
    </w:p>
  </w:footnote>
  <w:footnote w:id="1">
    <w:p w14:paraId="59D8AAB1" w14:textId="5236A1B6" w:rsidR="00A619C4" w:rsidRDefault="00A619C4">
      <w:pPr>
        <w:pStyle w:val="FootnoteText"/>
      </w:pPr>
      <w:r w:rsidRPr="00A84CC8">
        <w:rPr>
          <w:rStyle w:val="FootnoteReference"/>
        </w:rPr>
        <w:footnoteRef/>
      </w:r>
      <w:r w:rsidRPr="00A84CC8">
        <w:t xml:space="preserve"> </w:t>
      </w:r>
      <w:r w:rsidR="009337F0">
        <w:t>Ian</w:t>
      </w:r>
      <w:r w:rsidR="0025099A">
        <w:t xml:space="preserve"> </w:t>
      </w:r>
      <w:r w:rsidR="0025099A" w:rsidRPr="00A84CC8">
        <w:t>Chilvers,</w:t>
      </w:r>
      <w:r w:rsidR="009A51EB" w:rsidRPr="00A84CC8">
        <w:t xml:space="preserve"> </w:t>
      </w:r>
      <w:r w:rsidR="009A51EB" w:rsidRPr="00A84CC8">
        <w:rPr>
          <w:i/>
          <w:iCs/>
        </w:rPr>
        <w:t>The Oxford Dictionary of Art</w:t>
      </w:r>
      <w:r w:rsidR="009A51EB" w:rsidRPr="009A51EB">
        <w:t xml:space="preserve">, </w:t>
      </w:r>
      <w:r w:rsidR="00E05266" w:rsidRPr="00A84CC8">
        <w:t>3</w:t>
      </w:r>
      <w:r w:rsidR="00E05266" w:rsidRPr="00A84CC8">
        <w:rPr>
          <w:vertAlign w:val="superscript"/>
        </w:rPr>
        <w:t>rd</w:t>
      </w:r>
      <w:r w:rsidR="00E05266" w:rsidRPr="00A84CC8">
        <w:t xml:space="preserve"> </w:t>
      </w:r>
      <w:proofErr w:type="spellStart"/>
      <w:r w:rsidR="00E05266" w:rsidRPr="00A84CC8">
        <w:t>edn</w:t>
      </w:r>
      <w:proofErr w:type="spellEnd"/>
      <w:r w:rsidR="00F04DCC">
        <w:t>.</w:t>
      </w:r>
      <w:r w:rsidR="009A51EB" w:rsidRPr="009A51EB">
        <w:t xml:space="preserve"> (Oxford University Press,</w:t>
      </w:r>
      <w:r w:rsidR="009A51EB" w:rsidRPr="00A84CC8">
        <w:t xml:space="preserve"> </w:t>
      </w:r>
      <w:r w:rsidR="00E05266" w:rsidRPr="00A84CC8">
        <w:t>2004</w:t>
      </w:r>
      <w:r w:rsidR="009A51EB" w:rsidRPr="009A51EB">
        <w:t xml:space="preserve">), p. </w:t>
      </w:r>
      <w:r w:rsidR="00E05266" w:rsidRPr="00A84CC8">
        <w:t>208</w:t>
      </w:r>
      <w:r w:rsidR="009A51EB" w:rsidRPr="009A51EB">
        <w:t>.</w:t>
      </w:r>
      <w:r w:rsidR="00E05266" w:rsidRPr="00A84CC8">
        <w:t xml:space="preserve"> &lt;</w:t>
      </w:r>
      <w:hyperlink r:id="rId1" w:history="1">
        <w:r w:rsidR="00E05266" w:rsidRPr="00A84CC8">
          <w:rPr>
            <w:rStyle w:val="Hyperlink"/>
          </w:rPr>
          <w:t>https://books.google.co.uk/books/about/The_Oxford_Dictionary_of_Art_and_Artists.html?id=WYaRX58a0_IC&amp;redir_esc=y</w:t>
        </w:r>
      </w:hyperlink>
      <w:r w:rsidR="00E05266" w:rsidRPr="00A84CC8">
        <w:t>&gt; [</w:t>
      </w:r>
      <w:r w:rsidR="00511CA8" w:rsidRPr="00A84CC8">
        <w:t xml:space="preserve">accessed </w:t>
      </w:r>
      <w:r w:rsidR="00E05266" w:rsidRPr="00A84CC8">
        <w:t>29 December 2025]</w:t>
      </w:r>
    </w:p>
  </w:footnote>
  <w:footnote w:id="2">
    <w:p w14:paraId="7FB44D6B" w14:textId="1266231D" w:rsidR="00003B52" w:rsidRDefault="00003B52">
      <w:pPr>
        <w:pStyle w:val="FootnoteText"/>
      </w:pPr>
      <w:r>
        <w:rPr>
          <w:rStyle w:val="FootnoteReference"/>
        </w:rPr>
        <w:footnoteRef/>
      </w:r>
      <w:r>
        <w:t xml:space="preserve"> Britannica Editors, ‘diptych’, </w:t>
      </w:r>
      <w:proofErr w:type="spellStart"/>
      <w:r w:rsidRPr="00003B52">
        <w:rPr>
          <w:i/>
          <w:iCs/>
        </w:rPr>
        <w:t>Encyclopedia</w:t>
      </w:r>
      <w:proofErr w:type="spellEnd"/>
      <w:r w:rsidRPr="00003B52">
        <w:rPr>
          <w:i/>
          <w:iCs/>
        </w:rPr>
        <w:t xml:space="preserve"> Britannica</w:t>
      </w:r>
      <w:r>
        <w:t xml:space="preserve">, 17 </w:t>
      </w:r>
      <w:r w:rsidRPr="00003B52">
        <w:t>November 2017</w:t>
      </w:r>
      <w:r>
        <w:t xml:space="preserve"> &lt;</w:t>
      </w:r>
      <w:hyperlink r:id="rId2" w:history="1">
        <w:r w:rsidRPr="002E7BAC">
          <w:rPr>
            <w:rStyle w:val="Hyperlink"/>
          </w:rPr>
          <w:t>https://www.britannica.com/topic/diptych</w:t>
        </w:r>
      </w:hyperlink>
      <w:r>
        <w:t>&gt; [accessed 30 December 2025]</w:t>
      </w:r>
    </w:p>
  </w:footnote>
  <w:footnote w:id="3">
    <w:p w14:paraId="7543C6A6" w14:textId="78944BB3" w:rsidR="00F04DCC" w:rsidRDefault="003D10C4">
      <w:pPr>
        <w:pStyle w:val="FootnoteText"/>
      </w:pPr>
      <w:r>
        <w:rPr>
          <w:rStyle w:val="FootnoteReference"/>
        </w:rPr>
        <w:footnoteRef/>
      </w:r>
      <w:r>
        <w:t xml:space="preserve"> </w:t>
      </w:r>
      <w:r w:rsidR="009337F0">
        <w:t xml:space="preserve">Victor M. </w:t>
      </w:r>
      <w:r w:rsidR="0025099A">
        <w:t>Schmidt,</w:t>
      </w:r>
      <w:r w:rsidR="00F04DCC">
        <w:t xml:space="preserve"> </w:t>
      </w:r>
      <w:r w:rsidR="00F04DCC" w:rsidRPr="00B95F95">
        <w:rPr>
          <w:i/>
          <w:iCs/>
        </w:rPr>
        <w:t>Diptychs and Supplicants: Precedents and Contexts of Fifteenth-Century Devotional Diptychs</w:t>
      </w:r>
      <w:r w:rsidR="00F04DCC" w:rsidRPr="003D10C4">
        <w:t>,</w:t>
      </w:r>
      <w:r w:rsidR="00F04DCC">
        <w:t xml:space="preserve"> ed. by John Oliver Hand and Ron Spronk (New Haven and London: Yale University Press, 2006), </w:t>
      </w:r>
      <w:r w:rsidR="00525FDC">
        <w:t>p. 16</w:t>
      </w:r>
      <w:r w:rsidR="00791015">
        <w:t>.</w:t>
      </w:r>
      <w:r w:rsidR="0071150F">
        <w:t xml:space="preserve"> &lt;</w:t>
      </w:r>
      <w:hyperlink r:id="rId3" w:history="1">
        <w:r w:rsidR="0071150F" w:rsidRPr="002E7BAC">
          <w:rPr>
            <w:rStyle w:val="Hyperlink"/>
          </w:rPr>
          <w:t>https://www.academia.edu/31890029/Diptychs_and_Supplicants_Precedents_and_Contexts_of_Fifteenth_Century_Devotional_Diptychs_in_Essays_in_Context_Unfolding_the_Netherlandish_Diptych_eds_John_Oliver_Hand_and_Ron_Spronk_Cambridge_Harvard_University_Art_Museums_New_Haven_and_London_Yale_University_Press_2006_pp_14_31?source=swp_share</w:t>
        </w:r>
      </w:hyperlink>
      <w:r w:rsidR="0071150F">
        <w:t>&gt; [accessed 30 December 2025]</w:t>
      </w:r>
    </w:p>
  </w:footnote>
  <w:footnote w:id="4">
    <w:p w14:paraId="76ADB726" w14:textId="0879A95A" w:rsidR="00791015" w:rsidRPr="00791015" w:rsidRDefault="00791015">
      <w:pPr>
        <w:pStyle w:val="FootnoteText"/>
      </w:pPr>
      <w:r>
        <w:rPr>
          <w:rStyle w:val="FootnoteReference"/>
        </w:rPr>
        <w:footnoteRef/>
      </w:r>
      <w:r>
        <w:t xml:space="preserve"> The Metropolitan Museum of Art, </w:t>
      </w:r>
      <w:r w:rsidRPr="00D462FC">
        <w:rPr>
          <w:i/>
          <w:iCs/>
        </w:rPr>
        <w:t>Diptych with the Coronation of the Virgin and the Last Judgeme</w:t>
      </w:r>
      <w:r>
        <w:rPr>
          <w:i/>
          <w:iCs/>
        </w:rPr>
        <w:t>nt, &lt;</w:t>
      </w:r>
      <w:hyperlink r:id="rId4" w:history="1">
        <w:r w:rsidRPr="00654688">
          <w:rPr>
            <w:rStyle w:val="Hyperlink"/>
          </w:rPr>
          <w:t>https://www.metmuseum.org/art/collection/search/471975</w:t>
        </w:r>
      </w:hyperlink>
      <w:r>
        <w:t>&gt; [accessed 2 January 2026]</w:t>
      </w:r>
    </w:p>
  </w:footnote>
  <w:footnote w:id="5">
    <w:p w14:paraId="5AFD5955" w14:textId="0C3DC774" w:rsidR="00AC1509" w:rsidRPr="00AC1509" w:rsidRDefault="00AC1509">
      <w:pPr>
        <w:pStyle w:val="FootnoteText"/>
        <w:rPr>
          <w:b/>
          <w:bCs/>
        </w:rPr>
      </w:pPr>
      <w:r>
        <w:rPr>
          <w:rStyle w:val="FootnoteReference"/>
        </w:rPr>
        <w:footnoteRef/>
      </w:r>
      <w:r>
        <w:t xml:space="preserve"> Penny Schine </w:t>
      </w:r>
      <w:r w:rsidRPr="00AC1509">
        <w:t xml:space="preserve">Gold, </w:t>
      </w:r>
      <w:r w:rsidRPr="00AC1509">
        <w:rPr>
          <w:i/>
          <w:iCs/>
        </w:rPr>
        <w:t>The lady &amp; the Virgin: image, attitude, and experience in twelfth-century France</w:t>
      </w:r>
      <w:r>
        <w:t xml:space="preserve"> (The University of Chicago Press, 1985) &lt;</w:t>
      </w:r>
      <w:hyperlink r:id="rId5" w:anchor="reviews" w:history="1">
        <w:r w:rsidRPr="00654688">
          <w:rPr>
            <w:rStyle w:val="Hyperlink"/>
          </w:rPr>
          <w:t>https://www-fulcrum-org.ezproxy.uwtsd.ac.uk/concern/monographs/p8418n46q#reviews</w:t>
        </w:r>
      </w:hyperlink>
      <w:r>
        <w:t>&gt; [accessed 2 January 2026]</w:t>
      </w:r>
    </w:p>
  </w:footnote>
  <w:footnote w:id="6">
    <w:p w14:paraId="1913F58F" w14:textId="1DA08A00" w:rsidR="00F62B2E" w:rsidRDefault="00F62B2E">
      <w:pPr>
        <w:pStyle w:val="FootnoteText"/>
      </w:pPr>
      <w:r>
        <w:rPr>
          <w:rStyle w:val="FootnoteReference"/>
        </w:rPr>
        <w:footnoteRef/>
      </w:r>
      <w:r>
        <w:t xml:space="preserve"> Charles T Little, </w:t>
      </w:r>
      <w:r w:rsidRPr="007D6085">
        <w:rPr>
          <w:i/>
          <w:iCs/>
        </w:rPr>
        <w:t>Images in Ivory: Precious Objects of the Gothic Age</w:t>
      </w:r>
      <w:r>
        <w:t xml:space="preserve"> (The Detroit Institute of Arts; Princeton University Press, 1997)</w:t>
      </w:r>
      <w:r w:rsidR="00590EE8">
        <w:t xml:space="preserve"> p.131 &lt;</w:t>
      </w:r>
      <w:hyperlink r:id="rId6" w:history="1">
        <w:r w:rsidR="00590EE8" w:rsidRPr="00654688">
          <w:rPr>
            <w:rStyle w:val="Hyperlink"/>
          </w:rPr>
          <w:t>https://archive.org/details/imagesinivorypre0000unse/page/131/mode/1up?q=ladder</w:t>
        </w:r>
      </w:hyperlink>
      <w:r w:rsidR="00590EE8">
        <w:t>&gt; [accessed 2 January 2026]</w:t>
      </w:r>
    </w:p>
  </w:footnote>
  <w:footnote w:id="7">
    <w:p w14:paraId="29E9379B" w14:textId="251402ED" w:rsidR="00F06BDD" w:rsidRDefault="00F06BDD">
      <w:pPr>
        <w:pStyle w:val="FootnoteText"/>
      </w:pPr>
      <w:r>
        <w:rPr>
          <w:rStyle w:val="FootnoteReference"/>
        </w:rPr>
        <w:footnoteRef/>
      </w:r>
      <w:r>
        <w:t xml:space="preserve"> Appleton, Leroy H. and Stephen Bridges, </w:t>
      </w:r>
      <w:r w:rsidRPr="007D6085">
        <w:rPr>
          <w:i/>
          <w:iCs/>
        </w:rPr>
        <w:t>Symbolism in liturgical art</w:t>
      </w:r>
      <w:r>
        <w:t xml:space="preserve"> (Charles Scribner’s Sons, 1959) p.49 &lt;</w:t>
      </w:r>
      <w:hyperlink r:id="rId7" w:history="1">
        <w:r w:rsidRPr="0000552C">
          <w:rPr>
            <w:rStyle w:val="Hyperlink"/>
          </w:rPr>
          <w:t>https://archive.org/details/symbolisminlitur00appl/page/48/mode/2up?q=passion</w:t>
        </w:r>
      </w:hyperlink>
      <w:r>
        <w:t>&gt; [accessed 4 January 2026]</w:t>
      </w:r>
    </w:p>
  </w:footnote>
  <w:footnote w:id="8">
    <w:p w14:paraId="7EDEFC18" w14:textId="517C8572" w:rsidR="004D5AB4" w:rsidRDefault="004D5AB4">
      <w:pPr>
        <w:pStyle w:val="FootnoteText"/>
      </w:pPr>
      <w:r>
        <w:rPr>
          <w:rStyle w:val="FootnoteReference"/>
        </w:rPr>
        <w:footnoteRef/>
      </w:r>
      <w:r>
        <w:t xml:space="preserve"> </w:t>
      </w:r>
      <w:r w:rsidR="0050009B" w:rsidRPr="0050009B">
        <w:t>Emily-Jan</w:t>
      </w:r>
      <w:r w:rsidR="0050009B">
        <w:t xml:space="preserve"> Anderson and others, </w:t>
      </w:r>
      <w:r w:rsidR="0050009B" w:rsidRPr="0050009B">
        <w:rPr>
          <w:i/>
          <w:iCs/>
        </w:rPr>
        <w:t xml:space="preserve">Visible Exports / Imports: New Research on Medieval and Renaissance European Art and Culture </w:t>
      </w:r>
      <w:r w:rsidR="0050009B">
        <w:t>(Cambridge Scholars Publishing, 2012) p.210</w:t>
      </w:r>
      <w:r w:rsidR="006712C0">
        <w:t xml:space="preserve"> &lt;</w:t>
      </w:r>
      <w:hyperlink r:id="rId8" w:history="1">
        <w:r w:rsidR="006712C0" w:rsidRPr="0000552C">
          <w:rPr>
            <w:rStyle w:val="Hyperlink"/>
          </w:rPr>
          <w:t>https://archive.org/details/visibleexportsim0000emil/page/210/mode/2up?q=sorrows</w:t>
        </w:r>
      </w:hyperlink>
      <w:r w:rsidR="006712C0">
        <w:t>&gt; [accessed 4 January 2026]</w:t>
      </w:r>
    </w:p>
  </w:footnote>
  <w:footnote w:id="9">
    <w:p w14:paraId="343925BD" w14:textId="7E419494" w:rsidR="00B95F95" w:rsidRDefault="00B95F95">
      <w:pPr>
        <w:pStyle w:val="FootnoteText"/>
      </w:pPr>
      <w:r>
        <w:rPr>
          <w:rStyle w:val="FootnoteReference"/>
        </w:rPr>
        <w:footnoteRef/>
      </w:r>
      <w:r>
        <w:t xml:space="preserve"> </w:t>
      </w:r>
      <w:r w:rsidRPr="00B95F95">
        <w:t xml:space="preserve">Victor M. Schmidt, </w:t>
      </w:r>
      <w:r w:rsidRPr="00B95F95">
        <w:rPr>
          <w:i/>
          <w:iCs/>
        </w:rPr>
        <w:t>Diptychs and Supplicants</w:t>
      </w:r>
      <w:r>
        <w:t>, p.24</w:t>
      </w:r>
    </w:p>
  </w:footnote>
  <w:footnote w:id="10">
    <w:p w14:paraId="6FDE28FA" w14:textId="11C9CC75" w:rsidR="007D6085" w:rsidRDefault="007D6085">
      <w:pPr>
        <w:pStyle w:val="FootnoteText"/>
      </w:pPr>
      <w:r>
        <w:rPr>
          <w:rStyle w:val="FootnoteReference"/>
        </w:rPr>
        <w:footnoteRef/>
      </w:r>
      <w:r w:rsidR="000E68D5">
        <w:t xml:space="preserve"> H.W. van </w:t>
      </w:r>
      <w:proofErr w:type="spellStart"/>
      <w:r w:rsidR="000E68D5">
        <w:t>Os</w:t>
      </w:r>
      <w:proofErr w:type="spellEnd"/>
      <w:r w:rsidR="000E68D5">
        <w:t xml:space="preserve">, </w:t>
      </w:r>
      <w:r w:rsidR="000E68D5" w:rsidRPr="000E68D5">
        <w:t>The Art of Devotion in the Late Middle Ages in Europe, 1300-1500</w:t>
      </w:r>
      <w:r w:rsidR="000E68D5">
        <w:t>, (Princeton University Press, 1994) p.26 &lt;</w:t>
      </w:r>
      <w:hyperlink r:id="rId9" w:history="1">
        <w:r w:rsidR="000E68D5" w:rsidRPr="0000552C">
          <w:rPr>
            <w:rStyle w:val="Hyperlink"/>
          </w:rPr>
          <w:t>https://archive.org/details/artofdevotioninl1994oshw/page/n7/mode/2up</w:t>
        </w:r>
      </w:hyperlink>
      <w:r w:rsidR="000E68D5">
        <w:t>&gt; [accessed 4 January 2026]</w:t>
      </w:r>
    </w:p>
  </w:footnote>
  <w:footnote w:id="11">
    <w:p w14:paraId="7D30454B" w14:textId="4376D8AD" w:rsidR="00F40E2A" w:rsidRDefault="00F40E2A">
      <w:pPr>
        <w:pStyle w:val="FootnoteText"/>
      </w:pPr>
      <w:r>
        <w:rPr>
          <w:rStyle w:val="FootnoteReference"/>
        </w:rPr>
        <w:footnoteRef/>
      </w:r>
      <w:r w:rsidRPr="00F40E2A">
        <w:t xml:space="preserve">Victor M. Schmidt, </w:t>
      </w:r>
      <w:r w:rsidRPr="00F40E2A">
        <w:rPr>
          <w:i/>
          <w:iCs/>
        </w:rPr>
        <w:t>Diptychs and Supplicants</w:t>
      </w:r>
      <w:r w:rsidRPr="00F40E2A">
        <w:t>, p.2</w:t>
      </w:r>
      <w:r>
        <w:t>5</w:t>
      </w:r>
    </w:p>
  </w:footnote>
  <w:footnote w:id="12">
    <w:p w14:paraId="75E3CD94" w14:textId="0AC30D0B" w:rsidR="004B7435" w:rsidRDefault="004B7435">
      <w:pPr>
        <w:pStyle w:val="FootnoteText"/>
      </w:pPr>
      <w:r>
        <w:rPr>
          <w:rStyle w:val="FootnoteReference"/>
        </w:rPr>
        <w:footnoteRef/>
      </w:r>
      <w:r>
        <w:t xml:space="preserve"> </w:t>
      </w:r>
      <w:r w:rsidRPr="004B7435">
        <w:t xml:space="preserve">Victor M. Schmidt, </w:t>
      </w:r>
      <w:r w:rsidRPr="004B7435">
        <w:rPr>
          <w:i/>
          <w:iCs/>
        </w:rPr>
        <w:t>Diptychs and Supplicants</w:t>
      </w:r>
      <w:r w:rsidRPr="004B7435">
        <w:t>, p.25</w:t>
      </w:r>
    </w:p>
  </w:footnote>
  <w:footnote w:id="13">
    <w:p w14:paraId="4868AB49" w14:textId="5B876DD2" w:rsidR="00A1682B" w:rsidRDefault="00A1682B">
      <w:pPr>
        <w:pStyle w:val="FootnoteText"/>
      </w:pPr>
      <w:r>
        <w:rPr>
          <w:rStyle w:val="FootnoteReference"/>
        </w:rPr>
        <w:footnoteRef/>
      </w:r>
      <w:r>
        <w:t xml:space="preserve"> </w:t>
      </w:r>
      <w:r w:rsidRPr="00A1682B">
        <w:t>Sarah M.</w:t>
      </w:r>
      <w:r>
        <w:t xml:space="preserve"> </w:t>
      </w:r>
      <w:r w:rsidRPr="00A1682B">
        <w:t>Guérin,</w:t>
      </w:r>
      <w:r>
        <w:t xml:space="preserve"> ‘</w:t>
      </w:r>
      <w:r w:rsidRPr="00A1682B">
        <w:t>Tears of Compunction” French Gothic Ivories in Devotional Practice</w:t>
      </w:r>
      <w:r>
        <w:t xml:space="preserve">’, (unpublished doctoral thesis, </w:t>
      </w:r>
      <w:r w:rsidRPr="00A1682B">
        <w:t>University of Toron</w:t>
      </w:r>
      <w:r>
        <w:t>to, 2009) &lt;</w:t>
      </w:r>
      <w:hyperlink r:id="rId10" w:history="1">
        <w:r w:rsidRPr="0000552C">
          <w:rPr>
            <w:rStyle w:val="Hyperlink"/>
          </w:rPr>
          <w:t>https://utoronto.scholaris.ca/items/490dda9d-0313-49a4-878c-d89e049c2d53</w:t>
        </w:r>
      </w:hyperlink>
      <w:r>
        <w:t>&gt; [accessed 4 January 2026]</w:t>
      </w:r>
    </w:p>
  </w:footnote>
  <w:footnote w:id="14">
    <w:p w14:paraId="12505972" w14:textId="6FB0AD57" w:rsidR="00182B60" w:rsidRDefault="00182B60">
      <w:pPr>
        <w:pStyle w:val="FootnoteText"/>
      </w:pPr>
      <w:r>
        <w:rPr>
          <w:rStyle w:val="FootnoteReference"/>
        </w:rPr>
        <w:footnoteRef/>
      </w:r>
      <w:r>
        <w:t xml:space="preserve"> Hans Belting, </w:t>
      </w:r>
      <w:r w:rsidRPr="00182B60">
        <w:t>Likeness and Presence: A History of the Image Before the Era of Art</w:t>
      </w:r>
      <w:r>
        <w:t xml:space="preserve"> (University of Chicago Press, 1994) &lt;</w:t>
      </w:r>
      <w:hyperlink r:id="rId11" w:history="1">
        <w:r w:rsidRPr="00512032">
          <w:rPr>
            <w:rStyle w:val="Hyperlink"/>
          </w:rPr>
          <w:t>https://books.google.co.uk/books/about/Likeness_and_Presence.html?id=kuWm7jVWFiEC&amp;redir_esc=y</w:t>
        </w:r>
      </w:hyperlink>
      <w:r>
        <w:t>&gt; [accessed 5 January 2026]</w:t>
      </w:r>
    </w:p>
  </w:footnote>
  <w:footnote w:id="15">
    <w:p w14:paraId="2F1A739E" w14:textId="313A1EB3" w:rsidR="00642340" w:rsidRDefault="00642340">
      <w:pPr>
        <w:pStyle w:val="FootnoteText"/>
      </w:pPr>
      <w:r>
        <w:rPr>
          <w:rStyle w:val="FootnoteReference"/>
        </w:rPr>
        <w:footnoteRef/>
      </w:r>
      <w:r>
        <w:t xml:space="preserve"> Hans Belting, ‘</w:t>
      </w:r>
      <w:r w:rsidRPr="00642340">
        <w:t>Iconic Presence. Images in Religious Traditions</w:t>
      </w:r>
      <w:r>
        <w:t xml:space="preserve">’, </w:t>
      </w:r>
      <w:r w:rsidRPr="00642340">
        <w:rPr>
          <w:i/>
          <w:iCs/>
        </w:rPr>
        <w:t>Material Religion</w:t>
      </w:r>
      <w:r>
        <w:t xml:space="preserve"> (2016) pp. 235-237 </w:t>
      </w:r>
      <w:hyperlink r:id="rId12" w:history="1">
        <w:r w:rsidRPr="0000552C">
          <w:rPr>
            <w:rStyle w:val="Hyperlink"/>
          </w:rPr>
          <w:t>https://doi.org/10.1080/17432200.2016.1172769</w:t>
        </w:r>
      </w:hyperlink>
      <w:r>
        <w:t xml:space="preserve"> </w:t>
      </w:r>
      <w:r w:rsidR="001A61E7">
        <w:t>[</w:t>
      </w:r>
      <w:proofErr w:type="gramStart"/>
      <w:r w:rsidR="001A61E7">
        <w:t>accessed  January</w:t>
      </w:r>
      <w:proofErr w:type="gramEnd"/>
      <w:r w:rsidR="001A61E7">
        <w:t xml:space="preserve"> 2026]</w:t>
      </w:r>
    </w:p>
  </w:footnote>
  <w:footnote w:id="16">
    <w:p w14:paraId="1BE42C3F" w14:textId="22A63650" w:rsidR="004347D2" w:rsidRDefault="004347D2">
      <w:pPr>
        <w:pStyle w:val="FootnoteText"/>
      </w:pPr>
      <w:r>
        <w:rPr>
          <w:rStyle w:val="FootnoteReference"/>
        </w:rPr>
        <w:footnoteRef/>
      </w:r>
      <w:r>
        <w:t xml:space="preserve"> </w:t>
      </w:r>
      <w:r w:rsidRPr="004347D2">
        <w:t>Jaroslav Folda and Kathy Jo Wetter, </w:t>
      </w:r>
      <w:r w:rsidRPr="004347D2">
        <w:rPr>
          <w:i/>
          <w:iCs/>
        </w:rPr>
        <w:t>Review of</w:t>
      </w:r>
      <w:r w:rsidRPr="004347D2">
        <w:t> Hans Belting, </w:t>
      </w:r>
      <w:r w:rsidRPr="004347D2">
        <w:rPr>
          <w:i/>
          <w:iCs/>
        </w:rPr>
        <w:t>Likeness and Presence: A History of the Image before the Era of Art</w:t>
      </w:r>
      <w:r w:rsidRPr="004347D2">
        <w:t>, trans. by Edmund Jephcott (Chicago and London: University of Chicago Press, 1994), </w:t>
      </w:r>
      <w:r w:rsidRPr="004347D2">
        <w:rPr>
          <w:i/>
          <w:iCs/>
        </w:rPr>
        <w:t>The Medieval Review</w:t>
      </w:r>
      <w:r w:rsidRPr="004347D2">
        <w:t>(1995), </w:t>
      </w:r>
      <w:hyperlink r:id="rId13" w:tgtFrame="_new" w:history="1">
        <w:r w:rsidRPr="004347D2">
          <w:rPr>
            <w:rStyle w:val="Hyperlink"/>
          </w:rPr>
          <w:t>https://scholarworks.iu.edu/journals/index.php/tmr/article/view/14294</w:t>
        </w:r>
      </w:hyperlink>
      <w:r w:rsidRPr="004347D2">
        <w:t> [accessed 5 January 2026]</w:t>
      </w:r>
      <w:r>
        <w:t xml:space="preserve">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0D5643" w14:textId="720015FD" w:rsidR="009F5158" w:rsidRPr="009F5158" w:rsidRDefault="009F5158">
    <w:pPr>
      <w:pStyle w:val="Header"/>
      <w:rPr>
        <w:i/>
        <w:iCs/>
        <w:sz w:val="21"/>
        <w:szCs w:val="21"/>
      </w:rPr>
    </w:pPr>
    <w:r w:rsidRPr="009F5158">
      <w:rPr>
        <w:i/>
        <w:iCs/>
        <w:sz w:val="21"/>
        <w:szCs w:val="21"/>
      </w:rPr>
      <w:t>Image Commentary</w:t>
    </w:r>
    <w:r w:rsidR="00697B37">
      <w:rPr>
        <w:i/>
        <w:iCs/>
        <w:sz w:val="21"/>
        <w:szCs w:val="21"/>
      </w:rPr>
      <w:t xml:space="preserve">                                                               </w:t>
    </w:r>
    <w:r w:rsidRPr="009F5158">
      <w:rPr>
        <w:i/>
        <w:iCs/>
        <w:sz w:val="21"/>
        <w:szCs w:val="21"/>
      </w:rPr>
      <w:ptab w:relativeTo="margin" w:alignment="center" w:leader="none"/>
    </w:r>
    <w:r w:rsidRPr="009F5158">
      <w:rPr>
        <w:i/>
        <w:iCs/>
        <w:sz w:val="21"/>
        <w:szCs w:val="21"/>
      </w:rPr>
      <w:ptab w:relativeTo="margin" w:alignment="right" w:leader="none"/>
    </w:r>
    <w:r w:rsidRPr="009F5158">
      <w:rPr>
        <w:i/>
        <w:iCs/>
        <w:sz w:val="21"/>
        <w:szCs w:val="21"/>
      </w:rPr>
      <w:t>Megan Arthur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3A3"/>
    <w:rsid w:val="000025C1"/>
    <w:rsid w:val="00003B52"/>
    <w:rsid w:val="00012070"/>
    <w:rsid w:val="00013C99"/>
    <w:rsid w:val="000242D0"/>
    <w:rsid w:val="000244B0"/>
    <w:rsid w:val="000407FF"/>
    <w:rsid w:val="00062647"/>
    <w:rsid w:val="000657CC"/>
    <w:rsid w:val="00065A50"/>
    <w:rsid w:val="00070678"/>
    <w:rsid w:val="00074324"/>
    <w:rsid w:val="00076C19"/>
    <w:rsid w:val="00081BF6"/>
    <w:rsid w:val="0009302C"/>
    <w:rsid w:val="000B46A9"/>
    <w:rsid w:val="000B54AF"/>
    <w:rsid w:val="000B6FBB"/>
    <w:rsid w:val="000C0429"/>
    <w:rsid w:val="000E3846"/>
    <w:rsid w:val="000E57ED"/>
    <w:rsid w:val="000E5ED3"/>
    <w:rsid w:val="000E68D5"/>
    <w:rsid w:val="001073EB"/>
    <w:rsid w:val="00120256"/>
    <w:rsid w:val="00121E31"/>
    <w:rsid w:val="001224C8"/>
    <w:rsid w:val="001229F4"/>
    <w:rsid w:val="00127578"/>
    <w:rsid w:val="00127830"/>
    <w:rsid w:val="00130DE4"/>
    <w:rsid w:val="001317A0"/>
    <w:rsid w:val="00133D07"/>
    <w:rsid w:val="00134456"/>
    <w:rsid w:val="001525AE"/>
    <w:rsid w:val="00153327"/>
    <w:rsid w:val="001535FE"/>
    <w:rsid w:val="001576B3"/>
    <w:rsid w:val="00167E0E"/>
    <w:rsid w:val="00170EA8"/>
    <w:rsid w:val="001711BD"/>
    <w:rsid w:val="00182B60"/>
    <w:rsid w:val="001879B2"/>
    <w:rsid w:val="00194DC5"/>
    <w:rsid w:val="001A5A13"/>
    <w:rsid w:val="001A61E7"/>
    <w:rsid w:val="001B1BD7"/>
    <w:rsid w:val="001B63BE"/>
    <w:rsid w:val="001B6760"/>
    <w:rsid w:val="001C10C1"/>
    <w:rsid w:val="001D506D"/>
    <w:rsid w:val="001D7988"/>
    <w:rsid w:val="001E3AE3"/>
    <w:rsid w:val="001F0D60"/>
    <w:rsid w:val="001F361C"/>
    <w:rsid w:val="001F4DBE"/>
    <w:rsid w:val="00200F07"/>
    <w:rsid w:val="00202F38"/>
    <w:rsid w:val="002123EA"/>
    <w:rsid w:val="002206ED"/>
    <w:rsid w:val="0022315E"/>
    <w:rsid w:val="0025099A"/>
    <w:rsid w:val="002550A1"/>
    <w:rsid w:val="00257E4D"/>
    <w:rsid w:val="00264563"/>
    <w:rsid w:val="002808F0"/>
    <w:rsid w:val="00283CEA"/>
    <w:rsid w:val="002858AB"/>
    <w:rsid w:val="00285FAE"/>
    <w:rsid w:val="002939E8"/>
    <w:rsid w:val="002A3C88"/>
    <w:rsid w:val="002B10F6"/>
    <w:rsid w:val="002B48FB"/>
    <w:rsid w:val="002B5F96"/>
    <w:rsid w:val="002C4BC9"/>
    <w:rsid w:val="002D031A"/>
    <w:rsid w:val="002D0AF8"/>
    <w:rsid w:val="002D0DBC"/>
    <w:rsid w:val="002E5938"/>
    <w:rsid w:val="00306CE8"/>
    <w:rsid w:val="00311C04"/>
    <w:rsid w:val="00313437"/>
    <w:rsid w:val="003176EA"/>
    <w:rsid w:val="00344657"/>
    <w:rsid w:val="00346378"/>
    <w:rsid w:val="0036418A"/>
    <w:rsid w:val="00364774"/>
    <w:rsid w:val="003668C7"/>
    <w:rsid w:val="00374630"/>
    <w:rsid w:val="00381CF6"/>
    <w:rsid w:val="00390C1C"/>
    <w:rsid w:val="00394C40"/>
    <w:rsid w:val="0039507C"/>
    <w:rsid w:val="00396BEE"/>
    <w:rsid w:val="00397D31"/>
    <w:rsid w:val="003B394D"/>
    <w:rsid w:val="003B597A"/>
    <w:rsid w:val="003B6A98"/>
    <w:rsid w:val="003C7AF5"/>
    <w:rsid w:val="003D10C4"/>
    <w:rsid w:val="003D2F77"/>
    <w:rsid w:val="003E0D46"/>
    <w:rsid w:val="003E4B08"/>
    <w:rsid w:val="003F4A5A"/>
    <w:rsid w:val="003F65A7"/>
    <w:rsid w:val="0040216B"/>
    <w:rsid w:val="004114B9"/>
    <w:rsid w:val="00411B14"/>
    <w:rsid w:val="00424383"/>
    <w:rsid w:val="0042660E"/>
    <w:rsid w:val="00432C95"/>
    <w:rsid w:val="004347D2"/>
    <w:rsid w:val="00437080"/>
    <w:rsid w:val="00445A8D"/>
    <w:rsid w:val="004477B2"/>
    <w:rsid w:val="0045427E"/>
    <w:rsid w:val="004573AF"/>
    <w:rsid w:val="00464791"/>
    <w:rsid w:val="00474F67"/>
    <w:rsid w:val="00481972"/>
    <w:rsid w:val="0048289D"/>
    <w:rsid w:val="004A1102"/>
    <w:rsid w:val="004A1D11"/>
    <w:rsid w:val="004B7435"/>
    <w:rsid w:val="004C328F"/>
    <w:rsid w:val="004C3D51"/>
    <w:rsid w:val="004C5471"/>
    <w:rsid w:val="004C5BA5"/>
    <w:rsid w:val="004D3A3A"/>
    <w:rsid w:val="004D5AB4"/>
    <w:rsid w:val="0050009B"/>
    <w:rsid w:val="00500F2E"/>
    <w:rsid w:val="00504495"/>
    <w:rsid w:val="00507A5F"/>
    <w:rsid w:val="00511CA8"/>
    <w:rsid w:val="0051354F"/>
    <w:rsid w:val="00525FDC"/>
    <w:rsid w:val="00533C03"/>
    <w:rsid w:val="00544014"/>
    <w:rsid w:val="00550BFC"/>
    <w:rsid w:val="005517F8"/>
    <w:rsid w:val="005518B0"/>
    <w:rsid w:val="005532BE"/>
    <w:rsid w:val="00562D99"/>
    <w:rsid w:val="005732DC"/>
    <w:rsid w:val="005760F0"/>
    <w:rsid w:val="00580286"/>
    <w:rsid w:val="0058258B"/>
    <w:rsid w:val="00585409"/>
    <w:rsid w:val="00590EE8"/>
    <w:rsid w:val="00593A45"/>
    <w:rsid w:val="00593CFB"/>
    <w:rsid w:val="0059564A"/>
    <w:rsid w:val="00596F82"/>
    <w:rsid w:val="005C17F2"/>
    <w:rsid w:val="005D4828"/>
    <w:rsid w:val="006100B9"/>
    <w:rsid w:val="00613576"/>
    <w:rsid w:val="00617BE3"/>
    <w:rsid w:val="00623D14"/>
    <w:rsid w:val="00633F3C"/>
    <w:rsid w:val="0063578F"/>
    <w:rsid w:val="00641B6B"/>
    <w:rsid w:val="00642340"/>
    <w:rsid w:val="0064386D"/>
    <w:rsid w:val="006443F2"/>
    <w:rsid w:val="00644F15"/>
    <w:rsid w:val="00646386"/>
    <w:rsid w:val="00655A00"/>
    <w:rsid w:val="0066322E"/>
    <w:rsid w:val="006712C0"/>
    <w:rsid w:val="00697B37"/>
    <w:rsid w:val="006A1B7F"/>
    <w:rsid w:val="006B5F71"/>
    <w:rsid w:val="006C009F"/>
    <w:rsid w:val="006E11EF"/>
    <w:rsid w:val="006E39B5"/>
    <w:rsid w:val="006E5095"/>
    <w:rsid w:val="006E68CD"/>
    <w:rsid w:val="006F20E9"/>
    <w:rsid w:val="006F2759"/>
    <w:rsid w:val="0071150F"/>
    <w:rsid w:val="00713F33"/>
    <w:rsid w:val="00716BAF"/>
    <w:rsid w:val="007223CF"/>
    <w:rsid w:val="00726C3D"/>
    <w:rsid w:val="00751EA0"/>
    <w:rsid w:val="00757A86"/>
    <w:rsid w:val="00772738"/>
    <w:rsid w:val="00774905"/>
    <w:rsid w:val="00775CB1"/>
    <w:rsid w:val="00776778"/>
    <w:rsid w:val="00784B47"/>
    <w:rsid w:val="00787EF9"/>
    <w:rsid w:val="00791015"/>
    <w:rsid w:val="007A2D74"/>
    <w:rsid w:val="007A51C4"/>
    <w:rsid w:val="007A6664"/>
    <w:rsid w:val="007A68BE"/>
    <w:rsid w:val="007A6E1D"/>
    <w:rsid w:val="007B05B2"/>
    <w:rsid w:val="007B2878"/>
    <w:rsid w:val="007B3556"/>
    <w:rsid w:val="007B6CA6"/>
    <w:rsid w:val="007D41AD"/>
    <w:rsid w:val="007D6085"/>
    <w:rsid w:val="007E0CD3"/>
    <w:rsid w:val="007F4379"/>
    <w:rsid w:val="007F7CB5"/>
    <w:rsid w:val="0081552F"/>
    <w:rsid w:val="00824802"/>
    <w:rsid w:val="00825F8A"/>
    <w:rsid w:val="008320CC"/>
    <w:rsid w:val="008355D7"/>
    <w:rsid w:val="00842416"/>
    <w:rsid w:val="008433B9"/>
    <w:rsid w:val="00860187"/>
    <w:rsid w:val="0086463B"/>
    <w:rsid w:val="008732D4"/>
    <w:rsid w:val="00883F0E"/>
    <w:rsid w:val="00884445"/>
    <w:rsid w:val="00891717"/>
    <w:rsid w:val="008A4019"/>
    <w:rsid w:val="008A6598"/>
    <w:rsid w:val="008B1354"/>
    <w:rsid w:val="008C2C66"/>
    <w:rsid w:val="008C4610"/>
    <w:rsid w:val="008D5E08"/>
    <w:rsid w:val="008E1A0A"/>
    <w:rsid w:val="008E34AC"/>
    <w:rsid w:val="00900286"/>
    <w:rsid w:val="009003FD"/>
    <w:rsid w:val="0090080A"/>
    <w:rsid w:val="00913E45"/>
    <w:rsid w:val="00914822"/>
    <w:rsid w:val="009173C7"/>
    <w:rsid w:val="0091742C"/>
    <w:rsid w:val="00927AD1"/>
    <w:rsid w:val="009337F0"/>
    <w:rsid w:val="009353A3"/>
    <w:rsid w:val="00940B59"/>
    <w:rsid w:val="00957306"/>
    <w:rsid w:val="00960D24"/>
    <w:rsid w:val="00976081"/>
    <w:rsid w:val="009912B4"/>
    <w:rsid w:val="00992EC1"/>
    <w:rsid w:val="00997406"/>
    <w:rsid w:val="009A29B1"/>
    <w:rsid w:val="009A51EB"/>
    <w:rsid w:val="009B5077"/>
    <w:rsid w:val="009E14ED"/>
    <w:rsid w:val="009F5158"/>
    <w:rsid w:val="00A009F4"/>
    <w:rsid w:val="00A066C7"/>
    <w:rsid w:val="00A105DA"/>
    <w:rsid w:val="00A1682B"/>
    <w:rsid w:val="00A32305"/>
    <w:rsid w:val="00A34E9F"/>
    <w:rsid w:val="00A41B2D"/>
    <w:rsid w:val="00A42CAA"/>
    <w:rsid w:val="00A44B8E"/>
    <w:rsid w:val="00A46F84"/>
    <w:rsid w:val="00A5269F"/>
    <w:rsid w:val="00A619C4"/>
    <w:rsid w:val="00A6551A"/>
    <w:rsid w:val="00A677A3"/>
    <w:rsid w:val="00A7123B"/>
    <w:rsid w:val="00A84CC8"/>
    <w:rsid w:val="00A91393"/>
    <w:rsid w:val="00A92058"/>
    <w:rsid w:val="00A93577"/>
    <w:rsid w:val="00A94B7A"/>
    <w:rsid w:val="00AA69F2"/>
    <w:rsid w:val="00AB1960"/>
    <w:rsid w:val="00AC1509"/>
    <w:rsid w:val="00AC4462"/>
    <w:rsid w:val="00AD4C60"/>
    <w:rsid w:val="00AF0447"/>
    <w:rsid w:val="00AF2926"/>
    <w:rsid w:val="00AF708C"/>
    <w:rsid w:val="00B02816"/>
    <w:rsid w:val="00B11D09"/>
    <w:rsid w:val="00B27614"/>
    <w:rsid w:val="00B34441"/>
    <w:rsid w:val="00B44A51"/>
    <w:rsid w:val="00B50364"/>
    <w:rsid w:val="00B574C1"/>
    <w:rsid w:val="00B603A6"/>
    <w:rsid w:val="00B60A0F"/>
    <w:rsid w:val="00B731A5"/>
    <w:rsid w:val="00B73702"/>
    <w:rsid w:val="00B95F95"/>
    <w:rsid w:val="00BB6CCC"/>
    <w:rsid w:val="00BC5063"/>
    <w:rsid w:val="00BD6C68"/>
    <w:rsid w:val="00BE185A"/>
    <w:rsid w:val="00BE50F6"/>
    <w:rsid w:val="00BE5968"/>
    <w:rsid w:val="00C10859"/>
    <w:rsid w:val="00C46368"/>
    <w:rsid w:val="00C51D12"/>
    <w:rsid w:val="00C623B5"/>
    <w:rsid w:val="00C7174D"/>
    <w:rsid w:val="00C7292C"/>
    <w:rsid w:val="00C77449"/>
    <w:rsid w:val="00C846D1"/>
    <w:rsid w:val="00C9006D"/>
    <w:rsid w:val="00CA2E99"/>
    <w:rsid w:val="00CB1811"/>
    <w:rsid w:val="00CD297A"/>
    <w:rsid w:val="00CD2FA1"/>
    <w:rsid w:val="00CD5C39"/>
    <w:rsid w:val="00CE10DE"/>
    <w:rsid w:val="00D0407F"/>
    <w:rsid w:val="00D21D26"/>
    <w:rsid w:val="00D2323A"/>
    <w:rsid w:val="00D23DAD"/>
    <w:rsid w:val="00D24AEE"/>
    <w:rsid w:val="00D31C84"/>
    <w:rsid w:val="00D35480"/>
    <w:rsid w:val="00D421EE"/>
    <w:rsid w:val="00D42801"/>
    <w:rsid w:val="00D43051"/>
    <w:rsid w:val="00D4331E"/>
    <w:rsid w:val="00D462FC"/>
    <w:rsid w:val="00D47489"/>
    <w:rsid w:val="00D5230C"/>
    <w:rsid w:val="00D53A3D"/>
    <w:rsid w:val="00D642EC"/>
    <w:rsid w:val="00DA49AB"/>
    <w:rsid w:val="00DB04CB"/>
    <w:rsid w:val="00DD2703"/>
    <w:rsid w:val="00DD3622"/>
    <w:rsid w:val="00DE3311"/>
    <w:rsid w:val="00DF1DCC"/>
    <w:rsid w:val="00DF5AC2"/>
    <w:rsid w:val="00E05266"/>
    <w:rsid w:val="00E05D4D"/>
    <w:rsid w:val="00E06F30"/>
    <w:rsid w:val="00E17F00"/>
    <w:rsid w:val="00E20488"/>
    <w:rsid w:val="00E26761"/>
    <w:rsid w:val="00E2741D"/>
    <w:rsid w:val="00E33494"/>
    <w:rsid w:val="00E43B2A"/>
    <w:rsid w:val="00E441D6"/>
    <w:rsid w:val="00E53B1C"/>
    <w:rsid w:val="00E62DBA"/>
    <w:rsid w:val="00E719F7"/>
    <w:rsid w:val="00E902CC"/>
    <w:rsid w:val="00EB3360"/>
    <w:rsid w:val="00EC3D51"/>
    <w:rsid w:val="00EE34A1"/>
    <w:rsid w:val="00F04DCC"/>
    <w:rsid w:val="00F06BDD"/>
    <w:rsid w:val="00F12B65"/>
    <w:rsid w:val="00F14B45"/>
    <w:rsid w:val="00F234E5"/>
    <w:rsid w:val="00F362B0"/>
    <w:rsid w:val="00F4097F"/>
    <w:rsid w:val="00F40E2A"/>
    <w:rsid w:val="00F40F67"/>
    <w:rsid w:val="00F52777"/>
    <w:rsid w:val="00F61135"/>
    <w:rsid w:val="00F62B2E"/>
    <w:rsid w:val="00F6388F"/>
    <w:rsid w:val="00F6729B"/>
    <w:rsid w:val="00F83C49"/>
    <w:rsid w:val="00FA51C0"/>
    <w:rsid w:val="00FA7F51"/>
    <w:rsid w:val="00FB1F6E"/>
    <w:rsid w:val="00FB4793"/>
    <w:rsid w:val="00FB5A97"/>
    <w:rsid w:val="00FC6E5A"/>
    <w:rsid w:val="00FD2A82"/>
    <w:rsid w:val="00FD42B5"/>
    <w:rsid w:val="00FE0DF6"/>
    <w:rsid w:val="00FE4D72"/>
    <w:rsid w:val="00FE50B8"/>
    <w:rsid w:val="00FF30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76FC0"/>
  <w15:chartTrackingRefBased/>
  <w15:docId w15:val="{D69A11EA-A995-B343-9370-E9BFD7E49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53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53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53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53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53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53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53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53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53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53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53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53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53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53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53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53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53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53A3"/>
    <w:rPr>
      <w:rFonts w:eastAsiaTheme="majorEastAsia" w:cstheme="majorBidi"/>
      <w:color w:val="272727" w:themeColor="text1" w:themeTint="D8"/>
    </w:rPr>
  </w:style>
  <w:style w:type="paragraph" w:styleId="Title">
    <w:name w:val="Title"/>
    <w:basedOn w:val="Normal"/>
    <w:next w:val="Normal"/>
    <w:link w:val="TitleChar"/>
    <w:uiPriority w:val="10"/>
    <w:qFormat/>
    <w:rsid w:val="009353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3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53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53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53A3"/>
    <w:pPr>
      <w:spacing w:before="160"/>
      <w:jc w:val="center"/>
    </w:pPr>
    <w:rPr>
      <w:i/>
      <w:iCs/>
      <w:color w:val="404040" w:themeColor="text1" w:themeTint="BF"/>
    </w:rPr>
  </w:style>
  <w:style w:type="character" w:customStyle="1" w:styleId="QuoteChar">
    <w:name w:val="Quote Char"/>
    <w:basedOn w:val="DefaultParagraphFont"/>
    <w:link w:val="Quote"/>
    <w:uiPriority w:val="29"/>
    <w:rsid w:val="009353A3"/>
    <w:rPr>
      <w:i/>
      <w:iCs/>
      <w:color w:val="404040" w:themeColor="text1" w:themeTint="BF"/>
    </w:rPr>
  </w:style>
  <w:style w:type="paragraph" w:styleId="ListParagraph">
    <w:name w:val="List Paragraph"/>
    <w:basedOn w:val="Normal"/>
    <w:uiPriority w:val="34"/>
    <w:qFormat/>
    <w:rsid w:val="009353A3"/>
    <w:pPr>
      <w:ind w:left="720"/>
      <w:contextualSpacing/>
    </w:pPr>
  </w:style>
  <w:style w:type="character" w:styleId="IntenseEmphasis">
    <w:name w:val="Intense Emphasis"/>
    <w:basedOn w:val="DefaultParagraphFont"/>
    <w:uiPriority w:val="21"/>
    <w:qFormat/>
    <w:rsid w:val="009353A3"/>
    <w:rPr>
      <w:i/>
      <w:iCs/>
      <w:color w:val="0F4761" w:themeColor="accent1" w:themeShade="BF"/>
    </w:rPr>
  </w:style>
  <w:style w:type="paragraph" w:styleId="IntenseQuote">
    <w:name w:val="Intense Quote"/>
    <w:basedOn w:val="Normal"/>
    <w:next w:val="Normal"/>
    <w:link w:val="IntenseQuoteChar"/>
    <w:uiPriority w:val="30"/>
    <w:qFormat/>
    <w:rsid w:val="009353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53A3"/>
    <w:rPr>
      <w:i/>
      <w:iCs/>
      <w:color w:val="0F4761" w:themeColor="accent1" w:themeShade="BF"/>
    </w:rPr>
  </w:style>
  <w:style w:type="character" w:styleId="IntenseReference">
    <w:name w:val="Intense Reference"/>
    <w:basedOn w:val="DefaultParagraphFont"/>
    <w:uiPriority w:val="32"/>
    <w:qFormat/>
    <w:rsid w:val="009353A3"/>
    <w:rPr>
      <w:b/>
      <w:bCs/>
      <w:smallCaps/>
      <w:color w:val="0F4761" w:themeColor="accent1" w:themeShade="BF"/>
      <w:spacing w:val="5"/>
    </w:rPr>
  </w:style>
  <w:style w:type="character" w:styleId="Hyperlink">
    <w:name w:val="Hyperlink"/>
    <w:basedOn w:val="DefaultParagraphFont"/>
    <w:uiPriority w:val="99"/>
    <w:unhideWhenUsed/>
    <w:rsid w:val="009353A3"/>
    <w:rPr>
      <w:color w:val="467886" w:themeColor="hyperlink"/>
      <w:u w:val="single"/>
    </w:rPr>
  </w:style>
  <w:style w:type="character" w:styleId="UnresolvedMention">
    <w:name w:val="Unresolved Mention"/>
    <w:basedOn w:val="DefaultParagraphFont"/>
    <w:uiPriority w:val="99"/>
    <w:semiHidden/>
    <w:unhideWhenUsed/>
    <w:rsid w:val="009353A3"/>
    <w:rPr>
      <w:color w:val="605E5C"/>
      <w:shd w:val="clear" w:color="auto" w:fill="E1DFDD"/>
    </w:rPr>
  </w:style>
  <w:style w:type="character" w:customStyle="1" w:styleId="apple-converted-space">
    <w:name w:val="apple-converted-space"/>
    <w:basedOn w:val="DefaultParagraphFont"/>
    <w:rsid w:val="009353A3"/>
  </w:style>
  <w:style w:type="character" w:customStyle="1" w:styleId="delimiter-margin-left">
    <w:name w:val="delimiter-margin-left"/>
    <w:basedOn w:val="DefaultParagraphFont"/>
    <w:rsid w:val="009353A3"/>
  </w:style>
  <w:style w:type="paragraph" w:styleId="Header">
    <w:name w:val="header"/>
    <w:basedOn w:val="Normal"/>
    <w:link w:val="HeaderChar"/>
    <w:uiPriority w:val="99"/>
    <w:unhideWhenUsed/>
    <w:rsid w:val="009F5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158"/>
  </w:style>
  <w:style w:type="paragraph" w:styleId="Footer">
    <w:name w:val="footer"/>
    <w:basedOn w:val="Normal"/>
    <w:link w:val="FooterChar"/>
    <w:uiPriority w:val="99"/>
    <w:unhideWhenUsed/>
    <w:rsid w:val="009F51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158"/>
  </w:style>
  <w:style w:type="character" w:styleId="PageNumber">
    <w:name w:val="page number"/>
    <w:basedOn w:val="DefaultParagraphFont"/>
    <w:uiPriority w:val="99"/>
    <w:semiHidden/>
    <w:unhideWhenUsed/>
    <w:rsid w:val="009F5158"/>
  </w:style>
  <w:style w:type="paragraph" w:styleId="FootnoteText">
    <w:name w:val="footnote text"/>
    <w:basedOn w:val="Normal"/>
    <w:link w:val="FootnoteTextChar"/>
    <w:uiPriority w:val="99"/>
    <w:semiHidden/>
    <w:unhideWhenUsed/>
    <w:rsid w:val="004573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573AF"/>
    <w:rPr>
      <w:sz w:val="20"/>
      <w:szCs w:val="20"/>
    </w:rPr>
  </w:style>
  <w:style w:type="character" w:styleId="FootnoteReference">
    <w:name w:val="footnote reference"/>
    <w:basedOn w:val="DefaultParagraphFont"/>
    <w:uiPriority w:val="99"/>
    <w:semiHidden/>
    <w:unhideWhenUsed/>
    <w:rsid w:val="004573AF"/>
    <w:rPr>
      <w:vertAlign w:val="superscript"/>
    </w:rPr>
  </w:style>
  <w:style w:type="paragraph" w:styleId="EndnoteText">
    <w:name w:val="endnote text"/>
    <w:basedOn w:val="Normal"/>
    <w:link w:val="EndnoteTextChar"/>
    <w:uiPriority w:val="99"/>
    <w:semiHidden/>
    <w:unhideWhenUsed/>
    <w:rsid w:val="004573A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573AF"/>
    <w:rPr>
      <w:sz w:val="20"/>
      <w:szCs w:val="20"/>
    </w:rPr>
  </w:style>
  <w:style w:type="character" w:styleId="EndnoteReference">
    <w:name w:val="endnote reference"/>
    <w:basedOn w:val="DefaultParagraphFont"/>
    <w:uiPriority w:val="99"/>
    <w:semiHidden/>
    <w:unhideWhenUsed/>
    <w:rsid w:val="004573A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ritannica.com/topic/diptych" TargetMode="External"/><Relationship Id="rId18" Type="http://schemas.openxmlformats.org/officeDocument/2006/relationships/hyperlink" Target="https://utoronto.scholaris.ca/items/490dda9d-0313-49a4-878c-d89e049c2d53" TargetMode="External"/><Relationship Id="rId26" Type="http://schemas.openxmlformats.org/officeDocument/2006/relationships/hyperlink" Target="https://www.academia.edu/31890029/Diptychs_and_Supplicants_Precedents_and_Contexts_of_Fifteenth_Century_Devotional_Diptychs_in_Essays_in_Context_Unfolding_the_Netherlandish_Diptych_eds_John_Oliver_Hand_and_Ron_Spronk_Cambridge_Harvard_University_Art_Museums_New_Haven_and_London_Yale_University_Press_2006_pp_14_31?source=swp_share" TargetMode="External"/><Relationship Id="rId3" Type="http://schemas.openxmlformats.org/officeDocument/2006/relationships/settings" Target="settings.xml"/><Relationship Id="rId21" Type="http://schemas.openxmlformats.org/officeDocument/2006/relationships/hyperlink" Target="https://archive.org/details/imagesinivorypre0000unse"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metmuseum.org/essays/the-age-of-saint-louis-1226-1270" TargetMode="External"/><Relationship Id="rId17" Type="http://schemas.openxmlformats.org/officeDocument/2006/relationships/hyperlink" Target="https://www-fulcrum-org.ezproxy.uwtsd.ac.uk/concern/monographs/p8418n46q" TargetMode="External"/><Relationship Id="rId25" Type="http://schemas.openxmlformats.org/officeDocument/2006/relationships/hyperlink" Target="https://archive.org/details/artofdevotioninl1994oshw/page/n7/mode/2up"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scholarworks.iu.edu/journals/index.php/tmr/article/view/14294?utm_source=chatgpt.com" TargetMode="External"/><Relationship Id="rId20" Type="http://schemas.openxmlformats.org/officeDocument/2006/relationships/hyperlink" Target="https://doi.org/10.1093/isle/iss087" TargetMode="External"/><Relationship Id="rId29" Type="http://schemas.openxmlformats.org/officeDocument/2006/relationships/hyperlink" Target="https://doi.org/10.1017/S174002280900315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uk/books/about/Likeness_and_Presence.html?id=kuWm7jVWFiEC&amp;redir_esc=y" TargetMode="External"/><Relationship Id="rId24" Type="http://schemas.openxmlformats.org/officeDocument/2006/relationships/hyperlink" Target="https://doi.org/10.3390/rel13111098"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books.google.co.uk/books/about/The_Oxford_Dictionary_of_Art_and_Artists.html?id=WYaRX58a0_IC&amp;redir_esc=y" TargetMode="External"/><Relationship Id="rId23" Type="http://schemas.openxmlformats.org/officeDocument/2006/relationships/hyperlink" Target="https://libkey.io/libraries/1422/openurl?ctx_ver=Z39.88-2004&amp;ctx_enc=info:ofi/enc:UTF-8&amp;rfr_id=info:sid/ProQuest&amp;rft_val_fmt=journal&amp;rft.genre=article&amp;rft.jtitle=Religions&amp;rft.atitle=Virgin+Mary+as+the+%2526ldquo%253BGate+of+Heaven%2526rdquo%253B+with+Angelic+Musicians+in+the+Doorway+of+the+Apostles+at+the+Cathedral+of+Valencia&amp;rft.au=Montiel+Segu%25C3%25AD.&amp;rft.aulast=Montiel+Segu%25C3%25AD&amp;rft.aufirst=&amp;rft.date=2022-01-01&amp;rft.volume=13&amp;rft.issue=11&amp;rft.spage=1098&amp;rft.isbn=&amp;rft.btitle=&amp;rft.title=Religions&amp;rft.issn=&amp;rft_id=info:doi/10.3390%252Frel13111098" TargetMode="External"/><Relationship Id="rId28" Type="http://schemas.openxmlformats.org/officeDocument/2006/relationships/hyperlink" Target="https://libkey.io/libraries/1422/openurl?ctx_ver=Z39.88-2004&amp;ctx_enc=info:ofi/enc:UTF-8&amp;rfr_id=info:sid/ProQuest&amp;rft_val_fmt=journal&amp;rft.genre=article&amp;rft.jtitle=Journal+of+Global+History&amp;rft.atitle=Desirable+teeth%253A+the+medieval+trade+in+Arctic+and+African+ivory&amp;rft.au=Seaver%252C+Kirsten+A.&amp;rft.aulast=Seaver&amp;rft.aufirst=Kirsten&amp;rft.date=2009-07-01&amp;rft.volume=4&amp;rft.issue=2&amp;rft.spage=271&amp;rft.isbn=&amp;rft.btitle=&amp;rft.title=Journal+of+Global+History&amp;rft.issn=17400228&amp;rft_id=info:doi/10.1017%252FS1740022809003155" TargetMode="External"/><Relationship Id="rId10" Type="http://schemas.openxmlformats.org/officeDocument/2006/relationships/hyperlink" Target="https://doi.org/10.1080/17432200.2016.1172769" TargetMode="External"/><Relationship Id="rId19" Type="http://schemas.openxmlformats.org/officeDocument/2006/relationships/hyperlink" Target="https://www.metmuseum.org/essays/ivory-carving-in-the-gothic-era-13th-15th-centuries?utm_source=chatgpt.com"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metmuseum.org/art/collection/search/471975" TargetMode="External"/><Relationship Id="rId14" Type="http://schemas.openxmlformats.org/officeDocument/2006/relationships/hyperlink" Target="https://www.metmuseum.org/essays/gothic-art" TargetMode="External"/><Relationship Id="rId22" Type="http://schemas.openxmlformats.org/officeDocument/2006/relationships/hyperlink" Target="https://www.proquest.com/scholarly-journals/virgin-mary-as-gate-heaven-with-angelic-musicians/docview/2748373098/se-2?accountid=130472" TargetMode="External"/><Relationship Id="rId27" Type="http://schemas.openxmlformats.org/officeDocument/2006/relationships/hyperlink" Target="https://www.proquest.com/scholarly-journals/desirable-teeth-medieval-trade-arctic-african/docview/229040165/se-2?accountid=130472" TargetMode="External"/><Relationship Id="rId30" Type="http://schemas.openxmlformats.org/officeDocument/2006/relationships/hyperlink" Target="https://www.metmuseum.org/art/collection/search/471975" TargetMode="External"/><Relationship Id="rId35" Type="http://schemas.openxmlformats.org/officeDocument/2006/relationships/theme" Target="theme/theme1.xml"/><Relationship Id="rId8" Type="http://schemas.openxmlformats.org/officeDocument/2006/relationships/hyperlink" Target="https://www.metmuseum.org/art/collection/search/471975"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archive.org/details/visibleexportsim0000emil/page/210/mode/2up?q=sorrows" TargetMode="External"/><Relationship Id="rId13" Type="http://schemas.openxmlformats.org/officeDocument/2006/relationships/hyperlink" Target="https://scholarworks.iu.edu/journals/index.php/tmr/article/view/14294?utm_source=chatgpt.com" TargetMode="External"/><Relationship Id="rId3" Type="http://schemas.openxmlformats.org/officeDocument/2006/relationships/hyperlink" Target="https://www.academia.edu/31890029/Diptychs_and_Supplicants_Precedents_and_Contexts_of_Fifteenth_Century_Devotional_Diptychs_in_Essays_in_Context_Unfolding_the_Netherlandish_Diptych_eds_John_Oliver_Hand_and_Ron_Spronk_Cambridge_Harvard_University_Art_Museums_New_Haven_and_London_Yale_University_Press_2006_pp_14_31?source=swp_share" TargetMode="External"/><Relationship Id="rId7" Type="http://schemas.openxmlformats.org/officeDocument/2006/relationships/hyperlink" Target="https://archive.org/details/symbolisminlitur00appl/page/48/mode/2up?q=passion" TargetMode="External"/><Relationship Id="rId12" Type="http://schemas.openxmlformats.org/officeDocument/2006/relationships/hyperlink" Target="https://doi.org/10.1080/17432200.2016.1172769" TargetMode="External"/><Relationship Id="rId2" Type="http://schemas.openxmlformats.org/officeDocument/2006/relationships/hyperlink" Target="https://www.britannica.com/topic/diptych" TargetMode="External"/><Relationship Id="rId1" Type="http://schemas.openxmlformats.org/officeDocument/2006/relationships/hyperlink" Target="https://books.google.co.uk/books/about/The_Oxford_Dictionary_of_Art_and_Artists.html?id=WYaRX58a0_IC&amp;redir_esc=y" TargetMode="External"/><Relationship Id="rId6" Type="http://schemas.openxmlformats.org/officeDocument/2006/relationships/hyperlink" Target="https://archive.org/details/imagesinivorypre0000unse/page/131/mode/1up?q=ladder" TargetMode="External"/><Relationship Id="rId11" Type="http://schemas.openxmlformats.org/officeDocument/2006/relationships/hyperlink" Target="https://books.google.co.uk/books/about/Likeness_and_Presence.html?id=kuWm7jVWFiEC&amp;redir_esc=y" TargetMode="External"/><Relationship Id="rId5" Type="http://schemas.openxmlformats.org/officeDocument/2006/relationships/hyperlink" Target="https://www-fulcrum-org.ezproxy.uwtsd.ac.uk/concern/monographs/p8418n46q" TargetMode="External"/><Relationship Id="rId10" Type="http://schemas.openxmlformats.org/officeDocument/2006/relationships/hyperlink" Target="https://utoronto.scholaris.ca/items/490dda9d-0313-49a4-878c-d89e049c2d53" TargetMode="External"/><Relationship Id="rId4" Type="http://schemas.openxmlformats.org/officeDocument/2006/relationships/hyperlink" Target="https://www.metmuseum.org/art/collection/search/471975" TargetMode="External"/><Relationship Id="rId9" Type="http://schemas.openxmlformats.org/officeDocument/2006/relationships/hyperlink" Target="https://archive.org/details/artofdevotioninl1994oshw/page/n7/mode/2u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2D6040-6FD3-8C4A-B025-2571372C39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556</TotalTime>
  <Pages>10</Pages>
  <Words>2984</Words>
  <Characters>17015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Leora Arthur (2507031)</dc:creator>
  <cp:keywords/>
  <dc:description/>
  <cp:lastModifiedBy>Megan Leora Arthur (2507031)</cp:lastModifiedBy>
  <cp:revision>536</cp:revision>
  <dcterms:created xsi:type="dcterms:W3CDTF">2025-12-29T17:32:00Z</dcterms:created>
  <dcterms:modified xsi:type="dcterms:W3CDTF">2026-01-08T14:57:00Z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ef9da7551f6019985364e0b07c10e31ffa620dcb11d745d6c72b6adb4e1f0723</vt:lpwstr>
  </property>
</Properties>
</file>