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757" w:rsidRDefault="005912AB" w:rsidP="005912AB">
      <w:pPr>
        <w:rPr>
          <w:b/>
          <w:sz w:val="28"/>
        </w:rPr>
      </w:pPr>
      <w:r w:rsidRPr="005912AB">
        <w:rPr>
          <w:b/>
          <w:sz w:val="28"/>
        </w:rPr>
        <w:t>Component 1:</w:t>
      </w:r>
    </w:p>
    <w:p w:rsidR="005912AB" w:rsidRDefault="005912AB" w:rsidP="005912AB">
      <w:pPr>
        <w:jc w:val="both"/>
        <w:rPr>
          <w:sz w:val="24"/>
        </w:rPr>
      </w:pPr>
      <w:r>
        <w:rPr>
          <w:sz w:val="24"/>
        </w:rPr>
        <w:t>There is an expanding body of literature which suggests growing support for the potential of neuroscience to augment learning (Master et al, 2016, Frederickson et al, 2013) following significant developments in the scientific study of the human brain in the 21</w:t>
      </w:r>
      <w:r w:rsidRPr="005912AB">
        <w:rPr>
          <w:sz w:val="24"/>
          <w:vertAlign w:val="superscript"/>
        </w:rPr>
        <w:t>st</w:t>
      </w:r>
      <w:r>
        <w:rPr>
          <w:sz w:val="24"/>
        </w:rPr>
        <w:t xml:space="preserve"> century (Ansari et al, 2011).  Aldrich (2013) charts the evolution of neuroscience in recent years leading to the concept of neuroplasticity which relates to the brain’s capacity to adapt to changing circumstances.  </w:t>
      </w:r>
      <w:r w:rsidR="00F57C00">
        <w:rPr>
          <w:sz w:val="24"/>
        </w:rPr>
        <w:t xml:space="preserve">Eysenck and Keane (2015: 535) refer to the concept of plasticity as ‘changes in structure and function of the brain that affect behaviour and that are related to experience or training’. </w:t>
      </w:r>
      <w:r>
        <w:rPr>
          <w:sz w:val="24"/>
        </w:rPr>
        <w:t xml:space="preserve">  </w:t>
      </w:r>
      <w:r w:rsidR="00323134" w:rsidRPr="003873EC">
        <w:rPr>
          <w:sz w:val="24"/>
        </w:rPr>
        <w:t xml:space="preserve">Accepting this, </w:t>
      </w:r>
      <w:proofErr w:type="spellStart"/>
      <w:r w:rsidR="00323134">
        <w:rPr>
          <w:sz w:val="24"/>
        </w:rPr>
        <w:t>Hohnen</w:t>
      </w:r>
      <w:proofErr w:type="spellEnd"/>
      <w:r w:rsidR="00323134">
        <w:rPr>
          <w:sz w:val="24"/>
        </w:rPr>
        <w:t xml:space="preserve"> and Murphy (2016: 78) report that the brain </w:t>
      </w:r>
      <w:r w:rsidR="004937BB">
        <w:rPr>
          <w:sz w:val="24"/>
        </w:rPr>
        <w:t>h</w:t>
      </w:r>
      <w:r w:rsidR="00323134">
        <w:rPr>
          <w:sz w:val="24"/>
        </w:rPr>
        <w:t xml:space="preserve">as a period of ‘developmental plasticity’ during the first 25 years of life where there is an increased receptiveness to learn new skills within an optimum environment.  Similarly, Rees et al (2016: 8) claim, in their review of literature, that the ‘childhood brain is now widely </w:t>
      </w:r>
      <w:r w:rsidR="009F3B37">
        <w:rPr>
          <w:sz w:val="24"/>
        </w:rPr>
        <w:t xml:space="preserve">viewed as both structurally </w:t>
      </w:r>
      <w:r w:rsidR="00323134">
        <w:rPr>
          <w:sz w:val="24"/>
        </w:rPr>
        <w:t>and functionally dynamic’ with recent research demonstrating that the brain is constantly changing and can be influenced by experiences.  On these grounds, it is not surprising that interest has grown in terms of possible links bet</w:t>
      </w:r>
      <w:r w:rsidR="003873EC">
        <w:rPr>
          <w:sz w:val="24"/>
        </w:rPr>
        <w:t xml:space="preserve">ween neuroscience and education with sophisticated brain-imaging tools allowing researchers to study the brain and transform our comprehension of how we </w:t>
      </w:r>
      <w:proofErr w:type="gramStart"/>
      <w:r w:rsidR="003873EC">
        <w:rPr>
          <w:sz w:val="24"/>
        </w:rPr>
        <w:t>learn</w:t>
      </w:r>
      <w:proofErr w:type="gramEnd"/>
      <w:r w:rsidR="003873EC">
        <w:rPr>
          <w:sz w:val="24"/>
        </w:rPr>
        <w:t xml:space="preserve"> (Van Dam, 2013).  </w:t>
      </w:r>
    </w:p>
    <w:p w:rsidR="00323134" w:rsidRDefault="009F3B37" w:rsidP="005912AB">
      <w:pPr>
        <w:jc w:val="both"/>
        <w:rPr>
          <w:sz w:val="24"/>
        </w:rPr>
      </w:pPr>
      <w:r>
        <w:rPr>
          <w:sz w:val="24"/>
        </w:rPr>
        <w:t>The foregoing discussion suggests that there may be compelling reasons for neuroscientists and educators to form partnerships whereby ‘scientific findings can help educators choose more effective ways to teach their students, including re</w:t>
      </w:r>
      <w:r w:rsidR="00D87E9C">
        <w:rPr>
          <w:sz w:val="24"/>
        </w:rPr>
        <w:t xml:space="preserve">cognition of the way social and </w:t>
      </w:r>
      <w:r>
        <w:rPr>
          <w:sz w:val="24"/>
        </w:rPr>
        <w:t xml:space="preserve">emotional factors influence learning and cognition’ (Masters et al, 2017: 194). Ansari et al (2011: 41) lend support to this desire and call for teachers to become ‘neuroscience literate’ and cognitive scientists to become ‘education literate’.  </w:t>
      </w:r>
      <w:r w:rsidR="00610425">
        <w:rPr>
          <w:sz w:val="24"/>
        </w:rPr>
        <w:t>Widely popularised throughout the ‘decade of the brain’ in the 1990s and into the 21</w:t>
      </w:r>
      <w:r w:rsidR="00610425" w:rsidRPr="009F3B37">
        <w:rPr>
          <w:sz w:val="24"/>
          <w:vertAlign w:val="superscript"/>
        </w:rPr>
        <w:t>st</w:t>
      </w:r>
      <w:r w:rsidR="00610425">
        <w:rPr>
          <w:sz w:val="24"/>
        </w:rPr>
        <w:t xml:space="preserve"> century, cognitive neuroscience generated great hopes for a revolution in education and inspired a growing industry of so-called ‘brain based learning’ products that proposed specific pedagogical approaches (Ansari et al, 2011).   However, p</w:t>
      </w:r>
      <w:r>
        <w:rPr>
          <w:sz w:val="24"/>
        </w:rPr>
        <w:t xml:space="preserve">rior to discussing how understandings about how cognitive neuroscience may positively impact on learning within an educational setting it is necessary to address perceived obstacles between the two philosophical standpoints which may inhibit successful implementation of interventions.  </w:t>
      </w:r>
    </w:p>
    <w:p w:rsidR="009F3B37" w:rsidRDefault="00610425" w:rsidP="005912AB">
      <w:pPr>
        <w:jc w:val="both"/>
        <w:rPr>
          <w:sz w:val="24"/>
        </w:rPr>
      </w:pPr>
      <w:r>
        <w:rPr>
          <w:sz w:val="24"/>
        </w:rPr>
        <w:t xml:space="preserve">Frederickson et al (2013: 135) cite the work of Geake (2008) in exposing ‘neuro-myths’ in education which are ‘incorrect beliefs about the brain’ such as the work on preferred learning styles – visual, auditory and kinaesthetic – which are unsupported by science.  Similarly, </w:t>
      </w:r>
      <w:proofErr w:type="spellStart"/>
      <w:r>
        <w:rPr>
          <w:sz w:val="24"/>
        </w:rPr>
        <w:t>Hohnen</w:t>
      </w:r>
      <w:proofErr w:type="spellEnd"/>
      <w:r>
        <w:rPr>
          <w:sz w:val="24"/>
        </w:rPr>
        <w:t xml:space="preserve"> and Murphy (2016) draw </w:t>
      </w:r>
      <w:r w:rsidR="000C6274">
        <w:rPr>
          <w:sz w:val="24"/>
        </w:rPr>
        <w:t>up</w:t>
      </w:r>
      <w:r>
        <w:rPr>
          <w:sz w:val="24"/>
        </w:rPr>
        <w:t xml:space="preserve">on examples of neuro-myths cited by Dekker et al (2012) and Howard-Jones (2014) which include the belief that people only use 10% of their brain and interventions such as the popular Brain Gym programme.  Furthermore, the authors highlight Geake’s (2008) caution against over-simplifying neuroscience and drawing inaccurate conclusions about brain changes resulting from </w:t>
      </w:r>
      <w:r w:rsidR="00823BB7">
        <w:rPr>
          <w:sz w:val="24"/>
        </w:rPr>
        <w:t>interventions given the present</w:t>
      </w:r>
      <w:r>
        <w:rPr>
          <w:sz w:val="24"/>
        </w:rPr>
        <w:t xml:space="preserve"> low level of knowledge and understanding about learning and the brain.  </w:t>
      </w:r>
      <w:r w:rsidR="00C3154C">
        <w:rPr>
          <w:sz w:val="24"/>
        </w:rPr>
        <w:t xml:space="preserve">Indeed, Rees, Booth and Jones (2016) report that neuroscientists have worked diligently to counter the damage done by such neuro-myths and to address the void between neuroscientific findings and effective classroom practice.  </w:t>
      </w:r>
    </w:p>
    <w:p w:rsidR="00C3154C" w:rsidRDefault="0072021E" w:rsidP="005912AB">
      <w:pPr>
        <w:jc w:val="both"/>
        <w:rPr>
          <w:sz w:val="24"/>
        </w:rPr>
      </w:pPr>
      <w:r>
        <w:rPr>
          <w:sz w:val="24"/>
        </w:rPr>
        <w:lastRenderedPageBreak/>
        <w:t>Notwithstanding the creation of neuro-myths as discussed above, it is accepted that c</w:t>
      </w:r>
      <w:r w:rsidR="00C3154C">
        <w:rPr>
          <w:sz w:val="24"/>
        </w:rPr>
        <w:t xml:space="preserve">ognitive neuroscience involves the study of the brain as well as human behaviour and research in the last few decades has contributed greatly to our understanding of learning and the human condition (Eysenck and Keane, 2015).  Current research validates the notion that learning is ‘the product of the dynamic interaction of brain and environment’ (Rees, Booth and Jones, 2016: 15), not least the social and emotional contexts of the learner.  Master et al (2017) assert that education is not simply the emission of information from the teacher to the learner, but also incorporates issues relating to the receptiveness and readiness of the student as well as more physiological factors such as sleep, nutrition and exercise which can all impact on the capacity for learning.  In the same way, </w:t>
      </w:r>
      <w:proofErr w:type="spellStart"/>
      <w:r w:rsidR="00C3154C">
        <w:rPr>
          <w:sz w:val="24"/>
        </w:rPr>
        <w:t>Riner</w:t>
      </w:r>
      <w:proofErr w:type="spellEnd"/>
      <w:r w:rsidR="00C3154C">
        <w:rPr>
          <w:sz w:val="24"/>
        </w:rPr>
        <w:t xml:space="preserve"> and </w:t>
      </w:r>
      <w:proofErr w:type="spellStart"/>
      <w:r w:rsidR="00C3154C">
        <w:rPr>
          <w:sz w:val="24"/>
        </w:rPr>
        <w:t>Tanase</w:t>
      </w:r>
      <w:proofErr w:type="spellEnd"/>
      <w:r w:rsidR="00C3154C">
        <w:rPr>
          <w:sz w:val="24"/>
        </w:rPr>
        <w:t xml:space="preserve"> (2014) argue that environmental factors such as chaotic and distracting settings are known to be stressful and impact negatively on short term memory and learning.  </w:t>
      </w:r>
    </w:p>
    <w:p w:rsidR="0072021E" w:rsidRDefault="00823BB7" w:rsidP="005912AB">
      <w:pPr>
        <w:jc w:val="both"/>
        <w:rPr>
          <w:sz w:val="24"/>
        </w:rPr>
      </w:pPr>
      <w:r>
        <w:rPr>
          <w:sz w:val="24"/>
        </w:rPr>
        <w:t>Considerable brain development has occurred by birth, with most of the neurons (brain cells) found in a mature brain already present (</w:t>
      </w:r>
      <w:proofErr w:type="spellStart"/>
      <w:r>
        <w:rPr>
          <w:sz w:val="24"/>
        </w:rPr>
        <w:t>Goswami</w:t>
      </w:r>
      <w:proofErr w:type="spellEnd"/>
      <w:r>
        <w:rPr>
          <w:sz w:val="24"/>
        </w:rPr>
        <w:t>, 2008).  Thus, an immature brain is not necessarily one with fewer neurons, rather it is one with fewer connections between neurons and the process of connection facilitates brain and behavioural development in children (</w:t>
      </w:r>
      <w:proofErr w:type="spellStart"/>
      <w:r>
        <w:rPr>
          <w:sz w:val="24"/>
        </w:rPr>
        <w:t>Hohnen</w:t>
      </w:r>
      <w:proofErr w:type="spellEnd"/>
      <w:r>
        <w:rPr>
          <w:sz w:val="24"/>
        </w:rPr>
        <w:t xml:space="preserve"> and Murphy, 2016). </w:t>
      </w:r>
      <w:r w:rsidR="0072021E">
        <w:rPr>
          <w:sz w:val="24"/>
        </w:rPr>
        <w:t xml:space="preserve"> It is reasonable to assume, therefore, that educators need to consider the receptiveness of learners within effective contexts if learning is to be optimised. </w:t>
      </w:r>
      <w:r w:rsidR="000024C5">
        <w:rPr>
          <w:sz w:val="24"/>
        </w:rPr>
        <w:t xml:space="preserve">Childhood has historically been viewed as the principle opportunity for effective learning, however there is a rapidly evolving body of cognitive and neural research in adolescents which concludes that there are significant changes in brain structure into adolescence and early adulthood which offer potential for increased learning (Blakemore and Choudhury, 2006).  </w:t>
      </w:r>
      <w:r w:rsidR="0072021E">
        <w:rPr>
          <w:sz w:val="24"/>
        </w:rPr>
        <w:t xml:space="preserve">As a former Secondary School teacher, now working in the field of initial teacher education (ITE), I have an interest in the way adolescents learn and will tailor my suggested approaches towards creating effective learning environments to that age group.   </w:t>
      </w:r>
    </w:p>
    <w:p w:rsidR="000024C5" w:rsidRDefault="000024C5" w:rsidP="005912AB">
      <w:pPr>
        <w:jc w:val="both"/>
        <w:rPr>
          <w:sz w:val="24"/>
        </w:rPr>
      </w:pPr>
      <w:r>
        <w:rPr>
          <w:sz w:val="24"/>
        </w:rPr>
        <w:t xml:space="preserve">Research evidence has recognised that adolescence is a time of momentous social and cognitive development which is characterised by powerful changes in </w:t>
      </w:r>
      <w:r w:rsidR="001E7D9B">
        <w:rPr>
          <w:sz w:val="24"/>
        </w:rPr>
        <w:t>the frontal cortex of the brain.  The frontal cortex plays a crucial role in many high-level cognitive abilities such as planning, multi-tasking, inhibiting inappropriate behaviour and social understanding (Blakemore, 2008).  Choudhury et al (2008) point out that, due to timing inconsistencies in terms of the development of cognitive skills in the teenage brain, there may be increased rates of depression, substance misuse, suicide, eating disorders and other risky behaviours.  Moreover, the authors also note that social, cultural and family situations may become gradually more complex and a</w:t>
      </w:r>
      <w:r w:rsidR="0072021E">
        <w:rPr>
          <w:sz w:val="24"/>
        </w:rPr>
        <w:t>r</w:t>
      </w:r>
      <w:r w:rsidR="001E7D9B">
        <w:rPr>
          <w:sz w:val="24"/>
        </w:rPr>
        <w:t xml:space="preserve">e likely to present further challenges during this sensitive period.  </w:t>
      </w:r>
      <w:r w:rsidR="0072021E">
        <w:rPr>
          <w:sz w:val="24"/>
        </w:rPr>
        <w:t>Therefore a holistic approach to education needs to be adopted which considers the emotional context of the learners.  Proposals for the revised curriculum in Wales (Donaldson, 2015: 29) aim to develop young people as ‘healthy, confident individuals, ready to lead fulfilling lives as valued members of society’. To facilitate this aim, ‘Health and Wellbeing’ has been placed centrally in the revised curriculum as one of the six areas of learning and experience (</w:t>
      </w:r>
      <w:proofErr w:type="spellStart"/>
      <w:r w:rsidR="0072021E">
        <w:rPr>
          <w:sz w:val="24"/>
        </w:rPr>
        <w:t>AoLE</w:t>
      </w:r>
      <w:proofErr w:type="spellEnd"/>
      <w:r w:rsidR="0072021E">
        <w:rPr>
          <w:sz w:val="24"/>
        </w:rPr>
        <w:t xml:space="preserve">) in recognition that young people need to experience ‘social, emotional and physical well-being to thrive and engage successfully with their education’ (Donaldson, 2015: 45).  </w:t>
      </w:r>
      <w:r w:rsidR="00704C55">
        <w:rPr>
          <w:sz w:val="24"/>
        </w:rPr>
        <w:t xml:space="preserve">For this reason, I would strive to create a classroom environment where all learners felt valued and were able to form positive relationships.  Additionally, I would maintain open </w:t>
      </w:r>
      <w:r w:rsidR="00704C55">
        <w:rPr>
          <w:sz w:val="24"/>
        </w:rPr>
        <w:lastRenderedPageBreak/>
        <w:t xml:space="preserve">channels of communication with the school’s pastoral team where appropriate to support individual learners in a holistic way.  </w:t>
      </w:r>
    </w:p>
    <w:p w:rsidR="005D7275" w:rsidRDefault="005D7275" w:rsidP="005912AB">
      <w:pPr>
        <w:jc w:val="both"/>
        <w:rPr>
          <w:sz w:val="24"/>
        </w:rPr>
      </w:pPr>
      <w:r>
        <w:rPr>
          <w:sz w:val="24"/>
        </w:rPr>
        <w:t>Hattie (2012) considers that the climate of the classroom is a critical factor in enabling</w:t>
      </w:r>
      <w:r w:rsidR="0072021E">
        <w:rPr>
          <w:sz w:val="24"/>
        </w:rPr>
        <w:t xml:space="preserve"> and </w:t>
      </w:r>
      <w:r>
        <w:rPr>
          <w:sz w:val="24"/>
        </w:rPr>
        <w:t>promoting learning, and suggests that the student-teacher relationship needs to demonst</w:t>
      </w:r>
      <w:r w:rsidR="00D87E9C">
        <w:rPr>
          <w:sz w:val="24"/>
        </w:rPr>
        <w:t xml:space="preserve">rate care, trust, co-operation, </w:t>
      </w:r>
      <w:proofErr w:type="gramStart"/>
      <w:r>
        <w:rPr>
          <w:sz w:val="24"/>
        </w:rPr>
        <w:t>respect</w:t>
      </w:r>
      <w:proofErr w:type="gramEnd"/>
      <w:r>
        <w:rPr>
          <w:sz w:val="24"/>
        </w:rPr>
        <w:t xml:space="preserve"> and team skills.  Such environments may contribute to creating what </w:t>
      </w:r>
      <w:proofErr w:type="spellStart"/>
      <w:r>
        <w:rPr>
          <w:sz w:val="24"/>
        </w:rPr>
        <w:t>Hohnen</w:t>
      </w:r>
      <w:proofErr w:type="spellEnd"/>
      <w:r>
        <w:rPr>
          <w:sz w:val="24"/>
        </w:rPr>
        <w:t xml:space="preserve"> and Murphy (2016: 79) refer to as a ‘positive cycle of learning’ where learners experience success and receive positive feedback within a safe environment.  Furthermore, the authors suggest that the learner is likely to be more attentive and engaged and show greater motivation to participate, thus building more connections in the brain.  The positive learning cycle suggests that success results in sustained effort rather than fixed intelligence.  Research into the nature and extent of neuroplasticity in recent decades has highlighted the brain’s capacity to change as a result of educat</w:t>
      </w:r>
      <w:r w:rsidR="00863650">
        <w:rPr>
          <w:sz w:val="24"/>
        </w:rPr>
        <w:t>ion and other experiences (Aldr</w:t>
      </w:r>
      <w:r>
        <w:rPr>
          <w:sz w:val="24"/>
        </w:rPr>
        <w:t xml:space="preserve">ich, 2014).  These findings imply that the traditional concept of IQ is out-dated.  </w:t>
      </w:r>
      <w:proofErr w:type="spellStart"/>
      <w:r>
        <w:rPr>
          <w:sz w:val="24"/>
        </w:rPr>
        <w:t>Dweck’s</w:t>
      </w:r>
      <w:proofErr w:type="spellEnd"/>
      <w:r>
        <w:rPr>
          <w:sz w:val="24"/>
        </w:rPr>
        <w:t xml:space="preserve"> (2000: 59) </w:t>
      </w:r>
      <w:r w:rsidR="007F4142">
        <w:rPr>
          <w:sz w:val="24"/>
        </w:rPr>
        <w:t>research</w:t>
      </w:r>
      <w:r>
        <w:rPr>
          <w:sz w:val="24"/>
        </w:rPr>
        <w:t xml:space="preserve"> lend</w:t>
      </w:r>
      <w:r w:rsidR="007F4142">
        <w:rPr>
          <w:sz w:val="24"/>
        </w:rPr>
        <w:t>s</w:t>
      </w:r>
      <w:r>
        <w:rPr>
          <w:sz w:val="24"/>
        </w:rPr>
        <w:t xml:space="preserve"> support to the claim that intelligence is not fixed as ‘the fallacy is in thinking that by measuring someone’s present skills, you have measured their potential’.  </w:t>
      </w:r>
      <w:r w:rsidR="005A6F03">
        <w:rPr>
          <w:sz w:val="24"/>
        </w:rPr>
        <w:t xml:space="preserve">Lucas and Claxton (2010) draw upon recent research in neuroscience to identify myths about intelligence including the notion of it being accurately measured through IQ tests, intelligence is fixed and that intelligence is an intellectual function which is separate from emotional and moral activity.  </w:t>
      </w:r>
    </w:p>
    <w:p w:rsidR="007F4142" w:rsidRDefault="00372D32" w:rsidP="005912AB">
      <w:pPr>
        <w:jc w:val="both"/>
        <w:rPr>
          <w:sz w:val="24"/>
        </w:rPr>
      </w:pPr>
      <w:r>
        <w:rPr>
          <w:sz w:val="24"/>
        </w:rPr>
        <w:t xml:space="preserve">Thus, the research outlined above aligns with the views held by </w:t>
      </w:r>
      <w:proofErr w:type="spellStart"/>
      <w:r>
        <w:rPr>
          <w:sz w:val="24"/>
        </w:rPr>
        <w:t>Dweck</w:t>
      </w:r>
      <w:proofErr w:type="spellEnd"/>
      <w:r>
        <w:rPr>
          <w:sz w:val="24"/>
        </w:rPr>
        <w:t xml:space="preserve"> (2012) in relation to fixed and growth </w:t>
      </w:r>
      <w:proofErr w:type="spellStart"/>
      <w:r>
        <w:rPr>
          <w:sz w:val="24"/>
        </w:rPr>
        <w:t>mindsets</w:t>
      </w:r>
      <w:proofErr w:type="spellEnd"/>
      <w:r>
        <w:rPr>
          <w:sz w:val="24"/>
        </w:rPr>
        <w:t xml:space="preserve">.  Learners demonstrating a fixed </w:t>
      </w:r>
      <w:proofErr w:type="spellStart"/>
      <w:r>
        <w:rPr>
          <w:sz w:val="24"/>
        </w:rPr>
        <w:t>mindset</w:t>
      </w:r>
      <w:proofErr w:type="spellEnd"/>
      <w:r>
        <w:rPr>
          <w:sz w:val="24"/>
        </w:rPr>
        <w:t xml:space="preserve"> about intelligence become progressively anxious about maintaining their intelligence status and are less likely to take risks with their learning.  In contrast, learners who demonstrate a growth </w:t>
      </w:r>
      <w:proofErr w:type="spellStart"/>
      <w:r>
        <w:rPr>
          <w:sz w:val="24"/>
        </w:rPr>
        <w:t>mindset</w:t>
      </w:r>
      <w:proofErr w:type="spellEnd"/>
      <w:r>
        <w:rPr>
          <w:sz w:val="24"/>
        </w:rPr>
        <w:t xml:space="preserve"> consider perseverance and effort as promoting learning and are likely to be far more resilient in the face of adversity.  Furthermore, </w:t>
      </w:r>
      <w:proofErr w:type="spellStart"/>
      <w:r>
        <w:rPr>
          <w:sz w:val="24"/>
        </w:rPr>
        <w:t>Dweck</w:t>
      </w:r>
      <w:proofErr w:type="spellEnd"/>
      <w:r>
        <w:rPr>
          <w:sz w:val="24"/>
        </w:rPr>
        <w:t xml:space="preserve"> (2012) argues that the over-use of praise by teachers, particularly in relation to intelligence</w:t>
      </w:r>
      <w:r w:rsidR="009253CD">
        <w:rPr>
          <w:sz w:val="24"/>
        </w:rPr>
        <w:t xml:space="preserve"> when providing feedback</w:t>
      </w:r>
      <w:r>
        <w:rPr>
          <w:sz w:val="24"/>
        </w:rPr>
        <w:t xml:space="preserve">, has a negative effect on resilience as the mental focus is placed on the ego rather than the task.  </w:t>
      </w:r>
      <w:r w:rsidR="007F4142">
        <w:rPr>
          <w:sz w:val="24"/>
        </w:rPr>
        <w:t xml:space="preserve">Acknowledging this research, I am mindful that praise needs to be associated with effort and not out-dated notions of static ability.  In this way learners in my class who have historically achieved diverse assessment outcomes may be motivated and empowered to contribute fully in all prepared activities.   </w:t>
      </w:r>
      <w:r w:rsidR="00ED1B6E">
        <w:rPr>
          <w:sz w:val="24"/>
        </w:rPr>
        <w:t>Similarly</w:t>
      </w:r>
      <w:r w:rsidR="007F4142">
        <w:rPr>
          <w:sz w:val="24"/>
        </w:rPr>
        <w:t xml:space="preserve">, </w:t>
      </w:r>
      <w:r>
        <w:rPr>
          <w:sz w:val="24"/>
        </w:rPr>
        <w:t xml:space="preserve">Hattie and Yates (2014: 68) discuss the value of informative feedback </w:t>
      </w:r>
      <w:r w:rsidR="007C4D5E">
        <w:rPr>
          <w:sz w:val="24"/>
        </w:rPr>
        <w:t xml:space="preserve">within a positive and friendly classroom environment as the principle facilitator of learning and they caution against teachers praising pupils, arguing that learners will ‘waste energy being worried about their standing on the approval index’.  This may be particularly relevant when working with more able and talented (MAT) learners. </w:t>
      </w:r>
      <w:proofErr w:type="spellStart"/>
      <w:r w:rsidR="007C4D5E">
        <w:rPr>
          <w:sz w:val="24"/>
        </w:rPr>
        <w:t>Zakreski</w:t>
      </w:r>
      <w:proofErr w:type="spellEnd"/>
      <w:r w:rsidR="007C4D5E">
        <w:rPr>
          <w:sz w:val="24"/>
        </w:rPr>
        <w:t xml:space="preserve"> (2018) suggests that such individuals may be emotionally intense and have cognitive rigidity whereby they experience difficulty in changing mental sets.  </w:t>
      </w:r>
      <w:r w:rsidR="00441210">
        <w:rPr>
          <w:sz w:val="24"/>
        </w:rPr>
        <w:t xml:space="preserve">Although the author accepts that there is a social aspect to learning than impacts on all students, </w:t>
      </w:r>
      <w:proofErr w:type="spellStart"/>
      <w:r w:rsidR="00441210">
        <w:rPr>
          <w:sz w:val="24"/>
        </w:rPr>
        <w:t>Zakreski</w:t>
      </w:r>
      <w:proofErr w:type="spellEnd"/>
      <w:r w:rsidR="00441210">
        <w:rPr>
          <w:sz w:val="24"/>
        </w:rPr>
        <w:t xml:space="preserve"> (2018) maintains that MAT learners may not be equipped to understand differences of opinion and the possibility of alternatives in a given situation.  </w:t>
      </w:r>
    </w:p>
    <w:p w:rsidR="004E561D" w:rsidRDefault="0023505D" w:rsidP="005912AB">
      <w:pPr>
        <w:jc w:val="both"/>
        <w:rPr>
          <w:sz w:val="24"/>
        </w:rPr>
      </w:pPr>
      <w:r>
        <w:rPr>
          <w:sz w:val="24"/>
        </w:rPr>
        <w:t xml:space="preserve">Practising social interactions for education is important, therefore, so that students can be attuned to social goals which might ultimately improve the motivation to </w:t>
      </w:r>
      <w:proofErr w:type="gramStart"/>
      <w:r>
        <w:rPr>
          <w:sz w:val="24"/>
        </w:rPr>
        <w:t>learn</w:t>
      </w:r>
      <w:proofErr w:type="gramEnd"/>
      <w:r>
        <w:rPr>
          <w:sz w:val="24"/>
        </w:rPr>
        <w:t xml:space="preserve"> (Master et al, </w:t>
      </w:r>
      <w:r>
        <w:rPr>
          <w:sz w:val="24"/>
        </w:rPr>
        <w:lastRenderedPageBreak/>
        <w:t xml:space="preserve">2017).  This view is very much in line with Vygotsky’s zone of proximal development (Vygotsky, 1978) whereby the achievable challenge level for a learner might be increased with social interaction.  </w:t>
      </w:r>
      <w:r w:rsidR="004E561D">
        <w:rPr>
          <w:sz w:val="24"/>
        </w:rPr>
        <w:t>In other words, cognitive development does not merely happen in the brain of an individual, but it is dependent on the interplay with ‘cultural tools available for mediating knowledge’ which allows social learning to be more effective than learning alone (</w:t>
      </w:r>
      <w:proofErr w:type="spellStart"/>
      <w:r w:rsidR="004E561D">
        <w:rPr>
          <w:sz w:val="24"/>
        </w:rPr>
        <w:t>Goswami</w:t>
      </w:r>
      <w:proofErr w:type="spellEnd"/>
      <w:r w:rsidR="004E561D">
        <w:rPr>
          <w:sz w:val="24"/>
        </w:rPr>
        <w:t xml:space="preserve">, 2008: 392).  </w:t>
      </w:r>
      <w:r w:rsidR="007F4142">
        <w:rPr>
          <w:sz w:val="24"/>
        </w:rPr>
        <w:t xml:space="preserve">Accordingly, a variety of pedagogical approaches will be planned for within my classroom setting which include opportunities for group and pair work, carefully choosing the composition of partnerships so that students may work with a diverse groups of learners and that personalities will work well together.  </w:t>
      </w:r>
    </w:p>
    <w:p w:rsidR="001253CE" w:rsidRDefault="0023505D" w:rsidP="001253CE">
      <w:pPr>
        <w:jc w:val="both"/>
        <w:rPr>
          <w:color w:val="FF0000"/>
          <w:sz w:val="24"/>
        </w:rPr>
      </w:pPr>
      <w:r>
        <w:rPr>
          <w:sz w:val="24"/>
        </w:rPr>
        <w:t xml:space="preserve">Although the concept of learning as a social experience is well-researched not all learners will naturally desire to do this, and this may result in negative emotional reactions.  </w:t>
      </w:r>
      <w:proofErr w:type="spellStart"/>
      <w:r w:rsidR="007A67FB">
        <w:rPr>
          <w:sz w:val="24"/>
        </w:rPr>
        <w:t>Hohnen</w:t>
      </w:r>
      <w:proofErr w:type="spellEnd"/>
      <w:r w:rsidR="007A67FB">
        <w:rPr>
          <w:sz w:val="24"/>
        </w:rPr>
        <w:t xml:space="preserve"> and Murphy (2016) emphasise the importance of emotions in education and assert that the performance of the learning part of the brain (frontal lobes) is vastly reduced</w:t>
      </w:r>
      <w:r w:rsidR="007F4142">
        <w:rPr>
          <w:sz w:val="24"/>
        </w:rPr>
        <w:t xml:space="preserve"> when under stress</w:t>
      </w:r>
      <w:r w:rsidR="007A67FB">
        <w:rPr>
          <w:sz w:val="24"/>
        </w:rPr>
        <w:t xml:space="preserve"> as the brain prio</w:t>
      </w:r>
      <w:r w:rsidR="00124157">
        <w:rPr>
          <w:sz w:val="24"/>
        </w:rPr>
        <w:t>ritises emotional processing at</w:t>
      </w:r>
      <w:r w:rsidR="007A67FB">
        <w:rPr>
          <w:sz w:val="24"/>
        </w:rPr>
        <w:t xml:space="preserve"> the expense of learning.  The authors acknowledge that a degree of stress may contribute to maintaining focus and attention on learning, although experiencing an overwhelming amount of </w:t>
      </w:r>
      <w:r w:rsidR="008F33E9">
        <w:rPr>
          <w:sz w:val="24"/>
        </w:rPr>
        <w:t>anxiety</w:t>
      </w:r>
      <w:r w:rsidR="007A67FB">
        <w:rPr>
          <w:sz w:val="24"/>
        </w:rPr>
        <w:t xml:space="preserve"> can compromise efficient brain functioning.  These findings further enhance our understanding of the importance of a positive classroom environment, with Hattie (2012) putting forward the view that effective, student-centred education means that the teacher needs to display warmth, trust, </w:t>
      </w:r>
      <w:proofErr w:type="gramStart"/>
      <w:r w:rsidR="007A67FB">
        <w:rPr>
          <w:sz w:val="24"/>
        </w:rPr>
        <w:t>empathy</w:t>
      </w:r>
      <w:proofErr w:type="gramEnd"/>
      <w:r w:rsidR="007A67FB">
        <w:rPr>
          <w:sz w:val="24"/>
        </w:rPr>
        <w:t xml:space="preserve"> and establish positive relationships.  </w:t>
      </w:r>
      <w:proofErr w:type="spellStart"/>
      <w:r w:rsidR="001253CE">
        <w:rPr>
          <w:sz w:val="24"/>
        </w:rPr>
        <w:t>Goswani’s</w:t>
      </w:r>
      <w:proofErr w:type="spellEnd"/>
      <w:r w:rsidR="001253CE">
        <w:rPr>
          <w:sz w:val="24"/>
        </w:rPr>
        <w:t xml:space="preserve"> (2008: 388) findings lend support to the </w:t>
      </w:r>
      <w:r w:rsidR="008F33E9">
        <w:rPr>
          <w:sz w:val="24"/>
        </w:rPr>
        <w:t>value</w:t>
      </w:r>
      <w:r w:rsidR="001253CE">
        <w:rPr>
          <w:sz w:val="24"/>
        </w:rPr>
        <w:t xml:space="preserve"> of positive </w:t>
      </w:r>
      <w:r w:rsidR="008F33E9">
        <w:rPr>
          <w:sz w:val="24"/>
        </w:rPr>
        <w:t>effective</w:t>
      </w:r>
      <w:r w:rsidR="001253CE">
        <w:rPr>
          <w:sz w:val="24"/>
        </w:rPr>
        <w:t xml:space="preserve"> climates and cautions educators against creating environments which support ‘maladaptive connections’ which are present in unsafe or stressful </w:t>
      </w:r>
      <w:r w:rsidR="000A427E">
        <w:rPr>
          <w:sz w:val="24"/>
        </w:rPr>
        <w:t>classrooms</w:t>
      </w:r>
      <w:r w:rsidR="001253CE">
        <w:rPr>
          <w:sz w:val="24"/>
        </w:rPr>
        <w:t xml:space="preserve">.  </w:t>
      </w:r>
      <w:r w:rsidR="007A67FB">
        <w:rPr>
          <w:sz w:val="24"/>
        </w:rPr>
        <w:t>As research into the brain’s plasticity increasingly shows that it is susceptible to influences of experience and environment, these findings need to be considered in terms of education provision at strategic, organisational and individual leve</w:t>
      </w:r>
      <w:r w:rsidR="001253CE">
        <w:rPr>
          <w:sz w:val="24"/>
        </w:rPr>
        <w:t>ls (Rees, Booth and Jones, 2016</w:t>
      </w:r>
      <w:r w:rsidR="007A67FB">
        <w:rPr>
          <w:sz w:val="24"/>
        </w:rPr>
        <w:t xml:space="preserve">).  </w:t>
      </w:r>
      <w:r w:rsidR="001253CE">
        <w:rPr>
          <w:sz w:val="24"/>
        </w:rPr>
        <w:t xml:space="preserve">A further consequence of a negative classroom environment may manifest themselves in student anxiety.  Power and </w:t>
      </w:r>
      <w:proofErr w:type="spellStart"/>
      <w:r w:rsidR="001253CE">
        <w:rPr>
          <w:sz w:val="24"/>
        </w:rPr>
        <w:t>Dalgleish</w:t>
      </w:r>
      <w:proofErr w:type="spellEnd"/>
      <w:r w:rsidR="001253CE">
        <w:rPr>
          <w:sz w:val="24"/>
        </w:rPr>
        <w:t xml:space="preserve"> (2016: 177) define anxiety as ‘apprehension, tension or uneasiness that stems from the anticipation of danger whi</w:t>
      </w:r>
      <w:r w:rsidR="000A427E">
        <w:rPr>
          <w:sz w:val="24"/>
        </w:rPr>
        <w:t>ch may be internal or external’ while</w:t>
      </w:r>
      <w:r w:rsidR="00E120EB">
        <w:rPr>
          <w:sz w:val="24"/>
        </w:rPr>
        <w:t xml:space="preserve"> </w:t>
      </w:r>
      <w:r w:rsidR="001253CE">
        <w:rPr>
          <w:sz w:val="24"/>
        </w:rPr>
        <w:t xml:space="preserve">Eysenck and Keane (2015) argue that anxious individuals make less risky decisions than non-anxious individuals.  </w:t>
      </w:r>
      <w:r w:rsidR="00096303">
        <w:rPr>
          <w:sz w:val="24"/>
        </w:rPr>
        <w:t xml:space="preserve">Likewise, the learning environment I seek to create will be based on mutual respect with no tolerance for intimidation or unfair criticism of student contributions which will help to create a classroom where students are prepared to take risks to extend their learning.   </w:t>
      </w:r>
    </w:p>
    <w:p w:rsidR="0023505D" w:rsidRDefault="008771F4" w:rsidP="005912AB">
      <w:pPr>
        <w:jc w:val="both"/>
        <w:rPr>
          <w:sz w:val="24"/>
        </w:rPr>
      </w:pPr>
      <w:proofErr w:type="spellStart"/>
      <w:r>
        <w:rPr>
          <w:sz w:val="24"/>
        </w:rPr>
        <w:t>Hohnen</w:t>
      </w:r>
      <w:proofErr w:type="spellEnd"/>
      <w:r>
        <w:rPr>
          <w:sz w:val="24"/>
        </w:rPr>
        <w:t xml:space="preserve"> and Murphy (2016) suggest that </w:t>
      </w:r>
      <w:r w:rsidR="00124157">
        <w:rPr>
          <w:sz w:val="24"/>
        </w:rPr>
        <w:t>i</w:t>
      </w:r>
      <w:r w:rsidR="007A67FB">
        <w:rPr>
          <w:sz w:val="24"/>
        </w:rPr>
        <w:t>f a pupil perceives a teacher as frequently angry or negative, this could cause them to experience undue stress which will be co</w:t>
      </w:r>
      <w:r>
        <w:rPr>
          <w:sz w:val="24"/>
        </w:rPr>
        <w:t xml:space="preserve">unter-productive to learning.  The authors further cite the findings of </w:t>
      </w:r>
      <w:proofErr w:type="spellStart"/>
      <w:r>
        <w:rPr>
          <w:sz w:val="24"/>
        </w:rPr>
        <w:t>Coan</w:t>
      </w:r>
      <w:proofErr w:type="spellEnd"/>
      <w:r>
        <w:rPr>
          <w:sz w:val="24"/>
        </w:rPr>
        <w:t xml:space="preserve"> et al (2006) who assert that an individual will register less stress in challenging circumstances when in the presence of a secure attachment figure as they can ‘outsource’ stress regulations to the other person.  Thus, secure relationships based on acceptance within the classroom are essential to ensure optimum brain functioning which aligns with features of Maslow’s Hierarchy of Human Needs (Maslow, 1943).  There is overwhelming evidence corroborating the notion that learners are highly sensitive to the emotional climate of the classroom, and Hattie and Yates (2014) draw upon </w:t>
      </w:r>
      <w:proofErr w:type="spellStart"/>
      <w:r>
        <w:rPr>
          <w:sz w:val="24"/>
        </w:rPr>
        <w:t>Babad’s</w:t>
      </w:r>
      <w:proofErr w:type="spellEnd"/>
      <w:r>
        <w:rPr>
          <w:sz w:val="24"/>
        </w:rPr>
        <w:t xml:space="preserve"> (2009) data which confirms that even seemingly subtle and invisible non-verbal </w:t>
      </w:r>
      <w:r>
        <w:rPr>
          <w:sz w:val="24"/>
        </w:rPr>
        <w:lastRenderedPageBreak/>
        <w:t xml:space="preserve">teacher behaviours can have an intense influence on individuals.  Equally, interpersonal judgements occur quickly and inevitably impact on student learning (Hattie and Yates, 2014). </w:t>
      </w:r>
      <w:r w:rsidR="007B3145">
        <w:rPr>
          <w:sz w:val="24"/>
        </w:rPr>
        <w:t xml:space="preserve"> </w:t>
      </w:r>
      <w:proofErr w:type="spellStart"/>
      <w:r w:rsidR="007B3145">
        <w:rPr>
          <w:sz w:val="24"/>
        </w:rPr>
        <w:t>Battro</w:t>
      </w:r>
      <w:proofErr w:type="spellEnd"/>
      <w:r w:rsidR="007B3145">
        <w:rPr>
          <w:sz w:val="24"/>
        </w:rPr>
        <w:t xml:space="preserve"> et al (2013: 177) cite the work of </w:t>
      </w:r>
      <w:proofErr w:type="spellStart"/>
      <w:r w:rsidR="007B3145">
        <w:rPr>
          <w:sz w:val="24"/>
        </w:rPr>
        <w:t>Watanbe</w:t>
      </w:r>
      <w:proofErr w:type="spellEnd"/>
      <w:r w:rsidR="007B3145">
        <w:rPr>
          <w:sz w:val="24"/>
        </w:rPr>
        <w:t xml:space="preserve"> (2013) who characterises teaching as a ‘dynamic phenomenon where interpersonal interactions occur explicitly and implicitly at multiple levels’.  The authors further support the view that ‘bonding’ through teacher and student interactions takes up a considerable portion of teaching.  This stance is very much in line with prominent neuroscientific literature whereby all learning has an emotional base (Van Dam, 2013), thus positive student-teacher and student-student relationships are vital </w:t>
      </w:r>
      <w:r w:rsidR="00F551C7">
        <w:rPr>
          <w:sz w:val="24"/>
        </w:rPr>
        <w:t xml:space="preserve">to facilitate optimum learning and this is something that I would strive to create in my classroom. </w:t>
      </w:r>
      <w:r w:rsidR="007B3145">
        <w:rPr>
          <w:sz w:val="24"/>
        </w:rPr>
        <w:t xml:space="preserve"> </w:t>
      </w:r>
      <w:r>
        <w:rPr>
          <w:sz w:val="24"/>
        </w:rPr>
        <w:t xml:space="preserve"> </w:t>
      </w:r>
    </w:p>
    <w:p w:rsidR="00323134" w:rsidRDefault="008360E1" w:rsidP="005912AB">
      <w:pPr>
        <w:jc w:val="both"/>
        <w:rPr>
          <w:sz w:val="24"/>
        </w:rPr>
      </w:pPr>
      <w:r>
        <w:rPr>
          <w:sz w:val="24"/>
        </w:rPr>
        <w:t>Social sensitivities such as embarrassment and guilt are heightened during adolescence and learners may be hyper-vigilant to perceived social rejection, particularly by the teacher (</w:t>
      </w:r>
      <w:proofErr w:type="spellStart"/>
      <w:r>
        <w:rPr>
          <w:sz w:val="24"/>
        </w:rPr>
        <w:t>Hohnen</w:t>
      </w:r>
      <w:proofErr w:type="spellEnd"/>
      <w:r>
        <w:rPr>
          <w:sz w:val="24"/>
        </w:rPr>
        <w:t xml:space="preserve"> and Murphy, 2016) which further contributes to the argument of establishing a positive classroom environment.  In his discussion about education and the evolution of the human brain, Aldrich (2013: 408) argues that, due to the advances in technology emerging as the most significant education innovation since printing ‘the internet is rewiring our brains by causing us to devote more time to  processing the medium rather than its contents … the internet is both making our brains better at scanning and skimming information but also diminishing the capacity for maximising memory, sustained concentration and reflection’. </w:t>
      </w:r>
      <w:r w:rsidR="00EE6A50">
        <w:rPr>
          <w:sz w:val="24"/>
        </w:rPr>
        <w:t xml:space="preserve">There may be significant benefits within a technology-rich learning environment, not least that modern students are highly motivated to interact with technology and have high expectations of using it in their learning (Findlay, 2012).  The author cites the findings of Johnson and Taylor (2006) who assert that ‘the brain responds well to novel ideas which tend to make the brain move from a state of passivity to increased activity, thereby facilitating </w:t>
      </w:r>
      <w:r w:rsidR="00DC6821">
        <w:rPr>
          <w:sz w:val="24"/>
        </w:rPr>
        <w:t>greater learning and retention’ (</w:t>
      </w:r>
      <w:proofErr w:type="spellStart"/>
      <w:r w:rsidR="00DC6821">
        <w:rPr>
          <w:sz w:val="24"/>
        </w:rPr>
        <w:t>Findaly</w:t>
      </w:r>
      <w:proofErr w:type="spellEnd"/>
      <w:r w:rsidR="00DC6821">
        <w:rPr>
          <w:sz w:val="24"/>
        </w:rPr>
        <w:t xml:space="preserve">, 2012: 29).  </w:t>
      </w:r>
      <w:r w:rsidR="00F551C7">
        <w:rPr>
          <w:sz w:val="24"/>
        </w:rPr>
        <w:t xml:space="preserve">Digital competence plays an increasingly powerful role in education, and it features as a cross-curricular focus within the revised curriculum in Wales (Donaldson, 2015).  Modern pedagogical approaches need to reflect this, however they need to be carefully considered and used appropriately to enhance learning and teaching.  </w:t>
      </w:r>
      <w:r w:rsidR="00EE6A50">
        <w:rPr>
          <w:sz w:val="24"/>
        </w:rPr>
        <w:t>Despite this</w:t>
      </w:r>
      <w:r>
        <w:rPr>
          <w:sz w:val="24"/>
        </w:rPr>
        <w:t>, Aldrich (2013) suggests data from functional magnetic resona</w:t>
      </w:r>
      <w:r w:rsidR="00124157">
        <w:rPr>
          <w:sz w:val="24"/>
        </w:rPr>
        <w:t>nce imaging (fMRI) studies</w:t>
      </w:r>
      <w:r>
        <w:rPr>
          <w:sz w:val="24"/>
        </w:rPr>
        <w:t xml:space="preserve"> confirm that modern media multi-tasking is detrimental to some higher-level brain functions, particularly those associated to memory and learning and this may be a contributory factor in the increase in attention deficit hyperactivity disorder (ADHD) diagnoses in learners.  </w:t>
      </w:r>
    </w:p>
    <w:p w:rsidR="00244B5C" w:rsidRDefault="008360E1" w:rsidP="005912AB">
      <w:pPr>
        <w:jc w:val="both"/>
        <w:rPr>
          <w:sz w:val="24"/>
        </w:rPr>
      </w:pPr>
      <w:r>
        <w:rPr>
          <w:sz w:val="24"/>
        </w:rPr>
        <w:t xml:space="preserve">Environmental factors may indeed contribute to ADHD </w:t>
      </w:r>
      <w:r w:rsidR="00244B5C">
        <w:rPr>
          <w:sz w:val="24"/>
        </w:rPr>
        <w:t xml:space="preserve">and </w:t>
      </w:r>
      <w:proofErr w:type="spellStart"/>
      <w:r w:rsidR="00244B5C">
        <w:rPr>
          <w:sz w:val="24"/>
        </w:rPr>
        <w:t>Riner</w:t>
      </w:r>
      <w:proofErr w:type="spellEnd"/>
      <w:r w:rsidR="00244B5C">
        <w:rPr>
          <w:sz w:val="24"/>
        </w:rPr>
        <w:t xml:space="preserve"> and </w:t>
      </w:r>
      <w:proofErr w:type="spellStart"/>
      <w:r w:rsidR="00244B5C">
        <w:rPr>
          <w:sz w:val="24"/>
        </w:rPr>
        <w:t>Tanase</w:t>
      </w:r>
      <w:proofErr w:type="spellEnd"/>
      <w:r w:rsidR="00244B5C">
        <w:rPr>
          <w:sz w:val="24"/>
        </w:rPr>
        <w:t xml:space="preserve"> (2014) assert that stress caused by many distractions can result in difficulties in focusing and short term memory while irritability increases in response to environmental stimuli.  Although adaptations can be made by the teacher to alleviate this in the classroom, such as reducing distractions, creating a quiet and calm environment and constructing well-considered seating plans, </w:t>
      </w:r>
      <w:proofErr w:type="spellStart"/>
      <w:r w:rsidR="00244B5C">
        <w:rPr>
          <w:sz w:val="24"/>
        </w:rPr>
        <w:t>Riner</w:t>
      </w:r>
      <w:proofErr w:type="spellEnd"/>
      <w:r w:rsidR="00244B5C">
        <w:rPr>
          <w:sz w:val="24"/>
        </w:rPr>
        <w:t xml:space="preserve"> and </w:t>
      </w:r>
      <w:proofErr w:type="spellStart"/>
      <w:r w:rsidR="00244B5C">
        <w:rPr>
          <w:sz w:val="24"/>
        </w:rPr>
        <w:t>Tanase</w:t>
      </w:r>
      <w:proofErr w:type="spellEnd"/>
      <w:r w:rsidR="00244B5C">
        <w:rPr>
          <w:sz w:val="24"/>
        </w:rPr>
        <w:t xml:space="preserve"> (2014) suggest that individuals need to learn internal adaptive strategies which can enhance learning, confidence and well-being.  These may include developing personal strategies to calm the distracted mind through meditation and developing ‘habits of the mind’ to gain new perspectives on stressful situations, increasing self-awareness and focusing on the present (</w:t>
      </w:r>
      <w:proofErr w:type="spellStart"/>
      <w:r w:rsidR="00244B5C">
        <w:rPr>
          <w:sz w:val="24"/>
        </w:rPr>
        <w:t>Riner</w:t>
      </w:r>
      <w:proofErr w:type="spellEnd"/>
      <w:r w:rsidR="00244B5C">
        <w:rPr>
          <w:sz w:val="24"/>
        </w:rPr>
        <w:t xml:space="preserve"> and </w:t>
      </w:r>
      <w:proofErr w:type="spellStart"/>
      <w:r w:rsidR="00244B5C">
        <w:rPr>
          <w:sz w:val="24"/>
        </w:rPr>
        <w:t>Tanase</w:t>
      </w:r>
      <w:proofErr w:type="spellEnd"/>
      <w:r w:rsidR="00244B5C">
        <w:rPr>
          <w:sz w:val="24"/>
        </w:rPr>
        <w:t xml:space="preserve">, 2014).  </w:t>
      </w:r>
      <w:r w:rsidR="001C1A52">
        <w:rPr>
          <w:sz w:val="24"/>
        </w:rPr>
        <w:t xml:space="preserve">In creating an inclusive classroom environment, I am mindful of research findings and would also seek expert advice </w:t>
      </w:r>
      <w:r w:rsidR="001C1A52">
        <w:rPr>
          <w:sz w:val="24"/>
        </w:rPr>
        <w:lastRenderedPageBreak/>
        <w:t>from the school’s Additional Learning Needs Co-ordinator (</w:t>
      </w:r>
      <w:proofErr w:type="spellStart"/>
      <w:r w:rsidR="001C1A52">
        <w:rPr>
          <w:sz w:val="24"/>
        </w:rPr>
        <w:t>ALNCo</w:t>
      </w:r>
      <w:proofErr w:type="spellEnd"/>
      <w:r w:rsidR="001C1A52">
        <w:rPr>
          <w:sz w:val="24"/>
        </w:rPr>
        <w:t xml:space="preserve">) in terms of developing a strategic approach.  </w:t>
      </w:r>
      <w:r w:rsidR="00244B5C">
        <w:rPr>
          <w:sz w:val="24"/>
        </w:rPr>
        <w:t xml:space="preserve">Whilst all learners can make significant and positive contributions within the classroom, those who have received a diagnosis of ADHD or have social, emotional and behavioural difficulties (SEBD) may be subject to some negative stereotypical views in terms of their propensity to disrupt learning environments.  </w:t>
      </w:r>
    </w:p>
    <w:p w:rsidR="008360E1" w:rsidRDefault="00244B5C" w:rsidP="005912AB">
      <w:pPr>
        <w:jc w:val="both"/>
        <w:rPr>
          <w:sz w:val="24"/>
        </w:rPr>
      </w:pPr>
      <w:r>
        <w:rPr>
          <w:sz w:val="24"/>
        </w:rPr>
        <w:t xml:space="preserve">Neuroscientific research using fMRI carried out with young people with SEBD in recent years when experiencing mildly-threatening emotional scenarios made two conclusions.  Firstly, some learners demonstrated poor emotional regulation and heightened </w:t>
      </w:r>
      <w:r w:rsidR="006130AF">
        <w:rPr>
          <w:sz w:val="24"/>
        </w:rPr>
        <w:t xml:space="preserve">emotional reactivity while others showed reduced emotional receptivity </w:t>
      </w:r>
      <w:r w:rsidR="009C6A08">
        <w:rPr>
          <w:sz w:val="24"/>
        </w:rPr>
        <w:t xml:space="preserve">to others, including diminished empathy and remorse (Frederickson et al, 2013).  Further investigations into the causes of such reactions are beyond the scope of this assignment, however Hattie (2012: 112) propounds the notion of teachers as ‘adaptive learning experts’ who understand experiences from the unique perspectives of their learners and have the flexibility to adjust routines and strategies to cater for all levels of need.  In later work, Hattie and Yates (2014) argue that supportive, knowledgeable relationships between learners and teachers have the potential to mitigate the risk of negative outcomes for pupils who may otherwise have difficulties with social behaviour and academic progress, particularly if they reside in an unsupportive home environment.  Accepting this, </w:t>
      </w:r>
      <w:proofErr w:type="spellStart"/>
      <w:r w:rsidR="009C6A08">
        <w:rPr>
          <w:sz w:val="24"/>
        </w:rPr>
        <w:t>Hohnen</w:t>
      </w:r>
      <w:proofErr w:type="spellEnd"/>
      <w:r w:rsidR="009C6A08">
        <w:rPr>
          <w:sz w:val="24"/>
        </w:rPr>
        <w:t xml:space="preserve"> and Murphy (2016: 84) argue for a greater understanding of neuroscientific research and the importance of positive relationships as these will ‘lead to greater tolerance, and without punishment and anger there is a learning opportunity for the young person where good connections and circuits can be built, linking up the emotional and thinking brain’.  </w:t>
      </w:r>
      <w:r>
        <w:rPr>
          <w:sz w:val="24"/>
        </w:rPr>
        <w:t xml:space="preserve"> </w:t>
      </w:r>
      <w:r w:rsidR="00B5137E">
        <w:rPr>
          <w:sz w:val="24"/>
        </w:rPr>
        <w:t xml:space="preserve">Again, research-based evidence will inform my teaching and I would endeavour to create strong and predictable relationships which have clear and fair boundaries.  </w:t>
      </w:r>
      <w:r>
        <w:rPr>
          <w:sz w:val="24"/>
        </w:rPr>
        <w:t xml:space="preserve">  </w:t>
      </w:r>
    </w:p>
    <w:p w:rsidR="00ED1B6E" w:rsidRDefault="007D6AA0" w:rsidP="005912AB">
      <w:pPr>
        <w:jc w:val="both"/>
        <w:rPr>
          <w:sz w:val="24"/>
        </w:rPr>
      </w:pPr>
      <w:r>
        <w:rPr>
          <w:sz w:val="24"/>
        </w:rPr>
        <w:t xml:space="preserve">We have seen that there is potential for methodical synergy between cognitive neuroscientists and educators to inform each other to create optimum conditions for </w:t>
      </w:r>
      <w:proofErr w:type="gramStart"/>
      <w:r>
        <w:rPr>
          <w:sz w:val="24"/>
        </w:rPr>
        <w:t>learning</w:t>
      </w:r>
      <w:proofErr w:type="gramEnd"/>
      <w:r>
        <w:rPr>
          <w:sz w:val="24"/>
        </w:rPr>
        <w:t xml:space="preserve"> (Ansari et al, 2011).  Understanding how the human brain learns can assist teachers in selecting the most appropriate pedagogical approaches, however prior to discussing such approaches it is necessary to provide a brief introduction to the principles of learning.  Eysenck and Keane (2015) present laboratory-based research and suggest that learning and memory involve several stages.  Humans ‘encode’ learning material and, as a result, information is stored within the memory system for later retrieval.  Hattie and Yates (2014: 47) suggest a common theme present in all theories of learning is that, for learning to be successful, the learner has to make an active response to the source of learning and the teacher’s role is to ‘invite and induce students to engage actively with learning resources’.  </w:t>
      </w:r>
      <w:proofErr w:type="spellStart"/>
      <w:r w:rsidR="00ED1B6E">
        <w:rPr>
          <w:sz w:val="24"/>
        </w:rPr>
        <w:t>Rosenshine</w:t>
      </w:r>
      <w:proofErr w:type="spellEnd"/>
      <w:r w:rsidR="00ED1B6E">
        <w:rPr>
          <w:sz w:val="24"/>
        </w:rPr>
        <w:t xml:space="preserve"> (2012) suggests research-based pedagogical strategies to achieve optimum learning and recognises student participation as crucial in the learning process.  </w:t>
      </w:r>
      <w:r w:rsidR="00493CDB">
        <w:rPr>
          <w:sz w:val="24"/>
        </w:rPr>
        <w:t xml:space="preserve">Suggested approaches include encouraging learners to interact with their peers via pair and group work as well as providing sufficient scaffolding of tasks to ensure learning is accessible to all and engaging students in regular reviews of their work to promote greater ownership and autonomy.  </w:t>
      </w:r>
    </w:p>
    <w:p w:rsidR="00ED1B6E" w:rsidRDefault="00ED1B6E" w:rsidP="005912AB">
      <w:pPr>
        <w:jc w:val="both"/>
        <w:rPr>
          <w:sz w:val="24"/>
        </w:rPr>
      </w:pPr>
    </w:p>
    <w:p w:rsidR="00493CDB" w:rsidRDefault="00E91108" w:rsidP="005912AB">
      <w:pPr>
        <w:jc w:val="both"/>
        <w:rPr>
          <w:sz w:val="24"/>
        </w:rPr>
      </w:pPr>
      <w:r>
        <w:rPr>
          <w:sz w:val="24"/>
        </w:rPr>
        <w:lastRenderedPageBreak/>
        <w:t xml:space="preserve">The need for neuroscientists and educators to form a partnership is achieving broader approval as scientific findings can assist educators to choose more effective methods of teaching, including the recognition of many of the social and environmental aspects that can influence learning and cognition (Master, 2017).  Aldrich (2014) cites the findings of Siegel (2013) who demonstrates how the brain experiences </w:t>
      </w:r>
      <w:r w:rsidR="00FC243B">
        <w:rPr>
          <w:sz w:val="24"/>
        </w:rPr>
        <w:t xml:space="preserve">a </w:t>
      </w:r>
      <w:r>
        <w:rPr>
          <w:sz w:val="24"/>
        </w:rPr>
        <w:t xml:space="preserve">complete remodelling between the ages of twelve and twenty four, which provides tremendous scope for those involved in secondary education to make a difference to the lives of students.  Contemporary literature presented in this assignment has convincingly argued for greater interactions between the scientific and educational communities, although so-called ‘brain-based learning’ products that enjoyed some popularity in the last two decades have been found to have loose and factually incorrect links to scientific findings (Ansari et al, 2011).  Nevertheless, as cognitive neurology advances further, it will inevitably disclose greater understanding of plasticity which may generate innovative applications in educational settings (Rees et al, 2016), although Ansari et al (2001: 39) point out that there should be no ‘knowledge hierarchy’ where educators are simply </w:t>
      </w:r>
      <w:r w:rsidR="00317D9A">
        <w:rPr>
          <w:sz w:val="24"/>
        </w:rPr>
        <w:t xml:space="preserve">the consumers of information generated by neuroscientists.  </w:t>
      </w:r>
    </w:p>
    <w:p w:rsidR="00EF4E02" w:rsidRDefault="00FC243B" w:rsidP="005912AB">
      <w:pPr>
        <w:jc w:val="both"/>
        <w:rPr>
          <w:sz w:val="24"/>
        </w:rPr>
      </w:pPr>
      <w:r>
        <w:rPr>
          <w:sz w:val="24"/>
        </w:rPr>
        <w:t>Recent proposals for a revised curriculum i</w:t>
      </w:r>
      <w:r w:rsidR="00493CDB">
        <w:rPr>
          <w:sz w:val="24"/>
        </w:rPr>
        <w:t>n Wales potentially offer whole</w:t>
      </w:r>
      <w:r>
        <w:rPr>
          <w:sz w:val="24"/>
        </w:rPr>
        <w:t xml:space="preserve">sale reform with its focus on </w:t>
      </w:r>
      <w:r w:rsidR="00EF4E02">
        <w:rPr>
          <w:sz w:val="24"/>
        </w:rPr>
        <w:t xml:space="preserve">innovative pedagogical approaches, emphasis on digital competence and </w:t>
      </w:r>
      <w:r>
        <w:rPr>
          <w:sz w:val="24"/>
        </w:rPr>
        <w:t xml:space="preserve">health and well-being and </w:t>
      </w:r>
      <w:r w:rsidR="00EF4E02">
        <w:rPr>
          <w:sz w:val="24"/>
        </w:rPr>
        <w:t xml:space="preserve">its </w:t>
      </w:r>
      <w:r>
        <w:rPr>
          <w:sz w:val="24"/>
        </w:rPr>
        <w:t>explicit aim of producing confident</w:t>
      </w:r>
      <w:r w:rsidR="00D87E9C">
        <w:rPr>
          <w:sz w:val="24"/>
        </w:rPr>
        <w:t>,</w:t>
      </w:r>
      <w:r w:rsidR="00EF4E02">
        <w:rPr>
          <w:sz w:val="24"/>
        </w:rPr>
        <w:t xml:space="preserve"> enterprising</w:t>
      </w:r>
      <w:r>
        <w:rPr>
          <w:sz w:val="24"/>
        </w:rPr>
        <w:t xml:space="preserve"> and well-adjusted learners who can successfully work within a range of scenarios (Donaldson, 2015</w:t>
      </w:r>
      <w:r w:rsidR="00EF4E02">
        <w:rPr>
          <w:sz w:val="24"/>
        </w:rPr>
        <w:t>).  This stance goes some way in</w:t>
      </w:r>
      <w:r>
        <w:rPr>
          <w:sz w:val="24"/>
        </w:rPr>
        <w:t xml:space="preserve"> providing an education system that can </w:t>
      </w:r>
      <w:r w:rsidR="00493CDB">
        <w:rPr>
          <w:sz w:val="24"/>
        </w:rPr>
        <w:t xml:space="preserve">potentially </w:t>
      </w:r>
      <w:r>
        <w:rPr>
          <w:sz w:val="24"/>
        </w:rPr>
        <w:t>align with co</w:t>
      </w:r>
      <w:r w:rsidR="00EF4E02">
        <w:rPr>
          <w:sz w:val="24"/>
        </w:rPr>
        <w:t>gnitive neuroscience.  Aldrich (2013</w:t>
      </w:r>
      <w:r w:rsidR="00F41A08">
        <w:rPr>
          <w:sz w:val="24"/>
        </w:rPr>
        <w:t>: 409</w:t>
      </w:r>
      <w:r w:rsidR="00EF4E02">
        <w:rPr>
          <w:sz w:val="24"/>
        </w:rPr>
        <w:t>) asserts that education is at a turning point at the start of the 21</w:t>
      </w:r>
      <w:r w:rsidR="00EF4E02" w:rsidRPr="00EF4E02">
        <w:rPr>
          <w:sz w:val="24"/>
          <w:vertAlign w:val="superscript"/>
        </w:rPr>
        <w:t>st</w:t>
      </w:r>
      <w:r w:rsidR="00EF4E02">
        <w:rPr>
          <w:sz w:val="24"/>
        </w:rPr>
        <w:t xml:space="preserve"> century with cognitive neuroscience having the potential </w:t>
      </w:r>
      <w:r w:rsidR="00F41A08">
        <w:rPr>
          <w:sz w:val="24"/>
        </w:rPr>
        <w:t>to inform a ‘radical re-thinking of the nature of formal and informal education’.  Advances in technology in education and society are particularly significant in changing th</w:t>
      </w:r>
      <w:r w:rsidR="00D87E9C">
        <w:rPr>
          <w:sz w:val="24"/>
        </w:rPr>
        <w:t>e way people live and learn. A</w:t>
      </w:r>
      <w:r w:rsidR="00F41A08">
        <w:rPr>
          <w:sz w:val="24"/>
        </w:rPr>
        <w:t xml:space="preserve">lthough </w:t>
      </w:r>
      <w:r w:rsidR="00D87E9C">
        <w:rPr>
          <w:sz w:val="24"/>
        </w:rPr>
        <w:t>technology offers a</w:t>
      </w:r>
      <w:r w:rsidR="00F41A08">
        <w:rPr>
          <w:sz w:val="24"/>
        </w:rPr>
        <w:t xml:space="preserve"> real potential to enhance learning, Aldrich (2013: 409) cites studies that are demonstrating ‘significant atrophy in key parts of the brain’ as a result of </w:t>
      </w:r>
      <w:r w:rsidR="00D87E9C">
        <w:rPr>
          <w:sz w:val="24"/>
        </w:rPr>
        <w:t xml:space="preserve">its </w:t>
      </w:r>
      <w:r w:rsidR="00F41A08">
        <w:rPr>
          <w:sz w:val="24"/>
        </w:rPr>
        <w:t xml:space="preserve">over-use.  </w:t>
      </w:r>
      <w:r w:rsidR="00BB1B0B">
        <w:rPr>
          <w:sz w:val="24"/>
        </w:rPr>
        <w:t>To counter this, there is an abundance of literature which suggests that learning has an emotional base (Van Dam, 2013) and the importance of relationships in helping to create effective learning environments (Hattie and Yates, 2014)</w:t>
      </w:r>
      <w:r w:rsidR="00585A38">
        <w:rPr>
          <w:sz w:val="24"/>
        </w:rPr>
        <w:t>. T</w:t>
      </w:r>
      <w:r w:rsidR="00BB1B0B">
        <w:rPr>
          <w:sz w:val="24"/>
        </w:rPr>
        <w:t xml:space="preserve">herefore those involved in education at all levels need to be mindful of the </w:t>
      </w:r>
      <w:r w:rsidR="00A44D39">
        <w:rPr>
          <w:sz w:val="24"/>
        </w:rPr>
        <w:t xml:space="preserve">importance of the </w:t>
      </w:r>
      <w:r w:rsidR="00BB1B0B">
        <w:rPr>
          <w:sz w:val="24"/>
        </w:rPr>
        <w:t xml:space="preserve">human component in developing skills and attributes desired in Donaldson’s (2015) curriculum reform in Wales.  </w:t>
      </w:r>
    </w:p>
    <w:p w:rsidR="00E91108" w:rsidRDefault="00BB1B0B" w:rsidP="005912AB">
      <w:pPr>
        <w:jc w:val="both"/>
        <w:rPr>
          <w:sz w:val="24"/>
        </w:rPr>
      </w:pPr>
      <w:r>
        <w:rPr>
          <w:sz w:val="24"/>
        </w:rPr>
        <w:t>Aldrich (2013) suggests that the majority of teachers are still unaware, or indifferent to</w:t>
      </w:r>
      <w:r w:rsidR="00493CDB">
        <w:rPr>
          <w:sz w:val="24"/>
        </w:rPr>
        <w:t>,</w:t>
      </w:r>
      <w:r>
        <w:rPr>
          <w:sz w:val="24"/>
        </w:rPr>
        <w:t xml:space="preserve"> the outcomes of scientific research.  If there is to be a true partnership between cognitive neuroscience and education, </w:t>
      </w:r>
      <w:r w:rsidR="00493CDB">
        <w:rPr>
          <w:sz w:val="24"/>
        </w:rPr>
        <w:t xml:space="preserve"> Ansari et al (2011) </w:t>
      </w:r>
      <w:r>
        <w:rPr>
          <w:sz w:val="24"/>
        </w:rPr>
        <w:t>argue that</w:t>
      </w:r>
      <w:r w:rsidR="00493CDB">
        <w:rPr>
          <w:sz w:val="24"/>
        </w:rPr>
        <w:t xml:space="preserve"> contemporary ITE provision needs to include training in aspects of cognitive neurology and students of cognitive neuroscience should be exposed to educational issues.  Placing such matter within a statutory ITE curriculum </w:t>
      </w:r>
      <w:r w:rsidR="008435C8">
        <w:rPr>
          <w:sz w:val="24"/>
        </w:rPr>
        <w:t xml:space="preserve">by explicitly recording understanding of cognitive neurology </w:t>
      </w:r>
      <w:r w:rsidR="004F50B2">
        <w:rPr>
          <w:sz w:val="24"/>
        </w:rPr>
        <w:t xml:space="preserve">within Qualified Teacher Status (QTS) standards </w:t>
      </w:r>
      <w:r w:rsidR="00493CDB">
        <w:rPr>
          <w:sz w:val="24"/>
        </w:rPr>
        <w:t>may provide new entrants into teaching with what Geake (2005) calls a ‘critical filter’ which can present some challenge to the uncritical acceptance of neuro-myths within education as previously discussed.  Despite</w:t>
      </w:r>
      <w:r w:rsidR="00317D9A">
        <w:rPr>
          <w:sz w:val="24"/>
        </w:rPr>
        <w:t xml:space="preserve"> current literature acknowledging that the field of </w:t>
      </w:r>
      <w:r w:rsidR="004D7B93">
        <w:rPr>
          <w:sz w:val="24"/>
        </w:rPr>
        <w:t>cognitive</w:t>
      </w:r>
      <w:r w:rsidR="00317D9A">
        <w:rPr>
          <w:sz w:val="24"/>
        </w:rPr>
        <w:t xml:space="preserve"> neuroscience is in its infancy, </w:t>
      </w:r>
      <w:r w:rsidR="004F50B2">
        <w:rPr>
          <w:sz w:val="24"/>
        </w:rPr>
        <w:t>research</w:t>
      </w:r>
      <w:r w:rsidR="004D7B93">
        <w:rPr>
          <w:sz w:val="24"/>
        </w:rPr>
        <w:t xml:space="preserve"> supports the view that it </w:t>
      </w:r>
      <w:r w:rsidR="004F50B2">
        <w:rPr>
          <w:sz w:val="24"/>
        </w:rPr>
        <w:t>verifies</w:t>
      </w:r>
      <w:r w:rsidR="004D7B93">
        <w:rPr>
          <w:sz w:val="24"/>
        </w:rPr>
        <w:t xml:space="preserve"> what effective teachers knew already, such as the value of multi-sensory pedagogies and creating safe and nurturing environments</w:t>
      </w:r>
      <w:r w:rsidR="004F50B2">
        <w:rPr>
          <w:sz w:val="24"/>
        </w:rPr>
        <w:t xml:space="preserve"> to allow deep learning to take </w:t>
      </w:r>
      <w:proofErr w:type="spellStart"/>
      <w:r w:rsidR="004F50B2">
        <w:rPr>
          <w:sz w:val="24"/>
        </w:rPr>
        <w:lastRenderedPageBreak/>
        <w:t>placce</w:t>
      </w:r>
      <w:proofErr w:type="spellEnd"/>
      <w:r w:rsidR="004D7B93">
        <w:rPr>
          <w:sz w:val="24"/>
        </w:rPr>
        <w:t xml:space="preserve"> (</w:t>
      </w:r>
      <w:proofErr w:type="spellStart"/>
      <w:r w:rsidR="004D7B93">
        <w:rPr>
          <w:sz w:val="24"/>
        </w:rPr>
        <w:t>Goswani</w:t>
      </w:r>
      <w:proofErr w:type="spellEnd"/>
      <w:r w:rsidR="004D7B93">
        <w:rPr>
          <w:sz w:val="24"/>
        </w:rPr>
        <w:t xml:space="preserve">, 2008).  </w:t>
      </w:r>
      <w:r w:rsidR="004F50B2">
        <w:rPr>
          <w:sz w:val="24"/>
        </w:rPr>
        <w:t>Undoubtedly</w:t>
      </w:r>
      <w:r w:rsidR="004D7B93">
        <w:rPr>
          <w:sz w:val="24"/>
        </w:rPr>
        <w:t xml:space="preserve">, further research is required and strong links are needed between neuroscience and education.  The final thought goes to </w:t>
      </w:r>
      <w:r w:rsidR="00317D9A">
        <w:rPr>
          <w:sz w:val="24"/>
        </w:rPr>
        <w:t xml:space="preserve">Aldrich (2013: 401) </w:t>
      </w:r>
      <w:r w:rsidR="004F50B2">
        <w:rPr>
          <w:sz w:val="24"/>
        </w:rPr>
        <w:t xml:space="preserve">who </w:t>
      </w:r>
      <w:r w:rsidR="00317D9A">
        <w:rPr>
          <w:sz w:val="24"/>
        </w:rPr>
        <w:t xml:space="preserve">cites the view of </w:t>
      </w:r>
      <w:proofErr w:type="spellStart"/>
      <w:r w:rsidR="00317D9A">
        <w:rPr>
          <w:sz w:val="24"/>
        </w:rPr>
        <w:t>Tommerdahl</w:t>
      </w:r>
      <w:proofErr w:type="spellEnd"/>
      <w:r w:rsidR="00317D9A">
        <w:rPr>
          <w:sz w:val="24"/>
        </w:rPr>
        <w:t xml:space="preserve"> (2010) that ‘the road from the laboratory to the classroom may be a longer one than many realise, but given the possible benefits, it is certainly one worth travelling’.      </w:t>
      </w:r>
    </w:p>
    <w:p w:rsidR="00323134" w:rsidRDefault="00323134" w:rsidP="005912AB">
      <w:pPr>
        <w:jc w:val="both"/>
        <w:rPr>
          <w:sz w:val="24"/>
        </w:rPr>
      </w:pPr>
    </w:p>
    <w:p w:rsidR="00323134" w:rsidRDefault="00323134" w:rsidP="005912AB">
      <w:pPr>
        <w:jc w:val="both"/>
        <w:rPr>
          <w:sz w:val="24"/>
        </w:rPr>
      </w:pPr>
    </w:p>
    <w:p w:rsidR="00323134" w:rsidRDefault="00323134" w:rsidP="005912AB">
      <w:pPr>
        <w:jc w:val="both"/>
        <w:rPr>
          <w:sz w:val="24"/>
        </w:rPr>
      </w:pPr>
    </w:p>
    <w:p w:rsidR="00323134" w:rsidRDefault="00323134" w:rsidP="005912AB">
      <w:pPr>
        <w:jc w:val="both"/>
        <w:rPr>
          <w:sz w:val="24"/>
        </w:rPr>
      </w:pPr>
    </w:p>
    <w:p w:rsidR="00323134" w:rsidRDefault="00323134" w:rsidP="005912AB">
      <w:pPr>
        <w:jc w:val="both"/>
        <w:rPr>
          <w:sz w:val="24"/>
        </w:rPr>
      </w:pPr>
    </w:p>
    <w:p w:rsidR="00323134" w:rsidRDefault="00323134" w:rsidP="005912AB">
      <w:pPr>
        <w:jc w:val="both"/>
        <w:rPr>
          <w:sz w:val="24"/>
        </w:rPr>
      </w:pPr>
    </w:p>
    <w:p w:rsidR="00323134" w:rsidRDefault="00323134" w:rsidP="005912AB">
      <w:pPr>
        <w:jc w:val="both"/>
        <w:rPr>
          <w:sz w:val="24"/>
        </w:rPr>
      </w:pPr>
    </w:p>
    <w:p w:rsidR="00472175" w:rsidRDefault="00472175" w:rsidP="005912AB">
      <w:pPr>
        <w:jc w:val="both"/>
        <w:rPr>
          <w:b/>
          <w:sz w:val="28"/>
        </w:rPr>
      </w:pPr>
    </w:p>
    <w:p w:rsidR="00472175" w:rsidRDefault="00472175" w:rsidP="005912AB">
      <w:pPr>
        <w:jc w:val="both"/>
        <w:rPr>
          <w:b/>
          <w:sz w:val="28"/>
        </w:rPr>
      </w:pPr>
    </w:p>
    <w:p w:rsidR="00472175" w:rsidRDefault="00472175" w:rsidP="005912AB">
      <w:pPr>
        <w:jc w:val="both"/>
        <w:rPr>
          <w:b/>
          <w:sz w:val="28"/>
        </w:rPr>
      </w:pPr>
    </w:p>
    <w:p w:rsidR="00472175" w:rsidRDefault="00472175" w:rsidP="005912AB">
      <w:pPr>
        <w:jc w:val="both"/>
        <w:rPr>
          <w:b/>
          <w:sz w:val="28"/>
        </w:rPr>
      </w:pPr>
    </w:p>
    <w:p w:rsidR="00472175" w:rsidRDefault="00472175" w:rsidP="005912AB">
      <w:pPr>
        <w:jc w:val="both"/>
        <w:rPr>
          <w:b/>
          <w:sz w:val="28"/>
        </w:rPr>
      </w:pPr>
    </w:p>
    <w:p w:rsidR="00472175" w:rsidRDefault="00472175" w:rsidP="005912AB">
      <w:pPr>
        <w:jc w:val="both"/>
        <w:rPr>
          <w:b/>
          <w:sz w:val="28"/>
        </w:rPr>
      </w:pPr>
    </w:p>
    <w:p w:rsidR="00472175" w:rsidRDefault="00472175" w:rsidP="005912AB">
      <w:pPr>
        <w:jc w:val="both"/>
        <w:rPr>
          <w:b/>
          <w:sz w:val="28"/>
        </w:rPr>
      </w:pPr>
    </w:p>
    <w:p w:rsidR="00472175" w:rsidRDefault="00472175" w:rsidP="005912AB">
      <w:pPr>
        <w:jc w:val="both"/>
        <w:rPr>
          <w:b/>
          <w:sz w:val="28"/>
        </w:rPr>
      </w:pPr>
    </w:p>
    <w:p w:rsidR="00472175" w:rsidRDefault="00472175" w:rsidP="005912AB">
      <w:pPr>
        <w:jc w:val="both"/>
        <w:rPr>
          <w:b/>
          <w:sz w:val="28"/>
        </w:rPr>
      </w:pPr>
    </w:p>
    <w:p w:rsidR="00472175" w:rsidRDefault="00472175" w:rsidP="005912AB">
      <w:pPr>
        <w:jc w:val="both"/>
        <w:rPr>
          <w:b/>
          <w:sz w:val="28"/>
        </w:rPr>
      </w:pPr>
    </w:p>
    <w:p w:rsidR="00472175" w:rsidRDefault="00472175" w:rsidP="005912AB">
      <w:pPr>
        <w:jc w:val="both"/>
        <w:rPr>
          <w:b/>
          <w:sz w:val="28"/>
        </w:rPr>
      </w:pPr>
    </w:p>
    <w:p w:rsidR="00472175" w:rsidRDefault="00472175" w:rsidP="005912AB">
      <w:pPr>
        <w:jc w:val="both"/>
        <w:rPr>
          <w:b/>
          <w:sz w:val="28"/>
        </w:rPr>
      </w:pPr>
    </w:p>
    <w:p w:rsidR="00472175" w:rsidRDefault="00472175" w:rsidP="005912AB">
      <w:pPr>
        <w:jc w:val="both"/>
        <w:rPr>
          <w:b/>
          <w:sz w:val="28"/>
        </w:rPr>
      </w:pPr>
    </w:p>
    <w:p w:rsidR="00472175" w:rsidRDefault="00472175" w:rsidP="005912AB">
      <w:pPr>
        <w:jc w:val="both"/>
        <w:rPr>
          <w:b/>
          <w:sz w:val="28"/>
        </w:rPr>
      </w:pPr>
    </w:p>
    <w:p w:rsidR="00472175" w:rsidRDefault="00472175" w:rsidP="005912AB">
      <w:pPr>
        <w:jc w:val="both"/>
        <w:rPr>
          <w:b/>
          <w:sz w:val="28"/>
        </w:rPr>
      </w:pPr>
    </w:p>
    <w:p w:rsidR="00472175" w:rsidRDefault="00472175" w:rsidP="005912AB">
      <w:pPr>
        <w:jc w:val="both"/>
        <w:rPr>
          <w:b/>
          <w:sz w:val="28"/>
        </w:rPr>
      </w:pPr>
    </w:p>
    <w:p w:rsidR="00472175" w:rsidRDefault="00472175" w:rsidP="005912AB">
      <w:pPr>
        <w:jc w:val="both"/>
        <w:rPr>
          <w:b/>
          <w:sz w:val="28"/>
        </w:rPr>
      </w:pPr>
    </w:p>
    <w:p w:rsidR="00323134" w:rsidRPr="00323134" w:rsidRDefault="00323134" w:rsidP="005912AB">
      <w:pPr>
        <w:jc w:val="both"/>
        <w:rPr>
          <w:b/>
          <w:sz w:val="28"/>
        </w:rPr>
      </w:pPr>
      <w:r w:rsidRPr="00323134">
        <w:rPr>
          <w:b/>
          <w:sz w:val="28"/>
        </w:rPr>
        <w:lastRenderedPageBreak/>
        <w:t>References</w:t>
      </w:r>
    </w:p>
    <w:p w:rsidR="00323134" w:rsidRDefault="00323134" w:rsidP="005912AB">
      <w:pPr>
        <w:jc w:val="both"/>
        <w:rPr>
          <w:sz w:val="24"/>
        </w:rPr>
      </w:pPr>
      <w:r>
        <w:rPr>
          <w:sz w:val="24"/>
        </w:rPr>
        <w:t>Aldridge, R (2013).  Neuroscience, education and the evolution of the human brain.  History of Education.  42 (3), pp 396-410</w:t>
      </w:r>
    </w:p>
    <w:p w:rsidR="00F06FE8" w:rsidRDefault="00F06FE8" w:rsidP="00F06FE8">
      <w:pPr>
        <w:jc w:val="both"/>
        <w:rPr>
          <w:sz w:val="24"/>
        </w:rPr>
      </w:pPr>
      <w:r>
        <w:rPr>
          <w:sz w:val="24"/>
        </w:rPr>
        <w:t xml:space="preserve">Aldrich, R (2014).  Nature, nurture and neuroscience: some future directions for historians of education.  </w:t>
      </w:r>
      <w:proofErr w:type="spellStart"/>
      <w:r>
        <w:rPr>
          <w:sz w:val="24"/>
        </w:rPr>
        <w:t>Paedagogica</w:t>
      </w:r>
      <w:proofErr w:type="spellEnd"/>
      <w:r>
        <w:rPr>
          <w:sz w:val="24"/>
        </w:rPr>
        <w:t xml:space="preserve"> </w:t>
      </w:r>
      <w:proofErr w:type="spellStart"/>
      <w:r>
        <w:rPr>
          <w:sz w:val="24"/>
        </w:rPr>
        <w:t>Historica</w:t>
      </w:r>
      <w:proofErr w:type="spellEnd"/>
      <w:proofErr w:type="gramStart"/>
      <w:r>
        <w:rPr>
          <w:sz w:val="24"/>
        </w:rPr>
        <w:t>,  50</w:t>
      </w:r>
      <w:proofErr w:type="gramEnd"/>
      <w:r>
        <w:rPr>
          <w:sz w:val="24"/>
        </w:rPr>
        <w:t xml:space="preserve"> (6), pp 852-860</w:t>
      </w:r>
    </w:p>
    <w:p w:rsidR="00F06FE8" w:rsidRDefault="00F06FE8" w:rsidP="00F06FE8">
      <w:pPr>
        <w:jc w:val="both"/>
        <w:rPr>
          <w:sz w:val="24"/>
        </w:rPr>
      </w:pPr>
      <w:r>
        <w:rPr>
          <w:sz w:val="24"/>
        </w:rPr>
        <w:t xml:space="preserve">Ansari, D, </w:t>
      </w:r>
      <w:proofErr w:type="spellStart"/>
      <w:r>
        <w:rPr>
          <w:sz w:val="24"/>
        </w:rPr>
        <w:t>Coch</w:t>
      </w:r>
      <w:proofErr w:type="spellEnd"/>
      <w:r>
        <w:rPr>
          <w:sz w:val="24"/>
        </w:rPr>
        <w:t xml:space="preserve">, D and De </w:t>
      </w:r>
      <w:proofErr w:type="spellStart"/>
      <w:r>
        <w:rPr>
          <w:sz w:val="24"/>
        </w:rPr>
        <w:t>Smedt</w:t>
      </w:r>
      <w:proofErr w:type="spellEnd"/>
      <w:r>
        <w:rPr>
          <w:sz w:val="24"/>
        </w:rPr>
        <w:t xml:space="preserve">, B (2011).  Connecting Education and Cognitive Neuroscience: Where will the journey take us?  </w:t>
      </w:r>
      <w:r w:rsidRPr="005B043E">
        <w:rPr>
          <w:i/>
          <w:sz w:val="24"/>
        </w:rPr>
        <w:t>Educational Philosophy and Theory</w:t>
      </w:r>
      <w:r>
        <w:rPr>
          <w:sz w:val="24"/>
        </w:rPr>
        <w:t>.  43 (1), pp 37-42</w:t>
      </w:r>
    </w:p>
    <w:p w:rsidR="00B838A2" w:rsidRDefault="00B838A2" w:rsidP="00F06FE8">
      <w:pPr>
        <w:jc w:val="both"/>
        <w:rPr>
          <w:sz w:val="24"/>
        </w:rPr>
      </w:pPr>
      <w:proofErr w:type="spellStart"/>
      <w:r>
        <w:rPr>
          <w:sz w:val="24"/>
        </w:rPr>
        <w:t>Battro</w:t>
      </w:r>
      <w:proofErr w:type="spellEnd"/>
      <w:r>
        <w:rPr>
          <w:sz w:val="24"/>
        </w:rPr>
        <w:t xml:space="preserve">, A, </w:t>
      </w:r>
      <w:proofErr w:type="spellStart"/>
      <w:r>
        <w:rPr>
          <w:sz w:val="24"/>
        </w:rPr>
        <w:t>Calero</w:t>
      </w:r>
      <w:proofErr w:type="spellEnd"/>
      <w:r>
        <w:rPr>
          <w:sz w:val="24"/>
        </w:rPr>
        <w:t xml:space="preserve">, C, Goldin, A, </w:t>
      </w:r>
      <w:proofErr w:type="spellStart"/>
      <w:r>
        <w:rPr>
          <w:sz w:val="24"/>
        </w:rPr>
        <w:t>Hopler</w:t>
      </w:r>
      <w:proofErr w:type="spellEnd"/>
      <w:r>
        <w:rPr>
          <w:sz w:val="24"/>
        </w:rPr>
        <w:t xml:space="preserve">, L, </w:t>
      </w:r>
      <w:proofErr w:type="spellStart"/>
      <w:r>
        <w:rPr>
          <w:sz w:val="24"/>
        </w:rPr>
        <w:t>Pezzatti</w:t>
      </w:r>
      <w:proofErr w:type="spellEnd"/>
      <w:r>
        <w:rPr>
          <w:sz w:val="24"/>
        </w:rPr>
        <w:t xml:space="preserve">, L Shalom, D and </w:t>
      </w:r>
      <w:proofErr w:type="spellStart"/>
      <w:r>
        <w:rPr>
          <w:sz w:val="24"/>
        </w:rPr>
        <w:t>Sigman</w:t>
      </w:r>
      <w:proofErr w:type="spellEnd"/>
      <w:r>
        <w:rPr>
          <w:sz w:val="24"/>
        </w:rPr>
        <w:t>, M (2013).  The cognitive neuroscience of the teacher-student interaction.  Mind, Brain and Education.  7 (3), pp 177 - 181</w:t>
      </w:r>
    </w:p>
    <w:p w:rsidR="00B838A2" w:rsidRDefault="00B838A2" w:rsidP="00F06FE8">
      <w:pPr>
        <w:jc w:val="both"/>
        <w:rPr>
          <w:sz w:val="24"/>
        </w:rPr>
      </w:pPr>
      <w:r>
        <w:rPr>
          <w:sz w:val="24"/>
        </w:rPr>
        <w:t xml:space="preserve">Blakemore, S (2008).  Brain development during adolescence.  </w:t>
      </w:r>
      <w:r w:rsidRPr="00B838A2">
        <w:rPr>
          <w:i/>
          <w:sz w:val="24"/>
        </w:rPr>
        <w:t>Education Review</w:t>
      </w:r>
      <w:r>
        <w:rPr>
          <w:sz w:val="24"/>
        </w:rPr>
        <w:t>.  20 (1), pp 82 - 90</w:t>
      </w:r>
    </w:p>
    <w:p w:rsidR="00B838A2" w:rsidRDefault="00B838A2" w:rsidP="00F06FE8">
      <w:pPr>
        <w:jc w:val="both"/>
        <w:rPr>
          <w:sz w:val="24"/>
        </w:rPr>
      </w:pPr>
      <w:r>
        <w:rPr>
          <w:sz w:val="24"/>
        </w:rPr>
        <w:t xml:space="preserve">Blakemore, S and Choudhury, S (2006).  Development of the adolescent brain: implications for executive function and social cognition.  </w:t>
      </w:r>
      <w:r w:rsidRPr="00B838A2">
        <w:rPr>
          <w:i/>
          <w:sz w:val="24"/>
        </w:rPr>
        <w:t>Journal of Child Psychology and Psychiatry</w:t>
      </w:r>
      <w:r>
        <w:rPr>
          <w:sz w:val="24"/>
        </w:rPr>
        <w:t>.  47 (3), pp 296 - 312</w:t>
      </w:r>
    </w:p>
    <w:p w:rsidR="00B838A2" w:rsidRDefault="00B838A2" w:rsidP="00F06FE8">
      <w:pPr>
        <w:jc w:val="both"/>
        <w:rPr>
          <w:sz w:val="24"/>
        </w:rPr>
      </w:pPr>
      <w:r>
        <w:rPr>
          <w:sz w:val="24"/>
        </w:rPr>
        <w:t xml:space="preserve">Choudhury, S, </w:t>
      </w:r>
      <w:proofErr w:type="spellStart"/>
      <w:r>
        <w:rPr>
          <w:sz w:val="24"/>
        </w:rPr>
        <w:t>Charman</w:t>
      </w:r>
      <w:proofErr w:type="spellEnd"/>
      <w:r>
        <w:rPr>
          <w:sz w:val="24"/>
        </w:rPr>
        <w:t xml:space="preserve">, T and Blakemore, S (2008).  Development of the Teenage Brain.  </w:t>
      </w:r>
      <w:r w:rsidRPr="00B838A2">
        <w:rPr>
          <w:i/>
          <w:sz w:val="24"/>
        </w:rPr>
        <w:t>Mind, Brain and Education</w:t>
      </w:r>
      <w:r>
        <w:rPr>
          <w:sz w:val="24"/>
        </w:rPr>
        <w:t xml:space="preserve">.  2 (3), pp 142 </w:t>
      </w:r>
      <w:r w:rsidR="00CD424E">
        <w:rPr>
          <w:sz w:val="24"/>
        </w:rPr>
        <w:t>–</w:t>
      </w:r>
      <w:r>
        <w:rPr>
          <w:sz w:val="24"/>
        </w:rPr>
        <w:t xml:space="preserve"> 147</w:t>
      </w:r>
    </w:p>
    <w:p w:rsidR="00CD424E" w:rsidRDefault="00CD424E" w:rsidP="00F06FE8">
      <w:pPr>
        <w:jc w:val="both"/>
        <w:rPr>
          <w:sz w:val="24"/>
        </w:rPr>
      </w:pPr>
      <w:r>
        <w:rPr>
          <w:sz w:val="24"/>
        </w:rPr>
        <w:t xml:space="preserve">Donaldson, G (2015).  </w:t>
      </w:r>
      <w:r w:rsidR="00472175">
        <w:rPr>
          <w:sz w:val="24"/>
        </w:rPr>
        <w:t xml:space="preserve">Successful Futures.  Independent Review of Curriculum and Assessment Arrangements in Wales.  Available from:  </w:t>
      </w:r>
      <w:hyperlink r:id="rId7" w:history="1">
        <w:r w:rsidR="00472175" w:rsidRPr="00BD0B78">
          <w:rPr>
            <w:rStyle w:val="Hyperlink"/>
            <w:sz w:val="24"/>
          </w:rPr>
          <w:t>https://gov.wales/docs/dcells/publications/150225-successful-futures-en.pdf</w:t>
        </w:r>
      </w:hyperlink>
      <w:r w:rsidR="00472175">
        <w:rPr>
          <w:sz w:val="24"/>
        </w:rPr>
        <w:t xml:space="preserve"> [Accessed on:  12/01/2019]</w:t>
      </w:r>
    </w:p>
    <w:p w:rsidR="007D1F62" w:rsidRDefault="007D1F62" w:rsidP="00F06FE8">
      <w:pPr>
        <w:jc w:val="both"/>
        <w:rPr>
          <w:sz w:val="24"/>
        </w:rPr>
      </w:pPr>
      <w:proofErr w:type="spellStart"/>
      <w:r>
        <w:rPr>
          <w:sz w:val="24"/>
        </w:rPr>
        <w:t>Dweck</w:t>
      </w:r>
      <w:proofErr w:type="spellEnd"/>
      <w:r>
        <w:rPr>
          <w:sz w:val="24"/>
        </w:rPr>
        <w:t xml:space="preserve">, C (2000).  </w:t>
      </w:r>
      <w:proofErr w:type="spellStart"/>
      <w:r w:rsidRPr="007D1F62">
        <w:rPr>
          <w:i/>
          <w:sz w:val="24"/>
        </w:rPr>
        <w:t>Self Theories</w:t>
      </w:r>
      <w:proofErr w:type="spellEnd"/>
      <w:r w:rsidRPr="007D1F62">
        <w:rPr>
          <w:i/>
          <w:sz w:val="24"/>
        </w:rPr>
        <w:t>.  Their role in motivation, personality and development.</w:t>
      </w:r>
      <w:r>
        <w:rPr>
          <w:sz w:val="24"/>
        </w:rPr>
        <w:t xml:space="preserve">  East Sussex:  Psychology Press</w:t>
      </w:r>
    </w:p>
    <w:p w:rsidR="005B043E" w:rsidRDefault="005B043E" w:rsidP="00F06FE8">
      <w:pPr>
        <w:jc w:val="both"/>
        <w:rPr>
          <w:sz w:val="24"/>
        </w:rPr>
      </w:pPr>
      <w:r>
        <w:rPr>
          <w:sz w:val="24"/>
        </w:rPr>
        <w:t xml:space="preserve">Eysenck, M (2015). Seventh Edition.  </w:t>
      </w:r>
      <w:r w:rsidRPr="003819E5">
        <w:rPr>
          <w:i/>
          <w:sz w:val="24"/>
        </w:rPr>
        <w:t>Cognitive Psychology.  A student’s Handbook</w:t>
      </w:r>
      <w:r>
        <w:rPr>
          <w:sz w:val="24"/>
        </w:rPr>
        <w:t xml:space="preserve">.  </w:t>
      </w:r>
      <w:r w:rsidR="003819E5">
        <w:rPr>
          <w:sz w:val="24"/>
        </w:rPr>
        <w:t>East Sussex: Psychology Press</w:t>
      </w:r>
    </w:p>
    <w:p w:rsidR="00B838A2" w:rsidRDefault="00B838A2" w:rsidP="00F06FE8">
      <w:pPr>
        <w:jc w:val="both"/>
        <w:rPr>
          <w:sz w:val="24"/>
        </w:rPr>
      </w:pPr>
      <w:r>
        <w:rPr>
          <w:sz w:val="24"/>
        </w:rPr>
        <w:t xml:space="preserve">Findlay, H (2012).  Cognitive Neuroscience Learning Theories Coupled with Technologies: A Conduit for Deep and Lasting Learning.  </w:t>
      </w:r>
      <w:r w:rsidRPr="00B838A2">
        <w:rPr>
          <w:i/>
          <w:sz w:val="24"/>
        </w:rPr>
        <w:t>Journal of Applied Learning Technology</w:t>
      </w:r>
      <w:r>
        <w:rPr>
          <w:sz w:val="24"/>
        </w:rPr>
        <w:t xml:space="preserve">.  2 (1), pp 27 - 31 </w:t>
      </w:r>
    </w:p>
    <w:p w:rsidR="00F06FE8" w:rsidRDefault="00F06FE8" w:rsidP="00F06FE8">
      <w:pPr>
        <w:jc w:val="both"/>
        <w:rPr>
          <w:sz w:val="24"/>
        </w:rPr>
      </w:pPr>
      <w:r>
        <w:rPr>
          <w:sz w:val="24"/>
        </w:rPr>
        <w:t xml:space="preserve">Frederickson, N, Jones, A, Warren, L, </w:t>
      </w:r>
      <w:proofErr w:type="spellStart"/>
      <w:r>
        <w:rPr>
          <w:sz w:val="24"/>
        </w:rPr>
        <w:t>Deakes</w:t>
      </w:r>
      <w:proofErr w:type="spellEnd"/>
      <w:r>
        <w:rPr>
          <w:sz w:val="24"/>
        </w:rPr>
        <w:t xml:space="preserve">, T and Allen, G (2013).  Can developmental neuroscience inform intervention for social, emotional and behavioural difficulties (SEBD)?  </w:t>
      </w:r>
      <w:r w:rsidRPr="005B043E">
        <w:rPr>
          <w:i/>
          <w:sz w:val="24"/>
        </w:rPr>
        <w:t>Emotional and Behavioural Difficulties</w:t>
      </w:r>
      <w:r>
        <w:rPr>
          <w:sz w:val="24"/>
        </w:rPr>
        <w:t>.  18 (2), pp 135-154</w:t>
      </w:r>
    </w:p>
    <w:p w:rsidR="00B838A2" w:rsidRDefault="00B838A2" w:rsidP="00F06FE8">
      <w:pPr>
        <w:jc w:val="both"/>
        <w:rPr>
          <w:sz w:val="24"/>
        </w:rPr>
      </w:pPr>
      <w:proofErr w:type="spellStart"/>
      <w:r>
        <w:rPr>
          <w:sz w:val="24"/>
        </w:rPr>
        <w:t>Goswami</w:t>
      </w:r>
      <w:proofErr w:type="spellEnd"/>
      <w:r>
        <w:rPr>
          <w:sz w:val="24"/>
        </w:rPr>
        <w:t xml:space="preserve">, U (2008).  Principles of learning, implications for teaching:  A cognitive neuroscience perspective.  </w:t>
      </w:r>
      <w:r w:rsidRPr="00B838A2">
        <w:rPr>
          <w:i/>
          <w:sz w:val="24"/>
        </w:rPr>
        <w:t>Journal of Philosophy of Education</w:t>
      </w:r>
      <w:r>
        <w:rPr>
          <w:sz w:val="24"/>
        </w:rPr>
        <w:t>.  42 (3), pp 381 - 399</w:t>
      </w:r>
    </w:p>
    <w:p w:rsidR="007D1F62" w:rsidRDefault="007D1F62" w:rsidP="00F06FE8">
      <w:pPr>
        <w:jc w:val="both"/>
        <w:rPr>
          <w:sz w:val="24"/>
        </w:rPr>
      </w:pPr>
      <w:r>
        <w:rPr>
          <w:sz w:val="24"/>
        </w:rPr>
        <w:t xml:space="preserve">Hattie, J (2012).  </w:t>
      </w:r>
      <w:r w:rsidRPr="007D1F62">
        <w:rPr>
          <w:i/>
          <w:sz w:val="24"/>
        </w:rPr>
        <w:t>Visible learning for teachers.  Maximising impact on learning</w:t>
      </w:r>
      <w:r>
        <w:rPr>
          <w:sz w:val="24"/>
        </w:rPr>
        <w:t>.  Oxon: Routledge</w:t>
      </w:r>
    </w:p>
    <w:p w:rsidR="007D1F62" w:rsidRDefault="007D1F62" w:rsidP="00F06FE8">
      <w:pPr>
        <w:jc w:val="both"/>
        <w:rPr>
          <w:sz w:val="24"/>
        </w:rPr>
      </w:pPr>
      <w:r>
        <w:rPr>
          <w:sz w:val="24"/>
        </w:rPr>
        <w:t xml:space="preserve">Hattie, J and Yates, G (2014).  </w:t>
      </w:r>
      <w:r w:rsidRPr="007D1F62">
        <w:rPr>
          <w:i/>
          <w:sz w:val="24"/>
        </w:rPr>
        <w:t>Visible learning and science of how we learn.</w:t>
      </w:r>
      <w:r>
        <w:rPr>
          <w:sz w:val="24"/>
        </w:rPr>
        <w:t xml:space="preserve">  Oxon:  Routledge</w:t>
      </w:r>
    </w:p>
    <w:p w:rsidR="00323134" w:rsidRDefault="00323134" w:rsidP="005912AB">
      <w:pPr>
        <w:jc w:val="both"/>
        <w:rPr>
          <w:sz w:val="24"/>
        </w:rPr>
      </w:pPr>
      <w:proofErr w:type="spellStart"/>
      <w:r>
        <w:rPr>
          <w:sz w:val="24"/>
        </w:rPr>
        <w:lastRenderedPageBreak/>
        <w:t>Hohnen</w:t>
      </w:r>
      <w:proofErr w:type="spellEnd"/>
      <w:r>
        <w:rPr>
          <w:sz w:val="24"/>
        </w:rPr>
        <w:t xml:space="preserve">, B and Murphy, T (2016).  The optimum context for learning; drawing on neuroscience to inform best practice in the classroom.  </w:t>
      </w:r>
      <w:r w:rsidR="006E3E43" w:rsidRPr="005B043E">
        <w:rPr>
          <w:i/>
          <w:sz w:val="24"/>
        </w:rPr>
        <w:t>Educational and Child Psychology</w:t>
      </w:r>
      <w:r w:rsidR="006E3E43">
        <w:rPr>
          <w:sz w:val="24"/>
        </w:rPr>
        <w:t>.  33 (1), pp 75-90</w:t>
      </w:r>
    </w:p>
    <w:p w:rsidR="005A6F03" w:rsidRDefault="005A6F03" w:rsidP="005912AB">
      <w:pPr>
        <w:jc w:val="both"/>
        <w:rPr>
          <w:sz w:val="24"/>
        </w:rPr>
      </w:pPr>
      <w:r>
        <w:rPr>
          <w:sz w:val="24"/>
        </w:rPr>
        <w:t xml:space="preserve">Lucas, B and Claxton, G (2010).  </w:t>
      </w:r>
      <w:r w:rsidRPr="005A6F03">
        <w:rPr>
          <w:i/>
          <w:sz w:val="24"/>
        </w:rPr>
        <w:t>New kind of smart:  How the science of learnable intelligence is changing education</w:t>
      </w:r>
      <w:r>
        <w:rPr>
          <w:sz w:val="24"/>
        </w:rPr>
        <w:t>.  Maidenhead:  Open University Press</w:t>
      </w:r>
    </w:p>
    <w:p w:rsidR="00F06FE8" w:rsidRDefault="00F06FE8" w:rsidP="00F06FE8">
      <w:pPr>
        <w:jc w:val="both"/>
        <w:rPr>
          <w:sz w:val="24"/>
        </w:rPr>
      </w:pPr>
      <w:r>
        <w:rPr>
          <w:sz w:val="24"/>
        </w:rPr>
        <w:t xml:space="preserve">Master, A, </w:t>
      </w:r>
      <w:proofErr w:type="spellStart"/>
      <w:r>
        <w:rPr>
          <w:sz w:val="24"/>
        </w:rPr>
        <w:t>Meltzoff</w:t>
      </w:r>
      <w:proofErr w:type="spellEnd"/>
      <w:r>
        <w:rPr>
          <w:sz w:val="24"/>
        </w:rPr>
        <w:t xml:space="preserve">, </w:t>
      </w:r>
      <w:proofErr w:type="gramStart"/>
      <w:r>
        <w:rPr>
          <w:sz w:val="24"/>
        </w:rPr>
        <w:t>A and</w:t>
      </w:r>
      <w:proofErr w:type="gramEnd"/>
      <w:r>
        <w:rPr>
          <w:sz w:val="24"/>
        </w:rPr>
        <w:t xml:space="preserve"> Lent, R (2016).  Neuroscience, psychology and society: Translating research to improve learning.  </w:t>
      </w:r>
      <w:r w:rsidRPr="005B043E">
        <w:rPr>
          <w:i/>
          <w:sz w:val="24"/>
        </w:rPr>
        <w:t>Prospects</w:t>
      </w:r>
      <w:r>
        <w:rPr>
          <w:sz w:val="24"/>
        </w:rPr>
        <w:t>.  46, pp 191-198</w:t>
      </w:r>
    </w:p>
    <w:p w:rsidR="005B043E" w:rsidRDefault="005B043E" w:rsidP="00F06FE8">
      <w:pPr>
        <w:jc w:val="both"/>
        <w:rPr>
          <w:sz w:val="24"/>
        </w:rPr>
      </w:pPr>
      <w:r>
        <w:rPr>
          <w:sz w:val="24"/>
        </w:rPr>
        <w:t xml:space="preserve">Power, M and </w:t>
      </w:r>
      <w:proofErr w:type="spellStart"/>
      <w:r>
        <w:rPr>
          <w:sz w:val="24"/>
        </w:rPr>
        <w:t>Dalgleish</w:t>
      </w:r>
      <w:proofErr w:type="spellEnd"/>
      <w:r>
        <w:rPr>
          <w:sz w:val="24"/>
        </w:rPr>
        <w:t xml:space="preserve">, T (2016).  Third Edition.  </w:t>
      </w:r>
      <w:r>
        <w:rPr>
          <w:i/>
          <w:sz w:val="24"/>
        </w:rPr>
        <w:t xml:space="preserve">Cognition and Emotion.  From order to disorder.  </w:t>
      </w:r>
      <w:r>
        <w:rPr>
          <w:sz w:val="24"/>
        </w:rPr>
        <w:t>East Sussex:  Psychology Press</w:t>
      </w:r>
    </w:p>
    <w:p w:rsidR="00B838A2" w:rsidRPr="005B043E" w:rsidRDefault="00B838A2" w:rsidP="00F06FE8">
      <w:pPr>
        <w:jc w:val="both"/>
        <w:rPr>
          <w:sz w:val="24"/>
        </w:rPr>
      </w:pPr>
      <w:r>
        <w:rPr>
          <w:sz w:val="24"/>
        </w:rPr>
        <w:t xml:space="preserve">Purdy, N and Morrison, H (2009).  Cognitive neuroscience and education:  unravelling the confusion.  </w:t>
      </w:r>
      <w:r w:rsidRPr="00B838A2">
        <w:rPr>
          <w:i/>
          <w:sz w:val="24"/>
        </w:rPr>
        <w:t>Oxford Review of Education</w:t>
      </w:r>
      <w:r>
        <w:rPr>
          <w:sz w:val="24"/>
        </w:rPr>
        <w:t>.  35 (1), pp 99 - 109</w:t>
      </w:r>
    </w:p>
    <w:p w:rsidR="006E3E43" w:rsidRDefault="006E3E43" w:rsidP="005912AB">
      <w:pPr>
        <w:jc w:val="both"/>
        <w:rPr>
          <w:sz w:val="24"/>
        </w:rPr>
      </w:pPr>
      <w:r>
        <w:rPr>
          <w:sz w:val="24"/>
        </w:rPr>
        <w:t xml:space="preserve">Rees, P, Booth, R and Jones, </w:t>
      </w:r>
      <w:proofErr w:type="gramStart"/>
      <w:r>
        <w:rPr>
          <w:sz w:val="24"/>
        </w:rPr>
        <w:t>A</w:t>
      </w:r>
      <w:proofErr w:type="gramEnd"/>
      <w:r>
        <w:rPr>
          <w:sz w:val="24"/>
        </w:rPr>
        <w:t xml:space="preserve"> (2016).  The emergence of neuroscientific evidence on brain plasticity:  Implications for educational practice.  </w:t>
      </w:r>
      <w:r w:rsidRPr="005B043E">
        <w:rPr>
          <w:i/>
          <w:sz w:val="24"/>
        </w:rPr>
        <w:t>Educational and Child Psychology.</w:t>
      </w:r>
      <w:r>
        <w:rPr>
          <w:sz w:val="24"/>
        </w:rPr>
        <w:t xml:space="preserve">  33 (1), pp 8-19</w:t>
      </w:r>
    </w:p>
    <w:p w:rsidR="00F06FE8" w:rsidRDefault="00F06FE8" w:rsidP="00F06FE8">
      <w:pPr>
        <w:jc w:val="both"/>
        <w:rPr>
          <w:sz w:val="24"/>
        </w:rPr>
      </w:pPr>
      <w:proofErr w:type="spellStart"/>
      <w:r>
        <w:rPr>
          <w:sz w:val="24"/>
        </w:rPr>
        <w:t>Riner</w:t>
      </w:r>
      <w:proofErr w:type="spellEnd"/>
      <w:r>
        <w:rPr>
          <w:sz w:val="24"/>
        </w:rPr>
        <w:t xml:space="preserve">, P and </w:t>
      </w:r>
      <w:proofErr w:type="spellStart"/>
      <w:r>
        <w:rPr>
          <w:sz w:val="24"/>
        </w:rPr>
        <w:t>Tanase</w:t>
      </w:r>
      <w:proofErr w:type="spellEnd"/>
      <w:r>
        <w:rPr>
          <w:sz w:val="24"/>
        </w:rPr>
        <w:t xml:space="preserve">, M (2014).  Inviting calm within:  ADD, neurology and mindfulness.  </w:t>
      </w:r>
      <w:r w:rsidRPr="005B043E">
        <w:rPr>
          <w:i/>
          <w:sz w:val="24"/>
        </w:rPr>
        <w:t>Journal of Invitational Theory and Practice</w:t>
      </w:r>
      <w:r>
        <w:rPr>
          <w:sz w:val="24"/>
        </w:rPr>
        <w:t>.  20, pp 11-25</w:t>
      </w:r>
    </w:p>
    <w:p w:rsidR="00F06FE8" w:rsidRDefault="00F06FE8" w:rsidP="00F06FE8">
      <w:pPr>
        <w:jc w:val="both"/>
        <w:rPr>
          <w:sz w:val="24"/>
        </w:rPr>
      </w:pPr>
      <w:proofErr w:type="spellStart"/>
      <w:r>
        <w:rPr>
          <w:sz w:val="24"/>
        </w:rPr>
        <w:t>Rosenshine</w:t>
      </w:r>
      <w:proofErr w:type="spellEnd"/>
      <w:r>
        <w:rPr>
          <w:sz w:val="24"/>
        </w:rPr>
        <w:t xml:space="preserve">, B (2012).  Principles of instruction.  Research-based strategies that all teachers should know.  </w:t>
      </w:r>
      <w:r w:rsidRPr="005B043E">
        <w:rPr>
          <w:i/>
          <w:sz w:val="24"/>
        </w:rPr>
        <w:t>American Educator</w:t>
      </w:r>
      <w:r>
        <w:rPr>
          <w:sz w:val="24"/>
        </w:rPr>
        <w:t>. Spring 2012. Pp 12-39</w:t>
      </w:r>
    </w:p>
    <w:p w:rsidR="00B838A2" w:rsidRDefault="00B838A2" w:rsidP="00F06FE8">
      <w:pPr>
        <w:jc w:val="both"/>
        <w:rPr>
          <w:sz w:val="24"/>
        </w:rPr>
      </w:pPr>
      <w:r>
        <w:rPr>
          <w:sz w:val="24"/>
        </w:rPr>
        <w:t xml:space="preserve">Van Dam, N (2013).  Inside the learning brain.  </w:t>
      </w:r>
      <w:r w:rsidRPr="00B838A2">
        <w:rPr>
          <w:i/>
          <w:sz w:val="24"/>
        </w:rPr>
        <w:t>Learning and Development</w:t>
      </w:r>
      <w:r>
        <w:rPr>
          <w:sz w:val="24"/>
        </w:rPr>
        <w:t xml:space="preserve">.  Pp 30 </w:t>
      </w:r>
      <w:r w:rsidR="00E61EEC">
        <w:rPr>
          <w:sz w:val="24"/>
        </w:rPr>
        <w:t>–</w:t>
      </w:r>
      <w:r>
        <w:rPr>
          <w:sz w:val="24"/>
        </w:rPr>
        <w:t xml:space="preserve"> 35</w:t>
      </w:r>
    </w:p>
    <w:p w:rsidR="006E3E43" w:rsidRDefault="006E3E43" w:rsidP="005912AB">
      <w:pPr>
        <w:jc w:val="both"/>
        <w:rPr>
          <w:sz w:val="24"/>
        </w:rPr>
      </w:pPr>
      <w:bookmarkStart w:id="0" w:name="_GoBack"/>
      <w:bookmarkEnd w:id="0"/>
      <w:proofErr w:type="spellStart"/>
      <w:r>
        <w:rPr>
          <w:sz w:val="24"/>
        </w:rPr>
        <w:t>Zakreski</w:t>
      </w:r>
      <w:proofErr w:type="spellEnd"/>
      <w:r>
        <w:rPr>
          <w:sz w:val="24"/>
        </w:rPr>
        <w:t xml:space="preserve">, M (2018).  When emotional intensity and cognitive rigidity collide.  </w:t>
      </w:r>
      <w:proofErr w:type="spellStart"/>
      <w:r w:rsidRPr="005B043E">
        <w:rPr>
          <w:i/>
          <w:sz w:val="24"/>
        </w:rPr>
        <w:t>Goldey-Beacom</w:t>
      </w:r>
      <w:proofErr w:type="spellEnd"/>
      <w:r w:rsidRPr="005B043E">
        <w:rPr>
          <w:i/>
          <w:sz w:val="24"/>
        </w:rPr>
        <w:t xml:space="preserve"> and Evergreen Counselling and Psychology Associate</w:t>
      </w:r>
      <w:r>
        <w:rPr>
          <w:sz w:val="24"/>
        </w:rPr>
        <w:t>s.  Pp 208-216</w:t>
      </w:r>
    </w:p>
    <w:p w:rsidR="00F06FE8" w:rsidRDefault="00F06FE8" w:rsidP="005912AB">
      <w:pPr>
        <w:jc w:val="both"/>
        <w:rPr>
          <w:sz w:val="24"/>
        </w:rPr>
      </w:pPr>
    </w:p>
    <w:p w:rsidR="00F06FE8" w:rsidRPr="005912AB" w:rsidRDefault="00F06FE8" w:rsidP="005912AB">
      <w:pPr>
        <w:jc w:val="both"/>
        <w:rPr>
          <w:sz w:val="24"/>
        </w:rPr>
      </w:pPr>
    </w:p>
    <w:p w:rsidR="005912AB" w:rsidRPr="005912AB" w:rsidRDefault="005912AB" w:rsidP="005912AB">
      <w:pPr>
        <w:jc w:val="both"/>
      </w:pPr>
    </w:p>
    <w:sectPr w:rsidR="005912AB" w:rsidRPr="005912A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E75" w:rsidRDefault="00227E75" w:rsidP="005C1946">
      <w:pPr>
        <w:spacing w:after="0" w:line="240" w:lineRule="auto"/>
      </w:pPr>
      <w:r>
        <w:separator/>
      </w:r>
    </w:p>
  </w:endnote>
  <w:endnote w:type="continuationSeparator" w:id="0">
    <w:p w:rsidR="00227E75" w:rsidRDefault="00227E75" w:rsidP="005C1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2224548"/>
      <w:docPartObj>
        <w:docPartGallery w:val="Page Numbers (Bottom of Page)"/>
        <w:docPartUnique/>
      </w:docPartObj>
    </w:sdtPr>
    <w:sdtEndPr>
      <w:rPr>
        <w:noProof/>
      </w:rPr>
    </w:sdtEndPr>
    <w:sdtContent>
      <w:p w:rsidR="00227E75" w:rsidRDefault="00227E75">
        <w:pPr>
          <w:pStyle w:val="Footer"/>
          <w:jc w:val="right"/>
        </w:pPr>
        <w:r>
          <w:fldChar w:fldCharType="begin"/>
        </w:r>
        <w:r>
          <w:instrText xml:space="preserve"> PAGE   \* MERGEFORMAT </w:instrText>
        </w:r>
        <w:r>
          <w:fldChar w:fldCharType="separate"/>
        </w:r>
        <w:r w:rsidR="00046989">
          <w:rPr>
            <w:noProof/>
          </w:rPr>
          <w:t>10</w:t>
        </w:r>
        <w:r>
          <w:rPr>
            <w:noProof/>
          </w:rPr>
          <w:fldChar w:fldCharType="end"/>
        </w:r>
      </w:p>
    </w:sdtContent>
  </w:sdt>
  <w:p w:rsidR="00227E75" w:rsidRDefault="00227E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E75" w:rsidRDefault="00227E75" w:rsidP="005C1946">
      <w:pPr>
        <w:spacing w:after="0" w:line="240" w:lineRule="auto"/>
      </w:pPr>
      <w:r>
        <w:separator/>
      </w:r>
    </w:p>
  </w:footnote>
  <w:footnote w:type="continuationSeparator" w:id="0">
    <w:p w:rsidR="00227E75" w:rsidRDefault="00227E75" w:rsidP="005C19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E75" w:rsidRDefault="00227E75">
    <w:pPr>
      <w:pStyle w:val="Header"/>
    </w:pPr>
    <w:r>
      <w:t>Alison S Evans</w:t>
    </w:r>
    <w:r w:rsidR="00E1020E">
      <w:t xml:space="preserve"> – P079979, 0450060</w:t>
    </w:r>
    <w:r>
      <w:t xml:space="preserve"> </w:t>
    </w:r>
  </w:p>
  <w:p w:rsidR="00227E75" w:rsidRDefault="00227E75">
    <w:pPr>
      <w:pStyle w:val="Header"/>
    </w:pPr>
    <w:r>
      <w:t xml:space="preserve">ECDE7005 – Education for Creativity and Innovation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E66F1F"/>
    <w:multiLevelType w:val="hybridMultilevel"/>
    <w:tmpl w:val="2FB8F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265A9E"/>
    <w:multiLevelType w:val="hybridMultilevel"/>
    <w:tmpl w:val="298C4E68"/>
    <w:lvl w:ilvl="0" w:tplc="2116D08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875C28"/>
    <w:multiLevelType w:val="hybridMultilevel"/>
    <w:tmpl w:val="B37A07AA"/>
    <w:lvl w:ilvl="0" w:tplc="2E8C34E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7A50C8"/>
    <w:multiLevelType w:val="hybridMultilevel"/>
    <w:tmpl w:val="7F5A38B8"/>
    <w:lvl w:ilvl="0" w:tplc="2E8C34E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731A0D"/>
    <w:multiLevelType w:val="hybridMultilevel"/>
    <w:tmpl w:val="18945E1C"/>
    <w:lvl w:ilvl="0" w:tplc="2116D08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7232F2"/>
    <w:multiLevelType w:val="hybridMultilevel"/>
    <w:tmpl w:val="9940B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D26BBA"/>
    <w:multiLevelType w:val="hybridMultilevel"/>
    <w:tmpl w:val="425A0AD6"/>
    <w:lvl w:ilvl="0" w:tplc="70B4302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C27D2B"/>
    <w:multiLevelType w:val="hybridMultilevel"/>
    <w:tmpl w:val="55F05484"/>
    <w:lvl w:ilvl="0" w:tplc="2116D08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6"/>
  </w:num>
  <w:num w:numId="5">
    <w:abstractNumId w:val="0"/>
  </w:num>
  <w:num w:numId="6">
    <w:abstractNumId w:val="1"/>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757"/>
    <w:rsid w:val="000024C5"/>
    <w:rsid w:val="00006F17"/>
    <w:rsid w:val="000102C2"/>
    <w:rsid w:val="00023C9D"/>
    <w:rsid w:val="00032AD7"/>
    <w:rsid w:val="00046989"/>
    <w:rsid w:val="00047573"/>
    <w:rsid w:val="00052F44"/>
    <w:rsid w:val="00054B9C"/>
    <w:rsid w:val="000567BD"/>
    <w:rsid w:val="00065509"/>
    <w:rsid w:val="000802AD"/>
    <w:rsid w:val="000825D4"/>
    <w:rsid w:val="00096303"/>
    <w:rsid w:val="00096CD2"/>
    <w:rsid w:val="000A427E"/>
    <w:rsid w:val="000B4E93"/>
    <w:rsid w:val="000C6274"/>
    <w:rsid w:val="000D0B7D"/>
    <w:rsid w:val="000D735B"/>
    <w:rsid w:val="000E784B"/>
    <w:rsid w:val="000F6920"/>
    <w:rsid w:val="0010727F"/>
    <w:rsid w:val="001140F2"/>
    <w:rsid w:val="00124157"/>
    <w:rsid w:val="00124889"/>
    <w:rsid w:val="001253CE"/>
    <w:rsid w:val="0013448C"/>
    <w:rsid w:val="001426E5"/>
    <w:rsid w:val="00150EA5"/>
    <w:rsid w:val="00151092"/>
    <w:rsid w:val="00170973"/>
    <w:rsid w:val="00172013"/>
    <w:rsid w:val="00173F69"/>
    <w:rsid w:val="00181CF3"/>
    <w:rsid w:val="001829AD"/>
    <w:rsid w:val="00193333"/>
    <w:rsid w:val="001A42BC"/>
    <w:rsid w:val="001A43B0"/>
    <w:rsid w:val="001C1A52"/>
    <w:rsid w:val="001D0EB3"/>
    <w:rsid w:val="001D3CC5"/>
    <w:rsid w:val="001E3841"/>
    <w:rsid w:val="001E7D9B"/>
    <w:rsid w:val="0020400C"/>
    <w:rsid w:val="00211757"/>
    <w:rsid w:val="00212B68"/>
    <w:rsid w:val="00222DDF"/>
    <w:rsid w:val="00227E75"/>
    <w:rsid w:val="0023505D"/>
    <w:rsid w:val="00244B5C"/>
    <w:rsid w:val="0024736A"/>
    <w:rsid w:val="00252A82"/>
    <w:rsid w:val="00252F3E"/>
    <w:rsid w:val="00267EAE"/>
    <w:rsid w:val="00271DDC"/>
    <w:rsid w:val="0027595A"/>
    <w:rsid w:val="00290AF0"/>
    <w:rsid w:val="00292A36"/>
    <w:rsid w:val="002C0069"/>
    <w:rsid w:val="002C6422"/>
    <w:rsid w:val="002E0CB8"/>
    <w:rsid w:val="002F495E"/>
    <w:rsid w:val="002F4BE1"/>
    <w:rsid w:val="002F6BAA"/>
    <w:rsid w:val="0031734B"/>
    <w:rsid w:val="00317D9A"/>
    <w:rsid w:val="00320D41"/>
    <w:rsid w:val="00323134"/>
    <w:rsid w:val="003320EC"/>
    <w:rsid w:val="00346696"/>
    <w:rsid w:val="003609D7"/>
    <w:rsid w:val="003639F0"/>
    <w:rsid w:val="0036563F"/>
    <w:rsid w:val="0037193F"/>
    <w:rsid w:val="00372D32"/>
    <w:rsid w:val="003819E5"/>
    <w:rsid w:val="003873EC"/>
    <w:rsid w:val="003936B0"/>
    <w:rsid w:val="003E2F2C"/>
    <w:rsid w:val="003E55D5"/>
    <w:rsid w:val="00402896"/>
    <w:rsid w:val="00441210"/>
    <w:rsid w:val="00450D27"/>
    <w:rsid w:val="00472175"/>
    <w:rsid w:val="00474357"/>
    <w:rsid w:val="004937BB"/>
    <w:rsid w:val="00493CDB"/>
    <w:rsid w:val="00495C4F"/>
    <w:rsid w:val="004A6CDA"/>
    <w:rsid w:val="004B5A38"/>
    <w:rsid w:val="004D7B93"/>
    <w:rsid w:val="004E561D"/>
    <w:rsid w:val="004F50B2"/>
    <w:rsid w:val="00543EA1"/>
    <w:rsid w:val="005529B2"/>
    <w:rsid w:val="00585A38"/>
    <w:rsid w:val="005912AB"/>
    <w:rsid w:val="00592B8E"/>
    <w:rsid w:val="00595974"/>
    <w:rsid w:val="005A25B9"/>
    <w:rsid w:val="005A55A4"/>
    <w:rsid w:val="005A6F03"/>
    <w:rsid w:val="005B043E"/>
    <w:rsid w:val="005B21EE"/>
    <w:rsid w:val="005B44A7"/>
    <w:rsid w:val="005C1946"/>
    <w:rsid w:val="005D7275"/>
    <w:rsid w:val="005E2414"/>
    <w:rsid w:val="00610425"/>
    <w:rsid w:val="00610AA1"/>
    <w:rsid w:val="006130AF"/>
    <w:rsid w:val="006169F2"/>
    <w:rsid w:val="00622118"/>
    <w:rsid w:val="00623504"/>
    <w:rsid w:val="00666A73"/>
    <w:rsid w:val="00687A3A"/>
    <w:rsid w:val="006A5D43"/>
    <w:rsid w:val="006A6BF1"/>
    <w:rsid w:val="006B0640"/>
    <w:rsid w:val="006D0346"/>
    <w:rsid w:val="006D50BB"/>
    <w:rsid w:val="006D7D00"/>
    <w:rsid w:val="006E3E43"/>
    <w:rsid w:val="006E7AEF"/>
    <w:rsid w:val="007004CC"/>
    <w:rsid w:val="00704C55"/>
    <w:rsid w:val="00712AB9"/>
    <w:rsid w:val="0072021E"/>
    <w:rsid w:val="007233CB"/>
    <w:rsid w:val="00741F00"/>
    <w:rsid w:val="00750677"/>
    <w:rsid w:val="00751A31"/>
    <w:rsid w:val="0076085F"/>
    <w:rsid w:val="007813F6"/>
    <w:rsid w:val="00782F93"/>
    <w:rsid w:val="00795172"/>
    <w:rsid w:val="00797ED4"/>
    <w:rsid w:val="007A67FB"/>
    <w:rsid w:val="007B0D41"/>
    <w:rsid w:val="007B3145"/>
    <w:rsid w:val="007C1DBE"/>
    <w:rsid w:val="007C4D5E"/>
    <w:rsid w:val="007D1F62"/>
    <w:rsid w:val="007D33F3"/>
    <w:rsid w:val="007D4A80"/>
    <w:rsid w:val="007D5897"/>
    <w:rsid w:val="007D6AA0"/>
    <w:rsid w:val="007F4142"/>
    <w:rsid w:val="00813F1E"/>
    <w:rsid w:val="00823BB7"/>
    <w:rsid w:val="00823D1C"/>
    <w:rsid w:val="008360E1"/>
    <w:rsid w:val="00837943"/>
    <w:rsid w:val="008435C8"/>
    <w:rsid w:val="00854F1E"/>
    <w:rsid w:val="00863650"/>
    <w:rsid w:val="00864FA6"/>
    <w:rsid w:val="00870CF3"/>
    <w:rsid w:val="008771F4"/>
    <w:rsid w:val="00891166"/>
    <w:rsid w:val="008974AC"/>
    <w:rsid w:val="008B5DF6"/>
    <w:rsid w:val="008C2D35"/>
    <w:rsid w:val="008E76BB"/>
    <w:rsid w:val="008F021B"/>
    <w:rsid w:val="008F1BD8"/>
    <w:rsid w:val="008F33E9"/>
    <w:rsid w:val="008F4214"/>
    <w:rsid w:val="00902089"/>
    <w:rsid w:val="00904C0B"/>
    <w:rsid w:val="00923B7C"/>
    <w:rsid w:val="009253CD"/>
    <w:rsid w:val="009318F7"/>
    <w:rsid w:val="00954AEE"/>
    <w:rsid w:val="009A50C2"/>
    <w:rsid w:val="009B687F"/>
    <w:rsid w:val="009B7CBD"/>
    <w:rsid w:val="009C6A08"/>
    <w:rsid w:val="009C7F0C"/>
    <w:rsid w:val="009D5111"/>
    <w:rsid w:val="009E2E93"/>
    <w:rsid w:val="009E58B2"/>
    <w:rsid w:val="009F0DF7"/>
    <w:rsid w:val="009F3B37"/>
    <w:rsid w:val="009F4EBA"/>
    <w:rsid w:val="00A25106"/>
    <w:rsid w:val="00A27855"/>
    <w:rsid w:val="00A319D7"/>
    <w:rsid w:val="00A3332C"/>
    <w:rsid w:val="00A44D39"/>
    <w:rsid w:val="00A54DB1"/>
    <w:rsid w:val="00A7108A"/>
    <w:rsid w:val="00A74A33"/>
    <w:rsid w:val="00A8131D"/>
    <w:rsid w:val="00A8310D"/>
    <w:rsid w:val="00A92FB5"/>
    <w:rsid w:val="00AA406B"/>
    <w:rsid w:val="00AB45F2"/>
    <w:rsid w:val="00AB46C7"/>
    <w:rsid w:val="00AB7DC2"/>
    <w:rsid w:val="00AD0C6C"/>
    <w:rsid w:val="00AD3B84"/>
    <w:rsid w:val="00AF2ED1"/>
    <w:rsid w:val="00B00104"/>
    <w:rsid w:val="00B055D9"/>
    <w:rsid w:val="00B142DC"/>
    <w:rsid w:val="00B2410A"/>
    <w:rsid w:val="00B24F17"/>
    <w:rsid w:val="00B2650C"/>
    <w:rsid w:val="00B346DF"/>
    <w:rsid w:val="00B4601F"/>
    <w:rsid w:val="00B5137E"/>
    <w:rsid w:val="00B54F58"/>
    <w:rsid w:val="00B57A11"/>
    <w:rsid w:val="00B72A2A"/>
    <w:rsid w:val="00B7561E"/>
    <w:rsid w:val="00B80644"/>
    <w:rsid w:val="00B838A2"/>
    <w:rsid w:val="00B9570C"/>
    <w:rsid w:val="00BA7ED6"/>
    <w:rsid w:val="00BB1B0B"/>
    <w:rsid w:val="00BB335C"/>
    <w:rsid w:val="00BB469D"/>
    <w:rsid w:val="00BB6D98"/>
    <w:rsid w:val="00C12FF7"/>
    <w:rsid w:val="00C22B02"/>
    <w:rsid w:val="00C3154C"/>
    <w:rsid w:val="00C60A6E"/>
    <w:rsid w:val="00C640C0"/>
    <w:rsid w:val="00C916E3"/>
    <w:rsid w:val="00CA325A"/>
    <w:rsid w:val="00CA56B7"/>
    <w:rsid w:val="00CA67FD"/>
    <w:rsid w:val="00CB15F2"/>
    <w:rsid w:val="00CB22D8"/>
    <w:rsid w:val="00CC647A"/>
    <w:rsid w:val="00CD39DE"/>
    <w:rsid w:val="00CD424E"/>
    <w:rsid w:val="00CD5223"/>
    <w:rsid w:val="00CD53F8"/>
    <w:rsid w:val="00CE53D2"/>
    <w:rsid w:val="00CF37E3"/>
    <w:rsid w:val="00D03E9D"/>
    <w:rsid w:val="00D2413C"/>
    <w:rsid w:val="00D24419"/>
    <w:rsid w:val="00D30240"/>
    <w:rsid w:val="00D310B5"/>
    <w:rsid w:val="00D35311"/>
    <w:rsid w:val="00D50814"/>
    <w:rsid w:val="00D700FE"/>
    <w:rsid w:val="00D71FB1"/>
    <w:rsid w:val="00D802C4"/>
    <w:rsid w:val="00D80565"/>
    <w:rsid w:val="00D87E9C"/>
    <w:rsid w:val="00D94AB4"/>
    <w:rsid w:val="00D94F9F"/>
    <w:rsid w:val="00DA0ADD"/>
    <w:rsid w:val="00DA238B"/>
    <w:rsid w:val="00DB136B"/>
    <w:rsid w:val="00DB2075"/>
    <w:rsid w:val="00DB25DD"/>
    <w:rsid w:val="00DB3487"/>
    <w:rsid w:val="00DC5081"/>
    <w:rsid w:val="00DC5D97"/>
    <w:rsid w:val="00DC6821"/>
    <w:rsid w:val="00DD5C99"/>
    <w:rsid w:val="00DD612D"/>
    <w:rsid w:val="00DD721A"/>
    <w:rsid w:val="00DF4665"/>
    <w:rsid w:val="00DF736C"/>
    <w:rsid w:val="00E00348"/>
    <w:rsid w:val="00E1020E"/>
    <w:rsid w:val="00E120EB"/>
    <w:rsid w:val="00E20296"/>
    <w:rsid w:val="00E255B2"/>
    <w:rsid w:val="00E266C0"/>
    <w:rsid w:val="00E34E9A"/>
    <w:rsid w:val="00E36DBE"/>
    <w:rsid w:val="00E44892"/>
    <w:rsid w:val="00E545CC"/>
    <w:rsid w:val="00E61EEC"/>
    <w:rsid w:val="00E82A34"/>
    <w:rsid w:val="00E91108"/>
    <w:rsid w:val="00EA0055"/>
    <w:rsid w:val="00ED1B6E"/>
    <w:rsid w:val="00ED6D60"/>
    <w:rsid w:val="00EE3822"/>
    <w:rsid w:val="00EE3BDD"/>
    <w:rsid w:val="00EE6A50"/>
    <w:rsid w:val="00EE6CCA"/>
    <w:rsid w:val="00EF2BDF"/>
    <w:rsid w:val="00EF4E02"/>
    <w:rsid w:val="00F059E5"/>
    <w:rsid w:val="00F06FE8"/>
    <w:rsid w:val="00F11351"/>
    <w:rsid w:val="00F14D70"/>
    <w:rsid w:val="00F41A08"/>
    <w:rsid w:val="00F47E1C"/>
    <w:rsid w:val="00F551C7"/>
    <w:rsid w:val="00F57C00"/>
    <w:rsid w:val="00F67F43"/>
    <w:rsid w:val="00F67F56"/>
    <w:rsid w:val="00F714FC"/>
    <w:rsid w:val="00F723E2"/>
    <w:rsid w:val="00F93674"/>
    <w:rsid w:val="00F95B1F"/>
    <w:rsid w:val="00FA0C39"/>
    <w:rsid w:val="00FB6E5E"/>
    <w:rsid w:val="00FC243B"/>
    <w:rsid w:val="00FD6757"/>
    <w:rsid w:val="00FE1299"/>
    <w:rsid w:val="00FF08E4"/>
    <w:rsid w:val="00FF2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E96485-3531-44A1-878F-A048D2BD5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4F17"/>
    <w:rPr>
      <w:color w:val="0563C1" w:themeColor="hyperlink"/>
      <w:u w:val="single"/>
    </w:rPr>
  </w:style>
  <w:style w:type="paragraph" w:styleId="ListParagraph">
    <w:name w:val="List Paragraph"/>
    <w:basedOn w:val="Normal"/>
    <w:uiPriority w:val="34"/>
    <w:qFormat/>
    <w:rsid w:val="000567BD"/>
    <w:pPr>
      <w:ind w:left="720"/>
      <w:contextualSpacing/>
    </w:pPr>
  </w:style>
  <w:style w:type="character" w:styleId="FollowedHyperlink">
    <w:name w:val="FollowedHyperlink"/>
    <w:basedOn w:val="DefaultParagraphFont"/>
    <w:uiPriority w:val="99"/>
    <w:semiHidden/>
    <w:unhideWhenUsed/>
    <w:rsid w:val="001140F2"/>
    <w:rPr>
      <w:color w:val="954F72" w:themeColor="followedHyperlink"/>
      <w:u w:val="single"/>
    </w:rPr>
  </w:style>
  <w:style w:type="paragraph" w:styleId="Header">
    <w:name w:val="header"/>
    <w:basedOn w:val="Normal"/>
    <w:link w:val="HeaderChar"/>
    <w:uiPriority w:val="99"/>
    <w:unhideWhenUsed/>
    <w:rsid w:val="005C19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946"/>
  </w:style>
  <w:style w:type="paragraph" w:styleId="Footer">
    <w:name w:val="footer"/>
    <w:basedOn w:val="Normal"/>
    <w:link w:val="FooterChar"/>
    <w:uiPriority w:val="99"/>
    <w:unhideWhenUsed/>
    <w:rsid w:val="005C19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946"/>
  </w:style>
  <w:style w:type="table" w:styleId="TableGrid">
    <w:name w:val="Table Grid"/>
    <w:basedOn w:val="TableNormal"/>
    <w:uiPriority w:val="39"/>
    <w:rsid w:val="00B806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ov.wales/docs/dcells/publications/150225-successful-futures-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4573</Words>
  <Characters>26068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Evans</dc:creator>
  <cp:keywords/>
  <dc:description/>
  <cp:lastModifiedBy>Alison Evans</cp:lastModifiedBy>
  <cp:revision>4</cp:revision>
  <dcterms:created xsi:type="dcterms:W3CDTF">2019-01-12T15:52:00Z</dcterms:created>
  <dcterms:modified xsi:type="dcterms:W3CDTF">2019-01-12T15:53:00Z</dcterms:modified>
</cp:coreProperties>
</file>