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8633D" w14:textId="77777777" w:rsidR="000C35BE" w:rsidRPr="00A77188" w:rsidRDefault="000C35BE" w:rsidP="000C35BE">
      <w:pPr>
        <w:jc w:val="center"/>
        <w:rPr>
          <w:rFonts w:ascii="Arial" w:hAnsi="Arial" w:cs="Arial"/>
        </w:rPr>
      </w:pPr>
      <w:r w:rsidRPr="00A77188">
        <w:rPr>
          <w:rFonts w:ascii="Arial" w:hAnsi="Arial" w:cs="Arial"/>
          <w:b/>
          <w:bCs/>
          <w:u w:val="single"/>
        </w:rPr>
        <w:t>Student-Abigail Sullivan</w:t>
      </w:r>
    </w:p>
    <w:p w14:paraId="37A40FC0" w14:textId="77777777" w:rsidR="000C35BE" w:rsidRPr="00A77188" w:rsidRDefault="000C35BE" w:rsidP="000C35BE">
      <w:pPr>
        <w:jc w:val="center"/>
        <w:rPr>
          <w:rFonts w:ascii="Arial" w:hAnsi="Arial" w:cs="Arial"/>
        </w:rPr>
      </w:pPr>
      <w:r w:rsidRPr="00A77188">
        <w:rPr>
          <w:rFonts w:ascii="Arial" w:hAnsi="Arial" w:cs="Arial"/>
          <w:b/>
          <w:bCs/>
          <w:u w:val="single"/>
        </w:rPr>
        <w:t>Student number- 1704224</w:t>
      </w:r>
    </w:p>
    <w:p w14:paraId="2BFD0481" w14:textId="77777777" w:rsidR="000C35BE" w:rsidRDefault="000C35BE" w:rsidP="000C35BE">
      <w:pPr>
        <w:jc w:val="center"/>
        <w:rPr>
          <w:rFonts w:ascii="Arial" w:hAnsi="Arial" w:cs="Arial"/>
          <w:b/>
          <w:bCs/>
          <w:u w:val="single"/>
        </w:rPr>
      </w:pPr>
      <w:r w:rsidRPr="00A77188">
        <w:rPr>
          <w:rFonts w:ascii="Arial" w:hAnsi="Arial" w:cs="Arial"/>
          <w:b/>
          <w:bCs/>
          <w:u w:val="single"/>
        </w:rPr>
        <w:t>Module number- ECEY6011</w:t>
      </w:r>
    </w:p>
    <w:p w14:paraId="7A32EAFD" w14:textId="77777777" w:rsidR="007F4A11" w:rsidRDefault="007F4A11" w:rsidP="000C35BE">
      <w:pPr>
        <w:jc w:val="center"/>
        <w:rPr>
          <w:rFonts w:ascii="Arial" w:hAnsi="Arial" w:cs="Arial"/>
          <w:b/>
          <w:bCs/>
          <w:u w:val="single"/>
        </w:rPr>
      </w:pPr>
    </w:p>
    <w:p w14:paraId="430EC1CD" w14:textId="77777777" w:rsidR="007F4A11" w:rsidRDefault="007F4A11" w:rsidP="007F4A11">
      <w:pPr>
        <w:spacing w:line="360" w:lineRule="auto"/>
        <w:jc w:val="center"/>
        <w:rPr>
          <w:rFonts w:ascii="Arial" w:hAnsi="Arial" w:cs="Arial"/>
          <w:b/>
          <w:bCs/>
          <w:u w:val="single"/>
          <w:lang w:val="en-US"/>
        </w:rPr>
      </w:pPr>
    </w:p>
    <w:p w14:paraId="282D9DEE" w14:textId="77777777" w:rsidR="007F4A11" w:rsidRPr="009F15A0" w:rsidRDefault="007F4A11" w:rsidP="007F4A11">
      <w:pPr>
        <w:spacing w:line="360" w:lineRule="auto"/>
        <w:jc w:val="center"/>
        <w:rPr>
          <w:rFonts w:ascii="Arial" w:hAnsi="Arial" w:cs="Arial"/>
          <w:b/>
          <w:bCs/>
          <w:u w:val="single"/>
          <w:lang w:val="en-US"/>
        </w:rPr>
      </w:pPr>
      <w:r w:rsidRPr="009F15A0">
        <w:rPr>
          <w:rFonts w:ascii="Arial" w:hAnsi="Arial" w:cs="Arial"/>
          <w:b/>
          <w:bCs/>
          <w:u w:val="single"/>
          <w:lang w:val="en-US"/>
        </w:rPr>
        <w:t>AI Cover sheet</w:t>
      </w:r>
    </w:p>
    <w:p w14:paraId="79107FBC" w14:textId="77777777" w:rsidR="007F4A11" w:rsidRPr="009F15A0" w:rsidRDefault="007F4A11" w:rsidP="007F4A11">
      <w:pPr>
        <w:spacing w:line="360" w:lineRule="auto"/>
        <w:jc w:val="center"/>
        <w:rPr>
          <w:rFonts w:ascii="Arial" w:hAnsi="Arial" w:cs="Arial"/>
          <w:b/>
          <w:bCs/>
          <w:u w:val="single"/>
          <w:lang w:val="en-US"/>
        </w:rPr>
      </w:pPr>
    </w:p>
    <w:p w14:paraId="09014C0E" w14:textId="1BD0A9E5" w:rsidR="007F4A11" w:rsidRPr="009F15A0" w:rsidRDefault="007F4A11" w:rsidP="007F4A11">
      <w:pPr>
        <w:spacing w:line="360" w:lineRule="auto"/>
        <w:jc w:val="center"/>
        <w:rPr>
          <w:rFonts w:ascii="Arial" w:hAnsi="Arial" w:cs="Arial"/>
          <w:lang w:val="en-US"/>
        </w:rPr>
      </w:pPr>
      <w:r w:rsidRPr="009F15A0">
        <w:rPr>
          <w:rFonts w:ascii="Arial" w:hAnsi="Arial" w:cs="Arial"/>
          <w:lang w:val="en-US"/>
        </w:rPr>
        <w:t xml:space="preserve">I acknowledge the use of Grammarly </w:t>
      </w:r>
      <w:hyperlink r:id="rId7" w:history="1">
        <w:r w:rsidRPr="009F15A0">
          <w:rPr>
            <w:rStyle w:val="Hyperlink"/>
            <w:rFonts w:ascii="Arial" w:hAnsi="Arial" w:cs="Arial"/>
            <w:lang w:val="en-US"/>
          </w:rPr>
          <w:t>https://www.grammarly.com/</w:t>
        </w:r>
      </w:hyperlink>
      <w:r w:rsidRPr="009F15A0">
        <w:rPr>
          <w:rFonts w:ascii="Arial" w:hAnsi="Arial" w:cs="Arial"/>
          <w:lang w:val="en-US"/>
        </w:rPr>
        <w:t xml:space="preserve"> between the dates of </w:t>
      </w:r>
      <w:r>
        <w:rPr>
          <w:rFonts w:ascii="Arial" w:hAnsi="Arial" w:cs="Arial"/>
          <w:lang w:val="en-US"/>
        </w:rPr>
        <w:t>4</w:t>
      </w:r>
      <w:r w:rsidRPr="007F4A11">
        <w:rPr>
          <w:rFonts w:ascii="Arial" w:hAnsi="Arial" w:cs="Arial"/>
          <w:vertAlign w:val="superscript"/>
          <w:lang w:val="en-US"/>
        </w:rPr>
        <w:t>th</w:t>
      </w:r>
      <w:r>
        <w:rPr>
          <w:rFonts w:ascii="Arial" w:hAnsi="Arial" w:cs="Arial"/>
          <w:lang w:val="en-US"/>
        </w:rPr>
        <w:t xml:space="preserve"> of March 2026 to the </w:t>
      </w:r>
      <w:r w:rsidR="003D6AEE">
        <w:rPr>
          <w:rFonts w:ascii="Arial" w:hAnsi="Arial" w:cs="Arial"/>
          <w:lang w:val="en-US"/>
        </w:rPr>
        <w:t>16</w:t>
      </w:r>
      <w:r w:rsidRPr="007F4A11">
        <w:rPr>
          <w:rFonts w:ascii="Arial" w:hAnsi="Arial" w:cs="Arial"/>
          <w:vertAlign w:val="superscript"/>
          <w:lang w:val="en-US"/>
        </w:rPr>
        <w:t>th</w:t>
      </w:r>
      <w:r>
        <w:rPr>
          <w:rFonts w:ascii="Arial" w:hAnsi="Arial" w:cs="Arial"/>
          <w:lang w:val="en-US"/>
        </w:rPr>
        <w:t xml:space="preserve"> of March </w:t>
      </w:r>
      <w:r w:rsidRPr="009F15A0">
        <w:rPr>
          <w:rFonts w:ascii="Arial" w:hAnsi="Arial" w:cs="Arial"/>
          <w:lang w:val="en-US"/>
        </w:rPr>
        <w:t xml:space="preserve">2026 to check spelling, grammar and punctuation. </w:t>
      </w:r>
    </w:p>
    <w:p w14:paraId="11CF7933" w14:textId="77777777" w:rsidR="007F4A11" w:rsidRPr="009F15A0" w:rsidRDefault="007F4A11" w:rsidP="007F4A11">
      <w:pPr>
        <w:spacing w:line="360" w:lineRule="auto"/>
        <w:rPr>
          <w:rFonts w:ascii="Arial" w:hAnsi="Arial" w:cs="Arial"/>
          <w:lang w:val="en-US"/>
        </w:rPr>
      </w:pPr>
      <w:r w:rsidRPr="009F15A0">
        <w:rPr>
          <w:rFonts w:ascii="Arial" w:hAnsi="Arial" w:cs="Arial"/>
          <w:lang w:val="en-US"/>
        </w:rPr>
        <w:t>I used the prompts:</w:t>
      </w:r>
    </w:p>
    <w:p w14:paraId="5F695146" w14:textId="77777777" w:rsidR="007F4A11" w:rsidRPr="009F15A0" w:rsidRDefault="007F4A11" w:rsidP="007F4A11">
      <w:pPr>
        <w:pStyle w:val="ListParagraph"/>
        <w:spacing w:line="360" w:lineRule="auto"/>
        <w:rPr>
          <w:rFonts w:ascii="Arial" w:hAnsi="Arial" w:cs="Arial"/>
          <w:lang w:val="en-US"/>
        </w:rPr>
      </w:pPr>
      <w:r w:rsidRPr="009F15A0">
        <w:rPr>
          <w:rFonts w:ascii="Arial" w:hAnsi="Arial" w:cs="Arial"/>
          <w:lang w:val="en-US"/>
        </w:rPr>
        <w:t>Check my spelling</w:t>
      </w:r>
    </w:p>
    <w:p w14:paraId="665FC9A9" w14:textId="77777777" w:rsidR="007F4A11" w:rsidRPr="009F15A0" w:rsidRDefault="007F4A11" w:rsidP="007F4A11">
      <w:pPr>
        <w:pStyle w:val="ListParagraph"/>
        <w:spacing w:line="360" w:lineRule="auto"/>
        <w:rPr>
          <w:rFonts w:ascii="Arial" w:hAnsi="Arial" w:cs="Arial"/>
          <w:lang w:val="en-US"/>
        </w:rPr>
      </w:pPr>
      <w:r w:rsidRPr="009F15A0">
        <w:rPr>
          <w:rFonts w:ascii="Arial" w:hAnsi="Arial" w:cs="Arial"/>
          <w:lang w:val="en-US"/>
        </w:rPr>
        <w:t xml:space="preserve">Check my grammar </w:t>
      </w:r>
    </w:p>
    <w:p w14:paraId="03C8536E" w14:textId="77777777" w:rsidR="007F4A11" w:rsidRPr="009F15A0" w:rsidRDefault="007F4A11" w:rsidP="007F4A11">
      <w:pPr>
        <w:pStyle w:val="ListParagraph"/>
        <w:spacing w:line="360" w:lineRule="auto"/>
        <w:rPr>
          <w:rFonts w:ascii="Arial" w:hAnsi="Arial" w:cs="Arial"/>
          <w:lang w:val="en-US"/>
        </w:rPr>
      </w:pPr>
      <w:r w:rsidRPr="009F15A0">
        <w:rPr>
          <w:rFonts w:ascii="Arial" w:hAnsi="Arial" w:cs="Arial"/>
          <w:lang w:val="en-US"/>
        </w:rPr>
        <w:t>check my punctation</w:t>
      </w:r>
    </w:p>
    <w:p w14:paraId="3735602E" w14:textId="77777777" w:rsidR="007F4A11" w:rsidRPr="009F15A0" w:rsidRDefault="007F4A11" w:rsidP="007F4A11">
      <w:pPr>
        <w:pStyle w:val="ListParagraph"/>
        <w:spacing w:line="360" w:lineRule="auto"/>
        <w:rPr>
          <w:rFonts w:ascii="Arial" w:hAnsi="Arial" w:cs="Arial"/>
          <w:lang w:val="en-US"/>
        </w:rPr>
      </w:pPr>
    </w:p>
    <w:p w14:paraId="15B7878D" w14:textId="73B6A078" w:rsidR="007F4A11" w:rsidRPr="009F15A0" w:rsidRDefault="007F4A11" w:rsidP="007F4A11">
      <w:pPr>
        <w:spacing w:line="360" w:lineRule="auto"/>
        <w:jc w:val="center"/>
        <w:rPr>
          <w:rFonts w:ascii="Arial" w:hAnsi="Arial" w:cs="Arial"/>
          <w:lang w:val="en-US"/>
        </w:rPr>
      </w:pPr>
      <w:r w:rsidRPr="009F15A0">
        <w:rPr>
          <w:rFonts w:ascii="Arial" w:hAnsi="Arial" w:cs="Arial"/>
          <w:lang w:val="en-US"/>
        </w:rPr>
        <w:t xml:space="preserve">I acknowledge the use of </w:t>
      </w:r>
      <w:hyperlink r:id="rId8" w:history="1">
        <w:r w:rsidRPr="009F15A0">
          <w:rPr>
            <w:rStyle w:val="Hyperlink"/>
            <w:rFonts w:ascii="Arial" w:hAnsi="Arial" w:cs="Arial"/>
            <w:lang w:val="en-US"/>
          </w:rPr>
          <w:t>https://scholar.google.com/</w:t>
        </w:r>
      </w:hyperlink>
      <w:r w:rsidRPr="009F15A0">
        <w:rPr>
          <w:rFonts w:ascii="Arial" w:hAnsi="Arial" w:cs="Arial"/>
          <w:lang w:val="en-US"/>
        </w:rPr>
        <w:t xml:space="preserve"> between the dates of </w:t>
      </w:r>
      <w:r>
        <w:rPr>
          <w:rFonts w:ascii="Arial" w:hAnsi="Arial" w:cs="Arial"/>
          <w:lang w:val="en-US"/>
        </w:rPr>
        <w:t>4</w:t>
      </w:r>
      <w:r w:rsidRPr="007F4A11">
        <w:rPr>
          <w:rFonts w:ascii="Arial" w:hAnsi="Arial" w:cs="Arial"/>
          <w:vertAlign w:val="superscript"/>
          <w:lang w:val="en-US"/>
        </w:rPr>
        <w:t>th</w:t>
      </w:r>
      <w:r>
        <w:rPr>
          <w:rFonts w:ascii="Arial" w:hAnsi="Arial" w:cs="Arial"/>
          <w:lang w:val="en-US"/>
        </w:rPr>
        <w:t xml:space="preserve"> of March 2026 to the 16</w:t>
      </w:r>
      <w:r w:rsidRPr="007F4A11">
        <w:rPr>
          <w:rFonts w:ascii="Arial" w:hAnsi="Arial" w:cs="Arial"/>
          <w:vertAlign w:val="superscript"/>
          <w:lang w:val="en-US"/>
        </w:rPr>
        <w:t>th</w:t>
      </w:r>
      <w:r>
        <w:rPr>
          <w:rFonts w:ascii="Arial" w:hAnsi="Arial" w:cs="Arial"/>
          <w:lang w:val="en-US"/>
        </w:rPr>
        <w:t xml:space="preserve"> of March </w:t>
      </w:r>
      <w:r w:rsidRPr="009F15A0">
        <w:rPr>
          <w:rFonts w:ascii="Arial" w:hAnsi="Arial" w:cs="Arial"/>
          <w:lang w:val="en-US"/>
        </w:rPr>
        <w:t xml:space="preserve">2026 to find relevant sources for my research. </w:t>
      </w:r>
    </w:p>
    <w:p w14:paraId="3CD7E099" w14:textId="77777777" w:rsidR="007F4A11" w:rsidRDefault="007F4A11" w:rsidP="007F4A11">
      <w:pPr>
        <w:spacing w:line="360" w:lineRule="auto"/>
        <w:rPr>
          <w:rFonts w:ascii="Arial" w:hAnsi="Arial" w:cs="Arial"/>
          <w:lang w:val="en-US"/>
        </w:rPr>
      </w:pPr>
      <w:r w:rsidRPr="009F15A0">
        <w:rPr>
          <w:rFonts w:ascii="Arial" w:hAnsi="Arial" w:cs="Arial"/>
          <w:lang w:val="en-US"/>
        </w:rPr>
        <w:t>I used the prompts:</w:t>
      </w:r>
    </w:p>
    <w:p w14:paraId="27EB1F22" w14:textId="5E239914"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CIW Quality of Care Review </w:t>
      </w:r>
    </w:p>
    <w:p w14:paraId="23978BFB" w14:textId="28A1D755"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Quality in Early years Settings in Wales </w:t>
      </w:r>
    </w:p>
    <w:p w14:paraId="070CA4FE" w14:textId="450E7591"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Attachment Theories in Early Years </w:t>
      </w:r>
    </w:p>
    <w:p w14:paraId="46DC4C37" w14:textId="5BABC1D2"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UNCRC </w:t>
      </w:r>
    </w:p>
    <w:p w14:paraId="540E1DE7" w14:textId="0455A821"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Peer observations in the Early Years </w:t>
      </w:r>
    </w:p>
    <w:p w14:paraId="0B70FE5B" w14:textId="4B51FDCA"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Limitations on feedback methods </w:t>
      </w:r>
    </w:p>
    <w:p w14:paraId="5167E303" w14:textId="72AB67A9"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Leadership in the Early Years </w:t>
      </w:r>
    </w:p>
    <w:p w14:paraId="1265E356" w14:textId="5D4F190A" w:rsidR="007F4A11" w:rsidRP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Importance of </w:t>
      </w:r>
      <w:proofErr w:type="spellStart"/>
      <w:proofErr w:type="gramStart"/>
      <w:r>
        <w:rPr>
          <w:rFonts w:ascii="Arial" w:hAnsi="Arial" w:cs="Arial"/>
          <w:lang w:val="en-US"/>
        </w:rPr>
        <w:t>Well being</w:t>
      </w:r>
      <w:proofErr w:type="spellEnd"/>
      <w:proofErr w:type="gramEnd"/>
      <w:r>
        <w:rPr>
          <w:rFonts w:ascii="Arial" w:hAnsi="Arial" w:cs="Arial"/>
          <w:lang w:val="en-US"/>
        </w:rPr>
        <w:t xml:space="preserve"> in the Early </w:t>
      </w:r>
      <w:proofErr w:type="gramStart"/>
      <w:r>
        <w:rPr>
          <w:rFonts w:ascii="Arial" w:hAnsi="Arial" w:cs="Arial"/>
          <w:lang w:val="en-US"/>
        </w:rPr>
        <w:t>years</w:t>
      </w:r>
      <w:proofErr w:type="gramEnd"/>
      <w:r>
        <w:rPr>
          <w:rFonts w:ascii="Arial" w:hAnsi="Arial" w:cs="Arial"/>
          <w:lang w:val="en-US"/>
        </w:rPr>
        <w:t xml:space="preserve"> </w:t>
      </w:r>
    </w:p>
    <w:p w14:paraId="12C6F738" w14:textId="5837C0A5"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Curriculum for Wales</w:t>
      </w:r>
    </w:p>
    <w:p w14:paraId="3A0BDB9A" w14:textId="662E88A6"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Curriculum for non-maintained settings </w:t>
      </w:r>
    </w:p>
    <w:p w14:paraId="7C5D9E9B" w14:textId="36699F7E"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ALN Act</w:t>
      </w:r>
    </w:p>
    <w:p w14:paraId="2F3D5DB2" w14:textId="3EF1A255"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lastRenderedPageBreak/>
        <w:t xml:space="preserve">CIW Framework of inspection </w:t>
      </w:r>
    </w:p>
    <w:p w14:paraId="35CDD1DF" w14:textId="7C7A80E2"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SSTEW Framework </w:t>
      </w:r>
    </w:p>
    <w:p w14:paraId="7DB8B5FB" w14:textId="31E2D3E4"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Equality Act </w:t>
      </w:r>
    </w:p>
    <w:p w14:paraId="026F9F48" w14:textId="1DB64DF5" w:rsidR="007F4A11" w:rsidRDefault="007F4A11" w:rsidP="007F4A11">
      <w:pPr>
        <w:pStyle w:val="ListParagraph"/>
        <w:numPr>
          <w:ilvl w:val="0"/>
          <w:numId w:val="2"/>
        </w:numPr>
        <w:spacing w:line="360" w:lineRule="auto"/>
        <w:rPr>
          <w:rFonts w:ascii="Arial" w:hAnsi="Arial" w:cs="Arial"/>
          <w:lang w:val="en-US"/>
        </w:rPr>
      </w:pPr>
      <w:proofErr w:type="spellStart"/>
      <w:r>
        <w:rPr>
          <w:rFonts w:ascii="Arial" w:hAnsi="Arial" w:cs="Arial"/>
          <w:lang w:val="en-US"/>
        </w:rPr>
        <w:t>Eccers</w:t>
      </w:r>
      <w:proofErr w:type="spellEnd"/>
      <w:r>
        <w:rPr>
          <w:rFonts w:ascii="Arial" w:hAnsi="Arial" w:cs="Arial"/>
          <w:lang w:val="en-US"/>
        </w:rPr>
        <w:t xml:space="preserve"> assessment/ inspection </w:t>
      </w:r>
    </w:p>
    <w:p w14:paraId="704EBA64" w14:textId="39A8BE87"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Lundy Model </w:t>
      </w:r>
    </w:p>
    <w:p w14:paraId="7AFC8120" w14:textId="7B5FC685" w:rsidR="007F4A11"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Shaner Framework </w:t>
      </w:r>
    </w:p>
    <w:p w14:paraId="0753A2FC" w14:textId="3DA6EDAF" w:rsidR="007F4A11" w:rsidRPr="009F15A0" w:rsidRDefault="007F4A11" w:rsidP="007F4A11">
      <w:pPr>
        <w:pStyle w:val="ListParagraph"/>
        <w:numPr>
          <w:ilvl w:val="0"/>
          <w:numId w:val="2"/>
        </w:numPr>
        <w:spacing w:line="360" w:lineRule="auto"/>
        <w:rPr>
          <w:rFonts w:ascii="Arial" w:hAnsi="Arial" w:cs="Arial"/>
          <w:lang w:val="en-US"/>
        </w:rPr>
      </w:pPr>
      <w:r>
        <w:rPr>
          <w:rFonts w:ascii="Arial" w:hAnsi="Arial" w:cs="Arial"/>
          <w:lang w:val="en-US"/>
        </w:rPr>
        <w:t xml:space="preserve">Sources about Parent feedback </w:t>
      </w:r>
    </w:p>
    <w:p w14:paraId="7606D43D" w14:textId="75618878" w:rsidR="007F4A11" w:rsidRPr="009F15A0" w:rsidRDefault="007F4A11" w:rsidP="007F4A11">
      <w:pPr>
        <w:spacing w:line="360" w:lineRule="auto"/>
        <w:jc w:val="center"/>
        <w:rPr>
          <w:rFonts w:ascii="Arial" w:hAnsi="Arial" w:cs="Arial"/>
          <w:lang w:val="en-US"/>
        </w:rPr>
      </w:pPr>
      <w:r w:rsidRPr="009F15A0">
        <w:rPr>
          <w:rFonts w:ascii="Arial" w:hAnsi="Arial" w:cs="Arial"/>
          <w:lang w:val="en-US"/>
        </w:rPr>
        <w:t xml:space="preserve">I acknowledge the use of </w:t>
      </w:r>
      <w:hyperlink r:id="rId9" w:history="1">
        <w:r w:rsidRPr="009F15A0">
          <w:rPr>
            <w:rStyle w:val="Hyperlink"/>
            <w:rFonts w:ascii="Arial" w:hAnsi="Arial" w:cs="Arial"/>
            <w:lang w:val="en-US"/>
          </w:rPr>
          <w:t>https://copilot.microsoft.com/</w:t>
        </w:r>
      </w:hyperlink>
      <w:r w:rsidRPr="009F15A0">
        <w:rPr>
          <w:rFonts w:ascii="Arial" w:hAnsi="Arial" w:cs="Arial"/>
          <w:lang w:val="en-US"/>
        </w:rPr>
        <w:t xml:space="preserve"> between the dates of </w:t>
      </w:r>
      <w:r>
        <w:rPr>
          <w:rFonts w:ascii="Arial" w:hAnsi="Arial" w:cs="Arial"/>
          <w:lang w:val="en-US"/>
        </w:rPr>
        <w:t>4</w:t>
      </w:r>
      <w:r w:rsidRPr="007F4A11">
        <w:rPr>
          <w:rFonts w:ascii="Arial" w:hAnsi="Arial" w:cs="Arial"/>
          <w:vertAlign w:val="superscript"/>
          <w:lang w:val="en-US"/>
        </w:rPr>
        <w:t>th</w:t>
      </w:r>
      <w:r>
        <w:rPr>
          <w:rFonts w:ascii="Arial" w:hAnsi="Arial" w:cs="Arial"/>
          <w:lang w:val="en-US"/>
        </w:rPr>
        <w:t xml:space="preserve"> of March 2026 to the 16</w:t>
      </w:r>
      <w:r w:rsidRPr="007F4A11">
        <w:rPr>
          <w:rFonts w:ascii="Arial" w:hAnsi="Arial" w:cs="Arial"/>
          <w:vertAlign w:val="superscript"/>
          <w:lang w:val="en-US"/>
        </w:rPr>
        <w:t>th</w:t>
      </w:r>
      <w:r>
        <w:rPr>
          <w:rFonts w:ascii="Arial" w:hAnsi="Arial" w:cs="Arial"/>
          <w:lang w:val="en-US"/>
        </w:rPr>
        <w:t xml:space="preserve"> of March </w:t>
      </w:r>
      <w:r w:rsidRPr="009F15A0">
        <w:rPr>
          <w:rFonts w:ascii="Arial" w:hAnsi="Arial" w:cs="Arial"/>
          <w:lang w:val="en-US"/>
        </w:rPr>
        <w:t xml:space="preserve">2026 to summarize/rephrase my work to support with word count. </w:t>
      </w:r>
    </w:p>
    <w:p w14:paraId="7F093180" w14:textId="77777777" w:rsidR="007F4A11" w:rsidRPr="009F15A0" w:rsidRDefault="007F4A11" w:rsidP="007F4A11">
      <w:pPr>
        <w:spacing w:line="360" w:lineRule="auto"/>
        <w:rPr>
          <w:rFonts w:ascii="Arial" w:hAnsi="Arial" w:cs="Arial"/>
          <w:lang w:val="en-US"/>
        </w:rPr>
      </w:pPr>
      <w:r w:rsidRPr="009F15A0">
        <w:rPr>
          <w:rFonts w:ascii="Arial" w:hAnsi="Arial" w:cs="Arial"/>
          <w:lang w:val="en-US"/>
        </w:rPr>
        <w:t>I used the prompt:</w:t>
      </w:r>
    </w:p>
    <w:p w14:paraId="1EBCF9C2" w14:textId="77777777" w:rsidR="007F4A11" w:rsidRPr="009F15A0" w:rsidRDefault="007F4A11" w:rsidP="007F4A11">
      <w:pPr>
        <w:spacing w:line="360" w:lineRule="auto"/>
        <w:rPr>
          <w:rFonts w:ascii="Arial" w:hAnsi="Arial" w:cs="Arial"/>
        </w:rPr>
      </w:pPr>
      <w:r w:rsidRPr="009F15A0">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0FBF3673" w14:textId="77777777" w:rsidR="007F4A11" w:rsidRPr="009F15A0" w:rsidRDefault="007F4A11" w:rsidP="007F4A11">
      <w:pPr>
        <w:spacing w:line="360" w:lineRule="auto"/>
        <w:rPr>
          <w:rFonts w:ascii="Arial" w:hAnsi="Arial" w:cs="Arial"/>
        </w:rPr>
      </w:pPr>
    </w:p>
    <w:p w14:paraId="35989BB7" w14:textId="77777777" w:rsidR="007F4A11" w:rsidRPr="009F15A0" w:rsidRDefault="007F4A11" w:rsidP="007F4A11">
      <w:pPr>
        <w:pStyle w:val="ListParagraph"/>
        <w:spacing w:line="360" w:lineRule="auto"/>
        <w:rPr>
          <w:rFonts w:ascii="Arial" w:hAnsi="Arial" w:cs="Arial"/>
          <w:lang w:val="en-US"/>
        </w:rPr>
      </w:pPr>
    </w:p>
    <w:p w14:paraId="3A9A8F53" w14:textId="77777777" w:rsidR="007F4A11" w:rsidRDefault="007F4A11" w:rsidP="007F4A11">
      <w:pPr>
        <w:pStyle w:val="ListParagraph"/>
        <w:spacing w:line="360" w:lineRule="auto"/>
        <w:rPr>
          <w:rFonts w:ascii="Arial" w:hAnsi="Arial" w:cs="Arial"/>
          <w:lang w:val="en-US"/>
        </w:rPr>
      </w:pPr>
      <w:r w:rsidRPr="009F15A0">
        <w:rPr>
          <w:rFonts w:ascii="Arial" w:hAnsi="Arial" w:cs="Arial"/>
          <w:lang w:val="en-US"/>
        </w:rPr>
        <w:t>I can confirm that I have not presented any AI generated text as my own work.</w:t>
      </w:r>
    </w:p>
    <w:p w14:paraId="0340FF66" w14:textId="46D94FEE" w:rsidR="007F4A11" w:rsidRPr="009F15A0" w:rsidRDefault="007F4A11" w:rsidP="007F4A11">
      <w:pPr>
        <w:pStyle w:val="ListParagraph"/>
        <w:spacing w:line="360" w:lineRule="auto"/>
        <w:jc w:val="center"/>
        <w:rPr>
          <w:rFonts w:ascii="Arial" w:hAnsi="Arial" w:cs="Arial"/>
          <w:lang w:val="en-US"/>
        </w:rPr>
      </w:pPr>
      <w:r>
        <w:rPr>
          <w:rFonts w:ascii="Arial" w:hAnsi="Arial" w:cs="Arial"/>
          <w:lang w:val="en-US"/>
        </w:rPr>
        <w:t>I can confirm I have all copies and drafts.</w:t>
      </w:r>
    </w:p>
    <w:p w14:paraId="2B21999C" w14:textId="77777777" w:rsidR="007F4A11" w:rsidRPr="00A77188" w:rsidRDefault="007F4A11" w:rsidP="000C35BE">
      <w:pPr>
        <w:jc w:val="center"/>
        <w:rPr>
          <w:rFonts w:ascii="Arial" w:hAnsi="Arial" w:cs="Arial"/>
        </w:rPr>
      </w:pPr>
    </w:p>
    <w:p w14:paraId="4DA61FA2" w14:textId="77777777" w:rsidR="000C35BE" w:rsidRDefault="000C35BE" w:rsidP="000463E2">
      <w:pPr>
        <w:rPr>
          <w:b/>
          <w:bCs/>
        </w:rPr>
      </w:pPr>
    </w:p>
    <w:p w14:paraId="04E07156" w14:textId="0C3AFA6F" w:rsidR="000463E2" w:rsidRPr="000463E2" w:rsidRDefault="000463E2" w:rsidP="000463E2">
      <w:pPr>
        <w:rPr>
          <w:b/>
          <w:bCs/>
        </w:rPr>
      </w:pPr>
      <w:r w:rsidRPr="000463E2">
        <w:rPr>
          <w:b/>
          <w:bCs/>
        </w:rPr>
        <w:t>Introduction</w:t>
      </w:r>
    </w:p>
    <w:p w14:paraId="31689FBF" w14:textId="3AE26314" w:rsidR="000463E2" w:rsidRPr="000463E2" w:rsidRDefault="000463E2" w:rsidP="000463E2">
      <w:r w:rsidRPr="000463E2">
        <w:t xml:space="preserve">In preparation for the upcoming </w:t>
      </w:r>
      <w:r w:rsidR="00056EE5">
        <w:t>Care Inspectorate Wales (</w:t>
      </w:r>
      <w:r w:rsidRPr="000463E2">
        <w:t>CIW</w:t>
      </w:r>
      <w:r w:rsidR="00056EE5">
        <w:t>)</w:t>
      </w:r>
      <w:r w:rsidRPr="000463E2">
        <w:t xml:space="preserve"> inspection, a central focus within </w:t>
      </w:r>
      <w:r w:rsidR="00056EE5">
        <w:t xml:space="preserve">our </w:t>
      </w:r>
      <w:r w:rsidRPr="000463E2">
        <w:t>Flying Start</w:t>
      </w:r>
      <w:r w:rsidR="00056EE5">
        <w:t xml:space="preserve"> setting</w:t>
      </w:r>
      <w:r w:rsidRPr="000463E2">
        <w:t xml:space="preserve"> is demonstrating strong and consistent wellbeing practice, a core element of the CIW Quality of Care Review (CIW, 2016). Section 16 of the Child Minding and Day Care (Wales) Regulations 2010</w:t>
      </w:r>
      <w:r w:rsidR="008B587C">
        <w:t xml:space="preserve"> (Welsh Government, 2024b)</w:t>
      </w:r>
      <w:r w:rsidRPr="000463E2">
        <w:t xml:space="preserve"> places a legal duty on providers to assess and document the quality of care, including the effectiveness of key person practice, children’s emotional health, and attachments. Wellbeing underpins high</w:t>
      </w:r>
      <w:r w:rsidRPr="000463E2">
        <w:noBreakHyphen/>
        <w:t xml:space="preserve">quality early years provision, as children cannot learn, explore, or form secure relationships without emotional safety (Bowlby, 1969; Ainsworth, 1978). This is particularly significant in Flying Start, where reducing inequality relies on nurturing relationships and enhanced support (Welsh Government, </w:t>
      </w:r>
      <w:r w:rsidRPr="000463E2">
        <w:lastRenderedPageBreak/>
        <w:t>2013). The SSTEW framework reinforces this by identifying sensitive responsiveness and shared thinking as key indicators of quality.</w:t>
      </w:r>
    </w:p>
    <w:p w14:paraId="15C5425F" w14:textId="371A9D23" w:rsidR="000463E2" w:rsidRPr="000463E2" w:rsidRDefault="006714B1" w:rsidP="000463E2">
      <w:r w:rsidRPr="006714B1">
        <w:t>Emotional safety, inclusion, relationships, and self-control are all components of children's well-being</w:t>
      </w:r>
      <w:r w:rsidR="000463E2" w:rsidRPr="000463E2">
        <w:t xml:space="preserve"> (Welsh Government, </w:t>
      </w:r>
      <w:r w:rsidR="008B587C">
        <w:t>2024a</w:t>
      </w:r>
      <w:r w:rsidR="000463E2" w:rsidRPr="000463E2">
        <w:t xml:space="preserve">). Attachment theory demonstrates that responsive caregiving strengthens resilience and supports exploration (Bowlby, 1969; Ainsworth, 1978). Wellbeing is also a fundamental right under the UNCRC, particularly Articles 3, 12 and 19 (UNCRC, 1989). Donaldson (2015) highlights its </w:t>
      </w:r>
      <w:r>
        <w:t xml:space="preserve">central position </w:t>
      </w:r>
      <w:r w:rsidR="000463E2" w:rsidRPr="000463E2">
        <w:t>within the Curriculum for Wales, while the National Minimum Standards require emotionally safe environments (Welsh Government, 2016). Evidence shows that emotionally supportive environments and strong pedagogical leadership improve outcomes (OECD, 2020; Siraj</w:t>
      </w:r>
      <w:r w:rsidR="000463E2" w:rsidRPr="000463E2">
        <w:noBreakHyphen/>
        <w:t xml:space="preserve">Blatchford </w:t>
      </w:r>
      <w:r w:rsidR="000463E2" w:rsidRPr="000C35BE">
        <w:rPr>
          <w:i/>
          <w:iCs/>
        </w:rPr>
        <w:t>et al</w:t>
      </w:r>
      <w:r w:rsidR="000463E2" w:rsidRPr="000463E2">
        <w:t>., 2002). As Wellbeing Lead, I will explore best practice, outline the leadership actions I am taking in preparation for inspection, and consider the importance of gathering meaningful stakeholder feedback.</w:t>
      </w:r>
    </w:p>
    <w:p w14:paraId="4B900423" w14:textId="7E6D5746" w:rsidR="000463E2" w:rsidRPr="000463E2" w:rsidRDefault="000463E2" w:rsidP="000463E2">
      <w:r w:rsidRPr="000463E2">
        <w:t>CIW evaluates practice across four themes</w:t>
      </w:r>
      <w:r w:rsidR="006714B1">
        <w:t>-</w:t>
      </w:r>
      <w:r w:rsidRPr="000463E2">
        <w:t>Wellbeing, Care and Development, Environment, and Leadership and Management</w:t>
      </w:r>
      <w:r w:rsidR="006714B1">
        <w:t xml:space="preserve">, </w:t>
      </w:r>
      <w:r w:rsidRPr="000463E2">
        <w:t xml:space="preserve">while monitoring legal compliance and promoting continuous improvement (CIW, 2022). Through the </w:t>
      </w:r>
      <w:proofErr w:type="gramStart"/>
      <w:r w:rsidRPr="000463E2">
        <w:t>Quality of Care</w:t>
      </w:r>
      <w:proofErr w:type="gramEnd"/>
      <w:r w:rsidRPr="000463E2">
        <w:t xml:space="preserve"> Review, settings must identify strengths and areas for improvement, gather the views of children and families, and evaluate policies, staffing, safeguarding, and leadership (Welsh Government, 2019).</w:t>
      </w:r>
    </w:p>
    <w:p w14:paraId="6EFB9372" w14:textId="77777777" w:rsidR="000463E2" w:rsidRPr="000463E2" w:rsidRDefault="000463E2" w:rsidP="000463E2">
      <w:pPr>
        <w:rPr>
          <w:b/>
          <w:bCs/>
        </w:rPr>
      </w:pPr>
      <w:r w:rsidRPr="000463E2">
        <w:rPr>
          <w:b/>
          <w:bCs/>
        </w:rPr>
        <w:t>Best Practice</w:t>
      </w:r>
    </w:p>
    <w:p w14:paraId="4454695C" w14:textId="77777777" w:rsidR="000463E2" w:rsidRPr="000463E2" w:rsidRDefault="000463E2" w:rsidP="000463E2">
      <w:pPr>
        <w:rPr>
          <w:b/>
          <w:bCs/>
        </w:rPr>
      </w:pPr>
      <w:r w:rsidRPr="000463E2">
        <w:rPr>
          <w:b/>
          <w:bCs/>
        </w:rPr>
        <w:t>Attachment and Emotional Security</w:t>
      </w:r>
    </w:p>
    <w:p w14:paraId="755ACC74" w14:textId="0B6631EF" w:rsidR="000463E2" w:rsidRPr="000463E2" w:rsidRDefault="008B587C" w:rsidP="000463E2">
      <w:r>
        <w:t xml:space="preserve">According to Whitebread </w:t>
      </w:r>
      <w:r w:rsidRPr="000C35BE">
        <w:rPr>
          <w:i/>
          <w:iCs/>
        </w:rPr>
        <w:t>et al</w:t>
      </w:r>
      <w:r>
        <w:t>, b</w:t>
      </w:r>
      <w:r w:rsidR="000463E2" w:rsidRPr="000463E2">
        <w:t>est practice in wellbeing is grounded in attachment and emotional security. When children feel safe, secure, and emotionally supported through nurturing relationships and a consistent key person, they experience high</w:t>
      </w:r>
      <w:r w:rsidR="000463E2" w:rsidRPr="000463E2">
        <w:noBreakHyphen/>
        <w:t>quality provision. The Children Act 2004 and the Rights Measure (2011) emphasise acting in children’s best interests and strengthening their voice, supported by the Lundy Model (2007). Shanker’s (2017) stress</w:t>
      </w:r>
      <w:r w:rsidR="000463E2" w:rsidRPr="000463E2">
        <w:noBreakHyphen/>
        <w:t>reduction model highlights the importance of consistent routines and co</w:t>
      </w:r>
      <w:r w:rsidR="000463E2" w:rsidRPr="000463E2">
        <w:noBreakHyphen/>
        <w:t>regulation in supporting emotional development.</w:t>
      </w:r>
    </w:p>
    <w:p w14:paraId="37627CC5" w14:textId="7514141B" w:rsidR="000463E2" w:rsidRPr="000463E2" w:rsidRDefault="000463E2" w:rsidP="000463E2">
      <w:r w:rsidRPr="000463E2">
        <w:t xml:space="preserve">Parents frequently comment on how quickly their children settle and how well they connect with their key person, which they see as a strength </w:t>
      </w:r>
      <w:r w:rsidR="006714B1">
        <w:t>within our setting</w:t>
      </w:r>
      <w:r w:rsidRPr="000463E2">
        <w:t xml:space="preserve">. Our routines support regulation, and staff provide sensitive, responsive interactions throughout the day. </w:t>
      </w:r>
      <w:r w:rsidR="008B587C">
        <w:t>Nevertheless</w:t>
      </w:r>
      <w:r w:rsidRPr="000463E2">
        <w:t>, research shows that inconsistent attachment practice can lead to dysregulation, withdrawal, or compliance masking distress (Campbell</w:t>
      </w:r>
      <w:r w:rsidRPr="000463E2">
        <w:noBreakHyphen/>
        <w:t xml:space="preserve">Barr &amp; Leeson, 2016; Shanker, 2017). </w:t>
      </w:r>
      <w:r w:rsidR="006714B1" w:rsidRPr="006714B1">
        <w:t>Reflecting on this, and to continue with best practice, I recognise that expectations around key person duties must continue to be communicated clearly, particularly during staff absences. Maintaining strong handover processes and continuing attachment</w:t>
      </w:r>
      <w:r w:rsidR="006714B1" w:rsidRPr="006714B1">
        <w:noBreakHyphen/>
        <w:t>informed training will help us sustain the consistency and emotional security that parents already identify as a strength.</w:t>
      </w:r>
    </w:p>
    <w:p w14:paraId="58596A81" w14:textId="77777777" w:rsidR="000463E2" w:rsidRPr="000463E2" w:rsidRDefault="000463E2" w:rsidP="000463E2">
      <w:r w:rsidRPr="000463E2">
        <w:lastRenderedPageBreak/>
        <w:t>CIW directly observes children’s emotional states, relationships, and involvement as indicators of stable attachments and high</w:t>
      </w:r>
      <w:r w:rsidRPr="000463E2">
        <w:noBreakHyphen/>
        <w:t>quality care (CIW, 2021). It is therefore my responsibility as a leader to ensure attachment</w:t>
      </w:r>
      <w:r w:rsidRPr="000463E2">
        <w:noBreakHyphen/>
        <w:t xml:space="preserve">informed practice is purposefully planned, monitored, and documented within the </w:t>
      </w:r>
      <w:proofErr w:type="gramStart"/>
      <w:r w:rsidRPr="000463E2">
        <w:t>Quality of Care</w:t>
      </w:r>
      <w:proofErr w:type="gramEnd"/>
      <w:r w:rsidRPr="000463E2">
        <w:t xml:space="preserve"> Review.</w:t>
      </w:r>
    </w:p>
    <w:p w14:paraId="7957C800" w14:textId="77777777" w:rsidR="000463E2" w:rsidRPr="000463E2" w:rsidRDefault="000463E2" w:rsidP="000463E2">
      <w:pPr>
        <w:rPr>
          <w:b/>
          <w:bCs/>
        </w:rPr>
      </w:pPr>
      <w:r w:rsidRPr="000463E2">
        <w:rPr>
          <w:b/>
          <w:bCs/>
        </w:rPr>
        <w:t>Child Voice and Participation</w:t>
      </w:r>
    </w:p>
    <w:p w14:paraId="37A0B2D8" w14:textId="2112A69D" w:rsidR="000463E2" w:rsidRPr="000463E2" w:rsidRDefault="000463E2" w:rsidP="000463E2">
      <w:r w:rsidRPr="000463E2">
        <w:t>Best practice in wellbeing also requires genuine opportunities for children to express their views and shape their experiences. The Lundy Model (2007</w:t>
      </w:r>
      <w:proofErr w:type="gramStart"/>
      <w:r w:rsidRPr="000463E2">
        <w:t>)</w:t>
      </w:r>
      <w:r w:rsidR="006714B1">
        <w:t>,</w:t>
      </w:r>
      <w:r w:rsidRPr="000463E2">
        <w:t>space</w:t>
      </w:r>
      <w:proofErr w:type="gramEnd"/>
      <w:r w:rsidRPr="000463E2">
        <w:t>, voice, audience, influence</w:t>
      </w:r>
      <w:r w:rsidR="006714B1">
        <w:t xml:space="preserve">, </w:t>
      </w:r>
      <w:r w:rsidRPr="000463E2">
        <w:t>and UNCRC Article 12 underpin child</w:t>
      </w:r>
      <w:r w:rsidRPr="000463E2">
        <w:noBreakHyphen/>
        <w:t>led planning and participation. High</w:t>
      </w:r>
      <w:r w:rsidRPr="000463E2">
        <w:noBreakHyphen/>
        <w:t>quality settings embed participation within relational teaching (Campbell</w:t>
      </w:r>
      <w:r w:rsidRPr="000463E2">
        <w:noBreakHyphen/>
        <w:t>Barr &amp; Leeson, 2016; Cottle &amp; Alexander, 2014). When children’s voices are overlooked, planning becomes adult</w:t>
      </w:r>
      <w:r w:rsidRPr="000463E2">
        <w:noBreakHyphen/>
        <w:t>led, reducing engagement and inclusion (Tayler, 2015).</w:t>
      </w:r>
    </w:p>
    <w:p w14:paraId="05B460E7" w14:textId="263143A3" w:rsidR="004C6DE5" w:rsidRDefault="004C6DE5" w:rsidP="000463E2">
      <w:r w:rsidRPr="004C6DE5">
        <w:t>Parent feedback revealed that children’s interests are not always clearly reflected in planning or equipment choices. Staff reflections from one</w:t>
      </w:r>
      <w:r w:rsidRPr="004C6DE5">
        <w:noBreakHyphen/>
        <w:t>to</w:t>
      </w:r>
      <w:r w:rsidRPr="004C6DE5">
        <w:noBreakHyphen/>
        <w:t xml:space="preserve">one meetings also highlighted that some </w:t>
      </w:r>
      <w:r w:rsidR="008B587C">
        <w:t>practitioners</w:t>
      </w:r>
      <w:r w:rsidRPr="004C6DE5">
        <w:t xml:space="preserve"> do not yet feel fully confident in recognising and responding to children’s voices, and further training would support this. At times, staff absence can reduce opportunities to notice emerging interests, as the covering adult may not always know the child well. This</w:t>
      </w:r>
      <w:r w:rsidR="008B587C">
        <w:t xml:space="preserve"> could</w:t>
      </w:r>
      <w:r w:rsidRPr="004C6DE5">
        <w:t xml:space="preserve"> directly affect emotional safety (Brooker, 2008) and children’s rights to have their best interests prioritised (UNCRC Article 3). As leader, I will organise targeted training in recognising and responding to children’s cues, including non</w:t>
      </w:r>
      <w:r w:rsidRPr="004C6DE5">
        <w:noBreakHyphen/>
        <w:t>verbal communication, and ensure staff use the handover books consistently so they can quickly understand each child’s interests. Although time</w:t>
      </w:r>
      <w:r w:rsidRPr="004C6DE5">
        <w:noBreakHyphen/>
        <w:t>consuming initially, this approach has already strengthened relationships and will be continued to support planning, engagement, and child</w:t>
      </w:r>
      <w:r w:rsidRPr="004C6DE5">
        <w:noBreakHyphen/>
        <w:t>led practice, particularly for children with ALN. Peer observation will also be used to share best practice (Fook &amp; Gardner, 2007).</w:t>
      </w:r>
    </w:p>
    <w:p w14:paraId="4D049E0C" w14:textId="7DF39BFE" w:rsidR="000463E2" w:rsidRPr="000463E2" w:rsidRDefault="000463E2" w:rsidP="000463E2">
      <w:r w:rsidRPr="000463E2">
        <w:t>CIW evaluates how children participate in decision</w:t>
      </w:r>
      <w:r w:rsidRPr="000463E2">
        <w:noBreakHyphen/>
        <w:t>making and how their views are reflected in practice and documentation (CIW, 2022). Training in child</w:t>
      </w:r>
      <w:r w:rsidRPr="000463E2">
        <w:noBreakHyphen/>
        <w:t>led planning will therefore be added to the next term’s calendar.</w:t>
      </w:r>
    </w:p>
    <w:p w14:paraId="45300B4D" w14:textId="77777777" w:rsidR="000463E2" w:rsidRPr="000463E2" w:rsidRDefault="000463E2" w:rsidP="000463E2">
      <w:pPr>
        <w:rPr>
          <w:b/>
          <w:bCs/>
        </w:rPr>
      </w:pPr>
      <w:r w:rsidRPr="000463E2">
        <w:rPr>
          <w:b/>
          <w:bCs/>
        </w:rPr>
        <w:t>Inclusion and ALN</w:t>
      </w:r>
    </w:p>
    <w:p w14:paraId="5F2E53C0" w14:textId="3EC4A185" w:rsidR="000463E2" w:rsidRPr="000463E2" w:rsidRDefault="000463E2" w:rsidP="000463E2">
      <w:r w:rsidRPr="000463E2">
        <w:t>Best practice in inclusion requires needs</w:t>
      </w:r>
      <w:r w:rsidRPr="000463E2">
        <w:noBreakHyphen/>
        <w:t>led planning, high</w:t>
      </w:r>
      <w:r w:rsidRPr="000463E2">
        <w:noBreakHyphen/>
        <w:t xml:space="preserve">quality IDPs, and regular adaptations, as required by the ALN Act </w:t>
      </w:r>
      <w:proofErr w:type="gramStart"/>
      <w:r w:rsidRPr="000463E2">
        <w:t>2018,Equality</w:t>
      </w:r>
      <w:proofErr w:type="gramEnd"/>
      <w:r w:rsidRPr="000463E2">
        <w:t xml:space="preserve"> </w:t>
      </w:r>
      <w:r w:rsidR="008B587C" w:rsidRPr="000463E2">
        <w:t>Act, UNCRC</w:t>
      </w:r>
      <w:r w:rsidRPr="000463E2">
        <w:t>, and the Curriculum for Non</w:t>
      </w:r>
      <w:r w:rsidRPr="000463E2">
        <w:noBreakHyphen/>
        <w:t xml:space="preserve">Maintained Settings. Research shows that responsive environments and differentiated provision are </w:t>
      </w:r>
      <w:r w:rsidR="008B587C">
        <w:t>key</w:t>
      </w:r>
      <w:r w:rsidRPr="000463E2">
        <w:t xml:space="preserve"> for equitable engagement (Eadie </w:t>
      </w:r>
      <w:r w:rsidRPr="000C35BE">
        <w:rPr>
          <w:i/>
          <w:iCs/>
        </w:rPr>
        <w:t>et al</w:t>
      </w:r>
      <w:r w:rsidRPr="000463E2">
        <w:t xml:space="preserve">., 2022; Siraj </w:t>
      </w:r>
      <w:r w:rsidRPr="000C35BE">
        <w:rPr>
          <w:i/>
          <w:iCs/>
        </w:rPr>
        <w:t>et al</w:t>
      </w:r>
      <w:r w:rsidRPr="000463E2">
        <w:t>., 2015).</w:t>
      </w:r>
    </w:p>
    <w:p w14:paraId="0F4FD13B" w14:textId="77777777" w:rsidR="000463E2" w:rsidRPr="000463E2" w:rsidRDefault="000463E2" w:rsidP="000463E2">
      <w:r w:rsidRPr="000463E2">
        <w:t xml:space="preserve">ECCERS observations identified areas for improvement, including inconsistent support for independence and the need for clearer resource organisation. These findings </w:t>
      </w:r>
      <w:r w:rsidRPr="000463E2">
        <w:lastRenderedPageBreak/>
        <w:t xml:space="preserve">challenged assumptions and highlighted the value of external audits (Hayes </w:t>
      </w:r>
      <w:r w:rsidRPr="000C35BE">
        <w:rPr>
          <w:i/>
          <w:iCs/>
        </w:rPr>
        <w:t>et al</w:t>
      </w:r>
      <w:r w:rsidRPr="000463E2">
        <w:t>., 2017). In response, I have prioritised environmental adjustments and invested in sensory resources to support regulation and inclusivity. CIW assesses how practitioners implement IDPs, remove barriers, and demonstrate inclusive practice in daily routines (CIW, 2022).</w:t>
      </w:r>
    </w:p>
    <w:p w14:paraId="041A8E2B" w14:textId="77777777" w:rsidR="000463E2" w:rsidRPr="000463E2" w:rsidRDefault="000463E2" w:rsidP="000463E2">
      <w:pPr>
        <w:rPr>
          <w:b/>
          <w:bCs/>
        </w:rPr>
      </w:pPr>
      <w:r w:rsidRPr="000463E2">
        <w:rPr>
          <w:b/>
          <w:bCs/>
        </w:rPr>
        <w:t>Leadership</w:t>
      </w:r>
    </w:p>
    <w:p w14:paraId="09CCB0E9" w14:textId="77777777" w:rsidR="000463E2" w:rsidRPr="000463E2" w:rsidRDefault="000463E2" w:rsidP="000463E2">
      <w:pPr>
        <w:rPr>
          <w:b/>
          <w:bCs/>
        </w:rPr>
      </w:pPr>
      <w:r w:rsidRPr="000463E2">
        <w:rPr>
          <w:b/>
          <w:bCs/>
        </w:rPr>
        <w:t>Policy Review and Quality Assurance</w:t>
      </w:r>
    </w:p>
    <w:p w14:paraId="0CAB9158" w14:textId="5A59B08A" w:rsidR="000463E2" w:rsidRPr="000463E2" w:rsidRDefault="000463E2" w:rsidP="000463E2">
      <w:r w:rsidRPr="000463E2">
        <w:t>To prepare for CIW inspection, I must ensure that policies relating to inclusion, behaviour, wellbeing, and safety remain current and legally compliant. These are reviewed each term and updated in response to national policy changes. Williams (2016) argues that quality assurance must actively drive development; unclear or outdated policies risk reducing consistency and accountability. Half</w:t>
      </w:r>
      <w:r w:rsidRPr="000463E2">
        <w:noBreakHyphen/>
        <w:t>termly audits of staff training records ensure safeguarding, behaviour, and trauma</w:t>
      </w:r>
      <w:r w:rsidRPr="000463E2">
        <w:noBreakHyphen/>
        <w:t>informed practice remain strong (Campbell</w:t>
      </w:r>
      <w:r w:rsidRPr="000463E2">
        <w:noBreakHyphen/>
        <w:t>Barr &amp; Leeson, 2016; Social Care Wales</w:t>
      </w:r>
      <w:r w:rsidR="004C6DE5">
        <w:t>, 2025</w:t>
      </w:r>
      <w:r w:rsidRPr="000463E2">
        <w:t>).</w:t>
      </w:r>
    </w:p>
    <w:p w14:paraId="2CF3A760" w14:textId="77777777" w:rsidR="000463E2" w:rsidRPr="000463E2" w:rsidRDefault="000463E2" w:rsidP="000463E2">
      <w:pPr>
        <w:rPr>
          <w:b/>
          <w:bCs/>
        </w:rPr>
      </w:pPr>
      <w:r w:rsidRPr="000463E2">
        <w:rPr>
          <w:b/>
          <w:bCs/>
        </w:rPr>
        <w:t>Strengthening Staff Practice</w:t>
      </w:r>
    </w:p>
    <w:p w14:paraId="1A68CF84" w14:textId="4F807058" w:rsidR="000463E2" w:rsidRPr="000463E2" w:rsidRDefault="000463E2" w:rsidP="000463E2">
      <w:r w:rsidRPr="000463E2">
        <w:t>Strengthening staff practice is a key leadership priority. Regular observations, peer evaluations, and structured one</w:t>
      </w:r>
      <w:r w:rsidRPr="000463E2">
        <w:noBreakHyphen/>
        <w:t>to</w:t>
      </w:r>
      <w:r w:rsidRPr="000463E2">
        <w:noBreakHyphen/>
        <w:t>one meetings support professional development and consistency. Coaching focuses on attachment</w:t>
      </w:r>
      <w:r w:rsidRPr="000463E2">
        <w:noBreakHyphen/>
        <w:t>informed practice, emotion coaching, co</w:t>
      </w:r>
      <w:r w:rsidRPr="000463E2">
        <w:noBreakHyphen/>
        <w:t xml:space="preserve">regulation, and positive behaviour strategies, supported through modelling. Emotionally sensitive approaches </w:t>
      </w:r>
      <w:r w:rsidR="008B587C">
        <w:t>strengthen</w:t>
      </w:r>
      <w:r w:rsidRPr="000463E2">
        <w:t xml:space="preserve"> high</w:t>
      </w:r>
      <w:r w:rsidRPr="000463E2">
        <w:noBreakHyphen/>
        <w:t>quality early years care (MacDonald, Gealy &amp; Tinney, 2019; Tayler, 2015). To ensure consistency across the team, I will continue to share best practice and provide opportunities for staff to observe high</w:t>
      </w:r>
      <w:r w:rsidRPr="000463E2">
        <w:noBreakHyphen/>
        <w:t>quality interactions.</w:t>
      </w:r>
    </w:p>
    <w:p w14:paraId="41EDB2ED" w14:textId="77777777" w:rsidR="000463E2" w:rsidRPr="000463E2" w:rsidRDefault="000463E2" w:rsidP="000463E2">
      <w:pPr>
        <w:rPr>
          <w:b/>
          <w:bCs/>
        </w:rPr>
      </w:pPr>
      <w:r w:rsidRPr="000463E2">
        <w:rPr>
          <w:b/>
          <w:bCs/>
        </w:rPr>
        <w:t>Evidence Gathering</w:t>
      </w:r>
    </w:p>
    <w:p w14:paraId="56F5FBDF" w14:textId="263DB411" w:rsidR="000463E2" w:rsidRPr="000463E2" w:rsidRDefault="000463E2" w:rsidP="000463E2">
      <w:r w:rsidRPr="000463E2">
        <w:t xml:space="preserve">Evidence gathering is ongoing within Flying Start. Observations demonstrate children’s involvement and emotional security, reflecting SSTEW indicators (Siraj </w:t>
      </w:r>
      <w:r w:rsidRPr="000C35BE">
        <w:rPr>
          <w:i/>
          <w:iCs/>
        </w:rPr>
        <w:t>et al.,</w:t>
      </w:r>
      <w:r w:rsidRPr="000463E2">
        <w:t xml:space="preserve"> 2015). Planning cycles show how children’s needs are addressed (Tayler, 2015), and child voice examples and ALN documentation are shared with staff, ALNCO</w:t>
      </w:r>
      <w:r w:rsidR="008B587C">
        <w:t>’s</w:t>
      </w:r>
      <w:r w:rsidRPr="000463E2">
        <w:t>, parents, and multi</w:t>
      </w:r>
      <w:r w:rsidRPr="000463E2">
        <w:noBreakHyphen/>
        <w:t>agency partners (MacDonald, Gealy &amp; Tinney, 2019). Parent input informs improvements (Cottle &amp; Alexander, 2014). All evidence is handled ethically in line with GDPR (GOV.UK, 2018). CIW emphasises that genuine relationships and children’s participation</w:t>
      </w:r>
      <w:r w:rsidR="004C6DE5">
        <w:t xml:space="preserve">, </w:t>
      </w:r>
      <w:r w:rsidRPr="000463E2">
        <w:t>not documentation alone</w:t>
      </w:r>
      <w:r w:rsidR="004C6DE5">
        <w:t xml:space="preserve">, </w:t>
      </w:r>
      <w:r w:rsidRPr="000463E2">
        <w:t>demonstrate quality (CIW, 2022).</w:t>
      </w:r>
    </w:p>
    <w:p w14:paraId="35CC88AF" w14:textId="1A0E61BA" w:rsidR="000463E2" w:rsidRPr="000463E2" w:rsidRDefault="000463E2" w:rsidP="000463E2">
      <w:pPr>
        <w:rPr>
          <w:b/>
          <w:bCs/>
        </w:rPr>
      </w:pPr>
      <w:r w:rsidRPr="000463E2">
        <w:rPr>
          <w:b/>
          <w:bCs/>
        </w:rPr>
        <w:t>Feedback</w:t>
      </w:r>
      <w:r w:rsidR="008B587C">
        <w:rPr>
          <w:b/>
          <w:bCs/>
        </w:rPr>
        <w:t>- Please see feedback analysis</w:t>
      </w:r>
    </w:p>
    <w:p w14:paraId="02A45FEB" w14:textId="74D92B85" w:rsidR="000463E2" w:rsidRPr="000463E2" w:rsidRDefault="000463E2" w:rsidP="000463E2">
      <w:r w:rsidRPr="000463E2">
        <w:t xml:space="preserve">Parent feedback was gathered through a questionnaire, with 30 responses from 50 families. While this provided useful insight, the digital format may have limited participation, particularly for families with limited English, digital access, or ALN requirements. This aligns with Crozier and Davies (2007), who found that traditional </w:t>
      </w:r>
      <w:r w:rsidRPr="000463E2">
        <w:lastRenderedPageBreak/>
        <w:t xml:space="preserve">feedback methods often favour confident, literate parents. Feedback highlighted strong relationships, safety, and routine, </w:t>
      </w:r>
      <w:r w:rsidR="008B587C">
        <w:t>however,</w:t>
      </w:r>
      <w:r w:rsidRPr="000463E2">
        <w:t xml:space="preserve"> many parents felt children’s voices should influence planning more consistently.</w:t>
      </w:r>
    </w:p>
    <w:p w14:paraId="770072A4" w14:textId="4FB874CC" w:rsidR="000463E2" w:rsidRPr="000463E2" w:rsidRDefault="000463E2" w:rsidP="000463E2">
      <w:r w:rsidRPr="000463E2">
        <w:t>To ensure feedback is inclusive</w:t>
      </w:r>
      <w:r w:rsidR="004C6DE5">
        <w:t xml:space="preserve"> to all involved</w:t>
      </w:r>
      <w:r w:rsidRPr="000463E2">
        <w:t>, I will rebuild parent</w:t>
      </w:r>
      <w:r w:rsidRPr="000463E2">
        <w:noBreakHyphen/>
        <w:t>voice processes by offering paper forms, translated versions, in</w:t>
      </w:r>
      <w:r w:rsidRPr="000463E2">
        <w:noBreakHyphen/>
        <w:t xml:space="preserve">person discussions, and visual options (Harris &amp; Goodall, 2008). </w:t>
      </w:r>
      <w:r w:rsidR="008B587C">
        <w:t>For the children, t</w:t>
      </w:r>
      <w:r w:rsidRPr="000463E2">
        <w:t>alking Mats and visual tools support non</w:t>
      </w:r>
      <w:r w:rsidRPr="000463E2">
        <w:noBreakHyphen/>
        <w:t>verbal children (Clark, 2017), though adult perceptions can still influence feedback (Lundy, 2007). Staff feedback also requires emotional safety; anonymous options have been introduced to support honest reflection (Edmondson, 2019). Inclusive feedback must foster trust and consider staff ALN, wellbeing, and confidence (Fook &amp; Gardner, 2007).</w:t>
      </w:r>
    </w:p>
    <w:p w14:paraId="673AE73A" w14:textId="77777777" w:rsidR="000463E2" w:rsidRPr="000463E2" w:rsidRDefault="000463E2" w:rsidP="000463E2">
      <w:pPr>
        <w:rPr>
          <w:b/>
          <w:bCs/>
        </w:rPr>
      </w:pPr>
      <w:r w:rsidRPr="000463E2">
        <w:rPr>
          <w:b/>
          <w:bCs/>
        </w:rPr>
        <w:t>Conclusion</w:t>
      </w:r>
    </w:p>
    <w:p w14:paraId="59C59155" w14:textId="77777777" w:rsidR="000463E2" w:rsidRDefault="000463E2" w:rsidP="000463E2">
      <w:r w:rsidRPr="000463E2">
        <w:t>In conclusion, wellbeing remains a fundamental component of high</w:t>
      </w:r>
      <w:r w:rsidRPr="000463E2">
        <w:noBreakHyphen/>
        <w:t>quality early childhood practice, and this analysis demonstrates how rights</w:t>
      </w:r>
      <w:r w:rsidRPr="000463E2">
        <w:noBreakHyphen/>
        <w:t>based leadership fosters emotionally secure, inclusive environments. Through strengthened staff practice, inclusive parent</w:t>
      </w:r>
      <w:r w:rsidRPr="000463E2">
        <w:noBreakHyphen/>
        <w:t>voice methods, and transparent evidence collection, Flying Start is well prepared for CIW inspection. Secure relationships and confident practitioners support positive outcomes, reflected in children’s feelings of safety, value, and readiness to learn. This preparation process has reinforced the importance of leadership in sustaining emotionally secure, rights</w:t>
      </w:r>
      <w:r w:rsidRPr="000463E2">
        <w:noBreakHyphen/>
        <w:t>based practice and highlighted areas where I will continue to develop to ensure wellbeing remains central.</w:t>
      </w:r>
    </w:p>
    <w:p w14:paraId="2DA881F1" w14:textId="478DAB58" w:rsidR="000C35BE" w:rsidRDefault="000C35BE" w:rsidP="000C35BE">
      <w:pPr>
        <w:jc w:val="center"/>
        <w:rPr>
          <w:b/>
          <w:bCs/>
          <w:u w:val="single"/>
        </w:rPr>
      </w:pPr>
      <w:r w:rsidRPr="000C35BE">
        <w:rPr>
          <w:b/>
          <w:bCs/>
          <w:u w:val="single"/>
        </w:rPr>
        <w:t>Reference list</w:t>
      </w:r>
    </w:p>
    <w:p w14:paraId="2B2D6361" w14:textId="77777777" w:rsidR="000C35BE" w:rsidRPr="00A77188" w:rsidRDefault="000C35BE" w:rsidP="000C35BE">
      <w:pPr>
        <w:rPr>
          <w:rFonts w:ascii="Arial" w:hAnsi="Arial" w:cs="Arial"/>
        </w:rPr>
      </w:pPr>
      <w:r w:rsidRPr="00A77188">
        <w:rPr>
          <w:rFonts w:ascii="Arial" w:hAnsi="Arial" w:cs="Arial"/>
          <w:i/>
          <w:iCs/>
        </w:rPr>
        <w:t>Additional Learning Needs and Education Tribunal (Wales) Act 2018</w:t>
      </w:r>
      <w:r w:rsidRPr="00A77188">
        <w:rPr>
          <w:rFonts w:ascii="Arial" w:hAnsi="Arial" w:cs="Arial"/>
        </w:rPr>
        <w:t xml:space="preserve">, </w:t>
      </w:r>
      <w:proofErr w:type="spellStart"/>
      <w:r w:rsidRPr="00A77188">
        <w:rPr>
          <w:rFonts w:ascii="Arial" w:hAnsi="Arial" w:cs="Arial"/>
          <w:i/>
          <w:iCs/>
        </w:rPr>
        <w:t>anaw</w:t>
      </w:r>
      <w:proofErr w:type="spellEnd"/>
      <w:r w:rsidRPr="00A77188">
        <w:rPr>
          <w:rFonts w:ascii="Arial" w:hAnsi="Arial" w:cs="Arial"/>
          <w:i/>
          <w:iCs/>
        </w:rPr>
        <w:t xml:space="preserve"> 2. </w:t>
      </w:r>
      <w:r w:rsidRPr="00A77188">
        <w:rPr>
          <w:rFonts w:ascii="Arial" w:hAnsi="Arial" w:cs="Arial"/>
        </w:rPr>
        <w:t xml:space="preserve">Available at: </w:t>
      </w:r>
      <w:hyperlink r:id="rId10" w:history="1">
        <w:r w:rsidRPr="00A77188">
          <w:rPr>
            <w:rStyle w:val="Hyperlink"/>
            <w:rFonts w:ascii="Arial" w:hAnsi="Arial" w:cs="Arial"/>
          </w:rPr>
          <w:t>https://www.legislation.gov.uk/anaw/2018/2/contents</w:t>
        </w:r>
      </w:hyperlink>
      <w:r w:rsidRPr="00A77188">
        <w:rPr>
          <w:rFonts w:ascii="Arial" w:hAnsi="Arial" w:cs="Arial"/>
        </w:rPr>
        <w:t>. (Accessed: 8 March 2026). </w:t>
      </w:r>
    </w:p>
    <w:p w14:paraId="074A42EE" w14:textId="77777777" w:rsidR="000C35BE" w:rsidRPr="00A77188" w:rsidRDefault="000C35BE" w:rsidP="000C35BE">
      <w:pPr>
        <w:rPr>
          <w:rFonts w:ascii="Arial" w:hAnsi="Arial" w:cs="Arial"/>
        </w:rPr>
      </w:pPr>
      <w:r w:rsidRPr="00A77188">
        <w:rPr>
          <w:rFonts w:ascii="Arial" w:hAnsi="Arial" w:cs="Arial"/>
        </w:rPr>
        <w:t xml:space="preserve">Ainsworth, M.D.S., </w:t>
      </w:r>
      <w:proofErr w:type="spellStart"/>
      <w:r w:rsidRPr="00A77188">
        <w:rPr>
          <w:rFonts w:ascii="Arial" w:hAnsi="Arial" w:cs="Arial"/>
        </w:rPr>
        <w:t>Blehar</w:t>
      </w:r>
      <w:proofErr w:type="spellEnd"/>
      <w:r w:rsidRPr="00A77188">
        <w:rPr>
          <w:rFonts w:ascii="Arial" w:hAnsi="Arial" w:cs="Arial"/>
        </w:rPr>
        <w:t xml:space="preserve">, M.C., Waters, E. and Wall, S. (1978) ‘Patterns of Attachment’, </w:t>
      </w:r>
      <w:r w:rsidRPr="00A77188">
        <w:rPr>
          <w:rFonts w:ascii="Arial" w:hAnsi="Arial" w:cs="Arial"/>
          <w:i/>
          <w:iCs/>
        </w:rPr>
        <w:t>A Psychological Study of the Strange Situation</w:t>
      </w:r>
      <w:r w:rsidRPr="00A77188">
        <w:rPr>
          <w:rFonts w:ascii="Arial" w:hAnsi="Arial" w:cs="Arial"/>
        </w:rPr>
        <w:t xml:space="preserve">, 1(1). </w:t>
      </w:r>
      <w:proofErr w:type="spellStart"/>
      <w:proofErr w:type="gramStart"/>
      <w:r w:rsidRPr="00A77188">
        <w:rPr>
          <w:rFonts w:ascii="Arial" w:hAnsi="Arial" w:cs="Arial"/>
        </w:rPr>
        <w:t>doi:https</w:t>
      </w:r>
      <w:proofErr w:type="spellEnd"/>
      <w:r w:rsidRPr="00A77188">
        <w:rPr>
          <w:rFonts w:ascii="Arial" w:hAnsi="Arial" w:cs="Arial"/>
        </w:rPr>
        <w:t>://doi.org/10.4324/9781315802428</w:t>
      </w:r>
      <w:proofErr w:type="gramEnd"/>
      <w:r w:rsidRPr="00A77188">
        <w:rPr>
          <w:rFonts w:ascii="Arial" w:hAnsi="Arial" w:cs="Arial"/>
        </w:rPr>
        <w:t>.</w:t>
      </w:r>
    </w:p>
    <w:p w14:paraId="46F64AE6" w14:textId="77777777" w:rsidR="000C35BE" w:rsidRPr="00A77188" w:rsidRDefault="000C35BE" w:rsidP="000C35BE">
      <w:pPr>
        <w:rPr>
          <w:rFonts w:ascii="Arial" w:hAnsi="Arial" w:cs="Arial"/>
        </w:rPr>
      </w:pPr>
      <w:r w:rsidRPr="00A77188">
        <w:rPr>
          <w:rFonts w:ascii="Arial" w:hAnsi="Arial" w:cs="Arial"/>
        </w:rPr>
        <w:t xml:space="preserve">Aubrey, C. (2016) </w:t>
      </w:r>
      <w:r w:rsidRPr="00A77188">
        <w:rPr>
          <w:rFonts w:ascii="Arial" w:hAnsi="Arial" w:cs="Arial"/>
          <w:i/>
          <w:iCs/>
        </w:rPr>
        <w:t>Leading and managing in the early years</w:t>
      </w:r>
      <w:r w:rsidRPr="00A77188">
        <w:rPr>
          <w:rFonts w:ascii="Arial" w:hAnsi="Arial" w:cs="Arial"/>
        </w:rPr>
        <w:t xml:space="preserve">. 2nd </w:t>
      </w:r>
      <w:proofErr w:type="spellStart"/>
      <w:r w:rsidRPr="00A77188">
        <w:rPr>
          <w:rFonts w:ascii="Arial" w:hAnsi="Arial" w:cs="Arial"/>
        </w:rPr>
        <w:t>edn</w:t>
      </w:r>
      <w:proofErr w:type="spellEnd"/>
      <w:r w:rsidRPr="00A77188">
        <w:rPr>
          <w:rFonts w:ascii="Arial" w:hAnsi="Arial" w:cs="Arial"/>
        </w:rPr>
        <w:t>. London: SAGE.</w:t>
      </w:r>
    </w:p>
    <w:p w14:paraId="71A43A5C" w14:textId="77777777" w:rsidR="000C35BE" w:rsidRPr="00A77188" w:rsidRDefault="000C35BE" w:rsidP="000C35BE">
      <w:pPr>
        <w:rPr>
          <w:rFonts w:ascii="Arial" w:hAnsi="Arial" w:cs="Arial"/>
        </w:rPr>
      </w:pPr>
      <w:r w:rsidRPr="00A77188">
        <w:rPr>
          <w:rFonts w:ascii="Arial" w:hAnsi="Arial" w:cs="Arial"/>
        </w:rPr>
        <w:t xml:space="preserve">Bowlby, J. (1969) </w:t>
      </w:r>
      <w:r w:rsidRPr="00A77188">
        <w:rPr>
          <w:rFonts w:ascii="Arial" w:hAnsi="Arial" w:cs="Arial"/>
          <w:i/>
          <w:iCs/>
        </w:rPr>
        <w:t>Attachment and loss: Vol. 1. Attachment</w:t>
      </w:r>
      <w:r w:rsidRPr="00A77188">
        <w:rPr>
          <w:rFonts w:ascii="Arial" w:hAnsi="Arial" w:cs="Arial"/>
        </w:rPr>
        <w:t>. New York: Basic Books.</w:t>
      </w:r>
    </w:p>
    <w:p w14:paraId="445FCF56" w14:textId="77777777" w:rsidR="000C35BE" w:rsidRPr="00A77188" w:rsidRDefault="000C35BE" w:rsidP="000C35BE">
      <w:pPr>
        <w:rPr>
          <w:rFonts w:ascii="Arial" w:hAnsi="Arial" w:cs="Arial"/>
        </w:rPr>
      </w:pPr>
      <w:r w:rsidRPr="00A77188">
        <w:rPr>
          <w:rFonts w:ascii="Arial" w:hAnsi="Arial" w:cs="Arial"/>
        </w:rPr>
        <w:t xml:space="preserve">Brooker, L. (2008) </w:t>
      </w:r>
      <w:r w:rsidRPr="00A77188">
        <w:rPr>
          <w:rFonts w:ascii="Arial" w:hAnsi="Arial" w:cs="Arial"/>
          <w:i/>
          <w:iCs/>
        </w:rPr>
        <w:t>Supporting Transitions in the Early Years</w:t>
      </w:r>
      <w:r w:rsidRPr="00A77188">
        <w:rPr>
          <w:rFonts w:ascii="Arial" w:hAnsi="Arial" w:cs="Arial"/>
        </w:rPr>
        <w:t>. Maidenhead: Open University Press.</w:t>
      </w:r>
    </w:p>
    <w:p w14:paraId="2AA1F015" w14:textId="77777777" w:rsidR="000C35BE" w:rsidRPr="00A77188" w:rsidRDefault="000C35BE" w:rsidP="000C35BE">
      <w:pPr>
        <w:rPr>
          <w:rFonts w:ascii="Arial" w:hAnsi="Arial" w:cs="Arial"/>
        </w:rPr>
      </w:pPr>
      <w:r w:rsidRPr="00A77188">
        <w:rPr>
          <w:rFonts w:ascii="Arial" w:hAnsi="Arial" w:cs="Arial"/>
        </w:rPr>
        <w:t xml:space="preserve">Campbell-Barr, V. and Leeson, C. (2016) </w:t>
      </w:r>
      <w:r w:rsidRPr="00A77188">
        <w:rPr>
          <w:rFonts w:ascii="Arial" w:hAnsi="Arial" w:cs="Arial"/>
          <w:i/>
          <w:iCs/>
        </w:rPr>
        <w:t>Quality and Leadership in the Early Years: Research, Theory and Practice</w:t>
      </w:r>
      <w:r w:rsidRPr="00A77188">
        <w:rPr>
          <w:rFonts w:ascii="Arial" w:hAnsi="Arial" w:cs="Arial"/>
        </w:rPr>
        <w:t>. London: Sage.</w:t>
      </w:r>
    </w:p>
    <w:p w14:paraId="2184274E" w14:textId="77777777" w:rsidR="000C35BE" w:rsidRDefault="000C35BE" w:rsidP="000C35BE">
      <w:pPr>
        <w:rPr>
          <w:rFonts w:ascii="Arial" w:hAnsi="Arial" w:cs="Arial"/>
        </w:rPr>
      </w:pPr>
      <w:r w:rsidRPr="00A77188">
        <w:rPr>
          <w:rFonts w:ascii="Arial" w:hAnsi="Arial" w:cs="Arial"/>
        </w:rPr>
        <w:lastRenderedPageBreak/>
        <w:t xml:space="preserve">Care Inspector Wales (2021) </w:t>
      </w:r>
      <w:r w:rsidRPr="00A77188">
        <w:rPr>
          <w:rFonts w:ascii="Arial" w:hAnsi="Arial" w:cs="Arial"/>
          <w:i/>
          <w:iCs/>
        </w:rPr>
        <w:t>Childcare, Play and Open Access Inspection and Ratings Provider Guidance</w:t>
      </w:r>
      <w:r w:rsidRPr="00A77188">
        <w:rPr>
          <w:rFonts w:ascii="Arial" w:hAnsi="Arial" w:cs="Arial"/>
        </w:rPr>
        <w:t xml:space="preserve">. Available at: </w:t>
      </w:r>
      <w:hyperlink r:id="rId11" w:history="1">
        <w:r w:rsidRPr="00A77188">
          <w:rPr>
            <w:rStyle w:val="Hyperlink"/>
            <w:rFonts w:ascii="Arial" w:hAnsi="Arial" w:cs="Arial"/>
          </w:rPr>
          <w:t>https://www.careinspectorate.wales/sites/default/files/2021-11/211130-childcare-play-and-open-access-inspection-and-ratings-provider-guidance-en.pdf</w:t>
        </w:r>
      </w:hyperlink>
      <w:r w:rsidRPr="00A77188">
        <w:rPr>
          <w:rFonts w:ascii="Arial" w:hAnsi="Arial" w:cs="Arial"/>
        </w:rPr>
        <w:t>. (Accessed: 6 March 2026). </w:t>
      </w:r>
    </w:p>
    <w:p w14:paraId="121F76A5" w14:textId="00C65443" w:rsidR="003D6AEE" w:rsidRPr="00A77188" w:rsidRDefault="003D6AEE" w:rsidP="000C35BE">
      <w:pPr>
        <w:rPr>
          <w:rFonts w:ascii="Arial" w:hAnsi="Arial" w:cs="Arial"/>
        </w:rPr>
      </w:pPr>
      <w:r w:rsidRPr="00A77188">
        <w:rPr>
          <w:rFonts w:ascii="Arial" w:hAnsi="Arial" w:cs="Arial"/>
        </w:rPr>
        <w:t xml:space="preserve">Care Inspectorate Wales (CIW) (2016) </w:t>
      </w:r>
      <w:r w:rsidRPr="00A77188">
        <w:rPr>
          <w:rFonts w:ascii="Arial" w:hAnsi="Arial" w:cs="Arial"/>
          <w:i/>
          <w:iCs/>
        </w:rPr>
        <w:t>Guidance for Providers and Responsible Individuals</w:t>
      </w:r>
      <w:r w:rsidRPr="00A77188">
        <w:rPr>
          <w:rFonts w:ascii="Arial" w:hAnsi="Arial" w:cs="Arial"/>
        </w:rPr>
        <w:t xml:space="preserve">. Available at: </w:t>
      </w:r>
      <w:hyperlink r:id="rId12" w:history="1">
        <w:r w:rsidRPr="00A77188">
          <w:rPr>
            <w:rStyle w:val="Hyperlink"/>
            <w:rFonts w:ascii="Arial" w:hAnsi="Arial" w:cs="Arial"/>
          </w:rPr>
          <w:t>https://www.careinspectorate.wales</w:t>
        </w:r>
      </w:hyperlink>
      <w:r w:rsidRPr="00A77188">
        <w:rPr>
          <w:rFonts w:ascii="Arial" w:hAnsi="Arial" w:cs="Arial"/>
        </w:rPr>
        <w:t xml:space="preserve"> (Accessed: 6 March 2026). </w:t>
      </w:r>
    </w:p>
    <w:p w14:paraId="65E48E5C" w14:textId="77777777" w:rsidR="000C35BE" w:rsidRPr="00A77188" w:rsidRDefault="000C35BE" w:rsidP="000C35BE">
      <w:pPr>
        <w:rPr>
          <w:rFonts w:ascii="Arial" w:hAnsi="Arial" w:cs="Arial"/>
        </w:rPr>
      </w:pPr>
      <w:r w:rsidRPr="00A77188">
        <w:rPr>
          <w:rFonts w:ascii="Arial" w:hAnsi="Arial" w:cs="Arial"/>
        </w:rPr>
        <w:t xml:space="preserve">Care Inspectorate Wales (2022) </w:t>
      </w:r>
      <w:r w:rsidRPr="00A77188">
        <w:rPr>
          <w:rFonts w:ascii="Arial" w:hAnsi="Arial" w:cs="Arial"/>
          <w:i/>
          <w:iCs/>
        </w:rPr>
        <w:t>Joint childcare and play framework</w:t>
      </w:r>
      <w:r w:rsidRPr="00A77188">
        <w:rPr>
          <w:rFonts w:ascii="Arial" w:hAnsi="Arial" w:cs="Arial"/>
        </w:rPr>
        <w:t xml:space="preserve">. Available at: </w:t>
      </w:r>
      <w:hyperlink r:id="rId13" w:history="1">
        <w:r w:rsidRPr="00A77188">
          <w:rPr>
            <w:rStyle w:val="Hyperlink"/>
            <w:rFonts w:ascii="Arial" w:hAnsi="Arial" w:cs="Arial"/>
          </w:rPr>
          <w:t>https://careinspectorate.wales/early-years-and-childcare-ensuring-quality-care-and-learning</w:t>
        </w:r>
      </w:hyperlink>
      <w:r w:rsidRPr="00A77188">
        <w:rPr>
          <w:rFonts w:ascii="Arial" w:hAnsi="Arial" w:cs="Arial"/>
        </w:rPr>
        <w:t xml:space="preserve"> (Accessed: 7 March 2026). </w:t>
      </w:r>
    </w:p>
    <w:p w14:paraId="1B41C2D8" w14:textId="77777777" w:rsidR="000C35BE" w:rsidRPr="00A77188" w:rsidRDefault="000C35BE" w:rsidP="000C35BE">
      <w:pPr>
        <w:rPr>
          <w:rFonts w:ascii="Arial" w:hAnsi="Arial" w:cs="Arial"/>
        </w:rPr>
      </w:pPr>
      <w:r w:rsidRPr="00A77188">
        <w:rPr>
          <w:rFonts w:ascii="Arial" w:hAnsi="Arial" w:cs="Arial"/>
        </w:rPr>
        <w:t xml:space="preserve">Clark, A. (2017) </w:t>
      </w:r>
      <w:r w:rsidRPr="00A77188">
        <w:rPr>
          <w:rFonts w:ascii="Arial" w:hAnsi="Arial" w:cs="Arial"/>
          <w:i/>
          <w:iCs/>
        </w:rPr>
        <w:t>Listening to Young Children: A Guide to Understanding and Using the Mosaic Approach</w:t>
      </w:r>
      <w:r w:rsidRPr="00A77188">
        <w:rPr>
          <w:rFonts w:ascii="Arial" w:hAnsi="Arial" w:cs="Arial"/>
        </w:rPr>
        <w:t>. London: NCB.</w:t>
      </w:r>
    </w:p>
    <w:p w14:paraId="44DCA472" w14:textId="77777777" w:rsidR="000C35BE" w:rsidRPr="00A77188" w:rsidRDefault="000C35BE" w:rsidP="000C35BE">
      <w:pPr>
        <w:rPr>
          <w:rFonts w:ascii="Arial" w:hAnsi="Arial" w:cs="Arial"/>
        </w:rPr>
      </w:pPr>
      <w:r w:rsidRPr="00A77188">
        <w:rPr>
          <w:rFonts w:ascii="Arial" w:hAnsi="Arial" w:cs="Arial"/>
        </w:rPr>
        <w:t xml:space="preserve">Cottle, M. and Alexander, E. (2014) ‘Parent Partnerships and ‘Quality’ early years </w:t>
      </w:r>
      <w:proofErr w:type="gramStart"/>
      <w:r w:rsidRPr="00A77188">
        <w:rPr>
          <w:rFonts w:ascii="Arial" w:hAnsi="Arial" w:cs="Arial"/>
        </w:rPr>
        <w:t>services :</w:t>
      </w:r>
      <w:proofErr w:type="gramEnd"/>
      <w:r w:rsidRPr="00A77188">
        <w:rPr>
          <w:rFonts w:ascii="Arial" w:hAnsi="Arial" w:cs="Arial"/>
        </w:rPr>
        <w:t xml:space="preserve"> Practitioners Perspectives’, </w:t>
      </w:r>
      <w:r w:rsidRPr="00A77188">
        <w:rPr>
          <w:rFonts w:ascii="Arial" w:hAnsi="Arial" w:cs="Arial"/>
          <w:i/>
          <w:iCs/>
        </w:rPr>
        <w:t>European Early Childhood Research Journal</w:t>
      </w:r>
      <w:r w:rsidRPr="00A77188">
        <w:rPr>
          <w:rFonts w:ascii="Arial" w:hAnsi="Arial" w:cs="Arial"/>
        </w:rPr>
        <w:t xml:space="preserve">, 22(5), pp. 637-659. </w:t>
      </w:r>
      <w:hyperlink r:id="rId14" w:history="1">
        <w:r w:rsidRPr="00A77188">
          <w:rPr>
            <w:rStyle w:val="Hyperlink"/>
            <w:rFonts w:ascii="Arial" w:hAnsi="Arial" w:cs="Arial"/>
          </w:rPr>
          <w:t>https://doi-org.ezproxy.uwtsd.ac.uk/10.1080/1350293X.2013.788314</w:t>
        </w:r>
      </w:hyperlink>
      <w:r w:rsidRPr="00A77188">
        <w:rPr>
          <w:rFonts w:ascii="Arial" w:hAnsi="Arial" w:cs="Arial"/>
        </w:rPr>
        <w:t> </w:t>
      </w:r>
    </w:p>
    <w:p w14:paraId="5F9D8A4B" w14:textId="77777777" w:rsidR="000C35BE" w:rsidRPr="00A77188" w:rsidRDefault="000C35BE" w:rsidP="000C35BE">
      <w:pPr>
        <w:rPr>
          <w:rFonts w:ascii="Arial" w:hAnsi="Arial" w:cs="Arial"/>
        </w:rPr>
      </w:pPr>
      <w:r w:rsidRPr="00A77188">
        <w:rPr>
          <w:rFonts w:ascii="Arial" w:hAnsi="Arial" w:cs="Arial"/>
        </w:rPr>
        <w:t xml:space="preserve">Crozier, G. and Davies, J. (2007) ‘Hard to reach parents or hard to reach schools? A discussion of home–school relations, with </w:t>
      </w:r>
      <w:proofErr w:type="gramStart"/>
      <w:r w:rsidRPr="00A77188">
        <w:rPr>
          <w:rFonts w:ascii="Arial" w:hAnsi="Arial" w:cs="Arial"/>
        </w:rPr>
        <w:t>particular reference</w:t>
      </w:r>
      <w:proofErr w:type="gramEnd"/>
      <w:r w:rsidRPr="00A77188">
        <w:rPr>
          <w:rFonts w:ascii="Arial" w:hAnsi="Arial" w:cs="Arial"/>
        </w:rPr>
        <w:t xml:space="preserve"> to Bangladeshi and Pakistani parents’, </w:t>
      </w:r>
      <w:r w:rsidRPr="00A77188">
        <w:rPr>
          <w:rFonts w:ascii="Arial" w:hAnsi="Arial" w:cs="Arial"/>
          <w:i/>
          <w:iCs/>
        </w:rPr>
        <w:t>British Educational Research Journal</w:t>
      </w:r>
      <w:r w:rsidRPr="00A77188">
        <w:rPr>
          <w:rFonts w:ascii="Arial" w:hAnsi="Arial" w:cs="Arial"/>
        </w:rPr>
        <w:t xml:space="preserve">, 33(3), pp. 295–313. </w:t>
      </w:r>
      <w:proofErr w:type="spellStart"/>
      <w:proofErr w:type="gramStart"/>
      <w:r w:rsidRPr="00A77188">
        <w:rPr>
          <w:rFonts w:ascii="Arial" w:hAnsi="Arial" w:cs="Arial"/>
        </w:rPr>
        <w:t>doi:https</w:t>
      </w:r>
      <w:proofErr w:type="spellEnd"/>
      <w:r w:rsidRPr="00A77188">
        <w:rPr>
          <w:rFonts w:ascii="Arial" w:hAnsi="Arial" w:cs="Arial"/>
        </w:rPr>
        <w:t>://doi.org/10.1080/01411920701243578</w:t>
      </w:r>
      <w:proofErr w:type="gramEnd"/>
      <w:r w:rsidRPr="00A77188">
        <w:rPr>
          <w:rFonts w:ascii="Arial" w:hAnsi="Arial" w:cs="Arial"/>
        </w:rPr>
        <w:t>.</w:t>
      </w:r>
    </w:p>
    <w:p w14:paraId="39CF5A21" w14:textId="77777777" w:rsidR="000C35BE" w:rsidRPr="00A77188" w:rsidRDefault="000C35BE" w:rsidP="000C35BE">
      <w:pPr>
        <w:rPr>
          <w:rFonts w:ascii="Arial" w:hAnsi="Arial" w:cs="Arial"/>
        </w:rPr>
      </w:pPr>
      <w:r w:rsidRPr="00A77188">
        <w:rPr>
          <w:rFonts w:ascii="Arial" w:hAnsi="Arial" w:cs="Arial"/>
          <w:i/>
          <w:iCs/>
        </w:rPr>
        <w:t>Data Protection Act 2018, c.12.</w:t>
      </w:r>
      <w:r w:rsidRPr="00A77188">
        <w:rPr>
          <w:rFonts w:ascii="Arial" w:hAnsi="Arial" w:cs="Arial"/>
        </w:rPr>
        <w:t xml:space="preserve"> Available at: </w:t>
      </w:r>
      <w:hyperlink r:id="rId15" w:history="1">
        <w:r w:rsidRPr="00A77188">
          <w:rPr>
            <w:rStyle w:val="Hyperlink"/>
            <w:rFonts w:ascii="Arial" w:hAnsi="Arial" w:cs="Arial"/>
          </w:rPr>
          <w:t>Data Protection Act 2018</w:t>
        </w:r>
      </w:hyperlink>
      <w:r w:rsidRPr="00A77188">
        <w:rPr>
          <w:rFonts w:ascii="Arial" w:hAnsi="Arial" w:cs="Arial"/>
        </w:rPr>
        <w:t xml:space="preserve"> (Accessed: 6 March 2026). </w:t>
      </w:r>
    </w:p>
    <w:p w14:paraId="62C179A1" w14:textId="77777777" w:rsidR="000C35BE" w:rsidRPr="00A77188" w:rsidRDefault="000C35BE" w:rsidP="000C35BE">
      <w:pPr>
        <w:rPr>
          <w:rFonts w:ascii="Arial" w:hAnsi="Arial" w:cs="Arial"/>
        </w:rPr>
      </w:pPr>
      <w:r w:rsidRPr="00A77188">
        <w:rPr>
          <w:rFonts w:ascii="Arial" w:hAnsi="Arial" w:cs="Arial"/>
        </w:rPr>
        <w:t xml:space="preserve">Donaldson, G. (2015) </w:t>
      </w:r>
      <w:r w:rsidRPr="00A77188">
        <w:rPr>
          <w:rFonts w:ascii="Arial" w:hAnsi="Arial" w:cs="Arial"/>
          <w:i/>
          <w:iCs/>
        </w:rPr>
        <w:t>Successful Futures: Independent Review of Curriculum and Assessment Arrangements in Wales</w:t>
      </w:r>
      <w:r w:rsidRPr="00A77188">
        <w:rPr>
          <w:rFonts w:ascii="Arial" w:hAnsi="Arial" w:cs="Arial"/>
        </w:rPr>
        <w:t xml:space="preserve">. Available at: </w:t>
      </w:r>
      <w:hyperlink r:id="rId16" w:history="1">
        <w:r w:rsidRPr="00A77188">
          <w:rPr>
            <w:rStyle w:val="Hyperlink"/>
            <w:rFonts w:ascii="Arial" w:hAnsi="Arial" w:cs="Arial"/>
          </w:rPr>
          <w:t>https://www.gov.wales/successful-futures</w:t>
        </w:r>
      </w:hyperlink>
      <w:r w:rsidRPr="00A77188">
        <w:rPr>
          <w:rFonts w:ascii="Arial" w:hAnsi="Arial" w:cs="Arial"/>
        </w:rPr>
        <w:t xml:space="preserve"> (Accessed: 6 March 2026). </w:t>
      </w:r>
    </w:p>
    <w:p w14:paraId="336406EE" w14:textId="77777777" w:rsidR="000C35BE" w:rsidRPr="00A77188" w:rsidRDefault="000C35BE" w:rsidP="000C35BE">
      <w:pPr>
        <w:rPr>
          <w:rFonts w:ascii="Arial" w:hAnsi="Arial" w:cs="Arial"/>
        </w:rPr>
      </w:pPr>
      <w:r w:rsidRPr="00A77188">
        <w:rPr>
          <w:rFonts w:ascii="Arial" w:hAnsi="Arial" w:cs="Arial"/>
        </w:rPr>
        <w:t xml:space="preserve">Eadie, P., Page, J., Levickis, P., Elek, C., Murray, L., Wang, L. and Lloyd-Johnsen, C. (2022) ‘Domains of quality in early childhood education and care: A scoping review of the extent and consistency of the literature’, </w:t>
      </w:r>
      <w:r w:rsidRPr="00A77188">
        <w:rPr>
          <w:rFonts w:ascii="Arial" w:hAnsi="Arial" w:cs="Arial"/>
          <w:i/>
          <w:iCs/>
        </w:rPr>
        <w:t>Educational Review</w:t>
      </w:r>
      <w:r w:rsidRPr="00A77188">
        <w:rPr>
          <w:rFonts w:ascii="Arial" w:hAnsi="Arial" w:cs="Arial"/>
        </w:rPr>
        <w:t xml:space="preserve">, 76(4), pp. 1–30. </w:t>
      </w:r>
      <w:proofErr w:type="spellStart"/>
      <w:proofErr w:type="gramStart"/>
      <w:r w:rsidRPr="00A77188">
        <w:rPr>
          <w:rFonts w:ascii="Arial" w:hAnsi="Arial" w:cs="Arial"/>
        </w:rPr>
        <w:t>doi:https</w:t>
      </w:r>
      <w:proofErr w:type="spellEnd"/>
      <w:r w:rsidRPr="00A77188">
        <w:rPr>
          <w:rFonts w:ascii="Arial" w:hAnsi="Arial" w:cs="Arial"/>
        </w:rPr>
        <w:t>://doi.org/10.1080/00131911.2022.2077704</w:t>
      </w:r>
      <w:proofErr w:type="gramEnd"/>
      <w:r w:rsidRPr="00A77188">
        <w:rPr>
          <w:rFonts w:ascii="Arial" w:hAnsi="Arial" w:cs="Arial"/>
        </w:rPr>
        <w:t>.</w:t>
      </w:r>
    </w:p>
    <w:p w14:paraId="1F6AB274" w14:textId="77777777" w:rsidR="000C35BE" w:rsidRPr="00A77188" w:rsidRDefault="000C35BE" w:rsidP="000C35BE">
      <w:pPr>
        <w:rPr>
          <w:rFonts w:ascii="Arial" w:hAnsi="Arial" w:cs="Arial"/>
        </w:rPr>
      </w:pPr>
      <w:r w:rsidRPr="00A77188">
        <w:rPr>
          <w:rFonts w:ascii="Arial" w:hAnsi="Arial" w:cs="Arial"/>
        </w:rPr>
        <w:t xml:space="preserve">Edmondson, A. (2019) </w:t>
      </w:r>
      <w:r w:rsidRPr="00A77188">
        <w:rPr>
          <w:rFonts w:ascii="Arial" w:hAnsi="Arial" w:cs="Arial"/>
          <w:i/>
          <w:iCs/>
        </w:rPr>
        <w:t>The Fearless Organization: Creating Psychological Safety in the Workplace</w:t>
      </w:r>
      <w:r w:rsidRPr="00A77188">
        <w:rPr>
          <w:rFonts w:ascii="Arial" w:hAnsi="Arial" w:cs="Arial"/>
        </w:rPr>
        <w:t>. New York: Wiley.</w:t>
      </w:r>
    </w:p>
    <w:p w14:paraId="5B4CC562" w14:textId="77777777" w:rsidR="000C35BE" w:rsidRPr="00A77188" w:rsidRDefault="000C35BE" w:rsidP="000C35BE">
      <w:pPr>
        <w:rPr>
          <w:rFonts w:ascii="Arial" w:hAnsi="Arial" w:cs="Arial"/>
        </w:rPr>
      </w:pPr>
      <w:r w:rsidRPr="00A77188">
        <w:rPr>
          <w:rFonts w:ascii="Arial" w:hAnsi="Arial" w:cs="Arial"/>
          <w:i/>
          <w:iCs/>
        </w:rPr>
        <w:t xml:space="preserve">Equality Act 2010, c. 15. </w:t>
      </w:r>
      <w:r w:rsidRPr="00A77188">
        <w:rPr>
          <w:rFonts w:ascii="Arial" w:hAnsi="Arial" w:cs="Arial"/>
        </w:rPr>
        <w:t xml:space="preserve">Available at: </w:t>
      </w:r>
      <w:hyperlink r:id="rId17" w:history="1">
        <w:r w:rsidRPr="00A77188">
          <w:rPr>
            <w:rStyle w:val="Hyperlink"/>
            <w:rFonts w:ascii="Arial" w:hAnsi="Arial" w:cs="Arial"/>
          </w:rPr>
          <w:t>https://www.legislation.gov.uk/ukpga/2010/15/contents</w:t>
        </w:r>
      </w:hyperlink>
      <w:r w:rsidRPr="00A77188">
        <w:rPr>
          <w:rFonts w:ascii="Arial" w:hAnsi="Arial" w:cs="Arial"/>
        </w:rPr>
        <w:t>. (Accessed: 7 March 2026).</w:t>
      </w:r>
    </w:p>
    <w:p w14:paraId="2B3D381D" w14:textId="77777777" w:rsidR="000C35BE" w:rsidRPr="00A77188" w:rsidRDefault="000C35BE" w:rsidP="000C35BE">
      <w:pPr>
        <w:rPr>
          <w:rFonts w:ascii="Arial" w:hAnsi="Arial" w:cs="Arial"/>
        </w:rPr>
      </w:pPr>
      <w:r w:rsidRPr="00A77188">
        <w:rPr>
          <w:rFonts w:ascii="Arial" w:hAnsi="Arial" w:cs="Arial"/>
        </w:rPr>
        <w:t xml:space="preserve">Fook, J. and Gardner, F. (2007) </w:t>
      </w:r>
      <w:r w:rsidRPr="00A77188">
        <w:rPr>
          <w:rFonts w:ascii="Arial" w:hAnsi="Arial" w:cs="Arial"/>
          <w:i/>
          <w:iCs/>
        </w:rPr>
        <w:t>Practising Critical Reflection: A Resource Handbook</w:t>
      </w:r>
      <w:r w:rsidRPr="00A77188">
        <w:rPr>
          <w:rFonts w:ascii="Arial" w:hAnsi="Arial" w:cs="Arial"/>
        </w:rPr>
        <w:t>. Maidenhead: Open University Press.</w:t>
      </w:r>
    </w:p>
    <w:p w14:paraId="669E7F82" w14:textId="77777777" w:rsidR="000C35BE" w:rsidRPr="00A77188" w:rsidRDefault="000C35BE" w:rsidP="000C35BE">
      <w:pPr>
        <w:rPr>
          <w:rFonts w:ascii="Arial" w:hAnsi="Arial" w:cs="Arial"/>
        </w:rPr>
      </w:pPr>
      <w:r w:rsidRPr="00A77188">
        <w:rPr>
          <w:rFonts w:ascii="Arial" w:hAnsi="Arial" w:cs="Arial"/>
        </w:rPr>
        <w:lastRenderedPageBreak/>
        <w:t xml:space="preserve">GOV.UK (2004) </w:t>
      </w:r>
      <w:r w:rsidRPr="00A77188">
        <w:rPr>
          <w:rFonts w:ascii="Arial" w:hAnsi="Arial" w:cs="Arial"/>
          <w:i/>
          <w:iCs/>
        </w:rPr>
        <w:t xml:space="preserve">Children Act 2004 </w:t>
      </w:r>
      <w:r w:rsidRPr="00A77188">
        <w:rPr>
          <w:rFonts w:ascii="Arial" w:hAnsi="Arial" w:cs="Arial"/>
        </w:rPr>
        <w:t xml:space="preserve">Available at: </w:t>
      </w:r>
      <w:hyperlink r:id="rId18" w:history="1">
        <w:r w:rsidRPr="00A77188">
          <w:rPr>
            <w:rStyle w:val="Hyperlink"/>
            <w:rFonts w:ascii="Arial" w:hAnsi="Arial" w:cs="Arial"/>
          </w:rPr>
          <w:t>https://www.legislation.gov.uk/ukpga/2004/31/pdfs/ukpga_20040031_en.pdf</w:t>
        </w:r>
      </w:hyperlink>
      <w:r w:rsidRPr="00A77188">
        <w:rPr>
          <w:rFonts w:ascii="Arial" w:hAnsi="Arial" w:cs="Arial"/>
        </w:rPr>
        <w:t>. (Accessed: 7 March 2026). </w:t>
      </w:r>
    </w:p>
    <w:p w14:paraId="698E894C" w14:textId="77777777" w:rsidR="000C35BE" w:rsidRPr="00A77188" w:rsidRDefault="000C35BE" w:rsidP="000C35BE">
      <w:pPr>
        <w:rPr>
          <w:rFonts w:ascii="Arial" w:hAnsi="Arial" w:cs="Arial"/>
        </w:rPr>
      </w:pPr>
      <w:r w:rsidRPr="00A77188">
        <w:rPr>
          <w:rFonts w:ascii="Arial" w:hAnsi="Arial" w:cs="Arial"/>
        </w:rPr>
        <w:t xml:space="preserve">Harris, A. and Goodall, J. (2008) ‘Do Parents Know They matter? Engaging All Parents in </w:t>
      </w:r>
      <w:proofErr w:type="spellStart"/>
      <w:r w:rsidRPr="00A77188">
        <w:rPr>
          <w:rFonts w:ascii="Arial" w:hAnsi="Arial" w:cs="Arial"/>
        </w:rPr>
        <w:t>Learnin</w:t>
      </w:r>
      <w:proofErr w:type="spellEnd"/>
      <w:r w:rsidRPr="00A77188">
        <w:rPr>
          <w:rFonts w:ascii="Arial" w:hAnsi="Arial" w:cs="Arial"/>
        </w:rPr>
        <w:t xml:space="preserve">’, </w:t>
      </w:r>
      <w:r w:rsidRPr="00A77188">
        <w:rPr>
          <w:rFonts w:ascii="Arial" w:hAnsi="Arial" w:cs="Arial"/>
          <w:i/>
          <w:iCs/>
        </w:rPr>
        <w:t>Educational Research</w:t>
      </w:r>
      <w:r w:rsidRPr="00A77188">
        <w:rPr>
          <w:rFonts w:ascii="Arial" w:hAnsi="Arial" w:cs="Arial"/>
        </w:rPr>
        <w:t xml:space="preserve">, 50(3), pp.277–289. </w:t>
      </w:r>
      <w:proofErr w:type="spellStart"/>
      <w:proofErr w:type="gramStart"/>
      <w:r w:rsidRPr="00A77188">
        <w:rPr>
          <w:rFonts w:ascii="Arial" w:hAnsi="Arial" w:cs="Arial"/>
        </w:rPr>
        <w:t>doi:https</w:t>
      </w:r>
      <w:proofErr w:type="spellEnd"/>
      <w:r w:rsidRPr="00A77188">
        <w:rPr>
          <w:rFonts w:ascii="Arial" w:hAnsi="Arial" w:cs="Arial"/>
        </w:rPr>
        <w:t>://doi.org/10.1080/00131880802309424</w:t>
      </w:r>
      <w:proofErr w:type="gramEnd"/>
      <w:r w:rsidRPr="00A77188">
        <w:rPr>
          <w:rFonts w:ascii="Arial" w:hAnsi="Arial" w:cs="Arial"/>
        </w:rPr>
        <w:t>.</w:t>
      </w:r>
    </w:p>
    <w:p w14:paraId="1C36181B" w14:textId="33EE0B6C" w:rsidR="000C35BE" w:rsidRPr="00A77188" w:rsidRDefault="000C35BE" w:rsidP="000C35BE">
      <w:pPr>
        <w:rPr>
          <w:rFonts w:ascii="Arial" w:hAnsi="Arial" w:cs="Arial"/>
        </w:rPr>
      </w:pPr>
      <w:r w:rsidRPr="00A77188">
        <w:rPr>
          <w:rFonts w:ascii="Arial" w:hAnsi="Arial" w:cs="Arial"/>
        </w:rPr>
        <w:t xml:space="preserve">Hayes, C., Daly, D., Duncan, M., Gill, R. and Whitehouse, A.  (2017) </w:t>
      </w:r>
      <w:r w:rsidRPr="00A77188">
        <w:rPr>
          <w:rFonts w:ascii="Arial" w:hAnsi="Arial" w:cs="Arial"/>
          <w:i/>
          <w:iCs/>
        </w:rPr>
        <w:t xml:space="preserve">Developing as a </w:t>
      </w:r>
      <w:proofErr w:type="gramStart"/>
      <w:r w:rsidRPr="00A77188">
        <w:rPr>
          <w:rFonts w:ascii="Arial" w:hAnsi="Arial" w:cs="Arial"/>
          <w:i/>
          <w:iCs/>
        </w:rPr>
        <w:t>reflective early years</w:t>
      </w:r>
      <w:proofErr w:type="gramEnd"/>
      <w:r w:rsidRPr="00A77188">
        <w:rPr>
          <w:rFonts w:ascii="Arial" w:hAnsi="Arial" w:cs="Arial"/>
          <w:i/>
          <w:iCs/>
        </w:rPr>
        <w:t xml:space="preserve"> professional: a thematic approach.  </w:t>
      </w:r>
      <w:r w:rsidR="003D6AEE" w:rsidRPr="003D6AEE">
        <w:rPr>
          <w:rFonts w:ascii="Arial" w:hAnsi="Arial" w:cs="Arial"/>
          <w:i/>
          <w:iCs/>
        </w:rPr>
        <w:t>2</w:t>
      </w:r>
      <w:r w:rsidR="003D6AEE" w:rsidRPr="003D6AEE">
        <w:rPr>
          <w:rFonts w:ascii="Arial" w:hAnsi="Arial" w:cs="Arial"/>
          <w:i/>
          <w:iCs/>
          <w:vertAlign w:val="superscript"/>
        </w:rPr>
        <w:t>nd</w:t>
      </w:r>
      <w:r w:rsidR="003D6AEE" w:rsidRPr="003D6AEE">
        <w:rPr>
          <w:rFonts w:ascii="Arial" w:hAnsi="Arial" w:cs="Arial"/>
          <w:i/>
          <w:iCs/>
        </w:rPr>
        <w:t xml:space="preserve"> </w:t>
      </w:r>
      <w:proofErr w:type="spellStart"/>
      <w:r w:rsidR="003D6AEE" w:rsidRPr="003D6AEE">
        <w:rPr>
          <w:rFonts w:ascii="Arial" w:hAnsi="Arial" w:cs="Arial"/>
          <w:i/>
          <w:iCs/>
        </w:rPr>
        <w:t>edn</w:t>
      </w:r>
      <w:proofErr w:type="spellEnd"/>
      <w:r w:rsidR="003D6AEE" w:rsidRPr="003D6AEE">
        <w:rPr>
          <w:rFonts w:ascii="Arial" w:hAnsi="Arial" w:cs="Arial"/>
          <w:i/>
          <w:iCs/>
        </w:rPr>
        <w:t>.</w:t>
      </w:r>
      <w:r w:rsidR="003D6AEE">
        <w:rPr>
          <w:rFonts w:ascii="Arial" w:hAnsi="Arial" w:cs="Arial"/>
          <w:i/>
          <w:iCs/>
        </w:rPr>
        <w:t xml:space="preserve"> </w:t>
      </w:r>
      <w:proofErr w:type="gramStart"/>
      <w:r w:rsidRPr="00A77188">
        <w:rPr>
          <w:rFonts w:ascii="Arial" w:hAnsi="Arial" w:cs="Arial"/>
        </w:rPr>
        <w:t>St</w:t>
      </w:r>
      <w:proofErr w:type="gramEnd"/>
      <w:r w:rsidRPr="00A77188">
        <w:rPr>
          <w:rFonts w:ascii="Arial" w:hAnsi="Arial" w:cs="Arial"/>
        </w:rPr>
        <w:t xml:space="preserve"> Albans: Critical Publishing.</w:t>
      </w:r>
    </w:p>
    <w:p w14:paraId="62478212" w14:textId="77777777" w:rsidR="000C35BE" w:rsidRPr="00A77188" w:rsidRDefault="000C35BE" w:rsidP="000C35BE">
      <w:pPr>
        <w:rPr>
          <w:rFonts w:ascii="Arial" w:hAnsi="Arial" w:cs="Arial"/>
        </w:rPr>
      </w:pPr>
      <w:r w:rsidRPr="00A77188">
        <w:rPr>
          <w:rFonts w:ascii="Arial" w:hAnsi="Arial" w:cs="Arial"/>
        </w:rPr>
        <w:t xml:space="preserve">Lundy, L. (2007) ‘Voice’ Is Not enough: Conceptualising Article 12 of the United Nations Convention on the Rights of the Child’, </w:t>
      </w:r>
      <w:r w:rsidRPr="00A77188">
        <w:rPr>
          <w:rFonts w:ascii="Arial" w:hAnsi="Arial" w:cs="Arial"/>
          <w:i/>
          <w:iCs/>
        </w:rPr>
        <w:t>British Educational Research Journal</w:t>
      </w:r>
      <w:r w:rsidRPr="00A77188">
        <w:rPr>
          <w:rFonts w:ascii="Arial" w:hAnsi="Arial" w:cs="Arial"/>
        </w:rPr>
        <w:t xml:space="preserve">, 33(6), pp. 927–942. </w:t>
      </w:r>
      <w:proofErr w:type="spellStart"/>
      <w:proofErr w:type="gramStart"/>
      <w:r w:rsidRPr="00A77188">
        <w:rPr>
          <w:rFonts w:ascii="Arial" w:hAnsi="Arial" w:cs="Arial"/>
        </w:rPr>
        <w:t>doi:https</w:t>
      </w:r>
      <w:proofErr w:type="spellEnd"/>
      <w:r w:rsidRPr="00A77188">
        <w:rPr>
          <w:rFonts w:ascii="Arial" w:hAnsi="Arial" w:cs="Arial"/>
        </w:rPr>
        <w:t>://doi.org/10.1080/01411920701657033</w:t>
      </w:r>
      <w:proofErr w:type="gramEnd"/>
      <w:r w:rsidRPr="00A77188">
        <w:rPr>
          <w:rFonts w:ascii="Arial" w:hAnsi="Arial" w:cs="Arial"/>
        </w:rPr>
        <w:t>.</w:t>
      </w:r>
    </w:p>
    <w:p w14:paraId="6C55EA91" w14:textId="77777777" w:rsidR="000C35BE" w:rsidRPr="00A77188" w:rsidRDefault="000C35BE" w:rsidP="000C35BE">
      <w:pPr>
        <w:rPr>
          <w:rFonts w:ascii="Arial" w:hAnsi="Arial" w:cs="Arial"/>
        </w:rPr>
      </w:pPr>
      <w:r w:rsidRPr="00A77188">
        <w:rPr>
          <w:rFonts w:ascii="Arial" w:hAnsi="Arial" w:cs="Arial"/>
        </w:rPr>
        <w:t xml:space="preserve">MacDonald, A., Gealy, A. &amp; Tinney, G. (2019) </w:t>
      </w:r>
      <w:r w:rsidRPr="00A77188">
        <w:rPr>
          <w:rFonts w:ascii="Arial" w:hAnsi="Arial" w:cs="Arial"/>
          <w:i/>
          <w:iCs/>
        </w:rPr>
        <w:t>The Little Book of Attachment-Informed Practice</w:t>
      </w:r>
      <w:r w:rsidRPr="00A77188">
        <w:rPr>
          <w:rFonts w:ascii="Arial" w:hAnsi="Arial" w:cs="Arial"/>
        </w:rPr>
        <w:t>. Cardiff: Welsh Government.</w:t>
      </w:r>
    </w:p>
    <w:p w14:paraId="3714AA72" w14:textId="77777777" w:rsidR="000C35BE" w:rsidRPr="00A77188" w:rsidRDefault="000C35BE" w:rsidP="000C35BE">
      <w:pPr>
        <w:rPr>
          <w:rFonts w:ascii="Arial" w:hAnsi="Arial" w:cs="Arial"/>
        </w:rPr>
      </w:pPr>
      <w:r w:rsidRPr="00A77188">
        <w:rPr>
          <w:rFonts w:ascii="Arial" w:hAnsi="Arial" w:cs="Arial"/>
        </w:rPr>
        <w:t xml:space="preserve">OECD (2021) </w:t>
      </w:r>
      <w:r w:rsidRPr="00A77188">
        <w:rPr>
          <w:rFonts w:ascii="Arial" w:hAnsi="Arial" w:cs="Arial"/>
          <w:i/>
          <w:iCs/>
        </w:rPr>
        <w:t>Starting Strong VI Supporting Meaningful Interactions in Early Childhood Education and Care</w:t>
      </w:r>
      <w:r w:rsidRPr="00A77188">
        <w:rPr>
          <w:rFonts w:ascii="Arial" w:hAnsi="Arial" w:cs="Arial"/>
        </w:rPr>
        <w:t>. Paris: OECD Publishing.</w:t>
      </w:r>
    </w:p>
    <w:p w14:paraId="2EDBB54D" w14:textId="77777777" w:rsidR="000C35BE" w:rsidRPr="00A77188" w:rsidRDefault="000C35BE" w:rsidP="000C35BE">
      <w:pPr>
        <w:rPr>
          <w:rFonts w:ascii="Arial" w:hAnsi="Arial" w:cs="Arial"/>
        </w:rPr>
      </w:pPr>
      <w:r w:rsidRPr="00A77188">
        <w:rPr>
          <w:rFonts w:ascii="Arial" w:hAnsi="Arial" w:cs="Arial"/>
        </w:rPr>
        <w:t xml:space="preserve">Pascal, C. and Bertram, T. (2021) </w:t>
      </w:r>
      <w:r w:rsidRPr="00A77188">
        <w:rPr>
          <w:rFonts w:ascii="Arial" w:hAnsi="Arial" w:cs="Arial"/>
          <w:i/>
          <w:iCs/>
        </w:rPr>
        <w:t>Listening to Young Children in Early Childhood Settings: Participation, Voice and Rights</w:t>
      </w:r>
      <w:r w:rsidRPr="00A77188">
        <w:rPr>
          <w:rFonts w:ascii="Arial" w:hAnsi="Arial" w:cs="Arial"/>
        </w:rPr>
        <w:t>. London: Routledge.</w:t>
      </w:r>
    </w:p>
    <w:p w14:paraId="3DC7154D" w14:textId="77777777" w:rsidR="000C35BE" w:rsidRPr="00A77188" w:rsidRDefault="000C35BE" w:rsidP="000C35BE">
      <w:pPr>
        <w:rPr>
          <w:rFonts w:ascii="Arial" w:hAnsi="Arial" w:cs="Arial"/>
        </w:rPr>
      </w:pPr>
      <w:r w:rsidRPr="00A77188">
        <w:rPr>
          <w:rFonts w:ascii="Arial" w:hAnsi="Arial" w:cs="Arial"/>
        </w:rPr>
        <w:t xml:space="preserve">Shanker, S. (2017) </w:t>
      </w:r>
      <w:r w:rsidRPr="00A77188">
        <w:rPr>
          <w:rFonts w:ascii="Arial" w:hAnsi="Arial" w:cs="Arial"/>
          <w:i/>
          <w:iCs/>
        </w:rPr>
        <w:t>Self-Reg: How to Help Your Child (and You) Break the Stress Cycle and Successfully Engage with Life</w:t>
      </w:r>
      <w:r w:rsidRPr="00A77188">
        <w:rPr>
          <w:rFonts w:ascii="Arial" w:hAnsi="Arial" w:cs="Arial"/>
        </w:rPr>
        <w:t>. London: Penguin.</w:t>
      </w:r>
    </w:p>
    <w:p w14:paraId="19890C02" w14:textId="77777777" w:rsidR="000C35BE" w:rsidRPr="00A77188" w:rsidRDefault="000C35BE" w:rsidP="000C35BE">
      <w:pPr>
        <w:rPr>
          <w:rFonts w:ascii="Arial" w:hAnsi="Arial" w:cs="Arial"/>
        </w:rPr>
      </w:pPr>
      <w:r w:rsidRPr="00A77188">
        <w:rPr>
          <w:rFonts w:ascii="Arial" w:hAnsi="Arial" w:cs="Arial"/>
        </w:rPr>
        <w:t xml:space="preserve">Siraj, I., Kingston, D. &amp; Melhuish, E. (2015) </w:t>
      </w:r>
      <w:r w:rsidRPr="00A77188">
        <w:rPr>
          <w:rFonts w:ascii="Arial" w:hAnsi="Arial" w:cs="Arial"/>
          <w:i/>
          <w:iCs/>
        </w:rPr>
        <w:t>SSTEW Scale: Sustained Shared Thinking and Emotional Well-Being Scale for 2–5-Year-Olds Provision</w:t>
      </w:r>
      <w:r w:rsidRPr="00A77188">
        <w:rPr>
          <w:rFonts w:ascii="Arial" w:hAnsi="Arial" w:cs="Arial"/>
        </w:rPr>
        <w:t>. London: Trentham Books.</w:t>
      </w:r>
    </w:p>
    <w:p w14:paraId="399E64D2" w14:textId="77777777" w:rsidR="000C35BE" w:rsidRPr="00A77188" w:rsidRDefault="000C35BE" w:rsidP="000C35BE">
      <w:pPr>
        <w:rPr>
          <w:rFonts w:ascii="Arial" w:hAnsi="Arial" w:cs="Arial"/>
        </w:rPr>
      </w:pPr>
      <w:r w:rsidRPr="00A77188">
        <w:rPr>
          <w:rFonts w:ascii="Arial" w:hAnsi="Arial" w:cs="Arial"/>
        </w:rPr>
        <w:t xml:space="preserve">Siraj, I., Kingston, D., &amp; Melhuish, E. (2015) </w:t>
      </w:r>
      <w:r w:rsidRPr="00A77188">
        <w:rPr>
          <w:rFonts w:ascii="Arial" w:hAnsi="Arial" w:cs="Arial"/>
          <w:i/>
          <w:iCs/>
        </w:rPr>
        <w:t xml:space="preserve">Assessing quality in early childhood education and </w:t>
      </w:r>
      <w:proofErr w:type="gramStart"/>
      <w:r w:rsidRPr="00A77188">
        <w:rPr>
          <w:rFonts w:ascii="Arial" w:hAnsi="Arial" w:cs="Arial"/>
          <w:i/>
          <w:iCs/>
        </w:rPr>
        <w:t>care :</w:t>
      </w:r>
      <w:proofErr w:type="gramEnd"/>
      <w:r w:rsidRPr="00A77188">
        <w:rPr>
          <w:rFonts w:ascii="Arial" w:hAnsi="Arial" w:cs="Arial"/>
          <w:i/>
          <w:iCs/>
        </w:rPr>
        <w:t xml:space="preserve"> Sustained Shared Thinking and Emotional Well-being (SSTEW) Scale for </w:t>
      </w:r>
      <w:proofErr w:type="gramStart"/>
      <w:r w:rsidRPr="00A77188">
        <w:rPr>
          <w:rFonts w:ascii="Arial" w:hAnsi="Arial" w:cs="Arial"/>
          <w:i/>
          <w:iCs/>
        </w:rPr>
        <w:t>2-5 Year-olds</w:t>
      </w:r>
      <w:proofErr w:type="gramEnd"/>
      <w:r w:rsidRPr="00A77188">
        <w:rPr>
          <w:rFonts w:ascii="Arial" w:hAnsi="Arial" w:cs="Arial"/>
          <w:i/>
          <w:iCs/>
        </w:rPr>
        <w:t xml:space="preserve"> provision. </w:t>
      </w:r>
      <w:r w:rsidRPr="00A77188">
        <w:rPr>
          <w:rFonts w:ascii="Arial" w:hAnsi="Arial" w:cs="Arial"/>
        </w:rPr>
        <w:t>London: IOE Press.</w:t>
      </w:r>
    </w:p>
    <w:p w14:paraId="0C8E99B2" w14:textId="77777777" w:rsidR="000C35BE" w:rsidRPr="00A77188" w:rsidRDefault="000C35BE" w:rsidP="000C35BE">
      <w:pPr>
        <w:rPr>
          <w:rFonts w:ascii="Arial" w:hAnsi="Arial" w:cs="Arial"/>
        </w:rPr>
      </w:pPr>
      <w:r w:rsidRPr="00A77188">
        <w:rPr>
          <w:rFonts w:ascii="Arial" w:hAnsi="Arial" w:cs="Arial"/>
        </w:rPr>
        <w:t xml:space="preserve">Siraj-Blatchford, I., Sylva, K., </w:t>
      </w:r>
      <w:proofErr w:type="spellStart"/>
      <w:r w:rsidRPr="00A77188">
        <w:rPr>
          <w:rFonts w:ascii="Arial" w:hAnsi="Arial" w:cs="Arial"/>
        </w:rPr>
        <w:t>Muttock</w:t>
      </w:r>
      <w:proofErr w:type="spellEnd"/>
      <w:r w:rsidRPr="00A77188">
        <w:rPr>
          <w:rFonts w:ascii="Arial" w:hAnsi="Arial" w:cs="Arial"/>
        </w:rPr>
        <w:t xml:space="preserve">, S., Gilden, R. and Bell, D. (2002) </w:t>
      </w:r>
      <w:r w:rsidRPr="00A77188">
        <w:rPr>
          <w:rFonts w:ascii="Arial" w:hAnsi="Arial" w:cs="Arial"/>
          <w:i/>
          <w:iCs/>
        </w:rPr>
        <w:t>Researching Effective Pedagogy in the Early Years RESEARCH</w:t>
      </w:r>
      <w:r w:rsidRPr="00A77188">
        <w:rPr>
          <w:rFonts w:ascii="Arial" w:hAnsi="Arial" w:cs="Arial"/>
        </w:rPr>
        <w:t xml:space="preserve">. Available at: </w:t>
      </w:r>
      <w:hyperlink r:id="rId19" w:history="1">
        <w:r w:rsidRPr="00A77188">
          <w:rPr>
            <w:rStyle w:val="Hyperlink"/>
            <w:rFonts w:ascii="Arial" w:hAnsi="Arial" w:cs="Arial"/>
          </w:rPr>
          <w:t>https://dera.ioe.ac.uk/id/eprint/4650/1/RR356.pdf</w:t>
        </w:r>
      </w:hyperlink>
      <w:r w:rsidRPr="00A77188">
        <w:rPr>
          <w:rFonts w:ascii="Arial" w:hAnsi="Arial" w:cs="Arial"/>
        </w:rPr>
        <w:t>. (Accessed: 6 March 2026). </w:t>
      </w:r>
    </w:p>
    <w:p w14:paraId="55AAE721" w14:textId="77777777" w:rsidR="000C35BE" w:rsidRPr="00A77188" w:rsidRDefault="000C35BE" w:rsidP="000C35BE">
      <w:pPr>
        <w:rPr>
          <w:rFonts w:ascii="Arial" w:hAnsi="Arial" w:cs="Arial"/>
        </w:rPr>
      </w:pPr>
      <w:r w:rsidRPr="00A77188">
        <w:rPr>
          <w:rFonts w:ascii="Arial" w:hAnsi="Arial" w:cs="Arial"/>
        </w:rPr>
        <w:t xml:space="preserve">Social Care Wales (2025) </w:t>
      </w:r>
      <w:r w:rsidRPr="00A77188">
        <w:rPr>
          <w:rFonts w:ascii="Arial" w:hAnsi="Arial" w:cs="Arial"/>
          <w:i/>
          <w:iCs/>
        </w:rPr>
        <w:t xml:space="preserve">Induction framework for early years and </w:t>
      </w:r>
      <w:proofErr w:type="gramStart"/>
      <w:r w:rsidRPr="00A77188">
        <w:rPr>
          <w:rFonts w:ascii="Arial" w:hAnsi="Arial" w:cs="Arial"/>
          <w:i/>
          <w:iCs/>
        </w:rPr>
        <w:t>child care</w:t>
      </w:r>
      <w:proofErr w:type="gramEnd"/>
      <w:r w:rsidRPr="00A77188">
        <w:rPr>
          <w:rFonts w:ascii="Arial" w:hAnsi="Arial" w:cs="Arial"/>
        </w:rPr>
        <w:t xml:space="preserve">. Available at: </w:t>
      </w:r>
      <w:hyperlink r:id="rId20" w:history="1">
        <w:r w:rsidRPr="00A77188">
          <w:rPr>
            <w:rStyle w:val="Hyperlink"/>
            <w:rFonts w:ascii="Arial" w:hAnsi="Arial" w:cs="Arial"/>
          </w:rPr>
          <w:t>https://socialcare.wales/qualifications-funding/induction-frameworks/induction-for-early-years-and-child-care</w:t>
        </w:r>
      </w:hyperlink>
      <w:r w:rsidRPr="00A77188">
        <w:rPr>
          <w:rFonts w:ascii="Arial" w:hAnsi="Arial" w:cs="Arial"/>
        </w:rPr>
        <w:t>. (Accessed: 7 March 2026). </w:t>
      </w:r>
    </w:p>
    <w:p w14:paraId="1871AFF0" w14:textId="77777777" w:rsidR="000C35BE" w:rsidRPr="00A77188" w:rsidRDefault="000C35BE" w:rsidP="000C35BE">
      <w:pPr>
        <w:rPr>
          <w:rFonts w:ascii="Arial" w:hAnsi="Arial" w:cs="Arial"/>
        </w:rPr>
      </w:pPr>
      <w:r w:rsidRPr="00A77188">
        <w:rPr>
          <w:rFonts w:ascii="Arial" w:hAnsi="Arial" w:cs="Arial"/>
        </w:rPr>
        <w:t xml:space="preserve">Tayler, C. (2015) ‘Learning in Early Childhood: Experiences, relationships and ' Learning to Be', </w:t>
      </w:r>
      <w:r w:rsidRPr="00A77188">
        <w:rPr>
          <w:rFonts w:ascii="Arial" w:hAnsi="Arial" w:cs="Arial"/>
          <w:i/>
          <w:iCs/>
        </w:rPr>
        <w:t>European Journal of Education,</w:t>
      </w:r>
      <w:r w:rsidRPr="00A77188">
        <w:rPr>
          <w:rFonts w:ascii="Arial" w:hAnsi="Arial" w:cs="Arial"/>
        </w:rPr>
        <w:t xml:space="preserve"> 50(2), Pp. 160-175.  </w:t>
      </w:r>
      <w:hyperlink r:id="rId21" w:history="1">
        <w:r w:rsidRPr="00A77188">
          <w:rPr>
            <w:rStyle w:val="Hyperlink"/>
            <w:rFonts w:ascii="Arial" w:hAnsi="Arial" w:cs="Arial"/>
          </w:rPr>
          <w:t>https://doi.org/10.1111/ejed.12117</w:t>
        </w:r>
      </w:hyperlink>
    </w:p>
    <w:p w14:paraId="5C774096" w14:textId="77777777" w:rsidR="000C35BE" w:rsidRPr="00A77188" w:rsidRDefault="000C35BE" w:rsidP="000C35BE">
      <w:pPr>
        <w:rPr>
          <w:rFonts w:ascii="Arial" w:hAnsi="Arial" w:cs="Arial"/>
        </w:rPr>
      </w:pPr>
      <w:r w:rsidRPr="00A77188">
        <w:rPr>
          <w:rFonts w:ascii="Arial" w:hAnsi="Arial" w:cs="Arial"/>
        </w:rPr>
        <w:t xml:space="preserve">United Nations (1989) </w:t>
      </w:r>
      <w:r w:rsidRPr="00A77188">
        <w:rPr>
          <w:rFonts w:ascii="Arial" w:hAnsi="Arial" w:cs="Arial"/>
          <w:i/>
          <w:iCs/>
        </w:rPr>
        <w:t>United Nations Convention on the Rights of the Child (UNCRC)</w:t>
      </w:r>
      <w:r w:rsidRPr="00A77188">
        <w:rPr>
          <w:rFonts w:ascii="Arial" w:hAnsi="Arial" w:cs="Arial"/>
        </w:rPr>
        <w:t>. New York: United Nations. </w:t>
      </w:r>
    </w:p>
    <w:p w14:paraId="65F58F62" w14:textId="77777777" w:rsidR="000C35BE" w:rsidRPr="00A77188" w:rsidRDefault="000C35BE" w:rsidP="000C35BE">
      <w:pPr>
        <w:rPr>
          <w:rFonts w:ascii="Arial" w:hAnsi="Arial" w:cs="Arial"/>
        </w:rPr>
      </w:pPr>
      <w:r w:rsidRPr="00A77188">
        <w:rPr>
          <w:rFonts w:ascii="Arial" w:hAnsi="Arial" w:cs="Arial"/>
        </w:rPr>
        <w:lastRenderedPageBreak/>
        <w:t xml:space="preserve">Welsh Government (2013) </w:t>
      </w:r>
      <w:r w:rsidRPr="00A77188">
        <w:rPr>
          <w:rFonts w:ascii="Arial" w:hAnsi="Arial" w:cs="Arial"/>
          <w:i/>
          <w:iCs/>
        </w:rPr>
        <w:t>Building a Brighter Future: Early Years and Childcare Plan</w:t>
      </w:r>
      <w:r w:rsidRPr="00A77188">
        <w:rPr>
          <w:rFonts w:ascii="Arial" w:hAnsi="Arial" w:cs="Arial"/>
        </w:rPr>
        <w:t xml:space="preserve">. Available at: </w:t>
      </w:r>
      <w:hyperlink r:id="rId22" w:history="1">
        <w:r w:rsidRPr="00A77188">
          <w:rPr>
            <w:rStyle w:val="Hyperlink"/>
            <w:rFonts w:ascii="Arial" w:hAnsi="Arial" w:cs="Arial"/>
          </w:rPr>
          <w:t>https://www.gov.wales/building-brighter-future-early-years-and-childcare-plan</w:t>
        </w:r>
      </w:hyperlink>
      <w:r w:rsidRPr="00A77188">
        <w:rPr>
          <w:rFonts w:ascii="Arial" w:hAnsi="Arial" w:cs="Arial"/>
        </w:rPr>
        <w:t xml:space="preserve"> (Accessed: 5 March 2026). </w:t>
      </w:r>
    </w:p>
    <w:p w14:paraId="188A9B17" w14:textId="77777777" w:rsidR="000C35BE" w:rsidRPr="00A77188" w:rsidRDefault="000C35BE" w:rsidP="000C35BE">
      <w:pPr>
        <w:rPr>
          <w:rFonts w:ascii="Arial" w:hAnsi="Arial" w:cs="Arial"/>
        </w:rPr>
      </w:pPr>
      <w:r w:rsidRPr="00A77188">
        <w:rPr>
          <w:rFonts w:ascii="Arial" w:hAnsi="Arial" w:cs="Arial"/>
        </w:rPr>
        <w:t xml:space="preserve">Welsh Government (2019) </w:t>
      </w:r>
      <w:r w:rsidRPr="00A77188">
        <w:rPr>
          <w:rFonts w:ascii="Arial" w:hAnsi="Arial" w:cs="Arial"/>
          <w:i/>
          <w:iCs/>
        </w:rPr>
        <w:t xml:space="preserve">Guidance on completing the </w:t>
      </w:r>
      <w:proofErr w:type="gramStart"/>
      <w:r w:rsidRPr="00A77188">
        <w:rPr>
          <w:rFonts w:ascii="Arial" w:hAnsi="Arial" w:cs="Arial"/>
          <w:i/>
          <w:iCs/>
        </w:rPr>
        <w:t>Quality of Care</w:t>
      </w:r>
      <w:proofErr w:type="gramEnd"/>
      <w:r w:rsidRPr="00A77188">
        <w:rPr>
          <w:rFonts w:ascii="Arial" w:hAnsi="Arial" w:cs="Arial"/>
          <w:i/>
          <w:iCs/>
        </w:rPr>
        <w:t xml:space="preserve"> </w:t>
      </w:r>
      <w:proofErr w:type="gramStart"/>
      <w:r w:rsidRPr="00A77188">
        <w:rPr>
          <w:rFonts w:ascii="Arial" w:hAnsi="Arial" w:cs="Arial"/>
          <w:i/>
          <w:iCs/>
        </w:rPr>
        <w:t>Review</w:t>
      </w:r>
      <w:r w:rsidRPr="00A77188">
        <w:rPr>
          <w:rFonts w:ascii="Arial" w:hAnsi="Arial" w:cs="Arial"/>
        </w:rPr>
        <w:t>..</w:t>
      </w:r>
      <w:proofErr w:type="gramEnd"/>
      <w:r w:rsidRPr="00A77188">
        <w:rPr>
          <w:rFonts w:ascii="Arial" w:hAnsi="Arial" w:cs="Arial"/>
        </w:rPr>
        <w:t xml:space="preserve"> Available at: </w:t>
      </w:r>
      <w:hyperlink r:id="rId23" w:history="1">
        <w:r w:rsidRPr="00A77188">
          <w:rPr>
            <w:rStyle w:val="Hyperlink"/>
            <w:rFonts w:ascii="Arial" w:hAnsi="Arial" w:cs="Arial"/>
          </w:rPr>
          <w:t>https://www.gov.wales/quality-care-review-guidance</w:t>
        </w:r>
      </w:hyperlink>
      <w:r w:rsidRPr="00A77188">
        <w:rPr>
          <w:rFonts w:ascii="Arial" w:hAnsi="Arial" w:cs="Arial"/>
        </w:rPr>
        <w:t xml:space="preserve"> (Accessed: 8 March 2026). </w:t>
      </w:r>
    </w:p>
    <w:p w14:paraId="186C77D5" w14:textId="77777777" w:rsidR="000C35BE" w:rsidRPr="00A77188" w:rsidRDefault="000C35BE" w:rsidP="000C35BE">
      <w:pPr>
        <w:rPr>
          <w:rFonts w:ascii="Arial" w:hAnsi="Arial" w:cs="Arial"/>
        </w:rPr>
      </w:pPr>
      <w:r w:rsidRPr="00A77188">
        <w:rPr>
          <w:rFonts w:ascii="Arial" w:hAnsi="Arial" w:cs="Arial"/>
        </w:rPr>
        <w:t xml:space="preserve">Welsh Government (2022) </w:t>
      </w:r>
      <w:r w:rsidRPr="00A77188">
        <w:rPr>
          <w:rFonts w:ascii="Arial" w:hAnsi="Arial" w:cs="Arial"/>
          <w:i/>
          <w:iCs/>
        </w:rPr>
        <w:t xml:space="preserve">Curriculum for funded non-maintained nursery settings - </w:t>
      </w:r>
      <w:proofErr w:type="gramStart"/>
      <w:r w:rsidRPr="00A77188">
        <w:rPr>
          <w:rFonts w:ascii="Arial" w:hAnsi="Arial" w:cs="Arial"/>
          <w:i/>
          <w:iCs/>
        </w:rPr>
        <w:t>Hwb</w:t>
      </w:r>
      <w:r w:rsidRPr="00A77188">
        <w:rPr>
          <w:rFonts w:ascii="Arial" w:hAnsi="Arial" w:cs="Arial"/>
        </w:rPr>
        <w:t>..</w:t>
      </w:r>
      <w:proofErr w:type="gramEnd"/>
      <w:r w:rsidRPr="00A77188">
        <w:rPr>
          <w:rFonts w:ascii="Arial" w:hAnsi="Arial" w:cs="Arial"/>
        </w:rPr>
        <w:t xml:space="preserve"> Available at: </w:t>
      </w:r>
      <w:hyperlink r:id="rId24" w:history="1">
        <w:r w:rsidRPr="00A77188">
          <w:rPr>
            <w:rStyle w:val="Hyperlink"/>
            <w:rFonts w:ascii="Arial" w:hAnsi="Arial" w:cs="Arial"/>
          </w:rPr>
          <w:t>https://hwb.gov.wales/curriculum-for-wales/curriculum-for-funded-non-maintained-nursery-settings</w:t>
        </w:r>
      </w:hyperlink>
      <w:r w:rsidRPr="00A77188">
        <w:rPr>
          <w:rFonts w:ascii="Arial" w:hAnsi="Arial" w:cs="Arial"/>
        </w:rPr>
        <w:t>. (Accessed: 8 March 2026). </w:t>
      </w:r>
    </w:p>
    <w:p w14:paraId="143DDBE1" w14:textId="77777777" w:rsidR="000C35BE" w:rsidRPr="00A77188" w:rsidRDefault="000C35BE" w:rsidP="000C35BE">
      <w:pPr>
        <w:rPr>
          <w:rFonts w:ascii="Arial" w:hAnsi="Arial" w:cs="Arial"/>
        </w:rPr>
      </w:pPr>
      <w:r w:rsidRPr="00A77188">
        <w:rPr>
          <w:rFonts w:ascii="Arial" w:hAnsi="Arial" w:cs="Arial"/>
        </w:rPr>
        <w:t xml:space="preserve">Welsh Government (2023) </w:t>
      </w:r>
      <w:r w:rsidRPr="00A77188">
        <w:rPr>
          <w:rFonts w:ascii="Arial" w:hAnsi="Arial" w:cs="Arial"/>
          <w:i/>
          <w:iCs/>
        </w:rPr>
        <w:t>National Minimum Standards for Regulated Childcare</w:t>
      </w:r>
      <w:r w:rsidRPr="00A77188">
        <w:rPr>
          <w:rFonts w:ascii="Arial" w:hAnsi="Arial" w:cs="Arial"/>
        </w:rPr>
        <w:t xml:space="preserve">. Available at: </w:t>
      </w:r>
      <w:hyperlink r:id="rId25" w:history="1">
        <w:r w:rsidRPr="00A77188">
          <w:rPr>
            <w:rStyle w:val="Hyperlink"/>
            <w:rFonts w:ascii="Arial" w:hAnsi="Arial" w:cs="Arial"/>
          </w:rPr>
          <w:t>https://www.gov.wales/national-minimum-standards-regulated-childcare</w:t>
        </w:r>
      </w:hyperlink>
      <w:r w:rsidRPr="00A77188">
        <w:rPr>
          <w:rFonts w:ascii="Arial" w:hAnsi="Arial" w:cs="Arial"/>
        </w:rPr>
        <w:t>  (Accessed: 5 March 2026).</w:t>
      </w:r>
    </w:p>
    <w:p w14:paraId="242914BE" w14:textId="1CD00C9B" w:rsidR="000C35BE" w:rsidRPr="00A77188" w:rsidRDefault="000C35BE" w:rsidP="000C35BE">
      <w:pPr>
        <w:rPr>
          <w:rFonts w:ascii="Arial" w:hAnsi="Arial" w:cs="Arial"/>
        </w:rPr>
      </w:pPr>
      <w:r w:rsidRPr="00A77188">
        <w:rPr>
          <w:rFonts w:ascii="Arial" w:hAnsi="Arial" w:cs="Arial"/>
        </w:rPr>
        <w:t xml:space="preserve">Welsh Government (2024a) </w:t>
      </w:r>
      <w:r w:rsidRPr="00A77188">
        <w:rPr>
          <w:rFonts w:ascii="Arial" w:hAnsi="Arial" w:cs="Arial"/>
          <w:i/>
          <w:iCs/>
        </w:rPr>
        <w:t>Rights of Children and Young Persons (Wales) Measure 201</w:t>
      </w:r>
      <w:r w:rsidR="00840E20">
        <w:rPr>
          <w:rFonts w:ascii="Arial" w:hAnsi="Arial" w:cs="Arial"/>
          <w:i/>
          <w:iCs/>
        </w:rPr>
        <w:t>.</w:t>
      </w:r>
      <w:r w:rsidRPr="00A77188">
        <w:rPr>
          <w:rFonts w:ascii="Arial" w:hAnsi="Arial" w:cs="Arial"/>
          <w:i/>
          <w:iCs/>
        </w:rPr>
        <w:t xml:space="preserve"> </w:t>
      </w:r>
      <w:r w:rsidRPr="00A77188">
        <w:rPr>
          <w:rFonts w:ascii="Arial" w:hAnsi="Arial" w:cs="Arial"/>
        </w:rPr>
        <w:t xml:space="preserve">Available at: </w:t>
      </w:r>
      <w:hyperlink r:id="rId26" w:history="1">
        <w:r w:rsidRPr="00A77188">
          <w:rPr>
            <w:rStyle w:val="Hyperlink"/>
            <w:rFonts w:ascii="Arial" w:hAnsi="Arial" w:cs="Arial"/>
          </w:rPr>
          <w:t>https://law.gov.wales/rights-children-and-young-persons-wales-measure-2011</w:t>
        </w:r>
      </w:hyperlink>
      <w:r w:rsidRPr="00A77188">
        <w:rPr>
          <w:rFonts w:ascii="Arial" w:hAnsi="Arial" w:cs="Arial"/>
        </w:rPr>
        <w:t>. (Accessed: 8 March 2026). </w:t>
      </w:r>
    </w:p>
    <w:p w14:paraId="570D73DF" w14:textId="79986A4F" w:rsidR="000C35BE" w:rsidRPr="00A77188" w:rsidRDefault="000C35BE" w:rsidP="000C35BE">
      <w:pPr>
        <w:rPr>
          <w:rFonts w:ascii="Arial" w:hAnsi="Arial" w:cs="Arial"/>
        </w:rPr>
      </w:pPr>
      <w:r w:rsidRPr="00A77188">
        <w:rPr>
          <w:rFonts w:ascii="Arial" w:hAnsi="Arial" w:cs="Arial"/>
        </w:rPr>
        <w:t xml:space="preserve">Welsh Government (2024b) </w:t>
      </w:r>
      <w:r w:rsidRPr="00A77188">
        <w:rPr>
          <w:rFonts w:ascii="Arial" w:hAnsi="Arial" w:cs="Arial"/>
          <w:i/>
          <w:iCs/>
        </w:rPr>
        <w:t>The Child Minding and Day Care (Wales) Regulations 2010</w:t>
      </w:r>
      <w:r w:rsidRPr="00A77188">
        <w:rPr>
          <w:rFonts w:ascii="Arial" w:hAnsi="Arial" w:cs="Arial"/>
        </w:rPr>
        <w:t xml:space="preserve">. Available at: </w:t>
      </w:r>
      <w:hyperlink r:id="rId27" w:history="1">
        <w:r w:rsidRPr="00A77188">
          <w:rPr>
            <w:rStyle w:val="Hyperlink"/>
            <w:rFonts w:ascii="Arial" w:hAnsi="Arial" w:cs="Arial"/>
          </w:rPr>
          <w:t>https://www.legislation.gov.uk/wsi/2010/2574/contents</w:t>
        </w:r>
      </w:hyperlink>
      <w:r w:rsidRPr="00A77188">
        <w:rPr>
          <w:rFonts w:ascii="Arial" w:hAnsi="Arial" w:cs="Arial"/>
        </w:rPr>
        <w:t>. (Accessed: 9 March 2026). </w:t>
      </w:r>
    </w:p>
    <w:p w14:paraId="3A230A5A" w14:textId="77777777" w:rsidR="000C35BE" w:rsidRPr="00A77188" w:rsidRDefault="000C35BE" w:rsidP="000C35BE">
      <w:pPr>
        <w:rPr>
          <w:rFonts w:ascii="Arial" w:hAnsi="Arial" w:cs="Arial"/>
        </w:rPr>
      </w:pPr>
      <w:r w:rsidRPr="00A77188">
        <w:rPr>
          <w:rFonts w:ascii="Arial" w:hAnsi="Arial" w:cs="Arial"/>
        </w:rPr>
        <w:t xml:space="preserve">Whitebread, D., Grau, V., Kumpulainen, K., McClelland, M.M., Perry, N.E. and Pino-Pasternak, D. (2019) </w:t>
      </w:r>
      <w:r w:rsidRPr="00A77188">
        <w:rPr>
          <w:rFonts w:ascii="Arial" w:hAnsi="Arial" w:cs="Arial"/>
          <w:i/>
          <w:iCs/>
        </w:rPr>
        <w:t>The SAGE Handbook of Developmental Psychology and Early Childhood Education</w:t>
      </w:r>
      <w:r w:rsidRPr="00A77188">
        <w:rPr>
          <w:rFonts w:ascii="Arial" w:hAnsi="Arial" w:cs="Arial"/>
        </w:rPr>
        <w:t xml:space="preserve">. </w:t>
      </w:r>
      <w:proofErr w:type="gramStart"/>
      <w:r w:rsidRPr="00A77188">
        <w:rPr>
          <w:rFonts w:ascii="Arial" w:hAnsi="Arial" w:cs="Arial"/>
        </w:rPr>
        <w:t>London :</w:t>
      </w:r>
      <w:proofErr w:type="gramEnd"/>
      <w:r w:rsidRPr="00A77188">
        <w:rPr>
          <w:rFonts w:ascii="Arial" w:hAnsi="Arial" w:cs="Arial"/>
        </w:rPr>
        <w:t xml:space="preserve"> SAGE Publications Ltd. </w:t>
      </w:r>
    </w:p>
    <w:p w14:paraId="6D50FE74" w14:textId="77777777" w:rsidR="000C35BE" w:rsidRPr="00A77188" w:rsidRDefault="000C35BE" w:rsidP="000C35BE">
      <w:pPr>
        <w:rPr>
          <w:rFonts w:ascii="Arial" w:hAnsi="Arial" w:cs="Arial"/>
        </w:rPr>
      </w:pPr>
      <w:r w:rsidRPr="00A77188">
        <w:rPr>
          <w:rFonts w:ascii="Arial" w:hAnsi="Arial" w:cs="Arial"/>
        </w:rPr>
        <w:t xml:space="preserve">Williams, P. (2016) </w:t>
      </w:r>
      <w:r w:rsidRPr="00A77188">
        <w:rPr>
          <w:rFonts w:ascii="Arial" w:hAnsi="Arial" w:cs="Arial"/>
          <w:i/>
          <w:iCs/>
        </w:rPr>
        <w:t>Quality Assurance in Early Childhood Education</w:t>
      </w:r>
      <w:r w:rsidRPr="00A77188">
        <w:rPr>
          <w:rFonts w:ascii="Arial" w:hAnsi="Arial" w:cs="Arial"/>
        </w:rPr>
        <w:t>. London: Routledge.</w:t>
      </w:r>
    </w:p>
    <w:p w14:paraId="2D65885F" w14:textId="77777777" w:rsidR="000C35BE" w:rsidRPr="000C35BE" w:rsidRDefault="000C35BE" w:rsidP="000C35BE">
      <w:pPr>
        <w:rPr>
          <w:b/>
          <w:bCs/>
          <w:u w:val="single"/>
        </w:rPr>
      </w:pPr>
    </w:p>
    <w:p w14:paraId="50D28A4E" w14:textId="77777777" w:rsidR="000463E2" w:rsidRDefault="000463E2"/>
    <w:sectPr w:rsidR="000463E2">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C1980" w14:textId="77777777" w:rsidR="00917E6A" w:rsidRDefault="00917E6A" w:rsidP="008B587C">
      <w:pPr>
        <w:spacing w:after="0" w:line="240" w:lineRule="auto"/>
      </w:pPr>
      <w:r>
        <w:separator/>
      </w:r>
    </w:p>
  </w:endnote>
  <w:endnote w:type="continuationSeparator" w:id="0">
    <w:p w14:paraId="3BEF8DB8" w14:textId="77777777" w:rsidR="00917E6A" w:rsidRDefault="00917E6A" w:rsidP="008B5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EB5CF0" w14:textId="15990C49" w:rsidR="000C35BE" w:rsidRDefault="000C35BE">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B791906" wp14:editId="5FC1C01D">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F923F6"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2354B" w14:textId="77777777" w:rsidR="00917E6A" w:rsidRDefault="00917E6A" w:rsidP="008B587C">
      <w:pPr>
        <w:spacing w:after="0" w:line="240" w:lineRule="auto"/>
      </w:pPr>
      <w:r>
        <w:separator/>
      </w:r>
    </w:p>
  </w:footnote>
  <w:footnote w:type="continuationSeparator" w:id="0">
    <w:p w14:paraId="6C9465A1" w14:textId="77777777" w:rsidR="00917E6A" w:rsidRDefault="00917E6A" w:rsidP="008B58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0B54C4" w14:textId="3073A094" w:rsidR="000C35BE" w:rsidRPr="000C35BE" w:rsidRDefault="000C35BE">
    <w:pPr>
      <w:pStyle w:val="Header"/>
      <w:rPr>
        <w:lang w:val="en-US"/>
      </w:rPr>
    </w:pPr>
    <w:r>
      <w:rPr>
        <w:lang w:val="en-US"/>
      </w:rPr>
      <w:t>1,422 Words                                                        1704224                                                          ECEY6011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203A55"/>
    <w:multiLevelType w:val="hybridMultilevel"/>
    <w:tmpl w:val="92EAB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293982"/>
    <w:multiLevelType w:val="hybridMultilevel"/>
    <w:tmpl w:val="C3A8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0824510">
    <w:abstractNumId w:val="1"/>
  </w:num>
  <w:num w:numId="2" w16cid:durableId="609239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3E2"/>
    <w:rsid w:val="00004B81"/>
    <w:rsid w:val="000463E2"/>
    <w:rsid w:val="00056EE5"/>
    <w:rsid w:val="00067BCF"/>
    <w:rsid w:val="000C35BE"/>
    <w:rsid w:val="00134DAB"/>
    <w:rsid w:val="003D6AEE"/>
    <w:rsid w:val="004C6DE5"/>
    <w:rsid w:val="00527DB1"/>
    <w:rsid w:val="00595EE3"/>
    <w:rsid w:val="005F46D9"/>
    <w:rsid w:val="006714B1"/>
    <w:rsid w:val="007F4A11"/>
    <w:rsid w:val="0081713C"/>
    <w:rsid w:val="00840E20"/>
    <w:rsid w:val="008532F1"/>
    <w:rsid w:val="008B587C"/>
    <w:rsid w:val="00917E6A"/>
    <w:rsid w:val="00966F4C"/>
    <w:rsid w:val="009A3209"/>
    <w:rsid w:val="00B83D22"/>
    <w:rsid w:val="00D86932"/>
    <w:rsid w:val="00DA67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D0644"/>
  <w15:chartTrackingRefBased/>
  <w15:docId w15:val="{9790703C-267A-4E2A-8D56-7BB1A076F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3E2"/>
    <w:rPr>
      <w:rFonts w:eastAsiaTheme="majorEastAsia" w:cstheme="majorBidi"/>
      <w:color w:val="272727" w:themeColor="text1" w:themeTint="D8"/>
    </w:rPr>
  </w:style>
  <w:style w:type="paragraph" w:styleId="Title">
    <w:name w:val="Title"/>
    <w:basedOn w:val="Normal"/>
    <w:next w:val="Normal"/>
    <w:link w:val="TitleChar"/>
    <w:uiPriority w:val="10"/>
    <w:qFormat/>
    <w:rsid w:val="00046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3E2"/>
    <w:pPr>
      <w:spacing w:before="160"/>
      <w:jc w:val="center"/>
    </w:pPr>
    <w:rPr>
      <w:i/>
      <w:iCs/>
      <w:color w:val="404040" w:themeColor="text1" w:themeTint="BF"/>
    </w:rPr>
  </w:style>
  <w:style w:type="character" w:customStyle="1" w:styleId="QuoteChar">
    <w:name w:val="Quote Char"/>
    <w:basedOn w:val="DefaultParagraphFont"/>
    <w:link w:val="Quote"/>
    <w:uiPriority w:val="29"/>
    <w:rsid w:val="000463E2"/>
    <w:rPr>
      <w:i/>
      <w:iCs/>
      <w:color w:val="404040" w:themeColor="text1" w:themeTint="BF"/>
    </w:rPr>
  </w:style>
  <w:style w:type="paragraph" w:styleId="ListParagraph">
    <w:name w:val="List Paragraph"/>
    <w:basedOn w:val="Normal"/>
    <w:uiPriority w:val="34"/>
    <w:qFormat/>
    <w:rsid w:val="000463E2"/>
    <w:pPr>
      <w:ind w:left="720"/>
      <w:contextualSpacing/>
    </w:pPr>
  </w:style>
  <w:style w:type="character" w:styleId="IntenseEmphasis">
    <w:name w:val="Intense Emphasis"/>
    <w:basedOn w:val="DefaultParagraphFont"/>
    <w:uiPriority w:val="21"/>
    <w:qFormat/>
    <w:rsid w:val="000463E2"/>
    <w:rPr>
      <w:i/>
      <w:iCs/>
      <w:color w:val="0F4761" w:themeColor="accent1" w:themeShade="BF"/>
    </w:rPr>
  </w:style>
  <w:style w:type="paragraph" w:styleId="IntenseQuote">
    <w:name w:val="Intense Quote"/>
    <w:basedOn w:val="Normal"/>
    <w:next w:val="Normal"/>
    <w:link w:val="IntenseQuoteChar"/>
    <w:uiPriority w:val="30"/>
    <w:qFormat/>
    <w:rsid w:val="00046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3E2"/>
    <w:rPr>
      <w:i/>
      <w:iCs/>
      <w:color w:val="0F4761" w:themeColor="accent1" w:themeShade="BF"/>
    </w:rPr>
  </w:style>
  <w:style w:type="character" w:styleId="IntenseReference">
    <w:name w:val="Intense Reference"/>
    <w:basedOn w:val="DefaultParagraphFont"/>
    <w:uiPriority w:val="32"/>
    <w:qFormat/>
    <w:rsid w:val="000463E2"/>
    <w:rPr>
      <w:b/>
      <w:bCs/>
      <w:smallCaps/>
      <w:color w:val="0F4761" w:themeColor="accent1" w:themeShade="BF"/>
      <w:spacing w:val="5"/>
    </w:rPr>
  </w:style>
  <w:style w:type="paragraph" w:styleId="Header">
    <w:name w:val="header"/>
    <w:basedOn w:val="Normal"/>
    <w:link w:val="HeaderChar"/>
    <w:uiPriority w:val="99"/>
    <w:unhideWhenUsed/>
    <w:rsid w:val="008B5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587C"/>
  </w:style>
  <w:style w:type="paragraph" w:styleId="Footer">
    <w:name w:val="footer"/>
    <w:basedOn w:val="Normal"/>
    <w:link w:val="FooterChar"/>
    <w:uiPriority w:val="99"/>
    <w:unhideWhenUsed/>
    <w:rsid w:val="008B5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587C"/>
  </w:style>
  <w:style w:type="character" w:styleId="Hyperlink">
    <w:name w:val="Hyperlink"/>
    <w:basedOn w:val="DefaultParagraphFont"/>
    <w:uiPriority w:val="99"/>
    <w:unhideWhenUsed/>
    <w:rsid w:val="000C35BE"/>
    <w:rPr>
      <w:color w:val="467886" w:themeColor="hyperlink"/>
      <w:u w:val="single"/>
    </w:rPr>
  </w:style>
  <w:style w:type="paragraph" w:styleId="NormalWeb">
    <w:name w:val="Normal (Web)"/>
    <w:basedOn w:val="Normal"/>
    <w:uiPriority w:val="99"/>
    <w:semiHidden/>
    <w:unhideWhenUsed/>
    <w:rsid w:val="007F4A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F4A11"/>
    <w:rPr>
      <w:i/>
      <w:iCs/>
    </w:rPr>
  </w:style>
  <w:style w:type="character" w:styleId="CommentReference">
    <w:name w:val="annotation reference"/>
    <w:basedOn w:val="DefaultParagraphFont"/>
    <w:uiPriority w:val="99"/>
    <w:semiHidden/>
    <w:unhideWhenUsed/>
    <w:rsid w:val="005F46D9"/>
    <w:rPr>
      <w:sz w:val="16"/>
      <w:szCs w:val="16"/>
    </w:rPr>
  </w:style>
  <w:style w:type="paragraph" w:styleId="CommentText">
    <w:name w:val="annotation text"/>
    <w:basedOn w:val="Normal"/>
    <w:link w:val="CommentTextChar"/>
    <w:uiPriority w:val="99"/>
    <w:unhideWhenUsed/>
    <w:rsid w:val="005F46D9"/>
    <w:pPr>
      <w:spacing w:line="240" w:lineRule="auto"/>
    </w:pPr>
    <w:rPr>
      <w:sz w:val="20"/>
      <w:szCs w:val="20"/>
    </w:rPr>
  </w:style>
  <w:style w:type="character" w:customStyle="1" w:styleId="CommentTextChar">
    <w:name w:val="Comment Text Char"/>
    <w:basedOn w:val="DefaultParagraphFont"/>
    <w:link w:val="CommentText"/>
    <w:uiPriority w:val="99"/>
    <w:rsid w:val="005F46D9"/>
    <w:rPr>
      <w:sz w:val="20"/>
      <w:szCs w:val="20"/>
    </w:rPr>
  </w:style>
  <w:style w:type="paragraph" w:styleId="CommentSubject">
    <w:name w:val="annotation subject"/>
    <w:basedOn w:val="CommentText"/>
    <w:next w:val="CommentText"/>
    <w:link w:val="CommentSubjectChar"/>
    <w:uiPriority w:val="99"/>
    <w:semiHidden/>
    <w:unhideWhenUsed/>
    <w:rsid w:val="005F46D9"/>
    <w:rPr>
      <w:b/>
      <w:bCs/>
    </w:rPr>
  </w:style>
  <w:style w:type="character" w:customStyle="1" w:styleId="CommentSubjectChar">
    <w:name w:val="Comment Subject Char"/>
    <w:basedOn w:val="CommentTextChar"/>
    <w:link w:val="CommentSubject"/>
    <w:uiPriority w:val="99"/>
    <w:semiHidden/>
    <w:rsid w:val="005F46D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13" Type="http://schemas.openxmlformats.org/officeDocument/2006/relationships/hyperlink" Target="https://careinspectorate.wales/early-years-and-childcare-ensuring-quality-care-and-learning" TargetMode="External"/><Relationship Id="rId18" Type="http://schemas.openxmlformats.org/officeDocument/2006/relationships/hyperlink" Target="https://www.legislation.gov.uk/ukpga/2004/31/pdfs/ukpga_20040031_en.pdf" TargetMode="External"/><Relationship Id="rId26" Type="http://schemas.openxmlformats.org/officeDocument/2006/relationships/hyperlink" Target="https://law.gov.wales/rights-children-and-young-persons-wales-measure-2011" TargetMode="External"/><Relationship Id="rId3" Type="http://schemas.openxmlformats.org/officeDocument/2006/relationships/settings" Target="settings.xml"/><Relationship Id="rId21" Type="http://schemas.openxmlformats.org/officeDocument/2006/relationships/hyperlink" Target="https://doi.org/10.1111/ejed.12117" TargetMode="External"/><Relationship Id="rId7" Type="http://schemas.openxmlformats.org/officeDocument/2006/relationships/hyperlink" Target="https://www.grammarly.com/" TargetMode="External"/><Relationship Id="rId12" Type="http://schemas.openxmlformats.org/officeDocument/2006/relationships/hyperlink" Target="https://www.careinspectorate.wales" TargetMode="External"/><Relationship Id="rId17" Type="http://schemas.openxmlformats.org/officeDocument/2006/relationships/hyperlink" Target="https://www.legislation.gov.uk/ukpga/2010/15/contents" TargetMode="External"/><Relationship Id="rId25" Type="http://schemas.openxmlformats.org/officeDocument/2006/relationships/hyperlink" Target="https://www.gov.wales/national-minimum-standards-regulated-childcare" TargetMode="External"/><Relationship Id="rId2" Type="http://schemas.openxmlformats.org/officeDocument/2006/relationships/styles" Target="styles.xml"/><Relationship Id="rId16" Type="http://schemas.openxmlformats.org/officeDocument/2006/relationships/hyperlink" Target="https://www.gov.wales/successful-futures" TargetMode="External"/><Relationship Id="rId20" Type="http://schemas.openxmlformats.org/officeDocument/2006/relationships/hyperlink" Target="https://socialcare.wales/qualifications-funding/induction-frameworks/induction-for-early-years-and-child-car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reinspectorate.wales/sites/default/files/2021-11/211130-childcare-play-and-open-access-inspection-and-ratings-provider-guidance-en.pdf" TargetMode="External"/><Relationship Id="rId24" Type="http://schemas.openxmlformats.org/officeDocument/2006/relationships/hyperlink" Target="https://hwb.gov.wales/curriculum-for-wales/curriculum-for-funded-non-maintained-nursery-settings" TargetMode="External"/><Relationship Id="rId5" Type="http://schemas.openxmlformats.org/officeDocument/2006/relationships/footnotes" Target="footnotes.xml"/><Relationship Id="rId15" Type="http://schemas.openxmlformats.org/officeDocument/2006/relationships/hyperlink" Target="https://www.legislation.gov.uk/ukpga/2018/12/contents" TargetMode="External"/><Relationship Id="rId23" Type="http://schemas.openxmlformats.org/officeDocument/2006/relationships/hyperlink" Target="https://www.gov.wales/quality-care-review-guidance" TargetMode="External"/><Relationship Id="rId28" Type="http://schemas.openxmlformats.org/officeDocument/2006/relationships/header" Target="header1.xml"/><Relationship Id="rId10" Type="http://schemas.openxmlformats.org/officeDocument/2006/relationships/hyperlink" Target="https://www.legislation.gov.uk/anaw/2018/2/contents" TargetMode="External"/><Relationship Id="rId19" Type="http://schemas.openxmlformats.org/officeDocument/2006/relationships/hyperlink" Target="https://dera.ioe.ac.uk/id/eprint/4650/1/RR356.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yperlink" Target="https://doi-org.ezproxy.uwtsd.ac.uk/10.1080/1350293X.2013.788314" TargetMode="External"/><Relationship Id="rId22" Type="http://schemas.openxmlformats.org/officeDocument/2006/relationships/hyperlink" Target="https://www.gov.wales/building-brighter-future-early-years-and-childcare-plan" TargetMode="External"/><Relationship Id="rId27" Type="http://schemas.openxmlformats.org/officeDocument/2006/relationships/hyperlink" Target="https://www.legislation.gov.uk/wsi/2010/2574/content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3120</Words>
  <Characters>17786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2</cp:revision>
  <dcterms:created xsi:type="dcterms:W3CDTF">2026-03-19T19:18:00Z</dcterms:created>
  <dcterms:modified xsi:type="dcterms:W3CDTF">2026-03-19T19:18:00Z</dcterms:modified>
</cp:coreProperties>
</file>