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AC885CD" wp14:paraId="6681E12D" wp14:textId="442BE748">
      <w:pPr>
        <w:spacing w:before="0" w:beforeAutospacing="off" w:after="24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AC885CD" w:rsidR="62BFA6E1">
        <w:rPr>
          <w:rFonts w:ascii="Arial" w:hAnsi="Arial" w:eastAsia="Arial" w:cs="Arial"/>
          <w:b w:val="1"/>
          <w:bCs w:val="1"/>
          <w:i w:val="0"/>
          <w:iCs w:val="0"/>
          <w:caps w:val="0"/>
          <w:smallCaps w:val="0"/>
          <w:noProof w:val="0"/>
          <w:color w:val="000000" w:themeColor="text1" w:themeTint="FF" w:themeShade="FF"/>
          <w:sz w:val="22"/>
          <w:szCs w:val="22"/>
          <w:lang w:val="en-GB"/>
        </w:rPr>
        <w:t>Bachelor of Science (BSc) Health &amp; Social Care</w:t>
      </w:r>
    </w:p>
    <w:p xmlns:wp14="http://schemas.microsoft.com/office/word/2010/wordml" w:rsidP="3AC885CD" wp14:paraId="3EEC4953" wp14:textId="7AFE569C">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AC885CD" w:rsidR="62BFA6E1">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3AC885CD" wp14:paraId="522C5BBC" wp14:textId="2D01E267">
      <w:pPr>
        <w:spacing w:before="0" w:beforeAutospacing="off"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AC885CD" w:rsidR="62BFA6E1">
        <w:rPr>
          <w:rFonts w:ascii="Arial" w:hAnsi="Arial" w:eastAsia="Arial" w:cs="Arial"/>
          <w:b w:val="1"/>
          <w:bCs w:val="1"/>
          <w:i w:val="0"/>
          <w:iCs w:val="0"/>
          <w:caps w:val="0"/>
          <w:smallCaps w:val="0"/>
          <w:noProof w:val="0"/>
          <w:color w:val="000000" w:themeColor="text1" w:themeTint="FF" w:themeShade="FF"/>
          <w:sz w:val="22"/>
          <w:szCs w:val="22"/>
          <w:lang w:val="en-GB"/>
        </w:rPr>
        <w:t>BMHP5</w:t>
      </w:r>
      <w:r w:rsidRPr="3AC885CD" w:rsidR="6A31E3EE">
        <w:rPr>
          <w:rFonts w:ascii="Arial" w:hAnsi="Arial" w:eastAsia="Arial" w:cs="Arial"/>
          <w:b w:val="1"/>
          <w:bCs w:val="1"/>
          <w:i w:val="0"/>
          <w:iCs w:val="0"/>
          <w:caps w:val="0"/>
          <w:smallCaps w:val="0"/>
          <w:noProof w:val="0"/>
          <w:color w:val="000000" w:themeColor="text1" w:themeTint="FF" w:themeShade="FF"/>
          <w:sz w:val="22"/>
          <w:szCs w:val="22"/>
          <w:lang w:val="en-GB"/>
        </w:rPr>
        <w:t>019 Introduction to Indepe</w:t>
      </w:r>
      <w:r w:rsidRPr="3AC885CD" w:rsidR="4FFDE980">
        <w:rPr>
          <w:rFonts w:ascii="Arial" w:hAnsi="Arial" w:eastAsia="Arial" w:cs="Arial"/>
          <w:b w:val="1"/>
          <w:bCs w:val="1"/>
          <w:i w:val="0"/>
          <w:iCs w:val="0"/>
          <w:caps w:val="0"/>
          <w:smallCaps w:val="0"/>
          <w:noProof w:val="0"/>
          <w:color w:val="000000" w:themeColor="text1" w:themeTint="FF" w:themeShade="FF"/>
          <w:sz w:val="22"/>
          <w:szCs w:val="22"/>
          <w:lang w:val="en-GB"/>
        </w:rPr>
        <w:t xml:space="preserve">ndent </w:t>
      </w:r>
      <w:r w:rsidRPr="3AC885CD" w:rsidR="4FFDE980">
        <w:rPr>
          <w:rFonts w:ascii="Arial" w:hAnsi="Arial" w:eastAsia="Arial" w:cs="Arial"/>
          <w:b w:val="1"/>
          <w:bCs w:val="1"/>
          <w:i w:val="0"/>
          <w:iCs w:val="0"/>
          <w:caps w:val="0"/>
          <w:smallCaps w:val="0"/>
          <w:noProof w:val="0"/>
          <w:color w:val="000000" w:themeColor="text1" w:themeTint="FF" w:themeShade="FF"/>
          <w:sz w:val="22"/>
          <w:szCs w:val="22"/>
          <w:lang w:val="en-GB"/>
        </w:rPr>
        <w:t>Research</w:t>
      </w:r>
      <w:r w:rsidRPr="3AC885CD" w:rsidR="4FFDE980">
        <w:rPr>
          <w:rFonts w:ascii="Arial" w:hAnsi="Arial" w:eastAsia="Arial" w:cs="Arial"/>
          <w:b w:val="1"/>
          <w:bCs w:val="1"/>
          <w:i w:val="0"/>
          <w:iCs w:val="0"/>
          <w:caps w:val="0"/>
          <w:smallCaps w:val="0"/>
          <w:noProof w:val="0"/>
          <w:color w:val="000000" w:themeColor="text1" w:themeTint="FF" w:themeShade="FF"/>
          <w:sz w:val="22"/>
          <w:szCs w:val="22"/>
          <w:lang w:val="en-GB"/>
        </w:rPr>
        <w:t xml:space="preserve"> Skills</w:t>
      </w:r>
    </w:p>
    <w:p xmlns:wp14="http://schemas.microsoft.com/office/word/2010/wordml" w:rsidP="3AC885CD" wp14:paraId="402781D9" wp14:textId="36E69D52">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AC885CD" w:rsidR="62BFA6E1">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3AC885CD" wp14:paraId="7B695A6D" wp14:textId="0A010A03">
      <w:pPr>
        <w:spacing w:before="0" w:beforeAutospacing="off"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AC885CD" w:rsidR="62BFA6E1">
        <w:rPr>
          <w:rFonts w:ascii="Arial" w:hAnsi="Arial" w:eastAsia="Arial" w:cs="Arial"/>
          <w:b w:val="1"/>
          <w:bCs w:val="1"/>
          <w:i w:val="0"/>
          <w:iCs w:val="0"/>
          <w:caps w:val="0"/>
          <w:smallCaps w:val="0"/>
          <w:noProof w:val="0"/>
          <w:color w:val="000000" w:themeColor="text1" w:themeTint="FF" w:themeShade="FF"/>
          <w:sz w:val="22"/>
          <w:szCs w:val="22"/>
          <w:lang w:val="en-GB"/>
        </w:rPr>
        <w:t>Student Number: 2215608</w:t>
      </w:r>
    </w:p>
    <w:p xmlns:wp14="http://schemas.microsoft.com/office/word/2010/wordml" w:rsidP="3AC885CD" wp14:paraId="5CE8BEF0" wp14:textId="29BE2517">
      <w:pPr>
        <w:spacing w:before="0" w:beforeAutospacing="off"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AC885CD" wp14:paraId="22484BCD" wp14:textId="48640E10">
      <w:pPr>
        <w:spacing w:before="0" w:beforeAutospacing="off"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AC885CD" w:rsidR="62BFA6E1">
        <w:rPr>
          <w:rFonts w:ascii="Arial" w:hAnsi="Arial" w:eastAsia="Arial" w:cs="Arial"/>
          <w:b w:val="1"/>
          <w:bCs w:val="1"/>
          <w:i w:val="0"/>
          <w:iCs w:val="0"/>
          <w:caps w:val="0"/>
          <w:smallCaps w:val="0"/>
          <w:noProof w:val="0"/>
          <w:color w:val="000000" w:themeColor="text1" w:themeTint="FF" w:themeShade="FF"/>
          <w:sz w:val="22"/>
          <w:szCs w:val="22"/>
          <w:lang w:val="en-GB"/>
        </w:rPr>
        <w:t>Student Name: Mohammed Ousman</w:t>
      </w:r>
    </w:p>
    <w:p xmlns:wp14="http://schemas.microsoft.com/office/word/2010/wordml" w:rsidP="3AC885CD" wp14:paraId="289AA61F" wp14:textId="077D4C17">
      <w:pPr>
        <w:spacing w:before="0" w:beforeAutospacing="off"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AC885CD" w:rsidR="62BFA6E1">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3AC885CD" wp14:paraId="32053CB5" wp14:textId="68CD8485">
      <w:pPr>
        <w:spacing w:before="0" w:beforeAutospacing="off"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AC885CD" w:rsidR="62BFA6E1">
        <w:rPr>
          <w:rFonts w:ascii="Arial" w:hAnsi="Arial" w:eastAsia="Arial" w:cs="Arial"/>
          <w:b w:val="1"/>
          <w:bCs w:val="1"/>
          <w:i w:val="0"/>
          <w:iCs w:val="0"/>
          <w:caps w:val="0"/>
          <w:smallCaps w:val="0"/>
          <w:noProof w:val="0"/>
          <w:color w:val="000000" w:themeColor="text1" w:themeTint="FF" w:themeShade="FF"/>
          <w:sz w:val="22"/>
          <w:szCs w:val="22"/>
          <w:lang w:val="en-GB"/>
        </w:rPr>
        <w:t>Lecturer: Precious Igbinigie</w:t>
      </w:r>
    </w:p>
    <w:p xmlns:wp14="http://schemas.microsoft.com/office/word/2010/wordml" w:rsidP="3AC885CD" wp14:paraId="7CB51604" wp14:textId="3B7E09AA">
      <w:pPr>
        <w:spacing w:before="0" w:beforeAutospacing="off"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AC885CD" w:rsidR="62BFA6E1">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3AC885CD" wp14:paraId="5E5787A5" wp14:textId="151E29BC">
      <w:pPr>
        <w:pStyle w:val="Normal"/>
        <w:jc w:val="center"/>
      </w:pPr>
      <w:r w:rsidRPr="3AC885CD" w:rsidR="62BFA6E1">
        <w:rPr>
          <w:rFonts w:ascii="Arial" w:hAnsi="Arial" w:eastAsia="Arial" w:cs="Arial"/>
          <w:b w:val="1"/>
          <w:bCs w:val="1"/>
          <w:i w:val="0"/>
          <w:iCs w:val="0"/>
          <w:caps w:val="0"/>
          <w:smallCaps w:val="0"/>
          <w:noProof w:val="0"/>
          <w:color w:val="000000" w:themeColor="text1" w:themeTint="FF" w:themeShade="FF"/>
          <w:sz w:val="22"/>
          <w:szCs w:val="22"/>
          <w:lang w:val="en-GB"/>
        </w:rPr>
        <w:t xml:space="preserve">Assignment Title: </w:t>
      </w:r>
      <w:r w:rsidRPr="3AC885CD" w:rsidR="62BFA6E1">
        <w:rPr>
          <w:rFonts w:ascii="Arial" w:hAnsi="Arial" w:eastAsia="Arial" w:cs="Arial"/>
          <w:b w:val="1"/>
          <w:bCs w:val="1"/>
          <w:i w:val="0"/>
          <w:iCs w:val="0"/>
          <w:caps w:val="0"/>
          <w:smallCaps w:val="0"/>
          <w:noProof w:val="0"/>
          <w:color w:val="000000" w:themeColor="text1" w:themeTint="FF" w:themeShade="FF"/>
          <w:sz w:val="22"/>
          <w:szCs w:val="22"/>
          <w:lang w:val="en-GB"/>
        </w:rPr>
        <w:t>Componen</w:t>
      </w:r>
      <w:r w:rsidRPr="3AC885CD" w:rsidR="787B2825">
        <w:rPr>
          <w:rFonts w:ascii="Arial" w:hAnsi="Arial" w:eastAsia="Arial" w:cs="Arial"/>
          <w:b w:val="1"/>
          <w:bCs w:val="1"/>
          <w:i w:val="0"/>
          <w:iCs w:val="0"/>
          <w:caps w:val="0"/>
          <w:smallCaps w:val="0"/>
          <w:noProof w:val="0"/>
          <w:color w:val="000000" w:themeColor="text1" w:themeTint="FF" w:themeShade="FF"/>
          <w:sz w:val="22"/>
          <w:szCs w:val="22"/>
          <w:lang w:val="en-GB"/>
        </w:rPr>
        <w:t>t</w:t>
      </w:r>
      <w:r w:rsidRPr="3AC885CD" w:rsidR="787B2825">
        <w:rPr>
          <w:rFonts w:ascii="Arial" w:hAnsi="Arial" w:eastAsia="Arial" w:cs="Arial"/>
          <w:b w:val="1"/>
          <w:bCs w:val="1"/>
          <w:i w:val="0"/>
          <w:iCs w:val="0"/>
          <w:caps w:val="0"/>
          <w:smallCaps w:val="0"/>
          <w:noProof w:val="0"/>
          <w:color w:val="000000" w:themeColor="text1" w:themeTint="FF" w:themeShade="FF"/>
          <w:sz w:val="22"/>
          <w:szCs w:val="22"/>
          <w:lang w:val="en-GB"/>
        </w:rPr>
        <w:t xml:space="preserve"> 1: Written Assignment (Research Proposal)</w:t>
      </w:r>
    </w:p>
    <w:p w:rsidR="3AC885CD" w:rsidP="3AC885CD" w:rsidRDefault="3AC885CD" w14:paraId="07FE6480" w14:textId="75C1AA59">
      <w:pPr>
        <w:pStyle w:val="Normal"/>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3AC885CD" w:rsidP="3AC885CD" w:rsidRDefault="3AC885CD" w14:paraId="53E64BD1" w14:textId="19B24577">
      <w:pPr>
        <w:pStyle w:val="Normal"/>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3AC885CD" w:rsidP="3AC885CD" w:rsidRDefault="3AC885CD" w14:paraId="737B4ADD" w14:textId="52EBCDD3">
      <w:pPr>
        <w:pStyle w:val="Normal"/>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3AC885CD" w:rsidP="3AC885CD" w:rsidRDefault="3AC885CD" w14:paraId="115DB48E" w14:textId="4AC13B47">
      <w:pPr>
        <w:pStyle w:val="Normal"/>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3AC885CD" w:rsidP="3AC885CD" w:rsidRDefault="3AC885CD" w14:paraId="698A298E" w14:textId="612589B1">
      <w:pPr>
        <w:pStyle w:val="Normal"/>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3AC885CD" w:rsidP="3AC885CD" w:rsidRDefault="3AC885CD" w14:paraId="1B38514B" w14:textId="1316982F">
      <w:pPr>
        <w:pStyle w:val="Normal"/>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3AC885CD" w:rsidP="3AC885CD" w:rsidRDefault="3AC885CD" w14:paraId="02C10B91" w14:textId="371003EC">
      <w:pPr>
        <w:pStyle w:val="Normal"/>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3AC885CD" w:rsidP="3AC885CD" w:rsidRDefault="3AC885CD" w14:paraId="5E7007A3" w14:textId="256F9213">
      <w:pPr>
        <w:pStyle w:val="Normal"/>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3AC885CD" w:rsidP="3AC885CD" w:rsidRDefault="3AC885CD" w14:paraId="39F1F46D" w14:textId="523CA481">
      <w:pPr>
        <w:pStyle w:val="Normal"/>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3AC885CD" w:rsidP="3AC885CD" w:rsidRDefault="3AC885CD" w14:paraId="6BE29012" w14:textId="33201E14">
      <w:pPr>
        <w:pStyle w:val="Normal"/>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3AC885CD" w:rsidP="3AC885CD" w:rsidRDefault="3AC885CD" w14:paraId="74CBCE9F" w14:textId="3BC25E72">
      <w:pPr>
        <w:pStyle w:val="Normal"/>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3AC885CD" w:rsidP="3AC885CD" w:rsidRDefault="3AC885CD" w14:paraId="11CA876D" w14:textId="236054E1">
      <w:pPr>
        <w:pStyle w:val="Normal"/>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3AC885CD" w:rsidP="3AC885CD" w:rsidRDefault="3AC885CD" w14:paraId="189CB8EC" w14:textId="35D29526">
      <w:pPr>
        <w:pStyle w:val="Normal"/>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3AC885CD" w:rsidP="3AC885CD" w:rsidRDefault="3AC885CD" w14:paraId="3D6097E8" w14:textId="59754718">
      <w:pPr>
        <w:pStyle w:val="Normal"/>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3AC885CD" w:rsidP="3AC885CD" w:rsidRDefault="3AC885CD" w14:paraId="602849EA" w14:textId="799BB9FF">
      <w:pPr>
        <w:pStyle w:val="Normal"/>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3AC885CD" w:rsidP="3AC885CD" w:rsidRDefault="3AC885CD" w14:paraId="20048F15" w14:textId="65A88407">
      <w:pPr>
        <w:pStyle w:val="Normal"/>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3AC885CD" w:rsidP="3AC885CD" w:rsidRDefault="3AC885CD" w14:paraId="5DCC8F0C" w14:textId="23686EA8">
      <w:pPr>
        <w:pStyle w:val="Normal"/>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3AC885CD" w:rsidP="3AC885CD" w:rsidRDefault="3AC885CD" w14:paraId="3EA2664E" w14:textId="1D7912B1">
      <w:pPr>
        <w:pStyle w:val="Normal"/>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3AC885CD" w:rsidP="3AC885CD" w:rsidRDefault="3AC885CD" w14:paraId="63A5D2C5" w14:textId="27336B60">
      <w:pPr>
        <w:pStyle w:val="Normal"/>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3AC885CD" w:rsidP="3AC885CD" w:rsidRDefault="3AC885CD" w14:paraId="38091781" w14:textId="6A9E7588">
      <w:pPr>
        <w:pStyle w:val="Normal"/>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1BADCA55" w:rsidP="3AC885CD" w:rsidRDefault="1BADCA55" w14:paraId="268A8DCD" w14:textId="607B5A28">
      <w:pPr>
        <w:shd w:val="clear" w:color="auto" w:fill="FFFFFF" w:themeFill="background1"/>
        <w:spacing w:before="0" w:beforeAutospacing="off" w:after="0" w:afterAutospacing="off"/>
        <w:jc w:val="left"/>
      </w:pPr>
      <w:r w:rsidRPr="3AC885CD" w:rsidR="1BADCA55">
        <w:rPr>
          <w:rFonts w:ascii="Arial" w:hAnsi="Arial" w:eastAsia="Arial" w:cs="Arial" w:asciiTheme="minorAscii" w:hAnsiTheme="minorAscii" w:eastAsiaTheme="minorAscii" w:cstheme="minorAscii"/>
          <w:b w:val="1"/>
          <w:bCs w:val="1"/>
          <w:i w:val="0"/>
          <w:iCs w:val="0"/>
          <w:caps w:val="0"/>
          <w:smallCaps w:val="0"/>
          <w:noProof w:val="0"/>
          <w:color w:val="212121"/>
          <w:sz w:val="22"/>
          <w:szCs w:val="22"/>
          <w:lang w:val="en-GB"/>
        </w:rPr>
        <w:t>Context</w:t>
      </w:r>
    </w:p>
    <w:p w:rsidR="3AC885CD" w:rsidP="3AC885CD" w:rsidRDefault="3AC885CD" w14:paraId="20110279" w14:textId="1B6FC0E1">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1"/>
          <w:bCs w:val="1"/>
          <w:i w:val="0"/>
          <w:iCs w:val="0"/>
          <w:caps w:val="0"/>
          <w:smallCaps w:val="0"/>
          <w:noProof w:val="0"/>
          <w:color w:val="212121"/>
          <w:sz w:val="22"/>
          <w:szCs w:val="22"/>
          <w:lang w:val="en-GB"/>
        </w:rPr>
      </w:pPr>
    </w:p>
    <w:p w:rsidR="1BADCA55" w:rsidP="3AC885CD" w:rsidRDefault="1BADCA55" w14:paraId="16304351" w14:textId="049E012B">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3AC885CD" w:rsidR="1BADCA55">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Research Proposal: Digital Exclusion and Equity in Access to Remote Monitoring for Chronic Disease Management in UK Primary Care</w:t>
      </w:r>
    </w:p>
    <w:p w:rsidR="3AC885CD" w:rsidP="3AC885CD" w:rsidRDefault="3AC885CD" w14:paraId="30B72180" w14:textId="73384354">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p>
    <w:p w:rsidR="1BADCA55" w:rsidP="3AC885CD" w:rsidRDefault="1BADCA55" w14:paraId="0AEB261C" w14:textId="089B3574">
      <w:pPr>
        <w:shd w:val="clear" w:color="auto" w:fill="FFFFFF" w:themeFill="background1"/>
        <w:spacing w:before="0" w:beforeAutospacing="off" w:after="0" w:afterAutospacing="off"/>
        <w:jc w:val="left"/>
      </w:pPr>
      <w:r w:rsidRPr="3AC885CD" w:rsidR="1BADCA55">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Rationale</w:t>
      </w:r>
    </w:p>
    <w:p w:rsidR="3AC885CD" w:rsidP="3AC885CD" w:rsidRDefault="3AC885CD" w14:paraId="35A4A8D8" w14:textId="310B86AB">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p>
    <w:p w:rsidR="1BADCA55" w:rsidP="3AC885CD" w:rsidRDefault="1BADCA55" w14:paraId="004A25F7" w14:textId="4594821C">
      <w:pPr>
        <w:pStyle w:val="Normal"/>
        <w:shd w:val="clear" w:color="auto" w:fill="FFFFFF" w:themeFill="background1"/>
        <w:spacing w:before="0" w:beforeAutospacing="off" w:after="0" w:afterAutospacing="off"/>
        <w:jc w:val="left"/>
      </w:pPr>
      <w:r w:rsidRPr="3AC885CD" w:rsidR="1BADCA55">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Methods</w:t>
      </w:r>
    </w:p>
    <w:p w:rsidR="3AC885CD" w:rsidP="3AC885CD" w:rsidRDefault="3AC885CD" w14:paraId="70B78823" w14:textId="65DBA072">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p>
    <w:p w:rsidR="1BADCA55" w:rsidP="3AC885CD" w:rsidRDefault="1BADCA55" w14:paraId="5B1D1A61" w14:textId="0937FAC1">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3AC885CD" w:rsidR="1BADCA55">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Ethical Considerations</w:t>
      </w:r>
    </w:p>
    <w:p w:rsidR="3AC885CD" w:rsidP="3AC885CD" w:rsidRDefault="3AC885CD" w14:paraId="6837E1C1" w14:textId="49CC5827">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p>
    <w:p w:rsidR="1BADCA55" w:rsidP="3AC885CD" w:rsidRDefault="1BADCA55" w14:paraId="40ABE942" w14:textId="2F4CC86B">
      <w:pPr>
        <w:pStyle w:val="Normal"/>
        <w:shd w:val="clear" w:color="auto" w:fill="FFFFFF" w:themeFill="background1"/>
        <w:spacing w:before="0" w:beforeAutospacing="off" w:after="0" w:afterAutospacing="off"/>
        <w:jc w:val="left"/>
      </w:pPr>
      <w:r w:rsidRPr="3AC885CD" w:rsidR="1BADCA55">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References</w:t>
      </w:r>
    </w:p>
    <w:p w:rsidR="3AC885CD" w:rsidP="3AC885CD" w:rsidRDefault="3AC885CD" w14:paraId="7FBDC8FC" w14:textId="26F1803D">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p>
    <w:p w:rsidR="3AC885CD" w:rsidP="3AC885CD" w:rsidRDefault="3AC885CD" w14:paraId="09449830" w14:textId="28B71187">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p>
    <w:p w:rsidR="3AC885CD" w:rsidP="3AC885CD" w:rsidRDefault="3AC885CD" w14:paraId="1E20377E" w14:textId="373AA37F">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p>
    <w:p w:rsidR="3AC885CD" w:rsidP="3AC885CD" w:rsidRDefault="3AC885CD" w14:paraId="41430D16" w14:textId="7E4E83BC">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p>
    <w:p w:rsidR="3AC885CD" w:rsidP="3AC885CD" w:rsidRDefault="3AC885CD" w14:paraId="18CCEB81" w14:textId="135CFF7A">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p>
    <w:p w:rsidR="3AC885CD" w:rsidP="3AC885CD" w:rsidRDefault="3AC885CD" w14:paraId="6E2D9A7B" w14:textId="346573DE">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p>
    <w:p w:rsidR="3AC885CD" w:rsidP="3AC885CD" w:rsidRDefault="3AC885CD" w14:paraId="0A3F516F" w14:textId="724D0014">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p>
    <w:p w:rsidR="3AC885CD" w:rsidP="3AC885CD" w:rsidRDefault="3AC885CD" w14:paraId="445EBEED" w14:textId="5D996FB3">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p>
    <w:p w:rsidR="3AC885CD" w:rsidP="3AC885CD" w:rsidRDefault="3AC885CD" w14:paraId="1D7E8F60" w14:textId="0990C22E">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p>
    <w:p w:rsidR="3AC885CD" w:rsidP="3AC885CD" w:rsidRDefault="3AC885CD" w14:paraId="6B65E562" w14:textId="3E313C7D">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p>
    <w:p w:rsidR="3AC885CD" w:rsidP="3AC885CD" w:rsidRDefault="3AC885CD" w14:paraId="41F6AA2E" w14:textId="3A4C664C">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p>
    <w:p w:rsidR="3AC885CD" w:rsidP="3AC885CD" w:rsidRDefault="3AC885CD" w14:paraId="00C61403" w14:textId="169BCFB8">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p>
    <w:p w:rsidR="3AC885CD" w:rsidP="3AC885CD" w:rsidRDefault="3AC885CD" w14:paraId="50D2EA49" w14:textId="3DD07F81">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p>
    <w:p w:rsidR="3AC885CD" w:rsidP="3AC885CD" w:rsidRDefault="3AC885CD" w14:paraId="306211FC" w14:textId="607531C7">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p>
    <w:p w:rsidR="3AC885CD" w:rsidP="3AC885CD" w:rsidRDefault="3AC885CD" w14:paraId="08F2ED7A" w14:textId="2516421C">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p>
    <w:p w:rsidR="3AC885CD" w:rsidP="3AC885CD" w:rsidRDefault="3AC885CD" w14:paraId="432FF284" w14:textId="33631C15">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p>
    <w:p w:rsidR="3AC885CD" w:rsidP="3AC885CD" w:rsidRDefault="3AC885CD" w14:paraId="6DEF8903" w14:textId="7B112407">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p>
    <w:p w:rsidR="3AC885CD" w:rsidP="3AC885CD" w:rsidRDefault="3AC885CD" w14:paraId="09D69913" w14:textId="62A11321">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p>
    <w:p w:rsidR="3AC885CD" w:rsidP="3AC885CD" w:rsidRDefault="3AC885CD" w14:paraId="5F259796" w14:textId="598361DA">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p>
    <w:p w:rsidR="3AC885CD" w:rsidP="3AC885CD" w:rsidRDefault="3AC885CD" w14:paraId="12534DD6" w14:textId="3713D23B">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1"/>
          <w:bCs w:val="1"/>
          <w:i w:val="0"/>
          <w:iCs w:val="0"/>
          <w:caps w:val="0"/>
          <w:smallCaps w:val="0"/>
          <w:noProof w:val="0"/>
          <w:color w:val="212121"/>
          <w:sz w:val="22"/>
          <w:szCs w:val="22"/>
          <w:lang w:val="en-GB"/>
        </w:rPr>
      </w:pPr>
    </w:p>
    <w:p w:rsidR="3AC885CD" w:rsidP="3AC885CD" w:rsidRDefault="3AC885CD" w14:paraId="41DC8BD9" w14:textId="74A329B9">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1"/>
          <w:bCs w:val="1"/>
          <w:i w:val="0"/>
          <w:iCs w:val="0"/>
          <w:caps w:val="0"/>
          <w:smallCaps w:val="0"/>
          <w:noProof w:val="0"/>
          <w:color w:val="212121"/>
          <w:sz w:val="22"/>
          <w:szCs w:val="22"/>
          <w:lang w:val="en-GB"/>
        </w:rPr>
      </w:pPr>
    </w:p>
    <w:p w:rsidR="3AC885CD" w:rsidP="3AC885CD" w:rsidRDefault="3AC885CD" w14:paraId="5F484C46" w14:textId="5EF4DAFE">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1"/>
          <w:bCs w:val="1"/>
          <w:i w:val="0"/>
          <w:iCs w:val="0"/>
          <w:caps w:val="0"/>
          <w:smallCaps w:val="0"/>
          <w:noProof w:val="0"/>
          <w:color w:val="212121"/>
          <w:sz w:val="22"/>
          <w:szCs w:val="22"/>
          <w:lang w:val="en-GB"/>
        </w:rPr>
      </w:pPr>
    </w:p>
    <w:p w:rsidR="3AC885CD" w:rsidP="3AC885CD" w:rsidRDefault="3AC885CD" w14:paraId="3DCAD095" w14:textId="012C7982">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1"/>
          <w:bCs w:val="1"/>
          <w:i w:val="0"/>
          <w:iCs w:val="0"/>
          <w:caps w:val="0"/>
          <w:smallCaps w:val="0"/>
          <w:noProof w:val="0"/>
          <w:color w:val="212121"/>
          <w:sz w:val="22"/>
          <w:szCs w:val="22"/>
          <w:lang w:val="en-GB"/>
        </w:rPr>
      </w:pPr>
    </w:p>
    <w:p w:rsidR="3AC885CD" w:rsidP="3AC885CD" w:rsidRDefault="3AC885CD" w14:paraId="72B25E29" w14:textId="2404EA7A">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1"/>
          <w:bCs w:val="1"/>
          <w:i w:val="0"/>
          <w:iCs w:val="0"/>
          <w:caps w:val="0"/>
          <w:smallCaps w:val="0"/>
          <w:noProof w:val="0"/>
          <w:color w:val="212121"/>
          <w:sz w:val="22"/>
          <w:szCs w:val="22"/>
          <w:lang w:val="en-GB"/>
        </w:rPr>
      </w:pPr>
    </w:p>
    <w:p w:rsidR="3AC885CD" w:rsidP="3AC885CD" w:rsidRDefault="3AC885CD" w14:paraId="5970A753" w14:textId="29332DBA">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1"/>
          <w:bCs w:val="1"/>
          <w:i w:val="0"/>
          <w:iCs w:val="0"/>
          <w:caps w:val="0"/>
          <w:smallCaps w:val="0"/>
          <w:noProof w:val="0"/>
          <w:color w:val="212121"/>
          <w:sz w:val="22"/>
          <w:szCs w:val="22"/>
          <w:lang w:val="en-GB"/>
        </w:rPr>
      </w:pPr>
    </w:p>
    <w:p w:rsidR="3AC885CD" w:rsidP="3AC885CD" w:rsidRDefault="3AC885CD" w14:paraId="21B01DB9" w14:textId="1E654117">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1"/>
          <w:bCs w:val="1"/>
          <w:i w:val="0"/>
          <w:iCs w:val="0"/>
          <w:caps w:val="0"/>
          <w:smallCaps w:val="0"/>
          <w:noProof w:val="0"/>
          <w:color w:val="212121"/>
          <w:sz w:val="22"/>
          <w:szCs w:val="22"/>
          <w:lang w:val="en-GB"/>
        </w:rPr>
      </w:pPr>
    </w:p>
    <w:p w:rsidR="3AC885CD" w:rsidP="3AC885CD" w:rsidRDefault="3AC885CD" w14:paraId="7F1F2696" w14:textId="2DA2A0D6">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1"/>
          <w:bCs w:val="1"/>
          <w:i w:val="0"/>
          <w:iCs w:val="0"/>
          <w:caps w:val="0"/>
          <w:smallCaps w:val="0"/>
          <w:noProof w:val="0"/>
          <w:color w:val="212121"/>
          <w:sz w:val="22"/>
          <w:szCs w:val="22"/>
          <w:lang w:val="en-GB"/>
        </w:rPr>
      </w:pPr>
    </w:p>
    <w:p w:rsidR="3AC885CD" w:rsidP="3AC885CD" w:rsidRDefault="3AC885CD" w14:paraId="3B3E0E71" w14:textId="106FB030">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1"/>
          <w:bCs w:val="1"/>
          <w:i w:val="0"/>
          <w:iCs w:val="0"/>
          <w:caps w:val="0"/>
          <w:smallCaps w:val="0"/>
          <w:noProof w:val="0"/>
          <w:color w:val="212121"/>
          <w:sz w:val="22"/>
          <w:szCs w:val="22"/>
          <w:lang w:val="en-GB"/>
        </w:rPr>
      </w:pPr>
    </w:p>
    <w:p w:rsidR="3AC885CD" w:rsidP="3AC885CD" w:rsidRDefault="3AC885CD" w14:paraId="5D4D9FB6" w14:textId="74498A07">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1"/>
          <w:bCs w:val="1"/>
          <w:i w:val="0"/>
          <w:iCs w:val="0"/>
          <w:caps w:val="0"/>
          <w:smallCaps w:val="0"/>
          <w:noProof w:val="0"/>
          <w:color w:val="212121"/>
          <w:sz w:val="22"/>
          <w:szCs w:val="22"/>
          <w:lang w:val="en-GB"/>
        </w:rPr>
      </w:pPr>
    </w:p>
    <w:p w:rsidR="3AC885CD" w:rsidP="3AC885CD" w:rsidRDefault="3AC885CD" w14:paraId="3831DD99" w14:textId="2A6C12EE">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1"/>
          <w:bCs w:val="1"/>
          <w:i w:val="0"/>
          <w:iCs w:val="0"/>
          <w:caps w:val="0"/>
          <w:smallCaps w:val="0"/>
          <w:noProof w:val="0"/>
          <w:color w:val="212121"/>
          <w:sz w:val="22"/>
          <w:szCs w:val="22"/>
          <w:lang w:val="en-GB"/>
        </w:rPr>
      </w:pPr>
    </w:p>
    <w:p w:rsidR="3AC885CD" w:rsidP="3AC885CD" w:rsidRDefault="3AC885CD" w14:paraId="4D9A94BA" w14:textId="50651B6C">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1"/>
          <w:bCs w:val="1"/>
          <w:i w:val="0"/>
          <w:iCs w:val="0"/>
          <w:caps w:val="0"/>
          <w:smallCaps w:val="0"/>
          <w:noProof w:val="0"/>
          <w:color w:val="212121"/>
          <w:sz w:val="22"/>
          <w:szCs w:val="22"/>
          <w:lang w:val="en-GB"/>
        </w:rPr>
      </w:pPr>
    </w:p>
    <w:p w:rsidR="3AC885CD" w:rsidP="3AC885CD" w:rsidRDefault="3AC885CD" w14:paraId="587FA4C4" w14:textId="0B59F439">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1"/>
          <w:bCs w:val="1"/>
          <w:i w:val="0"/>
          <w:iCs w:val="0"/>
          <w:caps w:val="0"/>
          <w:smallCaps w:val="0"/>
          <w:noProof w:val="0"/>
          <w:color w:val="212121"/>
          <w:sz w:val="22"/>
          <w:szCs w:val="22"/>
          <w:lang w:val="en-GB"/>
        </w:rPr>
      </w:pPr>
    </w:p>
    <w:p w:rsidR="3AC885CD" w:rsidP="3AC885CD" w:rsidRDefault="3AC885CD" w14:paraId="06CAA746" w14:textId="073499E1">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1"/>
          <w:bCs w:val="1"/>
          <w:i w:val="0"/>
          <w:iCs w:val="0"/>
          <w:caps w:val="0"/>
          <w:smallCaps w:val="0"/>
          <w:noProof w:val="0"/>
          <w:color w:val="212121"/>
          <w:sz w:val="22"/>
          <w:szCs w:val="22"/>
          <w:lang w:val="en-GB"/>
        </w:rPr>
      </w:pPr>
    </w:p>
    <w:p w:rsidR="3AC885CD" w:rsidP="3AC885CD" w:rsidRDefault="3AC885CD" w14:paraId="0A5030CA" w14:textId="1295059E">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1"/>
          <w:bCs w:val="1"/>
          <w:i w:val="0"/>
          <w:iCs w:val="0"/>
          <w:caps w:val="0"/>
          <w:smallCaps w:val="0"/>
          <w:noProof w:val="0"/>
          <w:color w:val="212121"/>
          <w:sz w:val="22"/>
          <w:szCs w:val="22"/>
          <w:lang w:val="en-GB"/>
        </w:rPr>
      </w:pPr>
    </w:p>
    <w:p w:rsidR="0D369A04" w:rsidP="3AC885CD" w:rsidRDefault="0D369A04" w14:paraId="464612CD" w14:textId="049E012B">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1"/>
          <w:bCs w:val="1"/>
          <w:i w:val="0"/>
          <w:iCs w:val="0"/>
          <w:caps w:val="0"/>
          <w:smallCaps w:val="0"/>
          <w:noProof w:val="0"/>
          <w:color w:val="212121"/>
          <w:sz w:val="22"/>
          <w:szCs w:val="22"/>
          <w:lang w:val="en-GB"/>
        </w:rPr>
      </w:pPr>
      <w:r w:rsidRPr="3AC885CD" w:rsidR="0D369A04">
        <w:rPr>
          <w:rFonts w:ascii="Arial" w:hAnsi="Arial" w:eastAsia="Arial" w:cs="Arial" w:asciiTheme="minorAscii" w:hAnsiTheme="minorAscii" w:eastAsiaTheme="minorAscii" w:cstheme="minorAscii"/>
          <w:b w:val="1"/>
          <w:bCs w:val="1"/>
          <w:i w:val="0"/>
          <w:iCs w:val="0"/>
          <w:caps w:val="0"/>
          <w:smallCaps w:val="0"/>
          <w:noProof w:val="0"/>
          <w:color w:val="212121"/>
          <w:sz w:val="22"/>
          <w:szCs w:val="22"/>
          <w:lang w:val="en-GB"/>
        </w:rPr>
        <w:t>Research Proposal: Digital Exclusion and Equity in Access to Remote Monitoring for Chronic Disease Management in UK Primary Care</w:t>
      </w:r>
    </w:p>
    <w:p w:rsidR="3AC885CD" w:rsidP="3AC885CD" w:rsidRDefault="3AC885CD" w14:paraId="28077B49" w14:textId="73384354">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p>
    <w:p w:rsidR="3AC885CD" w:rsidP="3AC885CD" w:rsidRDefault="3AC885CD" w14:paraId="7199E999" w14:textId="759A6383">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0D369A04" w:rsidP="3AC885CD" w:rsidRDefault="0D369A04" w14:paraId="236C5182" w14:textId="184FB1ED">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3AC885CD" w:rsidR="0D369A04">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This scoping review will examine how digital exclusion affects </w:t>
      </w:r>
      <w:r w:rsidRPr="3AC885CD" w:rsidR="0D369A04">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equitable</w:t>
      </w:r>
      <w:r w:rsidRPr="3AC885CD" w:rsidR="0D369A04">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access to technology-enabled remote monitoring (TERM) for chronic disease management in UK primary care. The NHS 10-Year Health Plan (House of Commons Library, 2026) commits to a "shift from analogue to digital," expanding virtual wards, the NHS App, and home monitoring technologies. However, this transformation risks systematically excluding populations who lack digital access, skills, or confidence (Harasgama, 2025).</w:t>
      </w:r>
    </w:p>
    <w:p w:rsidR="3AC885CD" w:rsidP="3AC885CD" w:rsidRDefault="3AC885CD" w14:paraId="4A6FB01C" w14:textId="7B297A08">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0D369A04" w:rsidP="3AC885CD" w:rsidRDefault="0D369A04" w14:paraId="560CBA11" w14:textId="089B3574">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3AC885CD" w:rsidR="0D369A04">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Rationale</w:t>
      </w:r>
    </w:p>
    <w:p w:rsidR="3AC885CD" w:rsidP="3AC885CD" w:rsidRDefault="3AC885CD" w14:paraId="6AE6A939" w14:textId="0C05EC2D">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0D369A04" w:rsidP="3AC885CD" w:rsidRDefault="0D369A04" w14:paraId="16A81050" w14:textId="12C41DF7">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3AC885CD" w:rsidR="0D369A04">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Digital exclusion is a pressing equity concern. Approximately 10 million UK adults lack fundamental digital skills, 7% of households are offline, and 2 million people have no mobile or broadband connectivity (Centre for Care, 2025). One million households cancelled broadband during the cost-of-living crisis (Centre for Care, 2025). These barriers disproportionately affect older adults, minority ethnic groups, and socioeconomically deprived populations (GOV.UK, 2025). For chronic disease management, where remote monitoring is increasingly positioned as standard care, exclusion translates into missed reviews and preventable exacerbations (Primary Care Respiratory Society, 2026). The NIHR evaluation of TERM for blood pressure found that parallel paper-based and face-to-face pathways are essential to avoid </w:t>
      </w:r>
      <w:r w:rsidRPr="3AC885CD" w:rsidR="0D369A04">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exacerbating</w:t>
      </w:r>
      <w:r w:rsidRPr="3AC885CD" w:rsidR="0D369A04">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inequalities, yet these are inconsistently resourced (NIHR, 2025). Given that NHS England has launched a Digital Exclusion Risk Atlas to </w:t>
      </w:r>
      <w:r w:rsidRPr="3AC885CD" w:rsidR="0D369A04">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identify</w:t>
      </w:r>
      <w:r w:rsidRPr="3AC885CD" w:rsidR="0D369A04">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high-risk neighbourhoods (NIHR HealthTech Research Centre, 2026), synthesising evidence on effective inclusive design is </w:t>
      </w:r>
      <w:r w:rsidRPr="3AC885CD" w:rsidR="0D369A04">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timely</w:t>
      </w:r>
      <w:r w:rsidRPr="3AC885CD" w:rsidR="0D369A04">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and </w:t>
      </w:r>
      <w:r w:rsidRPr="3AC885CD" w:rsidR="507C6F6A">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policy relevant</w:t>
      </w:r>
      <w:r w:rsidRPr="3AC885CD" w:rsidR="0D369A04">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w:t>
      </w:r>
    </w:p>
    <w:p w:rsidR="3AC885CD" w:rsidP="3AC885CD" w:rsidRDefault="3AC885CD" w14:paraId="075C1230" w14:textId="30529165">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0D369A04" w:rsidP="3AC885CD" w:rsidRDefault="0D369A04" w14:paraId="33B090F9" w14:textId="3FFBBC08">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3AC885CD" w:rsidR="0D369A04">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Methods</w:t>
      </w:r>
    </w:p>
    <w:p w:rsidR="3AC885CD" w:rsidP="3AC885CD" w:rsidRDefault="3AC885CD" w14:paraId="07D8299C" w14:textId="3437D220">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0D369A04" w:rsidP="3AC885CD" w:rsidRDefault="0D369A04" w14:paraId="357743C8" w14:textId="1E3E0AE9">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3AC885CD" w:rsidR="0D369A04">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This review will follow JBI methodology for scoping reviews and report according to PRISMA-ScR guidance (Tricco et al., 2018). A systematic search will be conducted in MEDLINE, CINAHL, and Scopus using terms for remote monitoring, digital exclusion, chronic disease, and primary care. Inclusion criteria: peer-reviewed studies published 2020–2026, UK setting, adult chronic disease populations. Two reviewers will independently screen titles/abstracts and full texts (A.T. Still University, 2025). Data charting will use a standardised form capturing study characteristics, population demographics, digital exclusion measures, and access outcomes (Tricco et al., 2018). Data will be analysed using </w:t>
      </w:r>
      <w:r w:rsidRPr="3AC885CD" w:rsidR="0D369A04">
        <w:rPr>
          <w:rFonts w:ascii="Arial" w:hAnsi="Arial" w:eastAsia="Arial" w:cs="Arial" w:asciiTheme="minorAscii" w:hAnsiTheme="minorAscii" w:eastAsiaTheme="minorAscii" w:cstheme="minorAscii"/>
          <w:b w:val="1"/>
          <w:bCs w:val="1"/>
          <w:i w:val="0"/>
          <w:iCs w:val="0"/>
          <w:caps w:val="0"/>
          <w:smallCaps w:val="0"/>
          <w:noProof w:val="0"/>
          <w:color w:val="212121"/>
          <w:sz w:val="22"/>
          <w:szCs w:val="22"/>
          <w:lang w:val="en-GB"/>
        </w:rPr>
        <w:t>thematic analysis</w:t>
      </w:r>
      <w:r w:rsidRPr="3AC885CD" w:rsidR="0D369A04">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following Braun and Clarke's (2006) six-phase framework: familiarisation with data, generating initial codes, searching for themes, reviewing themes, defining and naming themes, and producing the report. This approach will enable identification of recurring patterns and barriers relating to digital exclusion and access equity across the included studies (Braun and Clarke, 2006).</w:t>
      </w:r>
    </w:p>
    <w:p w:rsidR="3AC885CD" w:rsidP="3AC885CD" w:rsidRDefault="3AC885CD" w14:paraId="292479F6" w14:textId="4952B6E2">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2C41FAFD" w:rsidP="3AC885CD" w:rsidRDefault="2C41FAFD" w14:paraId="0B3F04C1" w14:textId="0937FAC1">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3AC885CD" w:rsidR="2C41FAFD">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Ethical Considerations</w:t>
      </w:r>
    </w:p>
    <w:p w:rsidR="3AC885CD" w:rsidP="3AC885CD" w:rsidRDefault="3AC885CD" w14:paraId="5EA2D3DA" w14:textId="34A63F80">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2C41FAFD" w:rsidP="3AC885CD" w:rsidRDefault="2C41FAFD" w14:paraId="2BBF85DA" w14:textId="23C23251">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3AC885CD" w:rsidR="2C41FAFD">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Scoping reviews of published literature do not require formal ethical approval (</w:t>
      </w:r>
      <w:r w:rsidRPr="3AC885CD" w:rsidR="2C41FAFD">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Tricco</w:t>
      </w:r>
      <w:r w:rsidRPr="3AC885CD" w:rsidR="2C41FAFD">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et al., 2018). However, the review carries ethical responsibilities around representation: by focusing on digitally excluded populations, it aims to amplify voices often marginalised in digital health research (</w:t>
      </w:r>
      <w:r w:rsidRPr="3AC885CD" w:rsidR="2C41FAFD">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Harasgama</w:t>
      </w:r>
      <w:r w:rsidRPr="3AC885CD" w:rsidR="2C41FAFD">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2025). Findings will be reported transparently to inform </w:t>
      </w:r>
      <w:r w:rsidRPr="3AC885CD" w:rsidR="2C41FAFD">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equitable</w:t>
      </w:r>
      <w:r w:rsidRPr="3AC885CD" w:rsidR="2C41FAFD">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service planning.</w:t>
      </w:r>
    </w:p>
    <w:p w:rsidR="3AC885CD" w:rsidP="3AC885CD" w:rsidRDefault="3AC885CD" w14:paraId="6E80B66B" w14:textId="60E129B6">
      <w:pPr>
        <w:jc w:val="left"/>
        <w:rPr>
          <w:rFonts w:ascii="Arial" w:hAnsi="Arial" w:eastAsia="Arial" w:cs="Arial" w:asciiTheme="minorAscii" w:hAnsiTheme="minorAscii" w:eastAsiaTheme="minorAscii" w:cstheme="minorAscii"/>
          <w:sz w:val="22"/>
          <w:szCs w:val="22"/>
        </w:rPr>
      </w:pPr>
    </w:p>
    <w:p w:rsidR="21A52839" w:rsidP="3AC885CD" w:rsidRDefault="21A52839" w14:paraId="4F977ED4" w14:textId="43516D05">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3AC885CD" w:rsidR="21A52839">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References</w:t>
      </w:r>
    </w:p>
    <w:p w:rsidR="3AC885CD" w:rsidP="3AC885CD" w:rsidRDefault="3AC885CD" w14:paraId="554EF220" w14:textId="101EDEB9">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21A52839" w:rsidP="3AC885CD" w:rsidRDefault="21A52839" w14:paraId="17C72F1C" w14:textId="77D74A87">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3AC885CD" w:rsidR="21A52839">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A.T. Still University (2025) Covidence: Quality Assessment and Scoping Review Methods. Available at: </w:t>
      </w:r>
      <w:hyperlink r:id="R5c79e24e9d1e4bb6">
        <w:r w:rsidRPr="3AC885CD" w:rsidR="21A52839">
          <w:rPr>
            <w:rStyle w:val="Hyperlink"/>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https://guides.atsu.edu/covidenceguide</w:t>
        </w:r>
      </w:hyperlink>
      <w:r w:rsidRPr="3AC885CD" w:rsidR="21A52839">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(Accessed: </w:t>
      </w:r>
      <w:r w:rsidRPr="3AC885CD" w:rsidR="6F87DC9E">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06</w:t>
      </w:r>
      <w:r w:rsidRPr="3AC885CD" w:rsidR="21A52839">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October 2026).</w:t>
      </w:r>
    </w:p>
    <w:p w:rsidR="3AC885CD" w:rsidP="3AC885CD" w:rsidRDefault="3AC885CD" w14:paraId="5A3DB6E1" w14:textId="30171D3B">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21A52839" w:rsidP="3AC885CD" w:rsidRDefault="21A52839" w14:paraId="73811D59" w14:textId="2CB24406">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3AC885CD" w:rsidR="21A52839">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Braun, V. and Clarke, V. (2006) 'Using thematic analysis in psychology', Qualitative Research in Psychology, 3(2), pp. 77–101.</w:t>
      </w:r>
    </w:p>
    <w:p w:rsidR="3AC885CD" w:rsidP="3AC885CD" w:rsidRDefault="3AC885CD" w14:paraId="12C68A9C" w14:textId="63DD4247">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21A52839" w:rsidP="3AC885CD" w:rsidRDefault="21A52839" w14:paraId="0B729E53" w14:textId="63406571">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3AC885CD" w:rsidR="21A52839">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Centre for Care (2025) Digital exclusion: evidence briefing. Available at: </w:t>
      </w:r>
      <w:hyperlink r:id="Rec00e53c9cc94eac">
        <w:r w:rsidRPr="3AC885CD" w:rsidR="21A52839">
          <w:rPr>
            <w:rStyle w:val="Hyperlink"/>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https://centreforcare.ac.uk</w:t>
        </w:r>
      </w:hyperlink>
      <w:r w:rsidRPr="3AC885CD" w:rsidR="21A52839">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(Accessed: </w:t>
      </w:r>
      <w:r w:rsidRPr="3AC885CD" w:rsidR="7E7B7BF1">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06</w:t>
      </w:r>
      <w:r w:rsidRPr="3AC885CD" w:rsidR="21A52839">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October 2026).</w:t>
      </w:r>
    </w:p>
    <w:p w:rsidR="3AC885CD" w:rsidP="3AC885CD" w:rsidRDefault="3AC885CD" w14:paraId="07B19E86" w14:textId="5CF6E63D">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21A52839" w:rsidP="3AC885CD" w:rsidRDefault="21A52839" w14:paraId="5C938AB3" w14:textId="60905EA1">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3AC885CD" w:rsidR="21A52839">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GOV.UK (2025) What the </w:t>
      </w:r>
      <w:r w:rsidRPr="3AC885CD" w:rsidR="13C7D8BA">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10-Year</w:t>
      </w:r>
      <w:r w:rsidRPr="3AC885CD" w:rsidR="21A52839">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Health Plan means for you. Available at: </w:t>
      </w:r>
      <w:hyperlink r:id="R8ef6bfb7c7164a36">
        <w:r w:rsidRPr="3AC885CD" w:rsidR="21A52839">
          <w:rPr>
            <w:rStyle w:val="Hyperlink"/>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https://healthmedia.blog.gov.uk</w:t>
        </w:r>
      </w:hyperlink>
      <w:r w:rsidRPr="3AC885CD" w:rsidR="21A52839">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(Accessed: </w:t>
      </w:r>
      <w:r w:rsidRPr="3AC885CD" w:rsidR="02DE2AC6">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05</w:t>
      </w:r>
      <w:r w:rsidRPr="3AC885CD" w:rsidR="21A52839">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October 2026).</w:t>
      </w:r>
    </w:p>
    <w:p w:rsidR="3AC885CD" w:rsidP="3AC885CD" w:rsidRDefault="3AC885CD" w14:paraId="3CC52D49" w14:textId="56DB04B4">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21A52839" w:rsidP="3AC885CD" w:rsidRDefault="21A52839" w14:paraId="0ACD1A66" w14:textId="463F9E01">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3AC885CD" w:rsidR="21A52839">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Harasgama</w:t>
      </w:r>
      <w:r w:rsidRPr="3AC885CD" w:rsidR="21A52839">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S. (2025) 'Preparing for our digital healthcare future: ensuring no one is left behind', BMJ Leader. Available at: </w:t>
      </w:r>
      <w:hyperlink r:id="R1433fe2c7ac846f4">
        <w:r w:rsidRPr="3AC885CD" w:rsidR="21A52839">
          <w:rPr>
            <w:rStyle w:val="Hyperlink"/>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https://blogs.bmj.com/bmjleader</w:t>
        </w:r>
      </w:hyperlink>
      <w:r w:rsidRPr="3AC885CD" w:rsidR="21A52839">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(Accessed: </w:t>
      </w:r>
      <w:r w:rsidRPr="3AC885CD" w:rsidR="49FB27F9">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05</w:t>
      </w:r>
      <w:r w:rsidRPr="3AC885CD" w:rsidR="21A52839">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October 2026).</w:t>
      </w:r>
    </w:p>
    <w:p w:rsidR="3AC885CD" w:rsidP="3AC885CD" w:rsidRDefault="3AC885CD" w14:paraId="769169B2" w14:textId="222127B5">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21A52839" w:rsidP="3AC885CD" w:rsidRDefault="21A52839" w14:paraId="76E0C7A5" w14:textId="19B40F09">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3AC885CD" w:rsidR="21A52839">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House of Commons Library (2026) The </w:t>
      </w:r>
      <w:r w:rsidRPr="3AC885CD" w:rsidR="50007A12">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10-Year</w:t>
      </w:r>
      <w:r w:rsidRPr="3AC885CD" w:rsidR="21A52839">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Health Plan for England. Research Briefing CBP-10368. Available at: </w:t>
      </w:r>
      <w:hyperlink r:id="R827aece65ae2470a">
        <w:r w:rsidRPr="3AC885CD" w:rsidR="21A52839">
          <w:rPr>
            <w:rStyle w:val="Hyperlink"/>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https://commonslibrary.parliament.uk/research-briefings/CBP-10368/</w:t>
        </w:r>
      </w:hyperlink>
      <w:r w:rsidRPr="3AC885CD" w:rsidR="21A52839">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(Accessed: </w:t>
      </w:r>
      <w:r w:rsidRPr="3AC885CD" w:rsidR="63700FCE">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06</w:t>
      </w:r>
      <w:r w:rsidRPr="3AC885CD" w:rsidR="21A52839">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October 2026).</w:t>
      </w:r>
    </w:p>
    <w:p w:rsidR="3AC885CD" w:rsidP="3AC885CD" w:rsidRDefault="3AC885CD" w14:paraId="055302B2" w14:textId="3D8A77F1">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21A52839" w:rsidP="3AC885CD" w:rsidRDefault="21A52839" w14:paraId="2C39B244" w14:textId="3E262414">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3AC885CD" w:rsidR="21A52839">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NIHR (2025) Evaluation of technology-enabled remote monitoring for blood pressure. Available at: </w:t>
      </w:r>
      <w:hyperlink r:id="R224c63dde85540a6">
        <w:r w:rsidRPr="3AC885CD" w:rsidR="21A52839">
          <w:rPr>
            <w:rStyle w:val="Hyperlink"/>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https://openresearch.nihr.ac.uk/articles/5-81</w:t>
        </w:r>
      </w:hyperlink>
      <w:r w:rsidRPr="3AC885CD" w:rsidR="21A52839">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(Accessed: </w:t>
      </w:r>
      <w:r w:rsidRPr="3AC885CD" w:rsidR="3644FB11">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05</w:t>
      </w:r>
      <w:r w:rsidRPr="3AC885CD" w:rsidR="21A52839">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October 2026).</w:t>
      </w:r>
    </w:p>
    <w:p w:rsidR="3AC885CD" w:rsidP="3AC885CD" w:rsidRDefault="3AC885CD" w14:paraId="23D1B8BF" w14:textId="0FF0ADDD">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21A52839" w:rsidP="3AC885CD" w:rsidRDefault="21A52839" w14:paraId="2B327778" w14:textId="07960150">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3AC885CD" w:rsidR="21A52839">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NIHR HealthTech Research Centre (2026) Digital Literacy as a Determinant of Health. Available at: </w:t>
      </w:r>
      <w:hyperlink r:id="Rbb3c67098b544e16">
        <w:r w:rsidRPr="3AC885CD" w:rsidR="21A52839">
          <w:rPr>
            <w:rStyle w:val="Hyperlink"/>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https://hrc-surgical.nihr.ac.uk</w:t>
        </w:r>
      </w:hyperlink>
      <w:r w:rsidRPr="3AC885CD" w:rsidR="21A52839">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(Accessed: </w:t>
      </w:r>
      <w:r w:rsidRPr="3AC885CD" w:rsidR="352187C9">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07</w:t>
      </w:r>
      <w:r w:rsidRPr="3AC885CD" w:rsidR="21A52839">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October 2026).</w:t>
      </w:r>
    </w:p>
    <w:p w:rsidR="3AC885CD" w:rsidP="3AC885CD" w:rsidRDefault="3AC885CD" w14:paraId="6613EF35" w14:textId="1121953A">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21A52839" w:rsidP="3AC885CD" w:rsidRDefault="21A52839" w14:paraId="28642532" w14:textId="71898899">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3AC885CD" w:rsidR="21A52839">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Primary Care Respiratory Society (2026) Left behind by design: </w:t>
      </w:r>
      <w:r w:rsidRPr="3AC885CD" w:rsidR="21A52839">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Who's</w:t>
      </w:r>
      <w:r w:rsidRPr="3AC885CD" w:rsidR="21A52839">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missing from digital respiratory care? Available at: </w:t>
      </w:r>
      <w:hyperlink r:id="R607eedc8a8904cca">
        <w:r w:rsidRPr="3AC885CD" w:rsidR="21A52839">
          <w:rPr>
            <w:rStyle w:val="Hyperlink"/>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https://www.pcrs-uk.org</w:t>
        </w:r>
      </w:hyperlink>
      <w:r w:rsidRPr="3AC885CD" w:rsidR="21A52839">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(Accessed: </w:t>
      </w:r>
      <w:r w:rsidRPr="3AC885CD" w:rsidR="5DC6824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06</w:t>
      </w:r>
      <w:r w:rsidRPr="3AC885CD" w:rsidR="21A52839">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October 2026).</w:t>
      </w:r>
    </w:p>
    <w:p w:rsidR="3AC885CD" w:rsidP="3AC885CD" w:rsidRDefault="3AC885CD" w14:paraId="6DC89DC3" w14:textId="51B0628E">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21A52839" w:rsidP="3AC885CD" w:rsidRDefault="21A52839" w14:paraId="0CB41EB3" w14:textId="2C9C3A40">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3AC885CD" w:rsidR="21A52839">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Tricco</w:t>
      </w:r>
      <w:r w:rsidRPr="3AC885CD" w:rsidR="21A52839">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A.C. et al. (2018) 'PRISMA Extension for Scoping Reviews (PRISMA-</w:t>
      </w:r>
      <w:r w:rsidRPr="3AC885CD" w:rsidR="21A52839">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ScR</w:t>
      </w:r>
      <w:r w:rsidRPr="3AC885CD" w:rsidR="21A52839">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Checklist and Explanation', Annals of Internal Medicine, 169(7), pp. 467–473.</w:t>
      </w:r>
    </w:p>
    <w:sectPr>
      <w:pgSz w:w="11906" w:h="16838" w:orient="portrait"/>
      <w:pgMar w:top="1440" w:right="1440" w:bottom="1440" w:left="1440" w:header="720" w:footer="720" w:gutter="0"/>
      <w:cols w:space="720"/>
      <w:docGrid w:linePitch="360"/>
      <w:headerReference w:type="default" r:id="R98fc2c6d88734970"/>
      <w:footerReference w:type="default" r:id="Rfa3b1377918e421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AC885CD" w:rsidTr="3AC885CD" w14:paraId="52A235C4">
      <w:trPr>
        <w:trHeight w:val="300"/>
      </w:trPr>
      <w:tc>
        <w:tcPr>
          <w:tcW w:w="3005" w:type="dxa"/>
          <w:tcMar/>
        </w:tcPr>
        <w:p w:rsidR="3AC885CD" w:rsidP="3AC885CD" w:rsidRDefault="3AC885CD" w14:paraId="09B0A1DD" w14:textId="593AFF1B">
          <w:pPr>
            <w:pStyle w:val="Header"/>
            <w:bidi w:val="0"/>
            <w:ind w:left="-115"/>
            <w:jc w:val="left"/>
          </w:pPr>
        </w:p>
      </w:tc>
      <w:tc>
        <w:tcPr>
          <w:tcW w:w="3005" w:type="dxa"/>
          <w:tcMar/>
        </w:tcPr>
        <w:p w:rsidR="3AC885CD" w:rsidP="3AC885CD" w:rsidRDefault="3AC885CD" w14:paraId="39FBCC12" w14:textId="35B1DC88">
          <w:pPr>
            <w:pStyle w:val="Header"/>
            <w:bidi w:val="0"/>
            <w:jc w:val="center"/>
          </w:pPr>
        </w:p>
      </w:tc>
      <w:tc>
        <w:tcPr>
          <w:tcW w:w="3005" w:type="dxa"/>
          <w:tcMar/>
        </w:tcPr>
        <w:p w:rsidR="3AC885CD" w:rsidP="3AC885CD" w:rsidRDefault="3AC885CD" w14:paraId="0F4FC639" w14:textId="03C83143">
          <w:pPr>
            <w:pStyle w:val="Header"/>
            <w:bidi w:val="0"/>
            <w:ind w:right="-115"/>
            <w:jc w:val="right"/>
          </w:pPr>
          <w:r>
            <w:fldChar w:fldCharType="begin"/>
          </w:r>
          <w:r>
            <w:instrText xml:space="preserve">PAGE</w:instrText>
          </w:r>
          <w:r>
            <w:fldChar w:fldCharType="separate"/>
          </w:r>
          <w:r>
            <w:fldChar w:fldCharType="end"/>
          </w:r>
        </w:p>
      </w:tc>
    </w:tr>
  </w:tbl>
  <w:p w:rsidR="3AC885CD" w:rsidP="3AC885CD" w:rsidRDefault="3AC885CD" w14:paraId="55F10916" w14:textId="51E48C3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AC885CD" w:rsidTr="3AC885CD" w14:paraId="61C72207">
      <w:trPr>
        <w:trHeight w:val="300"/>
      </w:trPr>
      <w:tc>
        <w:tcPr>
          <w:tcW w:w="3005" w:type="dxa"/>
          <w:tcMar/>
        </w:tcPr>
        <w:p w:rsidR="3AC885CD" w:rsidP="3AC885CD" w:rsidRDefault="3AC885CD" w14:paraId="23D6242C" w14:textId="761C2F12">
          <w:pPr>
            <w:pStyle w:val="Header"/>
            <w:bidi w:val="0"/>
            <w:ind w:left="-115"/>
            <w:jc w:val="left"/>
          </w:pPr>
          <w:r>
            <w:fldChar w:fldCharType="begin"/>
          </w:r>
          <w:r>
            <w:instrText xml:space="preserve">PAGE</w:instrText>
          </w:r>
          <w:r>
            <w:fldChar w:fldCharType="separate"/>
          </w:r>
          <w:r>
            <w:fldChar w:fldCharType="end"/>
          </w:r>
        </w:p>
      </w:tc>
      <w:tc>
        <w:tcPr>
          <w:tcW w:w="3005" w:type="dxa"/>
          <w:tcMar/>
        </w:tcPr>
        <w:p w:rsidR="3AC885CD" w:rsidP="3AC885CD" w:rsidRDefault="3AC885CD" w14:paraId="4C8B94F4" w14:textId="32D17F06">
          <w:pPr>
            <w:pStyle w:val="Header"/>
            <w:bidi w:val="0"/>
            <w:jc w:val="center"/>
          </w:pPr>
        </w:p>
      </w:tc>
      <w:tc>
        <w:tcPr>
          <w:tcW w:w="3005" w:type="dxa"/>
          <w:tcMar/>
        </w:tcPr>
        <w:p w:rsidR="3AC885CD" w:rsidP="3AC885CD" w:rsidRDefault="3AC885CD" w14:paraId="4292A9BB" w14:textId="59D17D85">
          <w:pPr>
            <w:pStyle w:val="Header"/>
            <w:bidi w:val="0"/>
            <w:ind w:right="-115"/>
            <w:jc w:val="right"/>
          </w:pPr>
        </w:p>
      </w:tc>
    </w:tr>
  </w:tbl>
  <w:p w:rsidR="3AC885CD" w:rsidP="3AC885CD" w:rsidRDefault="3AC885CD" w14:paraId="1704B11B" w14:textId="0076F7F1">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4EAC1E"/>
    <w:rsid w:val="0114A715"/>
    <w:rsid w:val="02DE2AC6"/>
    <w:rsid w:val="0558D16E"/>
    <w:rsid w:val="05B7CC9F"/>
    <w:rsid w:val="05D03938"/>
    <w:rsid w:val="079239A3"/>
    <w:rsid w:val="0D369A04"/>
    <w:rsid w:val="131092C3"/>
    <w:rsid w:val="13C7D8BA"/>
    <w:rsid w:val="1A64E801"/>
    <w:rsid w:val="1BADCA55"/>
    <w:rsid w:val="1DFBFD9D"/>
    <w:rsid w:val="21A52839"/>
    <w:rsid w:val="224A8A02"/>
    <w:rsid w:val="27208C83"/>
    <w:rsid w:val="2C41FAFD"/>
    <w:rsid w:val="2E6C18DC"/>
    <w:rsid w:val="2F25A857"/>
    <w:rsid w:val="32357C4A"/>
    <w:rsid w:val="33E687D9"/>
    <w:rsid w:val="352187C9"/>
    <w:rsid w:val="3644FB11"/>
    <w:rsid w:val="38500ADB"/>
    <w:rsid w:val="3AC885CD"/>
    <w:rsid w:val="49FB27F9"/>
    <w:rsid w:val="4A405322"/>
    <w:rsid w:val="4BE750DF"/>
    <w:rsid w:val="4FFDE980"/>
    <w:rsid w:val="50007A12"/>
    <w:rsid w:val="507C6F6A"/>
    <w:rsid w:val="5146D640"/>
    <w:rsid w:val="540384F6"/>
    <w:rsid w:val="554300E9"/>
    <w:rsid w:val="56ACD75E"/>
    <w:rsid w:val="5DC6824F"/>
    <w:rsid w:val="62BFA6E1"/>
    <w:rsid w:val="63700FCE"/>
    <w:rsid w:val="64A0977D"/>
    <w:rsid w:val="64FDF39D"/>
    <w:rsid w:val="665B19E9"/>
    <w:rsid w:val="6948803D"/>
    <w:rsid w:val="69C3D9BC"/>
    <w:rsid w:val="6A31E3EE"/>
    <w:rsid w:val="6AA40589"/>
    <w:rsid w:val="6D109EA3"/>
    <w:rsid w:val="6F7D7036"/>
    <w:rsid w:val="6F87DC9E"/>
    <w:rsid w:val="764EAC1E"/>
    <w:rsid w:val="787B2825"/>
    <w:rsid w:val="790B7349"/>
    <w:rsid w:val="7C04B8DE"/>
    <w:rsid w:val="7D07E19C"/>
    <w:rsid w:val="7E7B7B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D4910B"/>
  <w15:chartTrackingRefBased/>
  <w15:docId w15:val="{483DEAC8-B430-4FCE-A112-D85EA8BE06B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3AC885CD"/>
    <w:rPr>
      <w:color w:val="467886"/>
      <w:u w:val="single"/>
    </w:rPr>
  </w:style>
  <w:style w:type="paragraph" w:styleId="Header">
    <w:uiPriority w:val="99"/>
    <w:name w:val="header"/>
    <w:basedOn w:val="Normal"/>
    <w:unhideWhenUsed/>
    <w:rsid w:val="3AC885CD"/>
    <w:pPr>
      <w:tabs>
        <w:tab w:val="center" w:leader="none" w:pos="4680"/>
        <w:tab w:val="right" w:leader="none" w:pos="9360"/>
      </w:tabs>
      <w:spacing w:after="0" w:line="240" w:lineRule="auto"/>
    </w:pPr>
  </w:style>
  <w:style w:type="paragraph" w:styleId="Footer">
    <w:uiPriority w:val="99"/>
    <w:name w:val="footer"/>
    <w:basedOn w:val="Normal"/>
    <w:unhideWhenUsed/>
    <w:rsid w:val="3AC885CD"/>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guides.atsu.edu/covidenceguide" TargetMode="External" Id="R5c79e24e9d1e4bb6" /><Relationship Type="http://schemas.openxmlformats.org/officeDocument/2006/relationships/hyperlink" Target="https://centreforcare.ac.uk/" TargetMode="External" Id="Rec00e53c9cc94eac" /><Relationship Type="http://schemas.openxmlformats.org/officeDocument/2006/relationships/hyperlink" Target="https://healthmedia.blog.gov.uk/" TargetMode="External" Id="R8ef6bfb7c7164a36" /><Relationship Type="http://schemas.openxmlformats.org/officeDocument/2006/relationships/hyperlink" Target="https://blogs.bmj.com/bmjleader" TargetMode="External" Id="R1433fe2c7ac846f4" /><Relationship Type="http://schemas.openxmlformats.org/officeDocument/2006/relationships/hyperlink" Target="https://commonslibrary.parliament.uk/research-briefings/CBP-10368/" TargetMode="External" Id="R827aece65ae2470a" /><Relationship Type="http://schemas.openxmlformats.org/officeDocument/2006/relationships/hyperlink" Target="https://openresearch.nihr.ac.uk/articles/5-81" TargetMode="External" Id="R224c63dde85540a6" /><Relationship Type="http://schemas.openxmlformats.org/officeDocument/2006/relationships/hyperlink" Target="https://hrc-surgical.nihr.ac.uk/" TargetMode="External" Id="Rbb3c67098b544e16" /><Relationship Type="http://schemas.openxmlformats.org/officeDocument/2006/relationships/hyperlink" Target="https://www.pcrs-uk.org/" TargetMode="External" Id="R607eedc8a8904cca" /><Relationship Type="http://schemas.openxmlformats.org/officeDocument/2006/relationships/header" Target="/word/header.xml" Id="R98fc2c6d88734970" /><Relationship Type="http://schemas.openxmlformats.org/officeDocument/2006/relationships/footer" Target="/word/footer.xml" Id="Rfa3b1377918e421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Mohammed Ousman (2215608)</dc:creator>
  <keywords/>
  <dc:description/>
  <lastModifiedBy>Mohammed Ousman (2215608)</lastModifiedBy>
  <revision>2</revision>
  <dcterms:created xsi:type="dcterms:W3CDTF">2026-10-09T20:12:50.4743243Z</dcterms:created>
  <dcterms:modified xsi:type="dcterms:W3CDTF">2026-10-09T21:09:35.4798933Z</dcterms:modified>
</coreProperties>
</file>