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800B4C0" w14:textId="77777777" w:rsidR="00E9236E" w:rsidRPr="00EA1C67" w:rsidRDefault="00792559" w:rsidP="001635D9">
      <w:pPr>
        <w:pStyle w:val="Header"/>
        <w:tabs>
          <w:tab w:val="clear" w:pos="4153"/>
          <w:tab w:val="clear" w:pos="8306"/>
        </w:tabs>
        <w:jc w:val="right"/>
        <w:rPr>
          <w:rFonts w:ascii="Calibri" w:hAnsi="Calibri" w:cs="Calibri"/>
        </w:rPr>
      </w:pPr>
      <w:r w:rsidRPr="00EA1C67">
        <w:rPr>
          <w:rFonts w:ascii="Calibri" w:hAnsi="Calibri" w:cs="Calibri"/>
          <w:b/>
          <w:noProof/>
          <w:szCs w:val="24"/>
        </w:rPr>
        <w:drawing>
          <wp:anchor distT="0" distB="0" distL="114300" distR="114300" simplePos="0" relativeHeight="251658240" behindDoc="0" locked="0" layoutInCell="1" allowOverlap="1" wp14:anchorId="1F04E048" wp14:editId="40866770">
            <wp:simplePos x="4434840" y="914400"/>
            <wp:positionH relativeFrom="margin">
              <wp:align>center</wp:align>
            </wp:positionH>
            <wp:positionV relativeFrom="margin">
              <wp:align>top</wp:align>
            </wp:positionV>
            <wp:extent cx="2209800" cy="742950"/>
            <wp:effectExtent l="0" t="0" r="0" b="0"/>
            <wp:wrapSquare wrapText="bothSides"/>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8">
                      <a:extLst>
                        <a:ext uri="{28A0092B-C50C-407E-A947-70E740481C1C}">
                          <a14:useLocalDpi xmlns:a14="http://schemas.microsoft.com/office/drawing/2010/main" val="0"/>
                        </a:ext>
                      </a:extLst>
                    </a:blip>
                    <a:srcRect/>
                    <a:stretch>
                      <a:fillRect/>
                    </a:stretch>
                  </pic:blipFill>
                  <pic:spPr>
                    <a:xfrm>
                      <a:off x="0" y="0"/>
                      <a:ext cx="2209800" cy="742950"/>
                    </a:xfrm>
                    <a:prstGeom prst="rect">
                      <a:avLst/>
                    </a:prstGeom>
                    <a:ln/>
                  </pic:spPr>
                </pic:pic>
              </a:graphicData>
            </a:graphic>
          </wp:anchor>
        </w:drawing>
      </w:r>
      <w:r w:rsidR="001635D9" w:rsidRPr="00EA1C67">
        <w:rPr>
          <w:rFonts w:ascii="Calibri" w:hAnsi="Calibri" w:cs="Calibri"/>
        </w:rPr>
        <w:t xml:space="preserve"> </w:t>
      </w:r>
    </w:p>
    <w:p w14:paraId="0A41D38F" w14:textId="63D185A3" w:rsidR="001635D9" w:rsidRPr="00EA1C67" w:rsidRDefault="001635D9" w:rsidP="001635D9">
      <w:pPr>
        <w:pStyle w:val="Header"/>
        <w:tabs>
          <w:tab w:val="clear" w:pos="4153"/>
          <w:tab w:val="clear" w:pos="8306"/>
        </w:tabs>
        <w:jc w:val="right"/>
        <w:rPr>
          <w:rFonts w:ascii="Calibri" w:hAnsi="Calibri" w:cs="Calibri"/>
          <w:b/>
          <w:sz w:val="28"/>
          <w:szCs w:val="28"/>
        </w:rPr>
      </w:pPr>
      <w:r w:rsidRPr="00EA1C67">
        <w:rPr>
          <w:rFonts w:ascii="Calibri" w:hAnsi="Calibri" w:cs="Calibri"/>
        </w:rPr>
        <w:br w:type="textWrapping" w:clear="all"/>
      </w:r>
    </w:p>
    <w:p w14:paraId="63219379" w14:textId="77777777" w:rsidR="00CE3470" w:rsidRPr="00EA1C67" w:rsidRDefault="00CE3470" w:rsidP="00CE3470">
      <w:pPr>
        <w:spacing w:after="165" w:line="360" w:lineRule="auto"/>
        <w:jc w:val="center"/>
        <w:rPr>
          <w:rFonts w:ascii="Calibri" w:eastAsia="Tahoma" w:hAnsi="Calibri" w:cs="Calibri"/>
          <w:b/>
          <w:szCs w:val="24"/>
        </w:rPr>
      </w:pPr>
      <w:r w:rsidRPr="00EA1C67">
        <w:rPr>
          <w:rFonts w:ascii="Calibri" w:eastAsia="Tahoma" w:hAnsi="Calibri" w:cs="Calibri"/>
          <w:b/>
          <w:szCs w:val="24"/>
        </w:rPr>
        <w:t>Student Name – Michelle Bradshaw</w:t>
      </w:r>
    </w:p>
    <w:p w14:paraId="1A237B13" w14:textId="77777777" w:rsidR="00CE3470" w:rsidRPr="00EA1C67" w:rsidRDefault="00CE3470" w:rsidP="00CE3470">
      <w:pPr>
        <w:spacing w:after="165" w:line="360" w:lineRule="auto"/>
        <w:jc w:val="center"/>
        <w:rPr>
          <w:rFonts w:ascii="Calibri" w:eastAsia="Tahoma" w:hAnsi="Calibri" w:cs="Calibri"/>
          <w:b/>
          <w:szCs w:val="24"/>
        </w:rPr>
      </w:pPr>
      <w:r w:rsidRPr="00EA1C67">
        <w:rPr>
          <w:rFonts w:ascii="Calibri" w:eastAsia="Tahoma" w:hAnsi="Calibri" w:cs="Calibri"/>
          <w:b/>
          <w:szCs w:val="24"/>
        </w:rPr>
        <w:t>Student Number – 2432614</w:t>
      </w:r>
    </w:p>
    <w:p w14:paraId="5E3553E1" w14:textId="1CB503AC" w:rsidR="00CE3470" w:rsidRPr="00EA1C67" w:rsidRDefault="00CE3470" w:rsidP="00CE3470">
      <w:pPr>
        <w:spacing w:after="165" w:line="360" w:lineRule="auto"/>
        <w:jc w:val="center"/>
        <w:rPr>
          <w:rFonts w:ascii="Calibri" w:eastAsia="Tahoma" w:hAnsi="Calibri" w:cs="Calibri"/>
          <w:b/>
          <w:szCs w:val="24"/>
        </w:rPr>
      </w:pPr>
      <w:r w:rsidRPr="00EA1C67">
        <w:rPr>
          <w:rFonts w:ascii="Calibri" w:eastAsia="Tahoma" w:hAnsi="Calibri" w:cs="Calibri"/>
          <w:b/>
          <w:szCs w:val="24"/>
        </w:rPr>
        <w:t>Module Number – BMSK</w:t>
      </w:r>
      <w:r w:rsidR="0044316D" w:rsidRPr="00EA1C67">
        <w:rPr>
          <w:rFonts w:ascii="Calibri" w:eastAsia="Tahoma" w:hAnsi="Calibri" w:cs="Calibri"/>
          <w:b/>
          <w:szCs w:val="24"/>
        </w:rPr>
        <w:t>5013</w:t>
      </w:r>
    </w:p>
    <w:p w14:paraId="3EDFBF9F" w14:textId="63F7FD8F" w:rsidR="00CE3470" w:rsidRPr="00EA1C67" w:rsidRDefault="00CE3470" w:rsidP="00CE3470">
      <w:pPr>
        <w:spacing w:after="165" w:line="360" w:lineRule="auto"/>
        <w:jc w:val="center"/>
        <w:rPr>
          <w:rFonts w:ascii="Calibri" w:eastAsia="Tahoma" w:hAnsi="Calibri" w:cs="Calibri"/>
          <w:b/>
          <w:szCs w:val="24"/>
        </w:rPr>
      </w:pPr>
      <w:r w:rsidRPr="00EA1C67">
        <w:rPr>
          <w:rFonts w:ascii="Calibri" w:eastAsia="Tahoma" w:hAnsi="Calibri" w:cs="Calibri"/>
          <w:b/>
          <w:szCs w:val="24"/>
        </w:rPr>
        <w:t xml:space="preserve">Module Title </w:t>
      </w:r>
      <w:r w:rsidR="00836A5D" w:rsidRPr="00EA1C67">
        <w:rPr>
          <w:rFonts w:ascii="Calibri" w:eastAsia="Tahoma" w:hAnsi="Calibri" w:cs="Calibri"/>
          <w:b/>
          <w:szCs w:val="24"/>
        </w:rPr>
        <w:t>–</w:t>
      </w:r>
      <w:r w:rsidRPr="00EA1C67">
        <w:rPr>
          <w:rFonts w:ascii="Calibri" w:eastAsia="Tahoma" w:hAnsi="Calibri" w:cs="Calibri"/>
          <w:b/>
          <w:szCs w:val="24"/>
        </w:rPr>
        <w:t xml:space="preserve"> </w:t>
      </w:r>
      <w:r w:rsidR="00836A5D" w:rsidRPr="00EA1C67">
        <w:rPr>
          <w:rFonts w:ascii="Calibri" w:hAnsi="Calibri" w:cs="Calibri"/>
          <w:b/>
          <w:szCs w:val="24"/>
        </w:rPr>
        <w:t>Knowledge &amp; Information</w:t>
      </w:r>
      <w:r w:rsidR="008D51EF" w:rsidRPr="00EA1C67">
        <w:rPr>
          <w:rFonts w:ascii="Calibri" w:hAnsi="Calibri" w:cs="Calibri"/>
          <w:b/>
          <w:szCs w:val="24"/>
        </w:rPr>
        <w:t xml:space="preserve"> Management Skills</w:t>
      </w:r>
    </w:p>
    <w:p w14:paraId="1A5DCB93" w14:textId="77777777" w:rsidR="001635D9" w:rsidRPr="00EA1C67" w:rsidRDefault="001635D9" w:rsidP="001635D9">
      <w:pPr>
        <w:rPr>
          <w:rFonts w:ascii="Calibri" w:hAnsi="Calibri" w:cs="Calibri"/>
        </w:rPr>
      </w:pPr>
    </w:p>
    <w:p w14:paraId="324A8F73" w14:textId="716DF522" w:rsidR="002B4D8F" w:rsidRPr="00EA1C67" w:rsidRDefault="002B4D8F">
      <w:pPr>
        <w:spacing w:after="160" w:line="278" w:lineRule="auto"/>
        <w:rPr>
          <w:rFonts w:ascii="Calibri" w:hAnsi="Calibri" w:cs="Calibri"/>
        </w:rPr>
      </w:pPr>
      <w:r w:rsidRPr="00EA1C67">
        <w:rPr>
          <w:rFonts w:ascii="Calibri" w:hAnsi="Calibri" w:cs="Calibri"/>
        </w:rPr>
        <w:br w:type="page"/>
      </w:r>
    </w:p>
    <w:p w14:paraId="226208B2" w14:textId="77777777" w:rsidR="002B4D8F" w:rsidRPr="00EA1C67" w:rsidRDefault="002B4D8F" w:rsidP="001635D9">
      <w:pPr>
        <w:rPr>
          <w:rFonts w:ascii="Calibri" w:hAnsi="Calibri" w:cs="Calibri"/>
        </w:rPr>
      </w:pPr>
    </w:p>
    <w:sdt>
      <w:sdtPr>
        <w:rPr>
          <w:rFonts w:ascii="Calibri" w:eastAsia="Times New Roman" w:hAnsi="Calibri" w:cs="Calibri"/>
          <w:color w:val="auto"/>
          <w:sz w:val="24"/>
          <w:szCs w:val="20"/>
          <w:lang w:val="en-GB" w:eastAsia="en-GB"/>
        </w:rPr>
        <w:id w:val="-1626844872"/>
        <w:docPartObj>
          <w:docPartGallery w:val="Table of Contents"/>
          <w:docPartUnique/>
        </w:docPartObj>
      </w:sdtPr>
      <w:sdtEndPr>
        <w:rPr>
          <w:b/>
          <w:bCs/>
          <w:noProof/>
        </w:rPr>
      </w:sdtEndPr>
      <w:sdtContent>
        <w:p w14:paraId="3FE5096C" w14:textId="77777777" w:rsidR="00FC2BF8" w:rsidRPr="00EA1C67" w:rsidRDefault="00F63BBD" w:rsidP="00F63BBD">
          <w:pPr>
            <w:pStyle w:val="TOCHeading"/>
            <w:spacing w:line="360" w:lineRule="auto"/>
            <w:jc w:val="center"/>
            <w:rPr>
              <w:rFonts w:ascii="Calibri" w:hAnsi="Calibri" w:cs="Calibri"/>
              <w:noProof/>
            </w:rPr>
          </w:pPr>
          <w:r w:rsidRPr="00EA1C67">
            <w:rPr>
              <w:rFonts w:ascii="Calibri" w:hAnsi="Calibri" w:cs="Calibri"/>
              <w:b/>
              <w:bCs/>
              <w:color w:val="auto"/>
            </w:rPr>
            <w:t>Contents</w:t>
          </w:r>
          <w:r w:rsidRPr="00EA1C67">
            <w:rPr>
              <w:rFonts w:ascii="Calibri" w:hAnsi="Calibri" w:cs="Calibri"/>
            </w:rPr>
            <w:fldChar w:fldCharType="begin"/>
          </w:r>
          <w:r w:rsidRPr="00EA1C67">
            <w:rPr>
              <w:rFonts w:ascii="Calibri" w:hAnsi="Calibri" w:cs="Calibri"/>
            </w:rPr>
            <w:instrText xml:space="preserve"> TOC \o "1-3" \h \z \u </w:instrText>
          </w:r>
          <w:r w:rsidRPr="00EA1C67">
            <w:rPr>
              <w:rFonts w:ascii="Calibri" w:hAnsi="Calibri" w:cs="Calibri"/>
            </w:rPr>
            <w:fldChar w:fldCharType="separate"/>
          </w:r>
        </w:p>
        <w:p w14:paraId="50A73D97" w14:textId="1058AB3C" w:rsidR="00FC2BF8" w:rsidRPr="00EA1C67" w:rsidRDefault="00FC2BF8">
          <w:pPr>
            <w:pStyle w:val="TOC1"/>
            <w:tabs>
              <w:tab w:val="right" w:leader="dot" w:pos="9016"/>
            </w:tabs>
            <w:rPr>
              <w:rFonts w:ascii="Calibri" w:eastAsiaTheme="minorEastAsia" w:hAnsi="Calibri" w:cs="Calibri"/>
              <w:noProof/>
              <w:kern w:val="2"/>
              <w:szCs w:val="24"/>
              <w14:ligatures w14:val="standardContextual"/>
            </w:rPr>
          </w:pPr>
          <w:hyperlink w:anchor="_Toc230325740" w:history="1">
            <w:r w:rsidRPr="00EA1C67">
              <w:rPr>
                <w:rStyle w:val="Hyperlink"/>
                <w:rFonts w:ascii="Calibri" w:hAnsi="Calibri" w:cs="Calibri"/>
                <w:noProof/>
              </w:rPr>
              <w:t>1. Introduction to Honey-Love Aesthetics and the Knowledge Economy</w:t>
            </w:r>
            <w:r w:rsidRPr="00EA1C67">
              <w:rPr>
                <w:rFonts w:ascii="Calibri" w:hAnsi="Calibri" w:cs="Calibri"/>
                <w:noProof/>
                <w:webHidden/>
              </w:rPr>
              <w:tab/>
            </w:r>
            <w:r w:rsidRPr="00EA1C67">
              <w:rPr>
                <w:rFonts w:ascii="Calibri" w:hAnsi="Calibri" w:cs="Calibri"/>
                <w:noProof/>
                <w:webHidden/>
              </w:rPr>
              <w:fldChar w:fldCharType="begin"/>
            </w:r>
            <w:r w:rsidRPr="00EA1C67">
              <w:rPr>
                <w:rFonts w:ascii="Calibri" w:hAnsi="Calibri" w:cs="Calibri"/>
                <w:noProof/>
                <w:webHidden/>
              </w:rPr>
              <w:instrText xml:space="preserve"> PAGEREF _Toc230325740 \h </w:instrText>
            </w:r>
            <w:r w:rsidRPr="00EA1C67">
              <w:rPr>
                <w:rFonts w:ascii="Calibri" w:hAnsi="Calibri" w:cs="Calibri"/>
                <w:noProof/>
                <w:webHidden/>
              </w:rPr>
            </w:r>
            <w:r w:rsidRPr="00EA1C67">
              <w:rPr>
                <w:rFonts w:ascii="Calibri" w:hAnsi="Calibri" w:cs="Calibri"/>
                <w:noProof/>
                <w:webHidden/>
              </w:rPr>
              <w:fldChar w:fldCharType="separate"/>
            </w:r>
            <w:r w:rsidRPr="00EA1C67">
              <w:rPr>
                <w:rFonts w:ascii="Calibri" w:hAnsi="Calibri" w:cs="Calibri"/>
                <w:noProof/>
                <w:webHidden/>
              </w:rPr>
              <w:t>3</w:t>
            </w:r>
            <w:r w:rsidRPr="00EA1C67">
              <w:rPr>
                <w:rFonts w:ascii="Calibri" w:hAnsi="Calibri" w:cs="Calibri"/>
                <w:noProof/>
                <w:webHidden/>
              </w:rPr>
              <w:fldChar w:fldCharType="end"/>
            </w:r>
          </w:hyperlink>
        </w:p>
        <w:p w14:paraId="3AF29D07" w14:textId="097DF1BA" w:rsidR="00FC2BF8" w:rsidRPr="00EA1C67" w:rsidRDefault="00FC2BF8">
          <w:pPr>
            <w:pStyle w:val="TOC1"/>
            <w:tabs>
              <w:tab w:val="right" w:leader="dot" w:pos="9016"/>
            </w:tabs>
            <w:rPr>
              <w:rFonts w:ascii="Calibri" w:eastAsiaTheme="minorEastAsia" w:hAnsi="Calibri" w:cs="Calibri"/>
              <w:noProof/>
              <w:kern w:val="2"/>
              <w:szCs w:val="24"/>
              <w14:ligatures w14:val="standardContextual"/>
            </w:rPr>
          </w:pPr>
          <w:hyperlink w:anchor="_Toc230325741" w:history="1">
            <w:r w:rsidRPr="00EA1C67">
              <w:rPr>
                <w:rStyle w:val="Hyperlink"/>
                <w:rFonts w:ascii="Calibri" w:hAnsi="Calibri" w:cs="Calibri"/>
                <w:noProof/>
              </w:rPr>
              <w:t>2. Concept of Knowledge Management: Data, Information, Knowledge and Personal Data</w:t>
            </w:r>
            <w:r w:rsidRPr="00EA1C67">
              <w:rPr>
                <w:rFonts w:ascii="Calibri" w:hAnsi="Calibri" w:cs="Calibri"/>
                <w:noProof/>
                <w:webHidden/>
              </w:rPr>
              <w:tab/>
            </w:r>
            <w:r w:rsidRPr="00EA1C67">
              <w:rPr>
                <w:rFonts w:ascii="Calibri" w:hAnsi="Calibri" w:cs="Calibri"/>
                <w:noProof/>
                <w:webHidden/>
              </w:rPr>
              <w:fldChar w:fldCharType="begin"/>
            </w:r>
            <w:r w:rsidRPr="00EA1C67">
              <w:rPr>
                <w:rFonts w:ascii="Calibri" w:hAnsi="Calibri" w:cs="Calibri"/>
                <w:noProof/>
                <w:webHidden/>
              </w:rPr>
              <w:instrText xml:space="preserve"> PAGEREF _Toc230325741 \h </w:instrText>
            </w:r>
            <w:r w:rsidRPr="00EA1C67">
              <w:rPr>
                <w:rFonts w:ascii="Calibri" w:hAnsi="Calibri" w:cs="Calibri"/>
                <w:noProof/>
                <w:webHidden/>
              </w:rPr>
            </w:r>
            <w:r w:rsidRPr="00EA1C67">
              <w:rPr>
                <w:rFonts w:ascii="Calibri" w:hAnsi="Calibri" w:cs="Calibri"/>
                <w:noProof/>
                <w:webHidden/>
              </w:rPr>
              <w:fldChar w:fldCharType="separate"/>
            </w:r>
            <w:r w:rsidRPr="00EA1C67">
              <w:rPr>
                <w:rFonts w:ascii="Calibri" w:hAnsi="Calibri" w:cs="Calibri"/>
                <w:noProof/>
                <w:webHidden/>
              </w:rPr>
              <w:t>3</w:t>
            </w:r>
            <w:r w:rsidRPr="00EA1C67">
              <w:rPr>
                <w:rFonts w:ascii="Calibri" w:hAnsi="Calibri" w:cs="Calibri"/>
                <w:noProof/>
                <w:webHidden/>
              </w:rPr>
              <w:fldChar w:fldCharType="end"/>
            </w:r>
          </w:hyperlink>
        </w:p>
        <w:p w14:paraId="087EE0DA" w14:textId="3F0DDFC5" w:rsidR="00FC2BF8" w:rsidRPr="00EA1C67" w:rsidRDefault="00FC2BF8">
          <w:pPr>
            <w:pStyle w:val="TOC1"/>
            <w:tabs>
              <w:tab w:val="right" w:leader="dot" w:pos="9016"/>
            </w:tabs>
            <w:rPr>
              <w:rFonts w:ascii="Calibri" w:eastAsiaTheme="minorEastAsia" w:hAnsi="Calibri" w:cs="Calibri"/>
              <w:noProof/>
              <w:kern w:val="2"/>
              <w:szCs w:val="24"/>
              <w14:ligatures w14:val="standardContextual"/>
            </w:rPr>
          </w:pPr>
          <w:hyperlink w:anchor="_Toc230325742" w:history="1">
            <w:r w:rsidRPr="00EA1C67">
              <w:rPr>
                <w:rStyle w:val="Hyperlink"/>
                <w:rFonts w:ascii="Calibri" w:hAnsi="Calibri" w:cs="Calibri"/>
                <w:noProof/>
              </w:rPr>
              <w:t>3. Individual and Organisational Knowledge in the Salon</w:t>
            </w:r>
            <w:r w:rsidRPr="00EA1C67">
              <w:rPr>
                <w:rFonts w:ascii="Calibri" w:hAnsi="Calibri" w:cs="Calibri"/>
                <w:noProof/>
                <w:webHidden/>
              </w:rPr>
              <w:tab/>
            </w:r>
            <w:r w:rsidRPr="00EA1C67">
              <w:rPr>
                <w:rFonts w:ascii="Calibri" w:hAnsi="Calibri" w:cs="Calibri"/>
                <w:noProof/>
                <w:webHidden/>
              </w:rPr>
              <w:fldChar w:fldCharType="begin"/>
            </w:r>
            <w:r w:rsidRPr="00EA1C67">
              <w:rPr>
                <w:rFonts w:ascii="Calibri" w:hAnsi="Calibri" w:cs="Calibri"/>
                <w:noProof/>
                <w:webHidden/>
              </w:rPr>
              <w:instrText xml:space="preserve"> PAGEREF _Toc230325742 \h </w:instrText>
            </w:r>
            <w:r w:rsidRPr="00EA1C67">
              <w:rPr>
                <w:rFonts w:ascii="Calibri" w:hAnsi="Calibri" w:cs="Calibri"/>
                <w:noProof/>
                <w:webHidden/>
              </w:rPr>
            </w:r>
            <w:r w:rsidRPr="00EA1C67">
              <w:rPr>
                <w:rFonts w:ascii="Calibri" w:hAnsi="Calibri" w:cs="Calibri"/>
                <w:noProof/>
                <w:webHidden/>
              </w:rPr>
              <w:fldChar w:fldCharType="separate"/>
            </w:r>
            <w:r w:rsidRPr="00EA1C67">
              <w:rPr>
                <w:rFonts w:ascii="Calibri" w:hAnsi="Calibri" w:cs="Calibri"/>
                <w:noProof/>
                <w:webHidden/>
              </w:rPr>
              <w:t>5</w:t>
            </w:r>
            <w:r w:rsidRPr="00EA1C67">
              <w:rPr>
                <w:rFonts w:ascii="Calibri" w:hAnsi="Calibri" w:cs="Calibri"/>
                <w:noProof/>
                <w:webHidden/>
              </w:rPr>
              <w:fldChar w:fldCharType="end"/>
            </w:r>
          </w:hyperlink>
        </w:p>
        <w:p w14:paraId="0684AD5E" w14:textId="63478B48" w:rsidR="00FC2BF8" w:rsidRPr="00EA1C67" w:rsidRDefault="00FC2BF8">
          <w:pPr>
            <w:pStyle w:val="TOC1"/>
            <w:tabs>
              <w:tab w:val="right" w:leader="dot" w:pos="9016"/>
            </w:tabs>
            <w:rPr>
              <w:rFonts w:ascii="Calibri" w:eastAsiaTheme="minorEastAsia" w:hAnsi="Calibri" w:cs="Calibri"/>
              <w:noProof/>
              <w:kern w:val="2"/>
              <w:szCs w:val="24"/>
              <w14:ligatures w14:val="standardContextual"/>
            </w:rPr>
          </w:pPr>
          <w:hyperlink w:anchor="_Toc230325743" w:history="1">
            <w:r w:rsidRPr="00EA1C67">
              <w:rPr>
                <w:rStyle w:val="Hyperlink"/>
                <w:rFonts w:ascii="Calibri" w:hAnsi="Calibri" w:cs="Calibri"/>
                <w:noProof/>
              </w:rPr>
              <w:t>4. Current Systems and Knowledge Assets</w:t>
            </w:r>
            <w:r w:rsidRPr="00EA1C67">
              <w:rPr>
                <w:rFonts w:ascii="Calibri" w:hAnsi="Calibri" w:cs="Calibri"/>
                <w:noProof/>
                <w:webHidden/>
              </w:rPr>
              <w:tab/>
            </w:r>
            <w:r w:rsidRPr="00EA1C67">
              <w:rPr>
                <w:rFonts w:ascii="Calibri" w:hAnsi="Calibri" w:cs="Calibri"/>
                <w:noProof/>
                <w:webHidden/>
              </w:rPr>
              <w:fldChar w:fldCharType="begin"/>
            </w:r>
            <w:r w:rsidRPr="00EA1C67">
              <w:rPr>
                <w:rFonts w:ascii="Calibri" w:hAnsi="Calibri" w:cs="Calibri"/>
                <w:noProof/>
                <w:webHidden/>
              </w:rPr>
              <w:instrText xml:space="preserve"> PAGEREF _Toc230325743 \h </w:instrText>
            </w:r>
            <w:r w:rsidRPr="00EA1C67">
              <w:rPr>
                <w:rFonts w:ascii="Calibri" w:hAnsi="Calibri" w:cs="Calibri"/>
                <w:noProof/>
                <w:webHidden/>
              </w:rPr>
            </w:r>
            <w:r w:rsidRPr="00EA1C67">
              <w:rPr>
                <w:rFonts w:ascii="Calibri" w:hAnsi="Calibri" w:cs="Calibri"/>
                <w:noProof/>
                <w:webHidden/>
              </w:rPr>
              <w:fldChar w:fldCharType="separate"/>
            </w:r>
            <w:r w:rsidRPr="00EA1C67">
              <w:rPr>
                <w:rFonts w:ascii="Calibri" w:hAnsi="Calibri" w:cs="Calibri"/>
                <w:noProof/>
                <w:webHidden/>
              </w:rPr>
              <w:t>6</w:t>
            </w:r>
            <w:r w:rsidRPr="00EA1C67">
              <w:rPr>
                <w:rFonts w:ascii="Calibri" w:hAnsi="Calibri" w:cs="Calibri"/>
                <w:noProof/>
                <w:webHidden/>
              </w:rPr>
              <w:fldChar w:fldCharType="end"/>
            </w:r>
          </w:hyperlink>
        </w:p>
        <w:p w14:paraId="2AFB9C08" w14:textId="6FA69838" w:rsidR="00FC2BF8" w:rsidRPr="00EA1C67" w:rsidRDefault="00FC2BF8">
          <w:pPr>
            <w:pStyle w:val="TOC1"/>
            <w:tabs>
              <w:tab w:val="right" w:leader="dot" w:pos="9016"/>
            </w:tabs>
            <w:rPr>
              <w:rFonts w:ascii="Calibri" w:eastAsiaTheme="minorEastAsia" w:hAnsi="Calibri" w:cs="Calibri"/>
              <w:noProof/>
              <w:kern w:val="2"/>
              <w:szCs w:val="24"/>
              <w14:ligatures w14:val="standardContextual"/>
            </w:rPr>
          </w:pPr>
          <w:hyperlink w:anchor="_Toc230325744" w:history="1">
            <w:r w:rsidRPr="00EA1C67">
              <w:rPr>
                <w:rStyle w:val="Hyperlink"/>
                <w:rFonts w:ascii="Calibri" w:hAnsi="Calibri" w:cs="Calibri"/>
                <w:noProof/>
              </w:rPr>
              <w:t>5. Business Case for Collecting, Storing and Sharing Knowledge</w:t>
            </w:r>
            <w:r w:rsidRPr="00EA1C67">
              <w:rPr>
                <w:rFonts w:ascii="Calibri" w:hAnsi="Calibri" w:cs="Calibri"/>
                <w:noProof/>
                <w:webHidden/>
              </w:rPr>
              <w:tab/>
            </w:r>
            <w:r w:rsidRPr="00EA1C67">
              <w:rPr>
                <w:rFonts w:ascii="Calibri" w:hAnsi="Calibri" w:cs="Calibri"/>
                <w:noProof/>
                <w:webHidden/>
              </w:rPr>
              <w:fldChar w:fldCharType="begin"/>
            </w:r>
            <w:r w:rsidRPr="00EA1C67">
              <w:rPr>
                <w:rFonts w:ascii="Calibri" w:hAnsi="Calibri" w:cs="Calibri"/>
                <w:noProof/>
                <w:webHidden/>
              </w:rPr>
              <w:instrText xml:space="preserve"> PAGEREF _Toc230325744 \h </w:instrText>
            </w:r>
            <w:r w:rsidRPr="00EA1C67">
              <w:rPr>
                <w:rFonts w:ascii="Calibri" w:hAnsi="Calibri" w:cs="Calibri"/>
                <w:noProof/>
                <w:webHidden/>
              </w:rPr>
            </w:r>
            <w:r w:rsidRPr="00EA1C67">
              <w:rPr>
                <w:rFonts w:ascii="Calibri" w:hAnsi="Calibri" w:cs="Calibri"/>
                <w:noProof/>
                <w:webHidden/>
              </w:rPr>
              <w:fldChar w:fldCharType="separate"/>
            </w:r>
            <w:r w:rsidRPr="00EA1C67">
              <w:rPr>
                <w:rFonts w:ascii="Calibri" w:hAnsi="Calibri" w:cs="Calibri"/>
                <w:noProof/>
                <w:webHidden/>
              </w:rPr>
              <w:t>8</w:t>
            </w:r>
            <w:r w:rsidRPr="00EA1C67">
              <w:rPr>
                <w:rFonts w:ascii="Calibri" w:hAnsi="Calibri" w:cs="Calibri"/>
                <w:noProof/>
                <w:webHidden/>
              </w:rPr>
              <w:fldChar w:fldCharType="end"/>
            </w:r>
          </w:hyperlink>
        </w:p>
        <w:p w14:paraId="119DB12E" w14:textId="2C859279" w:rsidR="00FC2BF8" w:rsidRPr="00EA1C67" w:rsidRDefault="00FC2BF8">
          <w:pPr>
            <w:pStyle w:val="TOC1"/>
            <w:tabs>
              <w:tab w:val="right" w:leader="dot" w:pos="9016"/>
            </w:tabs>
            <w:rPr>
              <w:rFonts w:ascii="Calibri" w:eastAsiaTheme="minorEastAsia" w:hAnsi="Calibri" w:cs="Calibri"/>
              <w:noProof/>
              <w:kern w:val="2"/>
              <w:szCs w:val="24"/>
              <w14:ligatures w14:val="standardContextual"/>
            </w:rPr>
          </w:pPr>
          <w:hyperlink w:anchor="_Toc230325745" w:history="1">
            <w:r w:rsidRPr="00EA1C67">
              <w:rPr>
                <w:rStyle w:val="Hyperlink"/>
                <w:rFonts w:ascii="Calibri" w:hAnsi="Calibri" w:cs="Calibri"/>
                <w:noProof/>
              </w:rPr>
              <w:t>6. GDPR, Confidentiality and Client Data Protection</w:t>
            </w:r>
            <w:r w:rsidRPr="00EA1C67">
              <w:rPr>
                <w:rFonts w:ascii="Calibri" w:hAnsi="Calibri" w:cs="Calibri"/>
                <w:noProof/>
                <w:webHidden/>
              </w:rPr>
              <w:tab/>
            </w:r>
            <w:r w:rsidRPr="00EA1C67">
              <w:rPr>
                <w:rFonts w:ascii="Calibri" w:hAnsi="Calibri" w:cs="Calibri"/>
                <w:noProof/>
                <w:webHidden/>
              </w:rPr>
              <w:fldChar w:fldCharType="begin"/>
            </w:r>
            <w:r w:rsidRPr="00EA1C67">
              <w:rPr>
                <w:rFonts w:ascii="Calibri" w:hAnsi="Calibri" w:cs="Calibri"/>
                <w:noProof/>
                <w:webHidden/>
              </w:rPr>
              <w:instrText xml:space="preserve"> PAGEREF _Toc230325745 \h </w:instrText>
            </w:r>
            <w:r w:rsidRPr="00EA1C67">
              <w:rPr>
                <w:rFonts w:ascii="Calibri" w:hAnsi="Calibri" w:cs="Calibri"/>
                <w:noProof/>
                <w:webHidden/>
              </w:rPr>
            </w:r>
            <w:r w:rsidRPr="00EA1C67">
              <w:rPr>
                <w:rFonts w:ascii="Calibri" w:hAnsi="Calibri" w:cs="Calibri"/>
                <w:noProof/>
                <w:webHidden/>
              </w:rPr>
              <w:fldChar w:fldCharType="separate"/>
            </w:r>
            <w:r w:rsidRPr="00EA1C67">
              <w:rPr>
                <w:rFonts w:ascii="Calibri" w:hAnsi="Calibri" w:cs="Calibri"/>
                <w:noProof/>
                <w:webHidden/>
              </w:rPr>
              <w:t>9</w:t>
            </w:r>
            <w:r w:rsidRPr="00EA1C67">
              <w:rPr>
                <w:rFonts w:ascii="Calibri" w:hAnsi="Calibri" w:cs="Calibri"/>
                <w:noProof/>
                <w:webHidden/>
              </w:rPr>
              <w:fldChar w:fldCharType="end"/>
            </w:r>
          </w:hyperlink>
        </w:p>
        <w:p w14:paraId="69A2F61E" w14:textId="0C5B6BAD" w:rsidR="00FC2BF8" w:rsidRPr="00EA1C67" w:rsidRDefault="00FC2BF8">
          <w:pPr>
            <w:pStyle w:val="TOC1"/>
            <w:tabs>
              <w:tab w:val="right" w:leader="dot" w:pos="9016"/>
            </w:tabs>
            <w:rPr>
              <w:rFonts w:ascii="Calibri" w:eastAsiaTheme="minorEastAsia" w:hAnsi="Calibri" w:cs="Calibri"/>
              <w:noProof/>
              <w:kern w:val="2"/>
              <w:szCs w:val="24"/>
              <w14:ligatures w14:val="standardContextual"/>
            </w:rPr>
          </w:pPr>
          <w:hyperlink w:anchor="_Toc230325746" w:history="1">
            <w:r w:rsidRPr="00EA1C67">
              <w:rPr>
                <w:rStyle w:val="Hyperlink"/>
                <w:rFonts w:ascii="Calibri" w:hAnsi="Calibri" w:cs="Calibri"/>
                <w:noProof/>
              </w:rPr>
              <w:t>7. SMART Knowledge Management Plan</w:t>
            </w:r>
            <w:r w:rsidRPr="00EA1C67">
              <w:rPr>
                <w:rFonts w:ascii="Calibri" w:hAnsi="Calibri" w:cs="Calibri"/>
                <w:noProof/>
                <w:webHidden/>
              </w:rPr>
              <w:tab/>
            </w:r>
            <w:r w:rsidRPr="00EA1C67">
              <w:rPr>
                <w:rFonts w:ascii="Calibri" w:hAnsi="Calibri" w:cs="Calibri"/>
                <w:noProof/>
                <w:webHidden/>
              </w:rPr>
              <w:fldChar w:fldCharType="begin"/>
            </w:r>
            <w:r w:rsidRPr="00EA1C67">
              <w:rPr>
                <w:rFonts w:ascii="Calibri" w:hAnsi="Calibri" w:cs="Calibri"/>
                <w:noProof/>
                <w:webHidden/>
              </w:rPr>
              <w:instrText xml:space="preserve"> PAGEREF _Toc230325746 \h </w:instrText>
            </w:r>
            <w:r w:rsidRPr="00EA1C67">
              <w:rPr>
                <w:rFonts w:ascii="Calibri" w:hAnsi="Calibri" w:cs="Calibri"/>
                <w:noProof/>
                <w:webHidden/>
              </w:rPr>
            </w:r>
            <w:r w:rsidRPr="00EA1C67">
              <w:rPr>
                <w:rFonts w:ascii="Calibri" w:hAnsi="Calibri" w:cs="Calibri"/>
                <w:noProof/>
                <w:webHidden/>
              </w:rPr>
              <w:fldChar w:fldCharType="separate"/>
            </w:r>
            <w:r w:rsidRPr="00EA1C67">
              <w:rPr>
                <w:rFonts w:ascii="Calibri" w:hAnsi="Calibri" w:cs="Calibri"/>
                <w:noProof/>
                <w:webHidden/>
              </w:rPr>
              <w:t>10</w:t>
            </w:r>
            <w:r w:rsidRPr="00EA1C67">
              <w:rPr>
                <w:rFonts w:ascii="Calibri" w:hAnsi="Calibri" w:cs="Calibri"/>
                <w:noProof/>
                <w:webHidden/>
              </w:rPr>
              <w:fldChar w:fldCharType="end"/>
            </w:r>
          </w:hyperlink>
        </w:p>
        <w:p w14:paraId="2BC8D6E2" w14:textId="3AAA44B2" w:rsidR="00FC2BF8" w:rsidRPr="00EA1C67" w:rsidRDefault="00FC2BF8">
          <w:pPr>
            <w:pStyle w:val="TOC1"/>
            <w:tabs>
              <w:tab w:val="right" w:leader="dot" w:pos="9016"/>
            </w:tabs>
            <w:rPr>
              <w:rFonts w:ascii="Calibri" w:eastAsiaTheme="minorEastAsia" w:hAnsi="Calibri" w:cs="Calibri"/>
              <w:noProof/>
              <w:kern w:val="2"/>
              <w:szCs w:val="24"/>
              <w14:ligatures w14:val="standardContextual"/>
            </w:rPr>
          </w:pPr>
          <w:hyperlink w:anchor="_Toc230325747" w:history="1">
            <w:r w:rsidRPr="00EA1C67">
              <w:rPr>
                <w:rStyle w:val="Hyperlink"/>
                <w:rFonts w:ascii="Calibri" w:hAnsi="Calibri" w:cs="Calibri"/>
                <w:noProof/>
              </w:rPr>
              <w:t>8. Inspiring Clients and People Working in the Salon through a Knowledge Culture</w:t>
            </w:r>
            <w:r w:rsidRPr="00EA1C67">
              <w:rPr>
                <w:rFonts w:ascii="Calibri" w:hAnsi="Calibri" w:cs="Calibri"/>
                <w:noProof/>
                <w:webHidden/>
              </w:rPr>
              <w:tab/>
            </w:r>
            <w:r w:rsidRPr="00EA1C67">
              <w:rPr>
                <w:rFonts w:ascii="Calibri" w:hAnsi="Calibri" w:cs="Calibri"/>
                <w:noProof/>
                <w:webHidden/>
              </w:rPr>
              <w:fldChar w:fldCharType="begin"/>
            </w:r>
            <w:r w:rsidRPr="00EA1C67">
              <w:rPr>
                <w:rFonts w:ascii="Calibri" w:hAnsi="Calibri" w:cs="Calibri"/>
                <w:noProof/>
                <w:webHidden/>
              </w:rPr>
              <w:instrText xml:space="preserve"> PAGEREF _Toc230325747 \h </w:instrText>
            </w:r>
            <w:r w:rsidRPr="00EA1C67">
              <w:rPr>
                <w:rFonts w:ascii="Calibri" w:hAnsi="Calibri" w:cs="Calibri"/>
                <w:noProof/>
                <w:webHidden/>
              </w:rPr>
            </w:r>
            <w:r w:rsidRPr="00EA1C67">
              <w:rPr>
                <w:rFonts w:ascii="Calibri" w:hAnsi="Calibri" w:cs="Calibri"/>
                <w:noProof/>
                <w:webHidden/>
              </w:rPr>
              <w:fldChar w:fldCharType="separate"/>
            </w:r>
            <w:r w:rsidRPr="00EA1C67">
              <w:rPr>
                <w:rFonts w:ascii="Calibri" w:hAnsi="Calibri" w:cs="Calibri"/>
                <w:noProof/>
                <w:webHidden/>
              </w:rPr>
              <w:t>12</w:t>
            </w:r>
            <w:r w:rsidRPr="00EA1C67">
              <w:rPr>
                <w:rFonts w:ascii="Calibri" w:hAnsi="Calibri" w:cs="Calibri"/>
                <w:noProof/>
                <w:webHidden/>
              </w:rPr>
              <w:fldChar w:fldCharType="end"/>
            </w:r>
          </w:hyperlink>
        </w:p>
        <w:p w14:paraId="52E86ADA" w14:textId="5593E06C" w:rsidR="00FC2BF8" w:rsidRPr="00EA1C67" w:rsidRDefault="00FC2BF8">
          <w:pPr>
            <w:pStyle w:val="TOC1"/>
            <w:tabs>
              <w:tab w:val="right" w:leader="dot" w:pos="9016"/>
            </w:tabs>
            <w:rPr>
              <w:rFonts w:ascii="Calibri" w:eastAsiaTheme="minorEastAsia" w:hAnsi="Calibri" w:cs="Calibri"/>
              <w:noProof/>
              <w:kern w:val="2"/>
              <w:szCs w:val="24"/>
              <w14:ligatures w14:val="standardContextual"/>
            </w:rPr>
          </w:pPr>
          <w:hyperlink w:anchor="_Toc230325748" w:history="1">
            <w:r w:rsidRPr="00EA1C67">
              <w:rPr>
                <w:rStyle w:val="Hyperlink"/>
                <w:rFonts w:ascii="Calibri" w:hAnsi="Calibri" w:cs="Calibri"/>
                <w:noProof/>
              </w:rPr>
              <w:t>9. Key Performance Indicators and Monitoring</w:t>
            </w:r>
            <w:r w:rsidRPr="00EA1C67">
              <w:rPr>
                <w:rFonts w:ascii="Calibri" w:hAnsi="Calibri" w:cs="Calibri"/>
                <w:noProof/>
                <w:webHidden/>
              </w:rPr>
              <w:tab/>
            </w:r>
            <w:r w:rsidRPr="00EA1C67">
              <w:rPr>
                <w:rFonts w:ascii="Calibri" w:hAnsi="Calibri" w:cs="Calibri"/>
                <w:noProof/>
                <w:webHidden/>
              </w:rPr>
              <w:fldChar w:fldCharType="begin"/>
            </w:r>
            <w:r w:rsidRPr="00EA1C67">
              <w:rPr>
                <w:rFonts w:ascii="Calibri" w:hAnsi="Calibri" w:cs="Calibri"/>
                <w:noProof/>
                <w:webHidden/>
              </w:rPr>
              <w:instrText xml:space="preserve"> PAGEREF _Toc230325748 \h </w:instrText>
            </w:r>
            <w:r w:rsidRPr="00EA1C67">
              <w:rPr>
                <w:rFonts w:ascii="Calibri" w:hAnsi="Calibri" w:cs="Calibri"/>
                <w:noProof/>
                <w:webHidden/>
              </w:rPr>
            </w:r>
            <w:r w:rsidRPr="00EA1C67">
              <w:rPr>
                <w:rFonts w:ascii="Calibri" w:hAnsi="Calibri" w:cs="Calibri"/>
                <w:noProof/>
                <w:webHidden/>
              </w:rPr>
              <w:fldChar w:fldCharType="separate"/>
            </w:r>
            <w:r w:rsidRPr="00EA1C67">
              <w:rPr>
                <w:rFonts w:ascii="Calibri" w:hAnsi="Calibri" w:cs="Calibri"/>
                <w:noProof/>
                <w:webHidden/>
              </w:rPr>
              <w:t>13</w:t>
            </w:r>
            <w:r w:rsidRPr="00EA1C67">
              <w:rPr>
                <w:rFonts w:ascii="Calibri" w:hAnsi="Calibri" w:cs="Calibri"/>
                <w:noProof/>
                <w:webHidden/>
              </w:rPr>
              <w:fldChar w:fldCharType="end"/>
            </w:r>
          </w:hyperlink>
        </w:p>
        <w:p w14:paraId="3958035D" w14:textId="44890BC0" w:rsidR="00FC2BF8" w:rsidRPr="00EA1C67" w:rsidRDefault="00FC2BF8">
          <w:pPr>
            <w:pStyle w:val="TOC2"/>
            <w:tabs>
              <w:tab w:val="right" w:leader="dot" w:pos="9016"/>
            </w:tabs>
            <w:rPr>
              <w:rFonts w:ascii="Calibri" w:eastAsiaTheme="minorEastAsia" w:hAnsi="Calibri" w:cs="Calibri"/>
              <w:noProof/>
              <w:kern w:val="2"/>
              <w:szCs w:val="24"/>
              <w14:ligatures w14:val="standardContextual"/>
            </w:rPr>
          </w:pPr>
          <w:hyperlink w:anchor="_Toc230325749" w:history="1">
            <w:r w:rsidRPr="00EA1C67">
              <w:rPr>
                <w:rStyle w:val="Hyperlink"/>
                <w:rFonts w:ascii="Calibri" w:hAnsi="Calibri" w:cs="Calibri"/>
                <w:noProof/>
              </w:rPr>
              <w:t>9.1 Information Required by the Business</w:t>
            </w:r>
            <w:r w:rsidRPr="00EA1C67">
              <w:rPr>
                <w:rFonts w:ascii="Calibri" w:hAnsi="Calibri" w:cs="Calibri"/>
                <w:noProof/>
                <w:webHidden/>
              </w:rPr>
              <w:tab/>
            </w:r>
            <w:r w:rsidRPr="00EA1C67">
              <w:rPr>
                <w:rFonts w:ascii="Calibri" w:hAnsi="Calibri" w:cs="Calibri"/>
                <w:noProof/>
                <w:webHidden/>
              </w:rPr>
              <w:fldChar w:fldCharType="begin"/>
            </w:r>
            <w:r w:rsidRPr="00EA1C67">
              <w:rPr>
                <w:rFonts w:ascii="Calibri" w:hAnsi="Calibri" w:cs="Calibri"/>
                <w:noProof/>
                <w:webHidden/>
              </w:rPr>
              <w:instrText xml:space="preserve"> PAGEREF _Toc230325749 \h </w:instrText>
            </w:r>
            <w:r w:rsidRPr="00EA1C67">
              <w:rPr>
                <w:rFonts w:ascii="Calibri" w:hAnsi="Calibri" w:cs="Calibri"/>
                <w:noProof/>
                <w:webHidden/>
              </w:rPr>
            </w:r>
            <w:r w:rsidRPr="00EA1C67">
              <w:rPr>
                <w:rFonts w:ascii="Calibri" w:hAnsi="Calibri" w:cs="Calibri"/>
                <w:noProof/>
                <w:webHidden/>
              </w:rPr>
              <w:fldChar w:fldCharType="separate"/>
            </w:r>
            <w:r w:rsidRPr="00EA1C67">
              <w:rPr>
                <w:rFonts w:ascii="Calibri" w:hAnsi="Calibri" w:cs="Calibri"/>
                <w:noProof/>
                <w:webHidden/>
              </w:rPr>
              <w:t>13</w:t>
            </w:r>
            <w:r w:rsidRPr="00EA1C67">
              <w:rPr>
                <w:rFonts w:ascii="Calibri" w:hAnsi="Calibri" w:cs="Calibri"/>
                <w:noProof/>
                <w:webHidden/>
              </w:rPr>
              <w:fldChar w:fldCharType="end"/>
            </w:r>
          </w:hyperlink>
        </w:p>
        <w:p w14:paraId="0085DC48" w14:textId="59EAE923" w:rsidR="00FC2BF8" w:rsidRPr="00EA1C67" w:rsidRDefault="00FC2BF8">
          <w:pPr>
            <w:pStyle w:val="TOC1"/>
            <w:tabs>
              <w:tab w:val="right" w:leader="dot" w:pos="9016"/>
            </w:tabs>
            <w:rPr>
              <w:rFonts w:ascii="Calibri" w:eastAsiaTheme="minorEastAsia" w:hAnsi="Calibri" w:cs="Calibri"/>
              <w:noProof/>
              <w:kern w:val="2"/>
              <w:szCs w:val="24"/>
              <w14:ligatures w14:val="standardContextual"/>
            </w:rPr>
          </w:pPr>
          <w:hyperlink w:anchor="_Toc230325750" w:history="1">
            <w:r w:rsidRPr="00EA1C67">
              <w:rPr>
                <w:rStyle w:val="Hyperlink"/>
                <w:rFonts w:ascii="Calibri" w:hAnsi="Calibri" w:cs="Calibri"/>
                <w:noProof/>
              </w:rPr>
              <w:t>10. Conclusion</w:t>
            </w:r>
            <w:r w:rsidRPr="00EA1C67">
              <w:rPr>
                <w:rFonts w:ascii="Calibri" w:hAnsi="Calibri" w:cs="Calibri"/>
                <w:noProof/>
                <w:webHidden/>
              </w:rPr>
              <w:tab/>
            </w:r>
            <w:r w:rsidRPr="00EA1C67">
              <w:rPr>
                <w:rFonts w:ascii="Calibri" w:hAnsi="Calibri" w:cs="Calibri"/>
                <w:noProof/>
                <w:webHidden/>
              </w:rPr>
              <w:fldChar w:fldCharType="begin"/>
            </w:r>
            <w:r w:rsidRPr="00EA1C67">
              <w:rPr>
                <w:rFonts w:ascii="Calibri" w:hAnsi="Calibri" w:cs="Calibri"/>
                <w:noProof/>
                <w:webHidden/>
              </w:rPr>
              <w:instrText xml:space="preserve"> PAGEREF _Toc230325750 \h </w:instrText>
            </w:r>
            <w:r w:rsidRPr="00EA1C67">
              <w:rPr>
                <w:rFonts w:ascii="Calibri" w:hAnsi="Calibri" w:cs="Calibri"/>
                <w:noProof/>
                <w:webHidden/>
              </w:rPr>
            </w:r>
            <w:r w:rsidRPr="00EA1C67">
              <w:rPr>
                <w:rFonts w:ascii="Calibri" w:hAnsi="Calibri" w:cs="Calibri"/>
                <w:noProof/>
                <w:webHidden/>
              </w:rPr>
              <w:fldChar w:fldCharType="separate"/>
            </w:r>
            <w:r w:rsidRPr="00EA1C67">
              <w:rPr>
                <w:rFonts w:ascii="Calibri" w:hAnsi="Calibri" w:cs="Calibri"/>
                <w:noProof/>
                <w:webHidden/>
              </w:rPr>
              <w:t>14</w:t>
            </w:r>
            <w:r w:rsidRPr="00EA1C67">
              <w:rPr>
                <w:rFonts w:ascii="Calibri" w:hAnsi="Calibri" w:cs="Calibri"/>
                <w:noProof/>
                <w:webHidden/>
              </w:rPr>
              <w:fldChar w:fldCharType="end"/>
            </w:r>
          </w:hyperlink>
        </w:p>
        <w:p w14:paraId="2A60734D" w14:textId="7FE894AD" w:rsidR="00FC2BF8" w:rsidRPr="00EA1C67" w:rsidRDefault="00FC2BF8">
          <w:pPr>
            <w:pStyle w:val="TOC1"/>
            <w:tabs>
              <w:tab w:val="right" w:leader="dot" w:pos="9016"/>
            </w:tabs>
            <w:rPr>
              <w:rFonts w:ascii="Calibri" w:eastAsiaTheme="minorEastAsia" w:hAnsi="Calibri" w:cs="Calibri"/>
              <w:noProof/>
              <w:kern w:val="2"/>
              <w:szCs w:val="24"/>
              <w14:ligatures w14:val="standardContextual"/>
            </w:rPr>
          </w:pPr>
          <w:hyperlink w:anchor="_Toc230325751" w:history="1">
            <w:r w:rsidRPr="00EA1C67">
              <w:rPr>
                <w:rStyle w:val="Hyperlink"/>
                <w:rFonts w:ascii="Calibri" w:hAnsi="Calibri" w:cs="Calibri"/>
                <w:noProof/>
              </w:rPr>
              <w:t>11. References</w:t>
            </w:r>
            <w:r w:rsidRPr="00EA1C67">
              <w:rPr>
                <w:rFonts w:ascii="Calibri" w:hAnsi="Calibri" w:cs="Calibri"/>
                <w:noProof/>
                <w:webHidden/>
              </w:rPr>
              <w:tab/>
            </w:r>
            <w:r w:rsidRPr="00EA1C67">
              <w:rPr>
                <w:rFonts w:ascii="Calibri" w:hAnsi="Calibri" w:cs="Calibri"/>
                <w:noProof/>
                <w:webHidden/>
              </w:rPr>
              <w:fldChar w:fldCharType="begin"/>
            </w:r>
            <w:r w:rsidRPr="00EA1C67">
              <w:rPr>
                <w:rFonts w:ascii="Calibri" w:hAnsi="Calibri" w:cs="Calibri"/>
                <w:noProof/>
                <w:webHidden/>
              </w:rPr>
              <w:instrText xml:space="preserve"> PAGEREF _Toc230325751 \h </w:instrText>
            </w:r>
            <w:r w:rsidRPr="00EA1C67">
              <w:rPr>
                <w:rFonts w:ascii="Calibri" w:hAnsi="Calibri" w:cs="Calibri"/>
                <w:noProof/>
                <w:webHidden/>
              </w:rPr>
            </w:r>
            <w:r w:rsidRPr="00EA1C67">
              <w:rPr>
                <w:rFonts w:ascii="Calibri" w:hAnsi="Calibri" w:cs="Calibri"/>
                <w:noProof/>
                <w:webHidden/>
              </w:rPr>
              <w:fldChar w:fldCharType="separate"/>
            </w:r>
            <w:r w:rsidRPr="00EA1C67">
              <w:rPr>
                <w:rFonts w:ascii="Calibri" w:hAnsi="Calibri" w:cs="Calibri"/>
                <w:noProof/>
                <w:webHidden/>
              </w:rPr>
              <w:t>15</w:t>
            </w:r>
            <w:r w:rsidRPr="00EA1C67">
              <w:rPr>
                <w:rFonts w:ascii="Calibri" w:hAnsi="Calibri" w:cs="Calibri"/>
                <w:noProof/>
                <w:webHidden/>
              </w:rPr>
              <w:fldChar w:fldCharType="end"/>
            </w:r>
          </w:hyperlink>
        </w:p>
        <w:p w14:paraId="51340CD7" w14:textId="4C94C4D0" w:rsidR="00FC2BF8" w:rsidRPr="00EA1C67" w:rsidRDefault="00FC2BF8">
          <w:pPr>
            <w:pStyle w:val="TOC1"/>
            <w:tabs>
              <w:tab w:val="right" w:leader="dot" w:pos="9016"/>
            </w:tabs>
            <w:rPr>
              <w:rFonts w:ascii="Calibri" w:eastAsiaTheme="minorEastAsia" w:hAnsi="Calibri" w:cs="Calibri"/>
              <w:noProof/>
              <w:kern w:val="2"/>
              <w:szCs w:val="24"/>
              <w14:ligatures w14:val="standardContextual"/>
            </w:rPr>
          </w:pPr>
          <w:hyperlink w:anchor="_Toc230325752" w:history="1">
            <w:r w:rsidRPr="00EA1C67">
              <w:rPr>
                <w:rStyle w:val="Hyperlink"/>
                <w:rFonts w:ascii="Calibri" w:hAnsi="Calibri" w:cs="Calibri"/>
                <w:noProof/>
              </w:rPr>
              <w:t>12. Appendix</w:t>
            </w:r>
            <w:r w:rsidRPr="00EA1C67">
              <w:rPr>
                <w:rFonts w:ascii="Calibri" w:hAnsi="Calibri" w:cs="Calibri"/>
                <w:noProof/>
                <w:webHidden/>
              </w:rPr>
              <w:tab/>
            </w:r>
            <w:r w:rsidRPr="00EA1C67">
              <w:rPr>
                <w:rFonts w:ascii="Calibri" w:hAnsi="Calibri" w:cs="Calibri"/>
                <w:noProof/>
                <w:webHidden/>
              </w:rPr>
              <w:fldChar w:fldCharType="begin"/>
            </w:r>
            <w:r w:rsidRPr="00EA1C67">
              <w:rPr>
                <w:rFonts w:ascii="Calibri" w:hAnsi="Calibri" w:cs="Calibri"/>
                <w:noProof/>
                <w:webHidden/>
              </w:rPr>
              <w:instrText xml:space="preserve"> PAGEREF _Toc230325752 \h </w:instrText>
            </w:r>
            <w:r w:rsidRPr="00EA1C67">
              <w:rPr>
                <w:rFonts w:ascii="Calibri" w:hAnsi="Calibri" w:cs="Calibri"/>
                <w:noProof/>
                <w:webHidden/>
              </w:rPr>
            </w:r>
            <w:r w:rsidRPr="00EA1C67">
              <w:rPr>
                <w:rFonts w:ascii="Calibri" w:hAnsi="Calibri" w:cs="Calibri"/>
                <w:noProof/>
                <w:webHidden/>
              </w:rPr>
              <w:fldChar w:fldCharType="separate"/>
            </w:r>
            <w:r w:rsidRPr="00EA1C67">
              <w:rPr>
                <w:rFonts w:ascii="Calibri" w:hAnsi="Calibri" w:cs="Calibri"/>
                <w:noProof/>
                <w:webHidden/>
              </w:rPr>
              <w:t>17</w:t>
            </w:r>
            <w:r w:rsidRPr="00EA1C67">
              <w:rPr>
                <w:rFonts w:ascii="Calibri" w:hAnsi="Calibri" w:cs="Calibri"/>
                <w:noProof/>
                <w:webHidden/>
              </w:rPr>
              <w:fldChar w:fldCharType="end"/>
            </w:r>
          </w:hyperlink>
        </w:p>
        <w:p w14:paraId="54DD7E77" w14:textId="3667FE6D" w:rsidR="00FC2BF8" w:rsidRPr="00EA1C67" w:rsidRDefault="00FC2BF8">
          <w:pPr>
            <w:pStyle w:val="TOC2"/>
            <w:tabs>
              <w:tab w:val="right" w:leader="dot" w:pos="9016"/>
            </w:tabs>
            <w:rPr>
              <w:rFonts w:ascii="Calibri" w:eastAsiaTheme="minorEastAsia" w:hAnsi="Calibri" w:cs="Calibri"/>
              <w:noProof/>
              <w:kern w:val="2"/>
              <w:szCs w:val="24"/>
              <w14:ligatures w14:val="standardContextual"/>
            </w:rPr>
          </w:pPr>
          <w:hyperlink w:anchor="_Toc230325753" w:history="1">
            <w:r w:rsidRPr="00EA1C67">
              <w:rPr>
                <w:rStyle w:val="Hyperlink"/>
                <w:rFonts w:ascii="Calibri" w:hAnsi="Calibri" w:cs="Calibri"/>
                <w:noProof/>
              </w:rPr>
              <w:t>Appendix A: Suggested Client Privacy Notice Template</w:t>
            </w:r>
            <w:r w:rsidRPr="00EA1C67">
              <w:rPr>
                <w:rFonts w:ascii="Calibri" w:hAnsi="Calibri" w:cs="Calibri"/>
                <w:noProof/>
                <w:webHidden/>
              </w:rPr>
              <w:tab/>
            </w:r>
            <w:r w:rsidRPr="00EA1C67">
              <w:rPr>
                <w:rFonts w:ascii="Calibri" w:hAnsi="Calibri" w:cs="Calibri"/>
                <w:noProof/>
                <w:webHidden/>
              </w:rPr>
              <w:fldChar w:fldCharType="begin"/>
            </w:r>
            <w:r w:rsidRPr="00EA1C67">
              <w:rPr>
                <w:rFonts w:ascii="Calibri" w:hAnsi="Calibri" w:cs="Calibri"/>
                <w:noProof/>
                <w:webHidden/>
              </w:rPr>
              <w:instrText xml:space="preserve"> PAGEREF _Toc230325753 \h </w:instrText>
            </w:r>
            <w:r w:rsidRPr="00EA1C67">
              <w:rPr>
                <w:rFonts w:ascii="Calibri" w:hAnsi="Calibri" w:cs="Calibri"/>
                <w:noProof/>
                <w:webHidden/>
              </w:rPr>
            </w:r>
            <w:r w:rsidRPr="00EA1C67">
              <w:rPr>
                <w:rFonts w:ascii="Calibri" w:hAnsi="Calibri" w:cs="Calibri"/>
                <w:noProof/>
                <w:webHidden/>
              </w:rPr>
              <w:fldChar w:fldCharType="separate"/>
            </w:r>
            <w:r w:rsidRPr="00EA1C67">
              <w:rPr>
                <w:rFonts w:ascii="Calibri" w:hAnsi="Calibri" w:cs="Calibri"/>
                <w:noProof/>
                <w:webHidden/>
              </w:rPr>
              <w:t>17</w:t>
            </w:r>
            <w:r w:rsidRPr="00EA1C67">
              <w:rPr>
                <w:rFonts w:ascii="Calibri" w:hAnsi="Calibri" w:cs="Calibri"/>
                <w:noProof/>
                <w:webHidden/>
              </w:rPr>
              <w:fldChar w:fldCharType="end"/>
            </w:r>
          </w:hyperlink>
        </w:p>
        <w:p w14:paraId="50498208" w14:textId="46043EB9" w:rsidR="00FC2BF8" w:rsidRPr="00EA1C67" w:rsidRDefault="00FC2BF8">
          <w:pPr>
            <w:pStyle w:val="TOC2"/>
            <w:tabs>
              <w:tab w:val="right" w:leader="dot" w:pos="9016"/>
            </w:tabs>
            <w:rPr>
              <w:rFonts w:ascii="Calibri" w:eastAsiaTheme="minorEastAsia" w:hAnsi="Calibri" w:cs="Calibri"/>
              <w:noProof/>
              <w:kern w:val="2"/>
              <w:szCs w:val="24"/>
              <w14:ligatures w14:val="standardContextual"/>
            </w:rPr>
          </w:pPr>
          <w:hyperlink w:anchor="_Toc230325754" w:history="1">
            <w:r w:rsidRPr="00EA1C67">
              <w:rPr>
                <w:rStyle w:val="Hyperlink"/>
                <w:rFonts w:ascii="Calibri" w:hAnsi="Calibri" w:cs="Calibri"/>
                <w:noProof/>
              </w:rPr>
              <w:t>Appendix B: Annual Knowledge Management Review Checklist</w:t>
            </w:r>
            <w:r w:rsidRPr="00EA1C67">
              <w:rPr>
                <w:rFonts w:ascii="Calibri" w:hAnsi="Calibri" w:cs="Calibri"/>
                <w:noProof/>
                <w:webHidden/>
              </w:rPr>
              <w:tab/>
            </w:r>
            <w:r w:rsidRPr="00EA1C67">
              <w:rPr>
                <w:rFonts w:ascii="Calibri" w:hAnsi="Calibri" w:cs="Calibri"/>
                <w:noProof/>
                <w:webHidden/>
              </w:rPr>
              <w:fldChar w:fldCharType="begin"/>
            </w:r>
            <w:r w:rsidRPr="00EA1C67">
              <w:rPr>
                <w:rFonts w:ascii="Calibri" w:hAnsi="Calibri" w:cs="Calibri"/>
                <w:noProof/>
                <w:webHidden/>
              </w:rPr>
              <w:instrText xml:space="preserve"> PAGEREF _Toc230325754 \h </w:instrText>
            </w:r>
            <w:r w:rsidRPr="00EA1C67">
              <w:rPr>
                <w:rFonts w:ascii="Calibri" w:hAnsi="Calibri" w:cs="Calibri"/>
                <w:noProof/>
                <w:webHidden/>
              </w:rPr>
            </w:r>
            <w:r w:rsidRPr="00EA1C67">
              <w:rPr>
                <w:rFonts w:ascii="Calibri" w:hAnsi="Calibri" w:cs="Calibri"/>
                <w:noProof/>
                <w:webHidden/>
              </w:rPr>
              <w:fldChar w:fldCharType="separate"/>
            </w:r>
            <w:r w:rsidRPr="00EA1C67">
              <w:rPr>
                <w:rFonts w:ascii="Calibri" w:hAnsi="Calibri" w:cs="Calibri"/>
                <w:noProof/>
                <w:webHidden/>
              </w:rPr>
              <w:t>19</w:t>
            </w:r>
            <w:r w:rsidRPr="00EA1C67">
              <w:rPr>
                <w:rFonts w:ascii="Calibri" w:hAnsi="Calibri" w:cs="Calibri"/>
                <w:noProof/>
                <w:webHidden/>
              </w:rPr>
              <w:fldChar w:fldCharType="end"/>
            </w:r>
          </w:hyperlink>
        </w:p>
        <w:p w14:paraId="1891B107" w14:textId="76BDD54D" w:rsidR="00F63BBD" w:rsidRPr="00EA1C67" w:rsidRDefault="00F63BBD" w:rsidP="00F63BBD">
          <w:pPr>
            <w:spacing w:line="360" w:lineRule="auto"/>
            <w:rPr>
              <w:rFonts w:ascii="Calibri" w:hAnsi="Calibri" w:cs="Calibri"/>
            </w:rPr>
          </w:pPr>
          <w:r w:rsidRPr="00EA1C67">
            <w:rPr>
              <w:rFonts w:ascii="Calibri" w:hAnsi="Calibri" w:cs="Calibri"/>
              <w:b/>
              <w:bCs/>
              <w:noProof/>
            </w:rPr>
            <w:fldChar w:fldCharType="end"/>
          </w:r>
        </w:p>
      </w:sdtContent>
    </w:sdt>
    <w:p w14:paraId="2DA4EE8B" w14:textId="44499B33" w:rsidR="00AB1A3A" w:rsidRPr="00EA1C67" w:rsidRDefault="00AB1A3A" w:rsidP="00F63BBD">
      <w:pPr>
        <w:spacing w:after="160" w:line="360" w:lineRule="auto"/>
        <w:rPr>
          <w:rFonts w:ascii="Calibri" w:hAnsi="Calibri" w:cs="Calibri"/>
        </w:rPr>
      </w:pPr>
      <w:r w:rsidRPr="00EA1C67">
        <w:rPr>
          <w:rFonts w:ascii="Calibri" w:hAnsi="Calibri" w:cs="Calibri"/>
        </w:rPr>
        <w:br w:type="page"/>
      </w:r>
    </w:p>
    <w:p w14:paraId="41662F94" w14:textId="77777777" w:rsidR="0037115C" w:rsidRPr="00EA1C67" w:rsidRDefault="0037115C" w:rsidP="0037115C">
      <w:pPr>
        <w:pStyle w:val="Heading1"/>
        <w:spacing w:before="200" w:after="120" w:line="360" w:lineRule="auto"/>
        <w:jc w:val="both"/>
        <w:rPr>
          <w:rFonts w:ascii="Calibri" w:hAnsi="Calibri" w:cs="Calibri"/>
        </w:rPr>
      </w:pPr>
      <w:bookmarkStart w:id="0" w:name="_Toc230325740"/>
      <w:r w:rsidRPr="00EA1C67">
        <w:rPr>
          <w:rFonts w:ascii="Calibri" w:eastAsia="Times New Roman" w:hAnsi="Calibri" w:cs="Calibri"/>
        </w:rPr>
        <w:lastRenderedPageBreak/>
        <w:t>1. Introduction to Honey-Love Aesthetics and the Knowledge Economy</w:t>
      </w:r>
      <w:bookmarkEnd w:id="0"/>
    </w:p>
    <w:p w14:paraId="083C0507" w14:textId="77777777" w:rsidR="0037115C" w:rsidRPr="00EA1C67" w:rsidRDefault="0037115C" w:rsidP="0037115C">
      <w:pPr>
        <w:spacing w:after="120" w:line="360" w:lineRule="auto"/>
        <w:jc w:val="both"/>
        <w:rPr>
          <w:rFonts w:ascii="Calibri" w:hAnsi="Calibri" w:cs="Calibri"/>
        </w:rPr>
      </w:pPr>
      <w:r w:rsidRPr="00EA1C67">
        <w:rPr>
          <w:rFonts w:ascii="Calibri" w:hAnsi="Calibri" w:cs="Calibri"/>
        </w:rPr>
        <w:t xml:space="preserve">Honey-Love Aesthetics by Michelle is a self-employed beauty and aesthetics business that has operated from a salon environment for more than four years. The business provides aesthetic and wellbeing treatments including dermal fillers, snatched contouring packages, lip filler, Botox-related anti-wrinkle services through appropriate prescribing routes, B12 injections, fat-dissolving treatments and related consultation and aftercare support. Although the business is </w:t>
      </w:r>
      <w:proofErr w:type="gramStart"/>
      <w:r w:rsidRPr="00EA1C67">
        <w:rPr>
          <w:rFonts w:ascii="Calibri" w:hAnsi="Calibri" w:cs="Calibri"/>
        </w:rPr>
        <w:t>small in size</w:t>
      </w:r>
      <w:proofErr w:type="gramEnd"/>
      <w:r w:rsidRPr="00EA1C67">
        <w:rPr>
          <w:rFonts w:ascii="Calibri" w:hAnsi="Calibri" w:cs="Calibri"/>
        </w:rPr>
        <w:t>, it is highly knowledge intensive. Its value is not created only by the physical act of carrying out treatments, but by the owner’s specialist judgement, client consultation skills, safety awareness, treatment planning, confidentiality practices, aftercare knowledge and ability to build trust. This makes the salon a relevant example of a workplace operating within the knowledge economy.</w:t>
      </w:r>
    </w:p>
    <w:p w14:paraId="7E17BF0F" w14:textId="3FF84565" w:rsidR="0037115C" w:rsidRPr="00EA1C67" w:rsidRDefault="0037115C" w:rsidP="0037115C">
      <w:pPr>
        <w:spacing w:after="120" w:line="360" w:lineRule="auto"/>
        <w:jc w:val="both"/>
        <w:rPr>
          <w:rFonts w:ascii="Calibri" w:hAnsi="Calibri" w:cs="Calibri"/>
        </w:rPr>
      </w:pPr>
      <w:r w:rsidRPr="00EA1C67">
        <w:rPr>
          <w:rFonts w:ascii="Calibri" w:hAnsi="Calibri" w:cs="Calibri"/>
        </w:rPr>
        <w:t>The knowledge economy describes production and services that rely strongly on knowledge-intensive activity rather than only physical assets (Powell &amp; Snellman, 2004). In a beauty and aesthetics context, the visible service is the treatment, but the invisible foundation is knowledge. Michelle must understand the client’s desired outcome, medical history, previous treatments, contraindications, consent, product suitability, facial balance, treatment risks, aftercare needs and record-keeping responsibilities. The purpose of this report is to produce a strategic knowledge management plan for Honey-Love Aesthetics by Michelle. The plan evaluates the concept of knowledge management, explains the relationship between data, information, knowledge and personal data, identifies current knowledge assets, and proposes a framework for creating, storing, sharing, protecting and using knowledge within the salon. The report also explains why client information requires strong protection under UK GDPR and the Data Protection Act 2018, and why treatment records and consent forms are retained for six years for insurance and professional evidence purposes. The final plan is presented using SMART objectives and KPIs so that it can be used practically in the workplace rather than remaining only a theoretical discussion.</w:t>
      </w:r>
    </w:p>
    <w:p w14:paraId="3C082582" w14:textId="77777777" w:rsidR="0037115C" w:rsidRPr="00EA1C67" w:rsidRDefault="0037115C" w:rsidP="0037115C">
      <w:pPr>
        <w:pStyle w:val="Heading1"/>
        <w:spacing w:before="200" w:after="120" w:line="360" w:lineRule="auto"/>
        <w:jc w:val="both"/>
        <w:rPr>
          <w:rFonts w:ascii="Calibri" w:hAnsi="Calibri" w:cs="Calibri"/>
        </w:rPr>
      </w:pPr>
      <w:bookmarkStart w:id="1" w:name="_Toc230325741"/>
      <w:r w:rsidRPr="00EA1C67">
        <w:rPr>
          <w:rFonts w:ascii="Calibri" w:eastAsia="Times New Roman" w:hAnsi="Calibri" w:cs="Calibri"/>
        </w:rPr>
        <w:t>2. Concept of Knowledge Management: Data, Information, Knowledge and Personal Data</w:t>
      </w:r>
      <w:bookmarkEnd w:id="1"/>
    </w:p>
    <w:p w14:paraId="1F93D19B" w14:textId="77777777" w:rsidR="0037115C" w:rsidRPr="00EA1C67" w:rsidRDefault="0037115C" w:rsidP="0037115C">
      <w:pPr>
        <w:spacing w:after="120" w:line="360" w:lineRule="auto"/>
        <w:jc w:val="both"/>
        <w:rPr>
          <w:rFonts w:ascii="Calibri" w:hAnsi="Calibri" w:cs="Calibri"/>
        </w:rPr>
      </w:pPr>
      <w:r w:rsidRPr="00EA1C67">
        <w:rPr>
          <w:rFonts w:ascii="Calibri" w:hAnsi="Calibri" w:cs="Calibri"/>
        </w:rPr>
        <w:t xml:space="preserve">Knowledge management is the planned process through which an organisation creates, captures, stores, shares, applies and reviews knowledge to improve performance. Alavi and </w:t>
      </w:r>
      <w:r w:rsidRPr="00EA1C67">
        <w:rPr>
          <w:rFonts w:ascii="Calibri" w:hAnsi="Calibri" w:cs="Calibri"/>
        </w:rPr>
        <w:lastRenderedPageBreak/>
        <w:t xml:space="preserve">Leidner (2001) describe knowledge management systems as organisational arrangements that support knowledge creation, storage, retrieval, transfer and application. </w:t>
      </w:r>
      <w:proofErr w:type="spellStart"/>
      <w:r w:rsidRPr="00EA1C67">
        <w:rPr>
          <w:rFonts w:ascii="Calibri" w:hAnsi="Calibri" w:cs="Calibri"/>
        </w:rPr>
        <w:t>Dalkir</w:t>
      </w:r>
      <w:proofErr w:type="spellEnd"/>
      <w:r w:rsidRPr="00EA1C67">
        <w:rPr>
          <w:rFonts w:ascii="Calibri" w:hAnsi="Calibri" w:cs="Calibri"/>
        </w:rPr>
        <w:t xml:space="preserve"> (2017) similarly explains that knowledge management connects people, processes, technology and organisational culture so that knowledge becomes usable for decision-making and learning. For Honey-Love Aesthetics, knowledge management means ensuring that consultation details, consent forms, treatment notes, product information, aftercare guidance and professional learning are not left scattered or informal, but are organised in a way that improves safety, service quality and business continuity.</w:t>
      </w:r>
    </w:p>
    <w:p w14:paraId="2C205063" w14:textId="55418B65" w:rsidR="0037115C" w:rsidRPr="00EA1C67" w:rsidRDefault="0037115C" w:rsidP="0037115C">
      <w:pPr>
        <w:spacing w:after="120" w:line="360" w:lineRule="auto"/>
        <w:jc w:val="both"/>
        <w:rPr>
          <w:rFonts w:ascii="Calibri" w:hAnsi="Calibri" w:cs="Calibri"/>
        </w:rPr>
      </w:pPr>
      <w:r w:rsidRPr="00EA1C67">
        <w:rPr>
          <w:rFonts w:ascii="Calibri" w:hAnsi="Calibri" w:cs="Calibri"/>
        </w:rPr>
        <w:t>A clear distinction is needed between data, information and knowledge. Data is raw fact. In the salon, data includes a client’s name, date of birth, contact number, appointment date, treatment type, product batch number or payment status. The difference between data and personal data is especially important. Ordinary business data may include non-identifying stock numbers, treatment prices, product costs or anonymous appointment totals. Personal data is information that relates to an identified or identifiable person. The Information Commissioner’s Office (ICO) explains that personal data includes information that can identify someone directly or indirectly, such as by name, identification number, location data or other factors linked to that person’s physical, mental, economic or social identity (Information Commissioner’s Office [ICO], 2024a). In Honey-Love Aesthetics, client names, phone numbers, email addresses, photographs, medical histories, allergies, consultation forms and treatment notes are personal data because they relate to real clients.</w:t>
      </w:r>
    </w:p>
    <w:p w14:paraId="6EB8A128" w14:textId="77777777" w:rsidR="0037115C" w:rsidRPr="00EA1C67" w:rsidRDefault="0037115C" w:rsidP="0037115C">
      <w:pPr>
        <w:spacing w:after="120" w:line="360" w:lineRule="auto"/>
        <w:jc w:val="both"/>
        <w:rPr>
          <w:rFonts w:ascii="Calibri" w:hAnsi="Calibri" w:cs="Calibri"/>
        </w:rPr>
      </w:pPr>
      <w:r w:rsidRPr="00EA1C67">
        <w:rPr>
          <w:rFonts w:ascii="Calibri" w:hAnsi="Calibri" w:cs="Calibri"/>
        </w:rPr>
        <w:t>Some client data may also fall into a more sensitive category because it includes health-related details. The ICO identifies health data as special category data, which needs stronger protection due to the potential risk to individuals if it is misused or disclosed (ICO, 2024b). In the salon, medical history, pregnancy status, medication, allergies, past reactions, health conditions and contraindications are collected to support safe treatment decisions. This makes data protection a central part of knowledge management rather than a separate administrative issue. Knowledge cannot be used responsibly unless it is accurate, confidential and controlled.</w:t>
      </w:r>
    </w:p>
    <w:p w14:paraId="3C0B6867" w14:textId="77777777" w:rsidR="0037115C" w:rsidRPr="00EA1C67" w:rsidRDefault="0037115C" w:rsidP="0037115C">
      <w:pPr>
        <w:spacing w:after="120" w:line="360" w:lineRule="auto"/>
        <w:jc w:val="both"/>
        <w:rPr>
          <w:rFonts w:ascii="Calibri" w:hAnsi="Calibri" w:cs="Calibri"/>
        </w:rPr>
      </w:pPr>
      <w:r w:rsidRPr="00EA1C67">
        <w:rPr>
          <w:rFonts w:ascii="Calibri" w:hAnsi="Calibri" w:cs="Calibri"/>
        </w:rPr>
        <w:t>Table 1 summarises how data, information, knowledge and personal data appear in Honey-Love Aesthetics.</w:t>
      </w:r>
    </w:p>
    <w:p w14:paraId="1CB10E6A" w14:textId="77777777" w:rsidR="0037115C" w:rsidRPr="00EA1C67" w:rsidRDefault="0037115C" w:rsidP="0037115C">
      <w:pPr>
        <w:pStyle w:val="Caption"/>
        <w:rPr>
          <w:rFonts w:ascii="Calibri" w:hAnsi="Calibri" w:cs="Calibri"/>
          <w:color w:val="auto"/>
        </w:rPr>
      </w:pPr>
      <w:r w:rsidRPr="00EA1C67">
        <w:rPr>
          <w:rFonts w:ascii="Calibri" w:hAnsi="Calibri" w:cs="Calibri"/>
          <w:color w:val="auto"/>
        </w:rPr>
        <w:t>Table 1. Examples of Data, Information, Knowledge and Personal Data in Honey-Love Aesthetics</w:t>
      </w:r>
    </w:p>
    <w:tbl>
      <w:tblPr>
        <w:tblStyle w:val="TableGrid"/>
        <w:tblW w:w="0" w:type="auto"/>
        <w:jc w:val="center"/>
        <w:tblLook w:val="04A0" w:firstRow="1" w:lastRow="0" w:firstColumn="1" w:lastColumn="0" w:noHBand="0" w:noVBand="1"/>
      </w:tblPr>
      <w:tblGrid>
        <w:gridCol w:w="2247"/>
        <w:gridCol w:w="2250"/>
        <w:gridCol w:w="2256"/>
        <w:gridCol w:w="2263"/>
      </w:tblGrid>
      <w:tr w:rsidR="0037115C" w:rsidRPr="00EA1C67" w14:paraId="33A378AA" w14:textId="77777777" w:rsidTr="007A764A">
        <w:trPr>
          <w:tblHeader/>
          <w:jc w:val="center"/>
        </w:trPr>
        <w:tc>
          <w:tcPr>
            <w:tcW w:w="2365" w:type="dxa"/>
            <w:shd w:val="clear" w:color="auto" w:fill="D9EAF7"/>
          </w:tcPr>
          <w:p w14:paraId="4F82A790"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8"/>
              </w:rPr>
              <w:lastRenderedPageBreak/>
              <w:t>Concept</w:t>
            </w:r>
          </w:p>
        </w:tc>
        <w:tc>
          <w:tcPr>
            <w:tcW w:w="2365" w:type="dxa"/>
            <w:shd w:val="clear" w:color="auto" w:fill="D9EAF7"/>
          </w:tcPr>
          <w:p w14:paraId="62631BD9"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8"/>
              </w:rPr>
              <w:t>Meaning</w:t>
            </w:r>
          </w:p>
        </w:tc>
        <w:tc>
          <w:tcPr>
            <w:tcW w:w="2365" w:type="dxa"/>
            <w:shd w:val="clear" w:color="auto" w:fill="D9EAF7"/>
          </w:tcPr>
          <w:p w14:paraId="0F303A30"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8"/>
              </w:rPr>
              <w:t>Salon example</w:t>
            </w:r>
          </w:p>
        </w:tc>
        <w:tc>
          <w:tcPr>
            <w:tcW w:w="2365" w:type="dxa"/>
            <w:shd w:val="clear" w:color="auto" w:fill="D9EAF7"/>
          </w:tcPr>
          <w:p w14:paraId="4834FB8F"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8"/>
              </w:rPr>
              <w:t>Workplace importance</w:t>
            </w:r>
          </w:p>
        </w:tc>
      </w:tr>
      <w:tr w:rsidR="0037115C" w:rsidRPr="00EA1C67" w14:paraId="5035CEAC" w14:textId="77777777" w:rsidTr="007A764A">
        <w:trPr>
          <w:jc w:val="center"/>
        </w:trPr>
        <w:tc>
          <w:tcPr>
            <w:tcW w:w="2365" w:type="dxa"/>
          </w:tcPr>
          <w:p w14:paraId="2158D1D3"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8"/>
              </w:rPr>
              <w:t>Data</w:t>
            </w:r>
          </w:p>
        </w:tc>
        <w:tc>
          <w:tcPr>
            <w:tcW w:w="2365" w:type="dxa"/>
          </w:tcPr>
          <w:p w14:paraId="67764ABD"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8"/>
              </w:rPr>
              <w:t>Raw facts or figures.</w:t>
            </w:r>
          </w:p>
        </w:tc>
        <w:tc>
          <w:tcPr>
            <w:tcW w:w="2365" w:type="dxa"/>
          </w:tcPr>
          <w:p w14:paraId="401E329D"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8"/>
              </w:rPr>
              <w:t>Appointment date, client age, treatment price, product batch number.</w:t>
            </w:r>
          </w:p>
        </w:tc>
        <w:tc>
          <w:tcPr>
            <w:tcW w:w="2365" w:type="dxa"/>
          </w:tcPr>
          <w:p w14:paraId="618897D6"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8"/>
              </w:rPr>
              <w:t>Provides the raw material for records and decisions.</w:t>
            </w:r>
          </w:p>
        </w:tc>
      </w:tr>
      <w:tr w:rsidR="0037115C" w:rsidRPr="00EA1C67" w14:paraId="766472EA" w14:textId="77777777" w:rsidTr="007A764A">
        <w:trPr>
          <w:jc w:val="center"/>
        </w:trPr>
        <w:tc>
          <w:tcPr>
            <w:tcW w:w="2365" w:type="dxa"/>
          </w:tcPr>
          <w:p w14:paraId="3B4685D6"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8"/>
              </w:rPr>
              <w:t>Information</w:t>
            </w:r>
          </w:p>
        </w:tc>
        <w:tc>
          <w:tcPr>
            <w:tcW w:w="2365" w:type="dxa"/>
          </w:tcPr>
          <w:p w14:paraId="1B89250E"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8"/>
              </w:rPr>
              <w:t>Data organised into meaningful form.</w:t>
            </w:r>
          </w:p>
        </w:tc>
        <w:tc>
          <w:tcPr>
            <w:tcW w:w="2365" w:type="dxa"/>
          </w:tcPr>
          <w:p w14:paraId="775F5A68"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8"/>
              </w:rPr>
              <w:t>Completed consultation form showing allergies and previous treatments.</w:t>
            </w:r>
          </w:p>
        </w:tc>
        <w:tc>
          <w:tcPr>
            <w:tcW w:w="2365" w:type="dxa"/>
          </w:tcPr>
          <w:p w14:paraId="201C3D32"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8"/>
              </w:rPr>
              <w:t>Supports treatment planning and client safety.</w:t>
            </w:r>
          </w:p>
        </w:tc>
      </w:tr>
      <w:tr w:rsidR="0037115C" w:rsidRPr="00EA1C67" w14:paraId="12519CEE" w14:textId="77777777" w:rsidTr="007A764A">
        <w:trPr>
          <w:jc w:val="center"/>
        </w:trPr>
        <w:tc>
          <w:tcPr>
            <w:tcW w:w="2365" w:type="dxa"/>
          </w:tcPr>
          <w:p w14:paraId="06996D5A"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8"/>
              </w:rPr>
              <w:t>Knowledge</w:t>
            </w:r>
          </w:p>
        </w:tc>
        <w:tc>
          <w:tcPr>
            <w:tcW w:w="2365" w:type="dxa"/>
          </w:tcPr>
          <w:p w14:paraId="4704D05D"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8"/>
              </w:rPr>
              <w:t>Professional judgement applied to information.</w:t>
            </w:r>
          </w:p>
        </w:tc>
        <w:tc>
          <w:tcPr>
            <w:tcW w:w="2365" w:type="dxa"/>
          </w:tcPr>
          <w:p w14:paraId="1EBA623E"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8"/>
              </w:rPr>
              <w:t>Deciding whether filler, B12 or fat dissolving is suitable for a client.</w:t>
            </w:r>
          </w:p>
        </w:tc>
        <w:tc>
          <w:tcPr>
            <w:tcW w:w="2365" w:type="dxa"/>
          </w:tcPr>
          <w:p w14:paraId="6F57B1EC"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8"/>
              </w:rPr>
              <w:t>Improves service quality, safety and client trust.</w:t>
            </w:r>
          </w:p>
        </w:tc>
      </w:tr>
      <w:tr w:rsidR="0037115C" w:rsidRPr="00EA1C67" w14:paraId="08EC95B1" w14:textId="77777777" w:rsidTr="007A764A">
        <w:trPr>
          <w:jc w:val="center"/>
        </w:trPr>
        <w:tc>
          <w:tcPr>
            <w:tcW w:w="2365" w:type="dxa"/>
          </w:tcPr>
          <w:p w14:paraId="5FFE030B"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8"/>
              </w:rPr>
              <w:t>Personal data</w:t>
            </w:r>
          </w:p>
        </w:tc>
        <w:tc>
          <w:tcPr>
            <w:tcW w:w="2365" w:type="dxa"/>
          </w:tcPr>
          <w:p w14:paraId="2EC799C2"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8"/>
              </w:rPr>
              <w:t>Information relating to an identifiable person.</w:t>
            </w:r>
          </w:p>
        </w:tc>
        <w:tc>
          <w:tcPr>
            <w:tcW w:w="2365" w:type="dxa"/>
          </w:tcPr>
          <w:p w14:paraId="3A627C5F"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8"/>
              </w:rPr>
              <w:t>Name, phone number, photographs, consent forms and medical history.</w:t>
            </w:r>
          </w:p>
        </w:tc>
        <w:tc>
          <w:tcPr>
            <w:tcW w:w="2365" w:type="dxa"/>
          </w:tcPr>
          <w:p w14:paraId="6F4A1AA1"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8"/>
              </w:rPr>
              <w:t>Must be protected under UK GDPR and confidentiality expectations.</w:t>
            </w:r>
          </w:p>
        </w:tc>
      </w:tr>
    </w:tbl>
    <w:p w14:paraId="77375CDF" w14:textId="77777777" w:rsidR="0037115C" w:rsidRPr="00EA1C67" w:rsidRDefault="0037115C" w:rsidP="0037115C">
      <w:pPr>
        <w:pStyle w:val="Heading1"/>
        <w:spacing w:before="200" w:after="120" w:line="360" w:lineRule="auto"/>
        <w:jc w:val="both"/>
        <w:rPr>
          <w:rFonts w:ascii="Calibri" w:hAnsi="Calibri" w:cs="Calibri"/>
        </w:rPr>
      </w:pPr>
      <w:bookmarkStart w:id="2" w:name="_Toc230325742"/>
      <w:r w:rsidRPr="00EA1C67">
        <w:rPr>
          <w:rFonts w:ascii="Calibri" w:eastAsia="Times New Roman" w:hAnsi="Calibri" w:cs="Calibri"/>
        </w:rPr>
        <w:t>3. Individual and Organisational Knowledge in the Salon</w:t>
      </w:r>
      <w:bookmarkEnd w:id="2"/>
    </w:p>
    <w:p w14:paraId="21F2D259" w14:textId="77777777" w:rsidR="0037115C" w:rsidRPr="00EA1C67" w:rsidRDefault="0037115C" w:rsidP="0037115C">
      <w:pPr>
        <w:spacing w:after="120" w:line="360" w:lineRule="auto"/>
        <w:jc w:val="both"/>
        <w:rPr>
          <w:rFonts w:ascii="Calibri" w:hAnsi="Calibri" w:cs="Calibri"/>
        </w:rPr>
      </w:pPr>
      <w:r w:rsidRPr="00EA1C67">
        <w:rPr>
          <w:rFonts w:ascii="Calibri" w:hAnsi="Calibri" w:cs="Calibri"/>
        </w:rPr>
        <w:t>A central requirement of the brief is to explain the relationship between individual and organisational knowledge. Individual knowledge is knowledge held by one person. In Honey-Love Aesthetics, this includes Michelle’s treatment experience, practical technique, client communication style, judgement about facial balance, knowledge of aftercare, understanding of client preferences and awareness of what has worked well over four years in business. Much of this knowledge is tacit. Polanyi (1966) famously argued that people can know more than they can easily express, which explains why practical expertise is often difficult to write down fully. For example, the judgement needed to calm a nervous client, assess proportion, or recognise when a client needs honest advice rather than a treatment is partly built through experience.</w:t>
      </w:r>
    </w:p>
    <w:p w14:paraId="7B7C5334" w14:textId="4E8D9515" w:rsidR="0037115C" w:rsidRPr="00EA1C67" w:rsidRDefault="0037115C" w:rsidP="0037115C">
      <w:pPr>
        <w:spacing w:after="120" w:line="360" w:lineRule="auto"/>
        <w:jc w:val="both"/>
        <w:rPr>
          <w:rFonts w:ascii="Calibri" w:hAnsi="Calibri" w:cs="Calibri"/>
        </w:rPr>
      </w:pPr>
      <w:r w:rsidRPr="00EA1C67">
        <w:rPr>
          <w:rFonts w:ascii="Calibri" w:hAnsi="Calibri" w:cs="Calibri"/>
        </w:rPr>
        <w:t xml:space="preserve">Organisational knowledge is knowledge that is captured and made available to the business rather than remaining only in one person’s memory. Davenport and Prusak (1998) argue that knowledge is valuable when it can be used for action, not simply when it exists. In a small salon, organisational knowledge may include written policies, treatment forms, aftercare templates, supplier details, stock records, pricing lists, client notes, consent forms, photography consent, finance processes and prescriber contacts. </w:t>
      </w:r>
    </w:p>
    <w:p w14:paraId="6B90FEE7" w14:textId="77777777" w:rsidR="0037115C" w:rsidRPr="00EA1C67" w:rsidRDefault="0037115C" w:rsidP="0037115C">
      <w:pPr>
        <w:spacing w:after="120" w:line="360" w:lineRule="auto"/>
        <w:jc w:val="both"/>
        <w:rPr>
          <w:rFonts w:ascii="Calibri" w:hAnsi="Calibri" w:cs="Calibri"/>
        </w:rPr>
      </w:pPr>
      <w:r w:rsidRPr="00EA1C67">
        <w:rPr>
          <w:rFonts w:ascii="Calibri" w:hAnsi="Calibri" w:cs="Calibri"/>
        </w:rPr>
        <w:t xml:space="preserve">The challenge for Honey-Love Aesthetics is that a self-employed business often depends heavily on the owner’s personal expertise. This can be a strength because clients value Michelle’s personal brand, but it can also create risk if knowledge remains undocumented. </w:t>
      </w:r>
      <w:r w:rsidRPr="00EA1C67">
        <w:rPr>
          <w:rFonts w:ascii="Calibri" w:hAnsi="Calibri" w:cs="Calibri"/>
        </w:rPr>
        <w:lastRenderedPageBreak/>
        <w:t>Nonaka’s (1994) theory of organisational knowledge creation is useful here because it explains how tacit knowledge can be shared, articulated, combined and internalised. For the salon, this means turning experience into written consultation checklists, aftercare advice, record-keeping routines, product notes and training reminders. The aim is not to remove Michelle’s personal judgement, but to support it with reliable records and repeatable procedures.</w:t>
      </w:r>
    </w:p>
    <w:p w14:paraId="0E54D4D7" w14:textId="7D31BA65" w:rsidR="0037115C" w:rsidRPr="00EA1C67" w:rsidRDefault="0037115C" w:rsidP="0037115C">
      <w:pPr>
        <w:spacing w:after="120" w:line="360" w:lineRule="auto"/>
        <w:jc w:val="both"/>
        <w:rPr>
          <w:rFonts w:ascii="Calibri" w:hAnsi="Calibri" w:cs="Calibri"/>
        </w:rPr>
      </w:pPr>
      <w:r w:rsidRPr="00EA1C67">
        <w:rPr>
          <w:rFonts w:ascii="Calibri" w:hAnsi="Calibri" w:cs="Calibri"/>
        </w:rPr>
        <w:t>A stronger knowledge culture also benefits people who work in or alongside the salon. When expectations are clear, colleagues understand how to protect client confidentiality, communicate professionally, keep shared spaces organised and refer questions back to Michelle where needed. Knowledge sharing does not mean exposing client details; it means sharing safe procedures, general standards and learning points while keeping identifiable client information confidential. Wang and Noe (2010) emphasise that knowledge sharing is influenced by organisational context, interpersonal relationships, culture and motivation. Therefore, a respectful salon culture is essential to ensure that useful knowledge is shared without breaching client trust.</w:t>
      </w:r>
      <w:r w:rsidR="00062CE2" w:rsidRPr="00EA1C67">
        <w:rPr>
          <w:rFonts w:ascii="Calibri" w:hAnsi="Calibri" w:cs="Calibri"/>
        </w:rPr>
        <w:t xml:space="preserve"> </w:t>
      </w:r>
      <w:proofErr w:type="spellStart"/>
      <w:r w:rsidRPr="00EA1C67">
        <w:rPr>
          <w:rFonts w:ascii="Calibri" w:hAnsi="Calibri" w:cs="Calibri"/>
        </w:rPr>
        <w:t>Kianto</w:t>
      </w:r>
      <w:proofErr w:type="spellEnd"/>
      <w:r w:rsidRPr="00EA1C67">
        <w:rPr>
          <w:rFonts w:ascii="Calibri" w:hAnsi="Calibri" w:cs="Calibri"/>
        </w:rPr>
        <w:t>, Vanhala and Heilmann (2016) found that knowledge management practices can support job satisfaction, especially where knowledge sharing, codification and retention help people feel competent and effective. In Honey-Love Aesthetics, feeling valued can therefore be linked to being trusted as a knowledgeable practitioner, having organised systems, and seeing knowledge translate into client confidence and business growth.</w:t>
      </w:r>
    </w:p>
    <w:p w14:paraId="6775FC64" w14:textId="77777777" w:rsidR="0037115C" w:rsidRPr="00EA1C67" w:rsidRDefault="0037115C" w:rsidP="0037115C">
      <w:pPr>
        <w:pStyle w:val="Heading1"/>
        <w:spacing w:before="200" w:after="120" w:line="360" w:lineRule="auto"/>
        <w:jc w:val="both"/>
        <w:rPr>
          <w:rFonts w:ascii="Calibri" w:hAnsi="Calibri" w:cs="Calibri"/>
        </w:rPr>
      </w:pPr>
      <w:bookmarkStart w:id="3" w:name="_Toc230325743"/>
      <w:r w:rsidRPr="00EA1C67">
        <w:rPr>
          <w:rFonts w:ascii="Calibri" w:eastAsia="Times New Roman" w:hAnsi="Calibri" w:cs="Calibri"/>
        </w:rPr>
        <w:t>4. Current Systems and Knowledge Assets</w:t>
      </w:r>
      <w:bookmarkEnd w:id="3"/>
    </w:p>
    <w:p w14:paraId="346082B0" w14:textId="77777777" w:rsidR="0037115C" w:rsidRPr="00EA1C67" w:rsidRDefault="0037115C" w:rsidP="0037115C">
      <w:pPr>
        <w:spacing w:after="120" w:line="360" w:lineRule="auto"/>
        <w:jc w:val="both"/>
        <w:rPr>
          <w:rFonts w:ascii="Calibri" w:hAnsi="Calibri" w:cs="Calibri"/>
        </w:rPr>
      </w:pPr>
      <w:r w:rsidRPr="00EA1C67">
        <w:rPr>
          <w:rFonts w:ascii="Calibri" w:hAnsi="Calibri" w:cs="Calibri"/>
        </w:rPr>
        <w:t>Honey-Love Aesthetics already uses a significant digital knowledge system through the Faces app. Faces describes its software as a platform for aesthetic clinics and beauty businesses that can manage appointments, consent forms, prescriptions, teams and stock in one place (Faces Consent, 2026a). The Google Play listing also identifies consultation and consent forms, training providers, insurance quotes, stock purchasing, local prescriber search, client deposits, booking management and client finance options as features available through the app (Faces Consent, 2026b). This fits the owner’s current practice because Michelle stores client details on Faces, signs in to gather client information, adds consent forms, forwards forms for Payl8r finance where requested, and uses prescriber-related functions where necessary.</w:t>
      </w:r>
    </w:p>
    <w:p w14:paraId="7582652A" w14:textId="77777777" w:rsidR="0037115C" w:rsidRPr="00EA1C67" w:rsidRDefault="0037115C" w:rsidP="0037115C">
      <w:pPr>
        <w:spacing w:after="120" w:line="360" w:lineRule="auto"/>
        <w:jc w:val="both"/>
        <w:rPr>
          <w:rFonts w:ascii="Calibri" w:hAnsi="Calibri" w:cs="Calibri"/>
        </w:rPr>
      </w:pPr>
      <w:r w:rsidRPr="00EA1C67">
        <w:rPr>
          <w:rFonts w:ascii="Calibri" w:hAnsi="Calibri" w:cs="Calibri"/>
        </w:rPr>
        <w:lastRenderedPageBreak/>
        <w:t>The main advantage of using Faces is that it turns informal salon knowledge into structured digital records. Instead of relying on memory or paper documents, the business can store consultation forms, medical information, consent evidence, photographs, treatment notes and related forms in one system. This supports continuity because returning clients can be reviewed with reference to their treatment history. It also supports accountability because if a client later asks what was discussed, what consent was given, or what treatment was carried out, the business has a record. This is especially important in a workplace where treatments may involve injectables, prescription-only pathways or products that require traceability.</w:t>
      </w:r>
    </w:p>
    <w:p w14:paraId="266FE42F" w14:textId="77777777" w:rsidR="0037115C" w:rsidRPr="00EA1C67" w:rsidRDefault="0037115C" w:rsidP="0037115C">
      <w:pPr>
        <w:spacing w:after="120" w:line="360" w:lineRule="auto"/>
        <w:jc w:val="both"/>
        <w:rPr>
          <w:rFonts w:ascii="Calibri" w:hAnsi="Calibri" w:cs="Calibri"/>
        </w:rPr>
      </w:pPr>
      <w:r w:rsidRPr="00EA1C67">
        <w:rPr>
          <w:rFonts w:ascii="Calibri" w:hAnsi="Calibri" w:cs="Calibri"/>
        </w:rPr>
        <w:t>However, using a digital system does not remove the need for management controls. Grant’s (1996) knowledge-based theory suggests that organisations create value by integrating specialist knowledge. In Honey-Love Aesthetics, this means integrating Michelle’s professional judgement with the Faces system, product knowledge, prescriber processes, insurance requirements and client care standards. The app is the storage tool, but Michelle remains responsible for how knowledge is collected, checked, used and protected. Records must be complete, accurate, proportionate and updated when client circumstances change.</w:t>
      </w:r>
    </w:p>
    <w:p w14:paraId="2D91B684" w14:textId="5ED11AE3" w:rsidR="0037115C" w:rsidRPr="00EA1C67" w:rsidRDefault="0037115C" w:rsidP="0037115C">
      <w:pPr>
        <w:spacing w:after="120" w:line="360" w:lineRule="auto"/>
        <w:jc w:val="both"/>
        <w:rPr>
          <w:rFonts w:ascii="Calibri" w:hAnsi="Calibri" w:cs="Calibri"/>
        </w:rPr>
      </w:pPr>
      <w:r w:rsidRPr="00EA1C67">
        <w:rPr>
          <w:rFonts w:ascii="Calibri" w:hAnsi="Calibri" w:cs="Calibri"/>
        </w:rPr>
        <w:t>Table 2 identifies the main knowledge assets in the workplace. These assets include human expertise, client relationship knowledge, documented consent, digital records, product knowledge, insurance evidence and marketing knowledge.</w:t>
      </w:r>
    </w:p>
    <w:p w14:paraId="4A13BED1" w14:textId="77777777" w:rsidR="0037115C" w:rsidRPr="00EA1C67" w:rsidRDefault="0037115C" w:rsidP="0037115C">
      <w:pPr>
        <w:pStyle w:val="Caption"/>
        <w:rPr>
          <w:rFonts w:ascii="Calibri" w:hAnsi="Calibri" w:cs="Calibri"/>
          <w:color w:val="auto"/>
        </w:rPr>
      </w:pPr>
      <w:r w:rsidRPr="00EA1C67">
        <w:rPr>
          <w:rFonts w:ascii="Calibri" w:hAnsi="Calibri" w:cs="Calibri"/>
          <w:color w:val="auto"/>
        </w:rPr>
        <w:t>Table 2. Knowledge Asset Register for Honey-Love Aesthetics by Michelle</w:t>
      </w:r>
    </w:p>
    <w:tbl>
      <w:tblPr>
        <w:tblStyle w:val="TableGrid"/>
        <w:tblW w:w="0" w:type="auto"/>
        <w:jc w:val="center"/>
        <w:tblLook w:val="04A0" w:firstRow="1" w:lastRow="0" w:firstColumn="1" w:lastColumn="0" w:noHBand="0" w:noVBand="1"/>
      </w:tblPr>
      <w:tblGrid>
        <w:gridCol w:w="2247"/>
        <w:gridCol w:w="2267"/>
        <w:gridCol w:w="2261"/>
        <w:gridCol w:w="2241"/>
      </w:tblGrid>
      <w:tr w:rsidR="0037115C" w:rsidRPr="00EA1C67" w14:paraId="2C463228" w14:textId="77777777" w:rsidTr="007A764A">
        <w:trPr>
          <w:tblHeader/>
          <w:jc w:val="center"/>
        </w:trPr>
        <w:tc>
          <w:tcPr>
            <w:tcW w:w="2365" w:type="dxa"/>
            <w:shd w:val="clear" w:color="auto" w:fill="FFF2CC"/>
          </w:tcPr>
          <w:p w14:paraId="728C4219"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6"/>
              </w:rPr>
              <w:t>Knowledge asset</w:t>
            </w:r>
          </w:p>
        </w:tc>
        <w:tc>
          <w:tcPr>
            <w:tcW w:w="2365" w:type="dxa"/>
            <w:shd w:val="clear" w:color="auto" w:fill="FFF2CC"/>
          </w:tcPr>
          <w:p w14:paraId="09D0A1B0"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6"/>
              </w:rPr>
              <w:t>Example in the workplace</w:t>
            </w:r>
          </w:p>
        </w:tc>
        <w:tc>
          <w:tcPr>
            <w:tcW w:w="2365" w:type="dxa"/>
            <w:shd w:val="clear" w:color="auto" w:fill="FFF2CC"/>
          </w:tcPr>
          <w:p w14:paraId="23D77FEE"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6"/>
              </w:rPr>
              <w:t>Confidentiality level</w:t>
            </w:r>
          </w:p>
        </w:tc>
        <w:tc>
          <w:tcPr>
            <w:tcW w:w="2365" w:type="dxa"/>
            <w:shd w:val="clear" w:color="auto" w:fill="FFF2CC"/>
          </w:tcPr>
          <w:p w14:paraId="1D53A0A2"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6"/>
              </w:rPr>
              <w:t>How it should be managed</w:t>
            </w:r>
          </w:p>
        </w:tc>
      </w:tr>
      <w:tr w:rsidR="0037115C" w:rsidRPr="00EA1C67" w14:paraId="7DB72104" w14:textId="77777777" w:rsidTr="007A764A">
        <w:trPr>
          <w:jc w:val="center"/>
        </w:trPr>
        <w:tc>
          <w:tcPr>
            <w:tcW w:w="2365" w:type="dxa"/>
          </w:tcPr>
          <w:p w14:paraId="1BFEF110"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Owner expertise</w:t>
            </w:r>
          </w:p>
        </w:tc>
        <w:tc>
          <w:tcPr>
            <w:tcW w:w="2365" w:type="dxa"/>
          </w:tcPr>
          <w:p w14:paraId="1E72C60F"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Four years of treatment, consultation and client-care experience.</w:t>
            </w:r>
          </w:p>
        </w:tc>
        <w:tc>
          <w:tcPr>
            <w:tcW w:w="2365" w:type="dxa"/>
          </w:tcPr>
          <w:p w14:paraId="3424FFB9"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Medium</w:t>
            </w:r>
          </w:p>
        </w:tc>
        <w:tc>
          <w:tcPr>
            <w:tcW w:w="2365" w:type="dxa"/>
          </w:tcPr>
          <w:p w14:paraId="0A73209F"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Develop treatment checklists, reflective notes and training updates.</w:t>
            </w:r>
          </w:p>
        </w:tc>
      </w:tr>
      <w:tr w:rsidR="0037115C" w:rsidRPr="00EA1C67" w14:paraId="619FFD35" w14:textId="77777777" w:rsidTr="007A764A">
        <w:trPr>
          <w:jc w:val="center"/>
        </w:trPr>
        <w:tc>
          <w:tcPr>
            <w:tcW w:w="2365" w:type="dxa"/>
          </w:tcPr>
          <w:p w14:paraId="757A8B90"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Client records</w:t>
            </w:r>
          </w:p>
        </w:tc>
        <w:tc>
          <w:tcPr>
            <w:tcW w:w="2365" w:type="dxa"/>
          </w:tcPr>
          <w:p w14:paraId="79490FEA"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Consultations, medical history, allergies, consent and treatment notes.</w:t>
            </w:r>
          </w:p>
        </w:tc>
        <w:tc>
          <w:tcPr>
            <w:tcW w:w="2365" w:type="dxa"/>
          </w:tcPr>
          <w:p w14:paraId="02F486E9"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High</w:t>
            </w:r>
          </w:p>
        </w:tc>
        <w:tc>
          <w:tcPr>
            <w:tcW w:w="2365" w:type="dxa"/>
          </w:tcPr>
          <w:p w14:paraId="79E858B4"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Store securely in Faces with authorised access only.</w:t>
            </w:r>
          </w:p>
        </w:tc>
      </w:tr>
      <w:tr w:rsidR="0037115C" w:rsidRPr="00EA1C67" w14:paraId="5097DEDF" w14:textId="77777777" w:rsidTr="007A764A">
        <w:trPr>
          <w:jc w:val="center"/>
        </w:trPr>
        <w:tc>
          <w:tcPr>
            <w:tcW w:w="2365" w:type="dxa"/>
          </w:tcPr>
          <w:p w14:paraId="51C1C8EC"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Consent forms</w:t>
            </w:r>
          </w:p>
        </w:tc>
        <w:tc>
          <w:tcPr>
            <w:tcW w:w="2365" w:type="dxa"/>
          </w:tcPr>
          <w:p w14:paraId="1245EA71"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Medical and treatment consent, photography consent and finance forms.</w:t>
            </w:r>
          </w:p>
        </w:tc>
        <w:tc>
          <w:tcPr>
            <w:tcW w:w="2365" w:type="dxa"/>
          </w:tcPr>
          <w:p w14:paraId="1F3FA953"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High</w:t>
            </w:r>
          </w:p>
        </w:tc>
        <w:tc>
          <w:tcPr>
            <w:tcW w:w="2365" w:type="dxa"/>
          </w:tcPr>
          <w:p w14:paraId="684F9870"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Complete before treatment and retain for insurance period.</w:t>
            </w:r>
          </w:p>
        </w:tc>
      </w:tr>
      <w:tr w:rsidR="0037115C" w:rsidRPr="00EA1C67" w14:paraId="229FFA74" w14:textId="77777777" w:rsidTr="007A764A">
        <w:trPr>
          <w:jc w:val="center"/>
        </w:trPr>
        <w:tc>
          <w:tcPr>
            <w:tcW w:w="2365" w:type="dxa"/>
          </w:tcPr>
          <w:p w14:paraId="6D4DF736"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Before-and-after photographs</w:t>
            </w:r>
          </w:p>
        </w:tc>
        <w:tc>
          <w:tcPr>
            <w:tcW w:w="2365" w:type="dxa"/>
          </w:tcPr>
          <w:p w14:paraId="6311C987"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Treatment progress and marketing images where consent is given.</w:t>
            </w:r>
          </w:p>
        </w:tc>
        <w:tc>
          <w:tcPr>
            <w:tcW w:w="2365" w:type="dxa"/>
          </w:tcPr>
          <w:p w14:paraId="3C6D2413"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High</w:t>
            </w:r>
          </w:p>
        </w:tc>
        <w:tc>
          <w:tcPr>
            <w:tcW w:w="2365" w:type="dxa"/>
          </w:tcPr>
          <w:p w14:paraId="420DB32F"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Use only with clear consent; avoid identifying clients without permission.</w:t>
            </w:r>
          </w:p>
        </w:tc>
      </w:tr>
      <w:tr w:rsidR="0037115C" w:rsidRPr="00EA1C67" w14:paraId="6B7A5260" w14:textId="77777777" w:rsidTr="007A764A">
        <w:trPr>
          <w:jc w:val="center"/>
        </w:trPr>
        <w:tc>
          <w:tcPr>
            <w:tcW w:w="2365" w:type="dxa"/>
          </w:tcPr>
          <w:p w14:paraId="6E57E897"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Product and stock knowledge</w:t>
            </w:r>
          </w:p>
        </w:tc>
        <w:tc>
          <w:tcPr>
            <w:tcW w:w="2365" w:type="dxa"/>
          </w:tcPr>
          <w:p w14:paraId="3D82C864"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Product brand, expiry date, batch number and treatment suitability.</w:t>
            </w:r>
          </w:p>
        </w:tc>
        <w:tc>
          <w:tcPr>
            <w:tcW w:w="2365" w:type="dxa"/>
          </w:tcPr>
          <w:p w14:paraId="5D4E6E95"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Medium/High</w:t>
            </w:r>
          </w:p>
        </w:tc>
        <w:tc>
          <w:tcPr>
            <w:tcW w:w="2365" w:type="dxa"/>
          </w:tcPr>
          <w:p w14:paraId="24F52432"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Record product details and review stock safely.</w:t>
            </w:r>
          </w:p>
        </w:tc>
      </w:tr>
      <w:tr w:rsidR="0037115C" w:rsidRPr="00EA1C67" w14:paraId="36134BEE" w14:textId="77777777" w:rsidTr="007A764A">
        <w:trPr>
          <w:jc w:val="center"/>
        </w:trPr>
        <w:tc>
          <w:tcPr>
            <w:tcW w:w="2365" w:type="dxa"/>
          </w:tcPr>
          <w:p w14:paraId="4EB72044"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lastRenderedPageBreak/>
              <w:t>Prescriber information</w:t>
            </w:r>
          </w:p>
        </w:tc>
        <w:tc>
          <w:tcPr>
            <w:tcW w:w="2365" w:type="dxa"/>
          </w:tcPr>
          <w:p w14:paraId="625DA00D"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Prescriber route, prescription-related records and communication.</w:t>
            </w:r>
          </w:p>
        </w:tc>
        <w:tc>
          <w:tcPr>
            <w:tcW w:w="2365" w:type="dxa"/>
          </w:tcPr>
          <w:p w14:paraId="3CD1FA46"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High</w:t>
            </w:r>
          </w:p>
        </w:tc>
        <w:tc>
          <w:tcPr>
            <w:tcW w:w="2365" w:type="dxa"/>
          </w:tcPr>
          <w:p w14:paraId="5E7B2A51"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Use only where needed and maintain secure evidence.</w:t>
            </w:r>
          </w:p>
        </w:tc>
      </w:tr>
      <w:tr w:rsidR="0037115C" w:rsidRPr="00EA1C67" w14:paraId="1F5DA226" w14:textId="77777777" w:rsidTr="007A764A">
        <w:trPr>
          <w:jc w:val="center"/>
        </w:trPr>
        <w:tc>
          <w:tcPr>
            <w:tcW w:w="2365" w:type="dxa"/>
          </w:tcPr>
          <w:p w14:paraId="1D54AF85"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Aftercare knowledge</w:t>
            </w:r>
          </w:p>
        </w:tc>
        <w:tc>
          <w:tcPr>
            <w:tcW w:w="2365" w:type="dxa"/>
          </w:tcPr>
          <w:p w14:paraId="54DE54C9"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Advice for fillers, Botox-related services, B12, fat dissolving and contouring.</w:t>
            </w:r>
          </w:p>
        </w:tc>
        <w:tc>
          <w:tcPr>
            <w:tcW w:w="2365" w:type="dxa"/>
          </w:tcPr>
          <w:p w14:paraId="70678A31"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Low/Medium</w:t>
            </w:r>
          </w:p>
        </w:tc>
        <w:tc>
          <w:tcPr>
            <w:tcW w:w="2365" w:type="dxa"/>
          </w:tcPr>
          <w:p w14:paraId="4F2D7E93"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Create standard templates and update after training.</w:t>
            </w:r>
          </w:p>
        </w:tc>
      </w:tr>
      <w:tr w:rsidR="0037115C" w:rsidRPr="00EA1C67" w14:paraId="5CDB8BD7" w14:textId="77777777" w:rsidTr="007A764A">
        <w:trPr>
          <w:jc w:val="center"/>
        </w:trPr>
        <w:tc>
          <w:tcPr>
            <w:tcW w:w="2365" w:type="dxa"/>
          </w:tcPr>
          <w:p w14:paraId="66224FFD"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Marketing knowledge</w:t>
            </w:r>
          </w:p>
        </w:tc>
        <w:tc>
          <w:tcPr>
            <w:tcW w:w="2365" w:type="dxa"/>
          </w:tcPr>
          <w:p w14:paraId="4D6381FD"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Client reviews, social-media posts, brand tone and treatment education.</w:t>
            </w:r>
          </w:p>
        </w:tc>
        <w:tc>
          <w:tcPr>
            <w:tcW w:w="2365" w:type="dxa"/>
          </w:tcPr>
          <w:p w14:paraId="7D7EA205"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Medium</w:t>
            </w:r>
          </w:p>
        </w:tc>
        <w:tc>
          <w:tcPr>
            <w:tcW w:w="2365" w:type="dxa"/>
          </w:tcPr>
          <w:p w14:paraId="7E1A9538"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Separate marketing consent from clinical consent.</w:t>
            </w:r>
          </w:p>
        </w:tc>
      </w:tr>
      <w:tr w:rsidR="0037115C" w:rsidRPr="00EA1C67" w14:paraId="008D06E9" w14:textId="77777777" w:rsidTr="007A764A">
        <w:trPr>
          <w:jc w:val="center"/>
        </w:trPr>
        <w:tc>
          <w:tcPr>
            <w:tcW w:w="2365" w:type="dxa"/>
          </w:tcPr>
          <w:p w14:paraId="6D9092BE"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Insurance evidence</w:t>
            </w:r>
          </w:p>
        </w:tc>
        <w:tc>
          <w:tcPr>
            <w:tcW w:w="2365" w:type="dxa"/>
          </w:tcPr>
          <w:p w14:paraId="5E5A627B"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Records kept for six years to support insurance and complaint evidence.</w:t>
            </w:r>
          </w:p>
        </w:tc>
        <w:tc>
          <w:tcPr>
            <w:tcW w:w="2365" w:type="dxa"/>
          </w:tcPr>
          <w:p w14:paraId="4C80F268"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High</w:t>
            </w:r>
          </w:p>
        </w:tc>
        <w:tc>
          <w:tcPr>
            <w:tcW w:w="2365" w:type="dxa"/>
          </w:tcPr>
          <w:p w14:paraId="09E064F0"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6"/>
              </w:rPr>
              <w:t>Review retention schedule annually and delete securely when no longer needed.</w:t>
            </w:r>
          </w:p>
        </w:tc>
      </w:tr>
    </w:tbl>
    <w:p w14:paraId="3D4EC334" w14:textId="77777777" w:rsidR="0037115C" w:rsidRPr="00EA1C67" w:rsidRDefault="0037115C" w:rsidP="0037115C">
      <w:pPr>
        <w:pStyle w:val="Heading1"/>
        <w:spacing w:before="200" w:after="120" w:line="360" w:lineRule="auto"/>
        <w:jc w:val="both"/>
        <w:rPr>
          <w:rFonts w:ascii="Calibri" w:hAnsi="Calibri" w:cs="Calibri"/>
        </w:rPr>
      </w:pPr>
      <w:bookmarkStart w:id="4" w:name="_Toc230325744"/>
      <w:r w:rsidRPr="00EA1C67">
        <w:rPr>
          <w:rFonts w:ascii="Calibri" w:eastAsia="Times New Roman" w:hAnsi="Calibri" w:cs="Calibri"/>
        </w:rPr>
        <w:t>5. Business Case for Collecting, Storing and Sharing Knowledge</w:t>
      </w:r>
      <w:bookmarkEnd w:id="4"/>
    </w:p>
    <w:p w14:paraId="11A38254" w14:textId="7FDB0678" w:rsidR="0037115C" w:rsidRPr="00EA1C67" w:rsidRDefault="0037115C" w:rsidP="0037115C">
      <w:pPr>
        <w:spacing w:after="120" w:line="360" w:lineRule="auto"/>
        <w:jc w:val="both"/>
        <w:rPr>
          <w:rFonts w:ascii="Calibri" w:hAnsi="Calibri" w:cs="Calibri"/>
        </w:rPr>
      </w:pPr>
      <w:r w:rsidRPr="00EA1C67">
        <w:rPr>
          <w:rFonts w:ascii="Calibri" w:hAnsi="Calibri" w:cs="Calibri"/>
        </w:rPr>
        <w:t>The business case for knowledge management in Honey-Love Aesthetics is based on five linked benefits: client safety, efficiency, service consistency, legal and insurance protection, and business growth. First, client safety depends on having accurate information before treatment. If a client has an allergy, medication concern, previous reaction, recent treatment or contraindication, this must be known before a decision is made</w:t>
      </w:r>
      <w:r w:rsidR="00062CE2" w:rsidRPr="00EA1C67">
        <w:rPr>
          <w:rFonts w:ascii="Calibri" w:hAnsi="Calibri" w:cs="Calibri"/>
        </w:rPr>
        <w:t xml:space="preserve"> (Durst and Edvardsson, 2012)</w:t>
      </w:r>
      <w:r w:rsidRPr="00EA1C67">
        <w:rPr>
          <w:rFonts w:ascii="Calibri" w:hAnsi="Calibri" w:cs="Calibri"/>
        </w:rPr>
        <w:t>. The NHS advises that botulinum toxin injections are prescription-only medicines and can only be prescribed after consultation with a healthcare professional, which shows why prescriber-related knowledge and records must be handled carefully where these services are involved (NHS, 2023).</w:t>
      </w:r>
    </w:p>
    <w:p w14:paraId="48CB86B0" w14:textId="2D4F3A03" w:rsidR="0037115C" w:rsidRPr="00EA1C67" w:rsidRDefault="0037115C" w:rsidP="0037115C">
      <w:pPr>
        <w:spacing w:after="120" w:line="360" w:lineRule="auto"/>
        <w:jc w:val="both"/>
        <w:rPr>
          <w:rFonts w:ascii="Calibri" w:hAnsi="Calibri" w:cs="Calibri"/>
        </w:rPr>
      </w:pPr>
      <w:r w:rsidRPr="00EA1C67">
        <w:rPr>
          <w:rFonts w:ascii="Calibri" w:hAnsi="Calibri" w:cs="Calibri"/>
        </w:rPr>
        <w:t>Second, knowledge management improves efficiency. A busy salon can waste time searching for previous forms, asking repeat questions, checking old messages or recreating aftercare advice. Lee and Choi (2003) found that knowledge management enablers such as collaboration, trust, learning and information technology support are linked to knowledge creation processes and organisational performance. In the salon, information technology support is provided by Faces, but trust and learning must be created through everyday behaviour.</w:t>
      </w:r>
    </w:p>
    <w:p w14:paraId="64139A56" w14:textId="77777777" w:rsidR="00062CE2" w:rsidRPr="00EA1C67" w:rsidRDefault="0037115C" w:rsidP="0037115C">
      <w:pPr>
        <w:spacing w:after="120" w:line="360" w:lineRule="auto"/>
        <w:jc w:val="both"/>
        <w:rPr>
          <w:rFonts w:ascii="Calibri" w:hAnsi="Calibri" w:cs="Calibri"/>
        </w:rPr>
      </w:pPr>
      <w:r w:rsidRPr="00EA1C67">
        <w:rPr>
          <w:rFonts w:ascii="Calibri" w:hAnsi="Calibri" w:cs="Calibri"/>
        </w:rPr>
        <w:t xml:space="preserve">Third, a strong knowledge system supports consistency. Clients may book different services, including lip filler, dermal fillers, fat dissolving, B12 or contouring packages, but the standard of consultation, consent, hygiene, record keeping, aftercare and confidentiality should remain consistent. Fourth, knowledge management protects the business. Michelle is duty bound </w:t>
      </w:r>
      <w:r w:rsidRPr="00EA1C67">
        <w:rPr>
          <w:rFonts w:ascii="Calibri" w:hAnsi="Calibri" w:cs="Calibri"/>
        </w:rPr>
        <w:lastRenderedPageBreak/>
        <w:t xml:space="preserve">through insurance and professional expectations to keep client details, consent forms and treatment records for six years. The report treats this six-year period as a business and insurance retention requirement rather than a general rule for all personal data. This is important because the UK GDPR storage limitation principle requires personal data not to be kept longer than necessary for the purpose for which it was collected (ICO, 2023a). </w:t>
      </w:r>
    </w:p>
    <w:p w14:paraId="6A5A86DC" w14:textId="3B7B9D0A" w:rsidR="0037115C" w:rsidRPr="00EA1C67" w:rsidRDefault="0037115C" w:rsidP="0037115C">
      <w:pPr>
        <w:spacing w:after="120" w:line="360" w:lineRule="auto"/>
        <w:jc w:val="both"/>
        <w:rPr>
          <w:rFonts w:ascii="Calibri" w:hAnsi="Calibri" w:cs="Calibri"/>
        </w:rPr>
      </w:pPr>
      <w:r w:rsidRPr="00EA1C67">
        <w:rPr>
          <w:rFonts w:ascii="Calibri" w:hAnsi="Calibri" w:cs="Calibri"/>
        </w:rPr>
        <w:t>However, retaining records can be justified where they are needed to evidence consultation, consent, treatment decisions, aftercare and product traceability if a complaint or insurance matter arises. The Limitation Act 1980 also shows that some civil claims in England and Wales have six-year limitation periods, although different claims may have different time limits (UK Public General Acts, 1980). Therefore, retention should follow the insurance policy and be reviewed annually.</w:t>
      </w:r>
      <w:r w:rsidR="00062CE2" w:rsidRPr="00EA1C67">
        <w:rPr>
          <w:rFonts w:ascii="Calibri" w:hAnsi="Calibri" w:cs="Calibri"/>
        </w:rPr>
        <w:t xml:space="preserve"> </w:t>
      </w:r>
      <w:r w:rsidRPr="00EA1C67">
        <w:rPr>
          <w:rFonts w:ascii="Calibri" w:hAnsi="Calibri" w:cs="Calibri"/>
        </w:rPr>
        <w:t>Honey-Love Aesthetics can grow by using knowledge about client preferences, repeat treatments, feedback, seasonal demand, finance options and common questions. This knowledge can support better marketing, more helpful aftercare, improved booking processes and stronger client loyalty. The business case is therefore not only defensive; it is also strategic.</w:t>
      </w:r>
    </w:p>
    <w:p w14:paraId="2DF48C5A" w14:textId="77777777" w:rsidR="0037115C" w:rsidRPr="00EA1C67" w:rsidRDefault="0037115C" w:rsidP="0037115C">
      <w:pPr>
        <w:pStyle w:val="Heading1"/>
        <w:spacing w:before="200" w:after="120" w:line="360" w:lineRule="auto"/>
        <w:jc w:val="both"/>
        <w:rPr>
          <w:rFonts w:ascii="Calibri" w:hAnsi="Calibri" w:cs="Calibri"/>
        </w:rPr>
      </w:pPr>
      <w:bookmarkStart w:id="5" w:name="_Toc230325745"/>
      <w:r w:rsidRPr="00EA1C67">
        <w:rPr>
          <w:rFonts w:ascii="Calibri" w:eastAsia="Times New Roman" w:hAnsi="Calibri" w:cs="Calibri"/>
        </w:rPr>
        <w:t>6. GDPR, Confidentiality and Client Data Protection</w:t>
      </w:r>
      <w:bookmarkEnd w:id="5"/>
    </w:p>
    <w:p w14:paraId="6CD2519C" w14:textId="10444B19" w:rsidR="0037115C" w:rsidRPr="00EA1C67" w:rsidRDefault="0037115C" w:rsidP="0037115C">
      <w:pPr>
        <w:spacing w:after="120" w:line="360" w:lineRule="auto"/>
        <w:jc w:val="both"/>
        <w:rPr>
          <w:rFonts w:ascii="Calibri" w:hAnsi="Calibri" w:cs="Calibri"/>
        </w:rPr>
      </w:pPr>
      <w:r w:rsidRPr="00EA1C67">
        <w:rPr>
          <w:rFonts w:ascii="Calibri" w:hAnsi="Calibri" w:cs="Calibri"/>
        </w:rPr>
        <w:t>Client confidentiality is central to the identity of Honey-Love Aesthetics. Michelle has stated that she does not share client information because it is confidential. This position is correct and should be formalised in the knowledge management plan. Clients may not want friends, family, employers or other salon users to know what treatments they have had. The UK data protection framework is governed by UK GDPR and the Data Protection Act 2018. GOV.UK states that the UK’s data protection legislation consists of the UK General Data Protection Regulation and the Data Protection Act 2018, which control how personal information is used by organisations, businesses and government departments (GOV.UK, 2026). The ICO summarises the UK GDPR principles as lawfulness, fairness and transparency; purpose limitation; data minimisation; accuracy; storage limitation; integrity and confidentiality; and accountability (ICO, 2023a). These principles should be used as a checklist for the salon.</w:t>
      </w:r>
    </w:p>
    <w:p w14:paraId="5B91B479" w14:textId="77777777" w:rsidR="0037115C" w:rsidRPr="00EA1C67" w:rsidRDefault="0037115C" w:rsidP="0037115C">
      <w:pPr>
        <w:spacing w:after="120" w:line="360" w:lineRule="auto"/>
        <w:jc w:val="both"/>
        <w:rPr>
          <w:rFonts w:ascii="Calibri" w:hAnsi="Calibri" w:cs="Calibri"/>
        </w:rPr>
      </w:pPr>
      <w:r w:rsidRPr="00EA1C67">
        <w:rPr>
          <w:rFonts w:ascii="Calibri" w:hAnsi="Calibri" w:cs="Calibri"/>
        </w:rPr>
        <w:t xml:space="preserve">The difference between data and personal data also affects how the business operates. Anonymous stock totals or daily booking numbers may be general data. A client’s name, phone number, face photograph, medical history, treatment notes and consent forms are </w:t>
      </w:r>
      <w:r w:rsidRPr="00EA1C67">
        <w:rPr>
          <w:rFonts w:ascii="Calibri" w:hAnsi="Calibri" w:cs="Calibri"/>
        </w:rPr>
        <w:lastRenderedPageBreak/>
        <w:t>personal data. Medical history and health-related information may need extra care because health data is special category data (ICO, 2024b). This means Michelle should collect only the information needed for a clear purpose, explain why it is collected, keep it accurate, protect it and retain it only for the justified period.</w:t>
      </w:r>
    </w:p>
    <w:p w14:paraId="7FC567E2" w14:textId="77777777" w:rsidR="0037115C" w:rsidRPr="00EA1C67" w:rsidRDefault="0037115C" w:rsidP="0037115C">
      <w:pPr>
        <w:spacing w:after="120" w:line="360" w:lineRule="auto"/>
        <w:jc w:val="both"/>
        <w:rPr>
          <w:rFonts w:ascii="Calibri" w:hAnsi="Calibri" w:cs="Calibri"/>
        </w:rPr>
      </w:pPr>
      <w:r w:rsidRPr="00EA1C67">
        <w:rPr>
          <w:rFonts w:ascii="Calibri" w:hAnsi="Calibri" w:cs="Calibri"/>
        </w:rPr>
        <w:t>Table 3 sets out the main personal data collected by the salon and why it is needed. This table can be used as the basis for a privacy notice. A privacy notice should explain what is collected, the purpose of collection, how the data is stored, who may receive it, how long it is kept and how clients can raise questions about their data. Faces’ own privacy material states that personal information may be used to record and evidence consent to treatments, manage bookings and, where agreed, use photographs for promotional purposes (Faces Consent, 2026c). However, Michelle should still have her own salon privacy statement because she is responsible for the purposes for which client information is collected and used in her business.</w:t>
      </w:r>
    </w:p>
    <w:p w14:paraId="532F58D0" w14:textId="3B60E75B" w:rsidR="0037115C" w:rsidRPr="00EA1C67" w:rsidRDefault="0037115C" w:rsidP="0037115C">
      <w:pPr>
        <w:spacing w:after="120" w:line="360" w:lineRule="auto"/>
        <w:jc w:val="both"/>
        <w:rPr>
          <w:rFonts w:ascii="Calibri" w:hAnsi="Calibri" w:cs="Calibri"/>
        </w:rPr>
      </w:pPr>
      <w:r w:rsidRPr="00EA1C67">
        <w:rPr>
          <w:rFonts w:ascii="Calibri" w:hAnsi="Calibri" w:cs="Calibri"/>
        </w:rPr>
        <w:t>The salon should apply the CIA triad: confidentiality, integrity and availability. Confidentiality means that client data should only be accessed by authorised people. Integrity means that records must be accurate, complete and protected from improper alteration. Availability means that records must be accessible when required for treatment, aftercare, insurance evidence or a client query. The ICO explains that appropriate security involves technical and organisational measures that reflect the risks involved in processing personal data (ICO, 2024c).</w:t>
      </w:r>
    </w:p>
    <w:p w14:paraId="5A6F0C63" w14:textId="77777777" w:rsidR="0037115C" w:rsidRPr="00EA1C67" w:rsidRDefault="0037115C" w:rsidP="0037115C">
      <w:pPr>
        <w:pStyle w:val="Caption"/>
        <w:rPr>
          <w:rFonts w:ascii="Calibri" w:hAnsi="Calibri" w:cs="Calibri"/>
          <w:color w:val="auto"/>
        </w:rPr>
      </w:pPr>
      <w:r w:rsidRPr="00EA1C67">
        <w:rPr>
          <w:rFonts w:ascii="Calibri" w:hAnsi="Calibri" w:cs="Calibri"/>
          <w:color w:val="auto"/>
        </w:rPr>
        <w:t>Table 3. Personal Data Collected, Purpose and Protection Measures</w:t>
      </w:r>
    </w:p>
    <w:tbl>
      <w:tblPr>
        <w:tblStyle w:val="TableGrid"/>
        <w:tblW w:w="0" w:type="auto"/>
        <w:jc w:val="center"/>
        <w:tblLook w:val="04A0" w:firstRow="1" w:lastRow="0" w:firstColumn="1" w:lastColumn="0" w:noHBand="0" w:noVBand="1"/>
      </w:tblPr>
      <w:tblGrid>
        <w:gridCol w:w="1768"/>
        <w:gridCol w:w="1851"/>
        <w:gridCol w:w="1827"/>
        <w:gridCol w:w="1785"/>
        <w:gridCol w:w="1785"/>
      </w:tblGrid>
      <w:tr w:rsidR="0037115C" w:rsidRPr="00EA1C67" w14:paraId="18055EB3" w14:textId="77777777" w:rsidTr="007A764A">
        <w:trPr>
          <w:tblHeader/>
          <w:jc w:val="center"/>
        </w:trPr>
        <w:tc>
          <w:tcPr>
            <w:tcW w:w="1892" w:type="dxa"/>
            <w:shd w:val="clear" w:color="auto" w:fill="D9EAD3"/>
          </w:tcPr>
          <w:p w14:paraId="713B1039"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4"/>
              </w:rPr>
              <w:t>Personal data</w:t>
            </w:r>
          </w:p>
        </w:tc>
        <w:tc>
          <w:tcPr>
            <w:tcW w:w="1892" w:type="dxa"/>
            <w:shd w:val="clear" w:color="auto" w:fill="D9EAD3"/>
          </w:tcPr>
          <w:p w14:paraId="01EA47E2"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4"/>
              </w:rPr>
              <w:t>Why it is collected</w:t>
            </w:r>
          </w:p>
        </w:tc>
        <w:tc>
          <w:tcPr>
            <w:tcW w:w="1892" w:type="dxa"/>
            <w:shd w:val="clear" w:color="auto" w:fill="D9EAD3"/>
          </w:tcPr>
          <w:p w14:paraId="13D44F3E"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4"/>
              </w:rPr>
              <w:t>Likely lawful purpose</w:t>
            </w:r>
          </w:p>
        </w:tc>
        <w:tc>
          <w:tcPr>
            <w:tcW w:w="1892" w:type="dxa"/>
            <w:shd w:val="clear" w:color="auto" w:fill="D9EAD3"/>
          </w:tcPr>
          <w:p w14:paraId="52F0C275"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4"/>
              </w:rPr>
              <w:t>Retention</w:t>
            </w:r>
          </w:p>
        </w:tc>
        <w:tc>
          <w:tcPr>
            <w:tcW w:w="1892" w:type="dxa"/>
            <w:shd w:val="clear" w:color="auto" w:fill="D9EAD3"/>
          </w:tcPr>
          <w:p w14:paraId="7960F78A"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4"/>
              </w:rPr>
              <w:t>Protection control</w:t>
            </w:r>
          </w:p>
        </w:tc>
      </w:tr>
      <w:tr w:rsidR="0037115C" w:rsidRPr="00EA1C67" w14:paraId="2E879E5C" w14:textId="77777777" w:rsidTr="007A764A">
        <w:trPr>
          <w:jc w:val="center"/>
        </w:trPr>
        <w:tc>
          <w:tcPr>
            <w:tcW w:w="1892" w:type="dxa"/>
          </w:tcPr>
          <w:p w14:paraId="210EAC5B"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Name and contact details</w:t>
            </w:r>
          </w:p>
        </w:tc>
        <w:tc>
          <w:tcPr>
            <w:tcW w:w="1892" w:type="dxa"/>
          </w:tcPr>
          <w:p w14:paraId="4AF6E2CB"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Identify client, manage bookings and send aftercare or appointment messages.</w:t>
            </w:r>
          </w:p>
        </w:tc>
        <w:tc>
          <w:tcPr>
            <w:tcW w:w="1892" w:type="dxa"/>
          </w:tcPr>
          <w:p w14:paraId="7C676760"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Service administration and client communication.</w:t>
            </w:r>
          </w:p>
        </w:tc>
        <w:tc>
          <w:tcPr>
            <w:tcW w:w="1892" w:type="dxa"/>
          </w:tcPr>
          <w:p w14:paraId="25F5C1B7"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Six years after last treatment for insurance records, then review.</w:t>
            </w:r>
          </w:p>
        </w:tc>
        <w:tc>
          <w:tcPr>
            <w:tcW w:w="1892" w:type="dxa"/>
          </w:tcPr>
          <w:p w14:paraId="60155C6D"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Faces login, device lock and no unauthorised sharing.</w:t>
            </w:r>
          </w:p>
        </w:tc>
      </w:tr>
      <w:tr w:rsidR="0037115C" w:rsidRPr="00EA1C67" w14:paraId="14FBE61A" w14:textId="77777777" w:rsidTr="007A764A">
        <w:trPr>
          <w:jc w:val="center"/>
        </w:trPr>
        <w:tc>
          <w:tcPr>
            <w:tcW w:w="1892" w:type="dxa"/>
          </w:tcPr>
          <w:p w14:paraId="23D30451"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Date of birth/age confirmation</w:t>
            </w:r>
          </w:p>
        </w:tc>
        <w:tc>
          <w:tcPr>
            <w:tcW w:w="1892" w:type="dxa"/>
          </w:tcPr>
          <w:p w14:paraId="7159698B"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Confirm suitability and avoid treating under-age clients where restrictions apply.</w:t>
            </w:r>
          </w:p>
        </w:tc>
        <w:tc>
          <w:tcPr>
            <w:tcW w:w="1892" w:type="dxa"/>
          </w:tcPr>
          <w:p w14:paraId="0E32FCB3"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Safety and legal compliance.</w:t>
            </w:r>
          </w:p>
        </w:tc>
        <w:tc>
          <w:tcPr>
            <w:tcW w:w="1892" w:type="dxa"/>
          </w:tcPr>
          <w:p w14:paraId="5515149A"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Six years after last treatment, subject to policy review.</w:t>
            </w:r>
          </w:p>
        </w:tc>
        <w:tc>
          <w:tcPr>
            <w:tcW w:w="1892" w:type="dxa"/>
          </w:tcPr>
          <w:p w14:paraId="24C42CEA"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Record only necessary information.</w:t>
            </w:r>
          </w:p>
        </w:tc>
      </w:tr>
      <w:tr w:rsidR="0037115C" w:rsidRPr="00EA1C67" w14:paraId="4C7735D3" w14:textId="77777777" w:rsidTr="007A764A">
        <w:trPr>
          <w:jc w:val="center"/>
        </w:trPr>
        <w:tc>
          <w:tcPr>
            <w:tcW w:w="1892" w:type="dxa"/>
          </w:tcPr>
          <w:p w14:paraId="1EB725CD"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Medical history, allergies and medication</w:t>
            </w:r>
          </w:p>
        </w:tc>
        <w:tc>
          <w:tcPr>
            <w:tcW w:w="1892" w:type="dxa"/>
          </w:tcPr>
          <w:p w14:paraId="7331DF58"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Assess suitability, contraindications and risk before treatment.</w:t>
            </w:r>
          </w:p>
        </w:tc>
        <w:tc>
          <w:tcPr>
            <w:tcW w:w="1892" w:type="dxa"/>
          </w:tcPr>
          <w:p w14:paraId="5B5223CF"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Safe treatment decision-making.</w:t>
            </w:r>
          </w:p>
        </w:tc>
        <w:tc>
          <w:tcPr>
            <w:tcW w:w="1892" w:type="dxa"/>
          </w:tcPr>
          <w:p w14:paraId="7934AB51"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Six years after last treatment for insurance evidence.</w:t>
            </w:r>
          </w:p>
        </w:tc>
        <w:tc>
          <w:tcPr>
            <w:tcW w:w="1892" w:type="dxa"/>
          </w:tcPr>
          <w:p w14:paraId="749D2A93"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High confidentiality; access only by authorised practitioner.</w:t>
            </w:r>
          </w:p>
        </w:tc>
      </w:tr>
      <w:tr w:rsidR="0037115C" w:rsidRPr="00EA1C67" w14:paraId="2BCE4283" w14:textId="77777777" w:rsidTr="007A764A">
        <w:trPr>
          <w:jc w:val="center"/>
        </w:trPr>
        <w:tc>
          <w:tcPr>
            <w:tcW w:w="1892" w:type="dxa"/>
          </w:tcPr>
          <w:p w14:paraId="1458B333"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Consent forms</w:t>
            </w:r>
          </w:p>
        </w:tc>
        <w:tc>
          <w:tcPr>
            <w:tcW w:w="1892" w:type="dxa"/>
          </w:tcPr>
          <w:p w14:paraId="29DF734F"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Evidence informed consent before treatment and photography/marketing consent where relevant.</w:t>
            </w:r>
          </w:p>
        </w:tc>
        <w:tc>
          <w:tcPr>
            <w:tcW w:w="1892" w:type="dxa"/>
          </w:tcPr>
          <w:p w14:paraId="7C5777FC"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Professional accountability and insurance evidence.</w:t>
            </w:r>
          </w:p>
        </w:tc>
        <w:tc>
          <w:tcPr>
            <w:tcW w:w="1892" w:type="dxa"/>
          </w:tcPr>
          <w:p w14:paraId="42A2FA07"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Six years after last treatment for insurance evidence.</w:t>
            </w:r>
          </w:p>
        </w:tc>
        <w:tc>
          <w:tcPr>
            <w:tcW w:w="1892" w:type="dxa"/>
          </w:tcPr>
          <w:p w14:paraId="015EC593"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Complete before treatment and store securely in Faces.</w:t>
            </w:r>
          </w:p>
        </w:tc>
      </w:tr>
      <w:tr w:rsidR="0037115C" w:rsidRPr="00EA1C67" w14:paraId="28D2211E" w14:textId="77777777" w:rsidTr="007A764A">
        <w:trPr>
          <w:jc w:val="center"/>
        </w:trPr>
        <w:tc>
          <w:tcPr>
            <w:tcW w:w="1892" w:type="dxa"/>
          </w:tcPr>
          <w:p w14:paraId="22DA7894"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lastRenderedPageBreak/>
              <w:t>Before/after photographs</w:t>
            </w:r>
          </w:p>
        </w:tc>
        <w:tc>
          <w:tcPr>
            <w:tcW w:w="1892" w:type="dxa"/>
          </w:tcPr>
          <w:p w14:paraId="325094B4"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Clinical progress evidence and marketing only if separate consent is given.</w:t>
            </w:r>
          </w:p>
        </w:tc>
        <w:tc>
          <w:tcPr>
            <w:tcW w:w="1892" w:type="dxa"/>
          </w:tcPr>
          <w:p w14:paraId="586591CC"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Treatment documentation and optional marketing consent.</w:t>
            </w:r>
          </w:p>
        </w:tc>
        <w:tc>
          <w:tcPr>
            <w:tcW w:w="1892" w:type="dxa"/>
          </w:tcPr>
          <w:p w14:paraId="4B971D7B"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Six years for clinical record; marketing use only while consent remains valid.</w:t>
            </w:r>
          </w:p>
        </w:tc>
        <w:tc>
          <w:tcPr>
            <w:tcW w:w="1892" w:type="dxa"/>
          </w:tcPr>
          <w:p w14:paraId="7F52DC15"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Separate photo consent; remove from marketing if consent is withdrawn where applicable.</w:t>
            </w:r>
          </w:p>
        </w:tc>
      </w:tr>
      <w:tr w:rsidR="0037115C" w:rsidRPr="00EA1C67" w14:paraId="336C3877" w14:textId="77777777" w:rsidTr="007A764A">
        <w:trPr>
          <w:jc w:val="center"/>
        </w:trPr>
        <w:tc>
          <w:tcPr>
            <w:tcW w:w="1892" w:type="dxa"/>
          </w:tcPr>
          <w:p w14:paraId="204D4FBF"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Treatment notes and product details</w:t>
            </w:r>
          </w:p>
        </w:tc>
        <w:tc>
          <w:tcPr>
            <w:tcW w:w="1892" w:type="dxa"/>
          </w:tcPr>
          <w:p w14:paraId="50F90FAD"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Record treatment area, product, batch number, aftercare and client response.</w:t>
            </w:r>
          </w:p>
        </w:tc>
        <w:tc>
          <w:tcPr>
            <w:tcW w:w="1892" w:type="dxa"/>
          </w:tcPr>
          <w:p w14:paraId="7DDB5003"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Treatment continuity and complaint/insurance evidence.</w:t>
            </w:r>
          </w:p>
        </w:tc>
        <w:tc>
          <w:tcPr>
            <w:tcW w:w="1892" w:type="dxa"/>
          </w:tcPr>
          <w:p w14:paraId="61998012"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Six years after last treatment for insurance evidence.</w:t>
            </w:r>
          </w:p>
        </w:tc>
        <w:tc>
          <w:tcPr>
            <w:tcW w:w="1892" w:type="dxa"/>
          </w:tcPr>
          <w:p w14:paraId="58D30B7A"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Accurate notes entered promptly after treatment.</w:t>
            </w:r>
          </w:p>
        </w:tc>
      </w:tr>
      <w:tr w:rsidR="0037115C" w:rsidRPr="00EA1C67" w14:paraId="78D60548" w14:textId="77777777" w:rsidTr="007A764A">
        <w:trPr>
          <w:jc w:val="center"/>
        </w:trPr>
        <w:tc>
          <w:tcPr>
            <w:tcW w:w="1892" w:type="dxa"/>
          </w:tcPr>
          <w:p w14:paraId="59BEEB58"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Finance and prescriber-related details</w:t>
            </w:r>
          </w:p>
        </w:tc>
        <w:tc>
          <w:tcPr>
            <w:tcW w:w="1892" w:type="dxa"/>
          </w:tcPr>
          <w:p w14:paraId="0C577F11"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Forward forms for Payl8r finance where requested and support prescriber routes where needed.</w:t>
            </w:r>
          </w:p>
        </w:tc>
        <w:tc>
          <w:tcPr>
            <w:tcW w:w="1892" w:type="dxa"/>
          </w:tcPr>
          <w:p w14:paraId="13B25877"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Client-requested finance and safe prescription pathway.</w:t>
            </w:r>
          </w:p>
        </w:tc>
        <w:tc>
          <w:tcPr>
            <w:tcW w:w="1892" w:type="dxa"/>
          </w:tcPr>
          <w:p w14:paraId="3BF883EE"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As required by process/policy, then review.</w:t>
            </w:r>
          </w:p>
        </w:tc>
        <w:tc>
          <w:tcPr>
            <w:tcW w:w="1892" w:type="dxa"/>
          </w:tcPr>
          <w:p w14:paraId="47EA0BDD"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Share only with relevant service provider or prescriber.</w:t>
            </w:r>
          </w:p>
        </w:tc>
      </w:tr>
    </w:tbl>
    <w:p w14:paraId="45959FDB" w14:textId="77777777" w:rsidR="0037115C" w:rsidRPr="00EA1C67" w:rsidRDefault="0037115C" w:rsidP="0037115C">
      <w:pPr>
        <w:pStyle w:val="Heading1"/>
        <w:spacing w:before="200" w:after="120" w:line="360" w:lineRule="auto"/>
        <w:jc w:val="both"/>
        <w:rPr>
          <w:rFonts w:ascii="Calibri" w:hAnsi="Calibri" w:cs="Calibri"/>
        </w:rPr>
      </w:pPr>
      <w:bookmarkStart w:id="6" w:name="_Toc230325746"/>
      <w:r w:rsidRPr="00EA1C67">
        <w:rPr>
          <w:rFonts w:ascii="Calibri" w:eastAsia="Times New Roman" w:hAnsi="Calibri" w:cs="Calibri"/>
        </w:rPr>
        <w:t>7. SMART Knowledge Management Plan</w:t>
      </w:r>
      <w:bookmarkEnd w:id="6"/>
    </w:p>
    <w:p w14:paraId="18226269" w14:textId="0F987038" w:rsidR="0037115C" w:rsidRPr="00EA1C67" w:rsidRDefault="0037115C" w:rsidP="0037115C">
      <w:pPr>
        <w:spacing w:after="120" w:line="360" w:lineRule="auto"/>
        <w:jc w:val="both"/>
        <w:rPr>
          <w:rFonts w:ascii="Calibri" w:hAnsi="Calibri" w:cs="Calibri"/>
        </w:rPr>
      </w:pPr>
      <w:r w:rsidRPr="00EA1C67">
        <w:rPr>
          <w:rFonts w:ascii="Calibri" w:hAnsi="Calibri" w:cs="Calibri"/>
        </w:rPr>
        <w:t xml:space="preserve">The knowledge management plan for Honey-Love Aesthetics should be practical, measurable and realistic for a self-employed business. Doran (1981) introduced the SMART approach </w:t>
      </w:r>
      <w:proofErr w:type="gramStart"/>
      <w:r w:rsidRPr="00EA1C67">
        <w:rPr>
          <w:rFonts w:ascii="Calibri" w:hAnsi="Calibri" w:cs="Calibri"/>
        </w:rPr>
        <w:t>as a way to</w:t>
      </w:r>
      <w:proofErr w:type="gramEnd"/>
      <w:r w:rsidRPr="00EA1C67">
        <w:rPr>
          <w:rFonts w:ascii="Calibri" w:hAnsi="Calibri" w:cs="Calibri"/>
        </w:rPr>
        <w:t xml:space="preserve"> write management objectives that are specific, measurable, assignable, realistic and </w:t>
      </w:r>
      <w:proofErr w:type="gramStart"/>
      <w:r w:rsidRPr="00EA1C67">
        <w:rPr>
          <w:rFonts w:ascii="Calibri" w:hAnsi="Calibri" w:cs="Calibri"/>
        </w:rPr>
        <w:t>time-related</w:t>
      </w:r>
      <w:proofErr w:type="gramEnd"/>
      <w:r w:rsidRPr="00EA1C67">
        <w:rPr>
          <w:rFonts w:ascii="Calibri" w:hAnsi="Calibri" w:cs="Calibri"/>
        </w:rPr>
        <w:t>. The plan below is designed for a small workplace, so it avoids unnecessary bureaucracy while still meeting the brief’s requirement for a strategic action plan.</w:t>
      </w:r>
    </w:p>
    <w:p w14:paraId="7A26256A" w14:textId="77777777" w:rsidR="0037115C" w:rsidRPr="00EA1C67" w:rsidRDefault="0037115C" w:rsidP="0037115C">
      <w:pPr>
        <w:spacing w:after="120" w:line="360" w:lineRule="auto"/>
        <w:jc w:val="both"/>
        <w:rPr>
          <w:rFonts w:ascii="Calibri" w:hAnsi="Calibri" w:cs="Calibri"/>
        </w:rPr>
      </w:pPr>
      <w:r w:rsidRPr="00EA1C67">
        <w:rPr>
          <w:rFonts w:ascii="Calibri" w:hAnsi="Calibri" w:cs="Calibri"/>
        </w:rPr>
        <w:t>Figure 1 presents the proposed knowledge management culture framework. The framework starts with leadership and trust because Michelle sets the standard for confidentiality, professionalism and client-centred care. It then captures knowledge through consultations, consent forms and treatment notes; stores knowledge securely through Faces and controlled access; shares general knowledge through aftercare guidance and salon standards; applies knowledge through safe treatment decisions; and monitors improvement through KPIs and review. The framework therefore links people, process, technology and governance.</w:t>
      </w:r>
    </w:p>
    <w:p w14:paraId="24765A75" w14:textId="54C7DC9B" w:rsidR="0037115C" w:rsidRPr="00EA1C67" w:rsidRDefault="00062CE2" w:rsidP="00062CE2">
      <w:pPr>
        <w:spacing w:line="360" w:lineRule="auto"/>
        <w:jc w:val="center"/>
        <w:rPr>
          <w:rFonts w:ascii="Calibri" w:hAnsi="Calibri" w:cs="Calibri"/>
        </w:rPr>
      </w:pPr>
      <w:r w:rsidRPr="00EA1C67">
        <w:rPr>
          <w:rFonts w:ascii="Calibri" w:hAnsi="Calibri" w:cs="Calibri"/>
          <w:noProof/>
        </w:rPr>
        <w:lastRenderedPageBreak/>
        <w:drawing>
          <wp:inline distT="0" distB="0" distL="0" distR="0" wp14:anchorId="502B3623" wp14:editId="69CE522A">
            <wp:extent cx="5086350" cy="3390900"/>
            <wp:effectExtent l="19050" t="19050" r="19050" b="19050"/>
            <wp:docPr id="115297648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86739" cy="3391159"/>
                    </a:xfrm>
                    <a:prstGeom prst="rect">
                      <a:avLst/>
                    </a:prstGeom>
                    <a:noFill/>
                    <a:ln w="9525">
                      <a:solidFill>
                        <a:schemeClr val="tx1"/>
                      </a:solidFill>
                    </a:ln>
                  </pic:spPr>
                </pic:pic>
              </a:graphicData>
            </a:graphic>
          </wp:inline>
        </w:drawing>
      </w:r>
    </w:p>
    <w:p w14:paraId="6B78F339" w14:textId="77777777" w:rsidR="0037115C" w:rsidRPr="00EA1C67" w:rsidRDefault="0037115C" w:rsidP="0037115C">
      <w:pPr>
        <w:pStyle w:val="Caption"/>
        <w:rPr>
          <w:rFonts w:ascii="Calibri" w:hAnsi="Calibri" w:cs="Calibri"/>
          <w:color w:val="auto"/>
        </w:rPr>
      </w:pPr>
      <w:r w:rsidRPr="00EA1C67">
        <w:rPr>
          <w:rFonts w:ascii="Calibri" w:hAnsi="Calibri" w:cs="Calibri"/>
          <w:color w:val="auto"/>
        </w:rPr>
        <w:t>Figure 1. Knowledge Management Culture Framework for Honey-Love Aesthetics by Michelle</w:t>
      </w:r>
    </w:p>
    <w:p w14:paraId="1A17BECE" w14:textId="77777777" w:rsidR="0037115C" w:rsidRPr="00EA1C67" w:rsidRDefault="0037115C" w:rsidP="0037115C">
      <w:pPr>
        <w:spacing w:after="120" w:line="360" w:lineRule="auto"/>
        <w:jc w:val="both"/>
        <w:rPr>
          <w:rFonts w:ascii="Calibri" w:hAnsi="Calibri" w:cs="Calibri"/>
        </w:rPr>
      </w:pPr>
      <w:r w:rsidRPr="00EA1C67">
        <w:rPr>
          <w:rFonts w:ascii="Calibri" w:hAnsi="Calibri" w:cs="Calibri"/>
        </w:rPr>
        <w:t>Table 4 converts the framework into SMART objectives that can be used in the workplace. The objectives focus on record accuracy, confidentiality, aftercare, GDPR transparency, salon learning and client retention. These objectives are deliberately realistic for a small business because they can be implemented without expensive software beyond the existing Faces system.</w:t>
      </w:r>
    </w:p>
    <w:p w14:paraId="1BFFAA4C" w14:textId="77777777" w:rsidR="0037115C" w:rsidRPr="00EA1C67" w:rsidRDefault="0037115C" w:rsidP="0037115C">
      <w:pPr>
        <w:pStyle w:val="Caption"/>
        <w:rPr>
          <w:rFonts w:ascii="Calibri" w:hAnsi="Calibri" w:cs="Calibri"/>
          <w:color w:val="auto"/>
        </w:rPr>
      </w:pPr>
      <w:r w:rsidRPr="00EA1C67">
        <w:rPr>
          <w:rFonts w:ascii="Calibri" w:hAnsi="Calibri" w:cs="Calibri"/>
          <w:color w:val="auto"/>
        </w:rPr>
        <w:t>Table 4. SMART Knowledge Management Action Plan</w:t>
      </w:r>
    </w:p>
    <w:tbl>
      <w:tblPr>
        <w:tblStyle w:val="TableGrid"/>
        <w:tblW w:w="0" w:type="auto"/>
        <w:jc w:val="center"/>
        <w:tblLook w:val="04A0" w:firstRow="1" w:lastRow="0" w:firstColumn="1" w:lastColumn="0" w:noHBand="0" w:noVBand="1"/>
      </w:tblPr>
      <w:tblGrid>
        <w:gridCol w:w="1804"/>
        <w:gridCol w:w="1793"/>
        <w:gridCol w:w="1828"/>
        <w:gridCol w:w="1792"/>
        <w:gridCol w:w="1799"/>
      </w:tblGrid>
      <w:tr w:rsidR="0037115C" w:rsidRPr="00EA1C67" w14:paraId="5890ECFF" w14:textId="77777777" w:rsidTr="007A764A">
        <w:trPr>
          <w:tblHeader/>
          <w:jc w:val="center"/>
        </w:trPr>
        <w:tc>
          <w:tcPr>
            <w:tcW w:w="1892" w:type="dxa"/>
            <w:shd w:val="clear" w:color="auto" w:fill="FCE4D6"/>
          </w:tcPr>
          <w:p w14:paraId="3A34E7B2"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4"/>
              </w:rPr>
              <w:t>Objective</w:t>
            </w:r>
          </w:p>
        </w:tc>
        <w:tc>
          <w:tcPr>
            <w:tcW w:w="1892" w:type="dxa"/>
            <w:shd w:val="clear" w:color="auto" w:fill="FCE4D6"/>
          </w:tcPr>
          <w:p w14:paraId="1AA97973"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4"/>
              </w:rPr>
              <w:t>SMART target</w:t>
            </w:r>
          </w:p>
        </w:tc>
        <w:tc>
          <w:tcPr>
            <w:tcW w:w="1892" w:type="dxa"/>
            <w:shd w:val="clear" w:color="auto" w:fill="FCE4D6"/>
          </w:tcPr>
          <w:p w14:paraId="72A4E5D3"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4"/>
              </w:rPr>
              <w:t>Actions</w:t>
            </w:r>
          </w:p>
        </w:tc>
        <w:tc>
          <w:tcPr>
            <w:tcW w:w="1892" w:type="dxa"/>
            <w:shd w:val="clear" w:color="auto" w:fill="FCE4D6"/>
          </w:tcPr>
          <w:p w14:paraId="3B11C092"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4"/>
              </w:rPr>
              <w:t>Responsible person</w:t>
            </w:r>
          </w:p>
        </w:tc>
        <w:tc>
          <w:tcPr>
            <w:tcW w:w="1892" w:type="dxa"/>
            <w:shd w:val="clear" w:color="auto" w:fill="FCE4D6"/>
          </w:tcPr>
          <w:p w14:paraId="331570B0"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4"/>
              </w:rPr>
              <w:t>Evidence/KPI</w:t>
            </w:r>
          </w:p>
        </w:tc>
      </w:tr>
      <w:tr w:rsidR="0037115C" w:rsidRPr="00EA1C67" w14:paraId="44CAD352" w14:textId="77777777" w:rsidTr="007A764A">
        <w:trPr>
          <w:jc w:val="center"/>
        </w:trPr>
        <w:tc>
          <w:tcPr>
            <w:tcW w:w="1892" w:type="dxa"/>
          </w:tcPr>
          <w:p w14:paraId="4AE0E367"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Improve record accuracy</w:t>
            </w:r>
          </w:p>
        </w:tc>
        <w:tc>
          <w:tcPr>
            <w:tcW w:w="1892" w:type="dxa"/>
          </w:tcPr>
          <w:p w14:paraId="3080CE6B"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Within 3 months, 100% of treatments must have completed consultation and consent forms before treatment.</w:t>
            </w:r>
          </w:p>
        </w:tc>
        <w:tc>
          <w:tcPr>
            <w:tcW w:w="1892" w:type="dxa"/>
          </w:tcPr>
          <w:p w14:paraId="587BBD34"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Use Faces before every appointment; check medical history, allergies, consent and photo permission.</w:t>
            </w:r>
          </w:p>
        </w:tc>
        <w:tc>
          <w:tcPr>
            <w:tcW w:w="1892" w:type="dxa"/>
          </w:tcPr>
          <w:p w14:paraId="1E166808"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Michelle</w:t>
            </w:r>
          </w:p>
        </w:tc>
        <w:tc>
          <w:tcPr>
            <w:tcW w:w="1892" w:type="dxa"/>
          </w:tcPr>
          <w:p w14:paraId="5CA1C336"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Monthly audit of 10 random records.</w:t>
            </w:r>
          </w:p>
        </w:tc>
      </w:tr>
      <w:tr w:rsidR="0037115C" w:rsidRPr="00EA1C67" w14:paraId="3E098211" w14:textId="77777777" w:rsidTr="007A764A">
        <w:trPr>
          <w:jc w:val="center"/>
        </w:trPr>
        <w:tc>
          <w:tcPr>
            <w:tcW w:w="1892" w:type="dxa"/>
          </w:tcPr>
          <w:p w14:paraId="3419CF6D"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Protect confidentiality</w:t>
            </w:r>
          </w:p>
        </w:tc>
        <w:tc>
          <w:tcPr>
            <w:tcW w:w="1892" w:type="dxa"/>
          </w:tcPr>
          <w:p w14:paraId="5D374BE2"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Within 1 month, confirm that only authorised users can access client records.</w:t>
            </w:r>
          </w:p>
        </w:tc>
        <w:tc>
          <w:tcPr>
            <w:tcW w:w="1892" w:type="dxa"/>
          </w:tcPr>
          <w:p w14:paraId="2D66FB4A"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Use secure device login, Faces password, no shared passwords and no informal sharing of client details.</w:t>
            </w:r>
          </w:p>
        </w:tc>
        <w:tc>
          <w:tcPr>
            <w:tcW w:w="1892" w:type="dxa"/>
          </w:tcPr>
          <w:p w14:paraId="62C305B8"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Michelle</w:t>
            </w:r>
          </w:p>
        </w:tc>
        <w:tc>
          <w:tcPr>
            <w:tcW w:w="1892" w:type="dxa"/>
          </w:tcPr>
          <w:p w14:paraId="6EBF5AC1"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Zero unauthorised access incidents.</w:t>
            </w:r>
          </w:p>
        </w:tc>
      </w:tr>
      <w:tr w:rsidR="0037115C" w:rsidRPr="00EA1C67" w14:paraId="14FE43A2" w14:textId="77777777" w:rsidTr="007A764A">
        <w:trPr>
          <w:jc w:val="center"/>
        </w:trPr>
        <w:tc>
          <w:tcPr>
            <w:tcW w:w="1892" w:type="dxa"/>
          </w:tcPr>
          <w:p w14:paraId="0DCFAC02"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Improve aftercare knowledge</w:t>
            </w:r>
          </w:p>
        </w:tc>
        <w:tc>
          <w:tcPr>
            <w:tcW w:w="1892" w:type="dxa"/>
          </w:tcPr>
          <w:p w14:paraId="7306766E"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Within 3 months, create standard aftercare templates for main treatment types.</w:t>
            </w:r>
          </w:p>
        </w:tc>
        <w:tc>
          <w:tcPr>
            <w:tcW w:w="1892" w:type="dxa"/>
          </w:tcPr>
          <w:p w14:paraId="59FA5285"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Prepare short templates for filler, Botox-related services, B12, fat dissolving and contouring packages.</w:t>
            </w:r>
          </w:p>
        </w:tc>
        <w:tc>
          <w:tcPr>
            <w:tcW w:w="1892" w:type="dxa"/>
          </w:tcPr>
          <w:p w14:paraId="733C9C31"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Michelle</w:t>
            </w:r>
          </w:p>
        </w:tc>
        <w:tc>
          <w:tcPr>
            <w:tcW w:w="1892" w:type="dxa"/>
          </w:tcPr>
          <w:p w14:paraId="774108DF"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95% of clients receive aftercare message or form.</w:t>
            </w:r>
          </w:p>
        </w:tc>
      </w:tr>
      <w:tr w:rsidR="0037115C" w:rsidRPr="00EA1C67" w14:paraId="39FB9BCD" w14:textId="77777777" w:rsidTr="007A764A">
        <w:trPr>
          <w:jc w:val="center"/>
        </w:trPr>
        <w:tc>
          <w:tcPr>
            <w:tcW w:w="1892" w:type="dxa"/>
          </w:tcPr>
          <w:p w14:paraId="797551A0"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Create GDPR transparency</w:t>
            </w:r>
          </w:p>
        </w:tc>
        <w:tc>
          <w:tcPr>
            <w:tcW w:w="1892" w:type="dxa"/>
          </w:tcPr>
          <w:p w14:paraId="24C954AC"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Within 2 months, create a salon privacy notice for clients.</w:t>
            </w:r>
          </w:p>
        </w:tc>
        <w:tc>
          <w:tcPr>
            <w:tcW w:w="1892" w:type="dxa"/>
          </w:tcPr>
          <w:p w14:paraId="5AC2138A"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Explain data collected, purpose, Faces storage, prescriber/finance sharing, photo consent and six-year insurance retention.</w:t>
            </w:r>
          </w:p>
        </w:tc>
        <w:tc>
          <w:tcPr>
            <w:tcW w:w="1892" w:type="dxa"/>
          </w:tcPr>
          <w:p w14:paraId="627472CB"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Michelle</w:t>
            </w:r>
          </w:p>
        </w:tc>
        <w:tc>
          <w:tcPr>
            <w:tcW w:w="1892" w:type="dxa"/>
          </w:tcPr>
          <w:p w14:paraId="2864B189"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Privacy notice visible and reviewed annually.</w:t>
            </w:r>
          </w:p>
        </w:tc>
      </w:tr>
      <w:tr w:rsidR="0037115C" w:rsidRPr="00EA1C67" w14:paraId="2CF96ECA" w14:textId="77777777" w:rsidTr="007A764A">
        <w:trPr>
          <w:jc w:val="center"/>
        </w:trPr>
        <w:tc>
          <w:tcPr>
            <w:tcW w:w="1892" w:type="dxa"/>
          </w:tcPr>
          <w:p w14:paraId="0494E8CF"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lastRenderedPageBreak/>
              <w:t>Build salon knowledge culture</w:t>
            </w:r>
          </w:p>
        </w:tc>
        <w:tc>
          <w:tcPr>
            <w:tcW w:w="1892" w:type="dxa"/>
          </w:tcPr>
          <w:p w14:paraId="5FB3FECD"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Within 6 months, hold monthly 15-minute knowledge-sharing discussions with people working in the salon.</w:t>
            </w:r>
          </w:p>
        </w:tc>
        <w:tc>
          <w:tcPr>
            <w:tcW w:w="1892" w:type="dxa"/>
          </w:tcPr>
          <w:p w14:paraId="1742E1C1"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Discuss confidentiality, client care, safety, salon standards and learning points without naming clients.</w:t>
            </w:r>
          </w:p>
        </w:tc>
        <w:tc>
          <w:tcPr>
            <w:tcW w:w="1892" w:type="dxa"/>
          </w:tcPr>
          <w:p w14:paraId="7BDB7670"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Michelle and salon colleagues</w:t>
            </w:r>
          </w:p>
        </w:tc>
        <w:tc>
          <w:tcPr>
            <w:tcW w:w="1892" w:type="dxa"/>
          </w:tcPr>
          <w:p w14:paraId="2D5B91E9"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Six sessions recorded per year.</w:t>
            </w:r>
          </w:p>
        </w:tc>
      </w:tr>
      <w:tr w:rsidR="0037115C" w:rsidRPr="00EA1C67" w14:paraId="36312800" w14:textId="77777777" w:rsidTr="007A764A">
        <w:trPr>
          <w:jc w:val="center"/>
        </w:trPr>
        <w:tc>
          <w:tcPr>
            <w:tcW w:w="1892" w:type="dxa"/>
          </w:tcPr>
          <w:p w14:paraId="781BF85F"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Improve client retention</w:t>
            </w:r>
          </w:p>
        </w:tc>
        <w:tc>
          <w:tcPr>
            <w:tcW w:w="1892" w:type="dxa"/>
          </w:tcPr>
          <w:p w14:paraId="64144F2B"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Within 6 months, use treatment history to personalise follow-up and rebooking reminders.</w:t>
            </w:r>
          </w:p>
        </w:tc>
        <w:tc>
          <w:tcPr>
            <w:tcW w:w="1892" w:type="dxa"/>
          </w:tcPr>
          <w:p w14:paraId="7A2E0BCB"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Use Faces records to understand previous treatments and send suitable follow-up advice.</w:t>
            </w:r>
          </w:p>
        </w:tc>
        <w:tc>
          <w:tcPr>
            <w:tcW w:w="1892" w:type="dxa"/>
          </w:tcPr>
          <w:p w14:paraId="53876F85"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Michelle</w:t>
            </w:r>
          </w:p>
        </w:tc>
        <w:tc>
          <w:tcPr>
            <w:tcW w:w="1892" w:type="dxa"/>
          </w:tcPr>
          <w:p w14:paraId="0DCE1610"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10% increase in repeat bookings or rebooking enquiries.</w:t>
            </w:r>
          </w:p>
        </w:tc>
      </w:tr>
      <w:tr w:rsidR="0037115C" w:rsidRPr="00EA1C67" w14:paraId="25824937" w14:textId="77777777" w:rsidTr="007A764A">
        <w:trPr>
          <w:jc w:val="center"/>
        </w:trPr>
        <w:tc>
          <w:tcPr>
            <w:tcW w:w="1892" w:type="dxa"/>
          </w:tcPr>
          <w:p w14:paraId="16D846B8"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Review retained records</w:t>
            </w:r>
          </w:p>
        </w:tc>
        <w:tc>
          <w:tcPr>
            <w:tcW w:w="1892" w:type="dxa"/>
          </w:tcPr>
          <w:p w14:paraId="021DB599"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Every 12 months, review whether records are still within the justified insurance retention period.</w:t>
            </w:r>
          </w:p>
        </w:tc>
        <w:tc>
          <w:tcPr>
            <w:tcW w:w="1892" w:type="dxa"/>
          </w:tcPr>
          <w:p w14:paraId="48CC5D43"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Maintain six-year retention for insurance; delete or archive securely when no longer needed.</w:t>
            </w:r>
          </w:p>
        </w:tc>
        <w:tc>
          <w:tcPr>
            <w:tcW w:w="1892" w:type="dxa"/>
          </w:tcPr>
          <w:p w14:paraId="6322B366"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Michelle</w:t>
            </w:r>
          </w:p>
        </w:tc>
        <w:tc>
          <w:tcPr>
            <w:tcW w:w="1892" w:type="dxa"/>
          </w:tcPr>
          <w:p w14:paraId="45493BA7"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Annual retention review completed.</w:t>
            </w:r>
          </w:p>
        </w:tc>
      </w:tr>
    </w:tbl>
    <w:p w14:paraId="123F8AC4" w14:textId="77777777" w:rsidR="0037115C" w:rsidRPr="00EA1C67" w:rsidRDefault="0037115C" w:rsidP="0037115C">
      <w:pPr>
        <w:pStyle w:val="Heading1"/>
        <w:spacing w:before="200" w:after="120" w:line="360" w:lineRule="auto"/>
        <w:jc w:val="both"/>
        <w:rPr>
          <w:rFonts w:ascii="Calibri" w:hAnsi="Calibri" w:cs="Calibri"/>
        </w:rPr>
      </w:pPr>
      <w:bookmarkStart w:id="7" w:name="_Toc230325747"/>
      <w:r w:rsidRPr="00EA1C67">
        <w:rPr>
          <w:rFonts w:ascii="Calibri" w:eastAsia="Times New Roman" w:hAnsi="Calibri" w:cs="Calibri"/>
        </w:rPr>
        <w:t>8. Inspiring Clients and People Working in the Salon through a Knowledge Culture</w:t>
      </w:r>
      <w:bookmarkEnd w:id="7"/>
    </w:p>
    <w:p w14:paraId="2ABB3521" w14:textId="77777777" w:rsidR="0037115C" w:rsidRPr="00EA1C67" w:rsidRDefault="0037115C" w:rsidP="0037115C">
      <w:pPr>
        <w:spacing w:after="120" w:line="360" w:lineRule="auto"/>
        <w:jc w:val="both"/>
        <w:rPr>
          <w:rFonts w:ascii="Calibri" w:hAnsi="Calibri" w:cs="Calibri"/>
        </w:rPr>
      </w:pPr>
      <w:r w:rsidRPr="00EA1C67">
        <w:rPr>
          <w:rFonts w:ascii="Calibri" w:hAnsi="Calibri" w:cs="Calibri"/>
        </w:rPr>
        <w:t>The brief asks not only for storage systems, but also for a framework for establishing a knowledge management culture. Culture is important because knowledge management fails if people do not trust the system, understand why records matter, or feel motivated to share learning. Lee and Choi (2003) identify collaboration, trust and learning as important knowledge management enablers. In Honey-Love Aesthetics, these enablers can be developed through the way Michelle communicates with clients and people working in the salon.</w:t>
      </w:r>
    </w:p>
    <w:p w14:paraId="622DDAD5" w14:textId="48A81A19" w:rsidR="0037115C" w:rsidRPr="00EA1C67" w:rsidRDefault="0037115C" w:rsidP="0037115C">
      <w:pPr>
        <w:spacing w:after="120" w:line="360" w:lineRule="auto"/>
        <w:jc w:val="both"/>
        <w:rPr>
          <w:rFonts w:ascii="Calibri" w:hAnsi="Calibri" w:cs="Calibri"/>
        </w:rPr>
      </w:pPr>
      <w:r w:rsidRPr="00EA1C67">
        <w:rPr>
          <w:rFonts w:ascii="Calibri" w:hAnsi="Calibri" w:cs="Calibri"/>
        </w:rPr>
        <w:t xml:space="preserve">Clients can be inspired through education, honesty and confidence-building. Many clients may arrive with a desired look from social media, but professional knowledge requires Michelle to explain realistic results, risks, aftercare and suitability. People working in the salon can be inspired by leadership by example. Michelle can model high standards by keeping client information confidential, completing records properly, speaking respectfully about clients, maintaining a clean professional environment and staying open to learning. </w:t>
      </w:r>
    </w:p>
    <w:p w14:paraId="1431144B" w14:textId="2D10A63A" w:rsidR="0037115C" w:rsidRPr="00EA1C67" w:rsidRDefault="0037115C" w:rsidP="0037115C">
      <w:pPr>
        <w:spacing w:after="120" w:line="360" w:lineRule="auto"/>
        <w:jc w:val="both"/>
        <w:rPr>
          <w:rFonts w:ascii="Calibri" w:hAnsi="Calibri" w:cs="Calibri"/>
        </w:rPr>
      </w:pPr>
      <w:r w:rsidRPr="00EA1C67">
        <w:rPr>
          <w:rFonts w:ascii="Calibri" w:hAnsi="Calibri" w:cs="Calibri"/>
        </w:rPr>
        <w:t xml:space="preserve">The owner’s own sense of value should also be recognised. Michelle has stated that she does feel valued. This is an important strength because a self-employed owner who feels trusted is more likely to invest effort into standards, records and professional development. Knowledge management can reinforce this sense of value by making expertise visible: client records show the care taken before treatment, aftercare templates show professionalism, and KPIs show progress. </w:t>
      </w:r>
    </w:p>
    <w:p w14:paraId="39E43ED6" w14:textId="07A6B459" w:rsidR="0037115C" w:rsidRPr="00EA1C67" w:rsidRDefault="0037115C" w:rsidP="0037115C">
      <w:pPr>
        <w:spacing w:after="120" w:line="360" w:lineRule="auto"/>
        <w:jc w:val="both"/>
        <w:rPr>
          <w:rFonts w:ascii="Calibri" w:hAnsi="Calibri" w:cs="Calibri"/>
        </w:rPr>
      </w:pPr>
      <w:r w:rsidRPr="00EA1C67">
        <w:rPr>
          <w:rFonts w:ascii="Calibri" w:hAnsi="Calibri" w:cs="Calibri"/>
        </w:rPr>
        <w:lastRenderedPageBreak/>
        <w:t>The proposed culture should therefore be based on five values: confidentiality, care, accuracy, continuous learning and accountability. Confidentiality protects clients. Care ensures that treatment decisions are client</w:t>
      </w:r>
      <w:r w:rsidR="00E9236E" w:rsidRPr="00EA1C67">
        <w:rPr>
          <w:rFonts w:ascii="Calibri" w:hAnsi="Calibri" w:cs="Calibri"/>
        </w:rPr>
        <w:t xml:space="preserve"> </w:t>
      </w:r>
      <w:r w:rsidRPr="00EA1C67">
        <w:rPr>
          <w:rFonts w:ascii="Calibri" w:hAnsi="Calibri" w:cs="Calibri"/>
        </w:rPr>
        <w:t>centred.</w:t>
      </w:r>
      <w:r w:rsidR="00E9236E" w:rsidRPr="00EA1C67">
        <w:rPr>
          <w:rFonts w:ascii="Calibri" w:hAnsi="Calibri" w:cs="Calibri"/>
        </w:rPr>
        <w:t xml:space="preserve"> </w:t>
      </w:r>
      <w:r w:rsidRPr="00EA1C67">
        <w:rPr>
          <w:rFonts w:ascii="Calibri" w:hAnsi="Calibri" w:cs="Calibri"/>
        </w:rPr>
        <w:t>Accuracy keeps records useful and defensible. Continuous learning helps the salon adapt to new products, regulations and client expectations. Accountability ensures that Michelle and anyone working in the salon understand their responsibilities. Together, these values create the type of knowledge management culture required for a small aesthetics business.</w:t>
      </w:r>
    </w:p>
    <w:p w14:paraId="044B7D6D" w14:textId="77777777" w:rsidR="0037115C" w:rsidRPr="00EA1C67" w:rsidRDefault="0037115C" w:rsidP="0037115C">
      <w:pPr>
        <w:pStyle w:val="Heading1"/>
        <w:spacing w:before="200" w:after="120" w:line="360" w:lineRule="auto"/>
        <w:jc w:val="both"/>
        <w:rPr>
          <w:rFonts w:ascii="Calibri" w:hAnsi="Calibri" w:cs="Calibri"/>
        </w:rPr>
      </w:pPr>
      <w:bookmarkStart w:id="8" w:name="_Toc230325748"/>
      <w:r w:rsidRPr="00EA1C67">
        <w:rPr>
          <w:rFonts w:ascii="Calibri" w:eastAsia="Times New Roman" w:hAnsi="Calibri" w:cs="Calibri"/>
        </w:rPr>
        <w:t>9. Key Performance Indicators and Monitoring</w:t>
      </w:r>
      <w:bookmarkEnd w:id="8"/>
    </w:p>
    <w:p w14:paraId="1E8C1697" w14:textId="263951B6" w:rsidR="0037115C" w:rsidRPr="00EA1C67" w:rsidRDefault="0037115C" w:rsidP="0037115C">
      <w:pPr>
        <w:spacing w:after="120" w:line="360" w:lineRule="auto"/>
        <w:jc w:val="both"/>
        <w:rPr>
          <w:rFonts w:ascii="Calibri" w:hAnsi="Calibri" w:cs="Calibri"/>
        </w:rPr>
      </w:pPr>
      <w:r w:rsidRPr="00EA1C67">
        <w:rPr>
          <w:rFonts w:ascii="Calibri" w:hAnsi="Calibri" w:cs="Calibri"/>
        </w:rPr>
        <w:t>KPIs are needed because the brief requires a series of performance indicators for the workplace. KPIs turn knowledge management into measurable practice. Without KPIs, the plan may sound professional but remain difficult to evaluate. The KPIs for Honey-Love Aesthetics should measure record quality, confidentiality, aftercare, client satisfaction, retention and system use. They should also be simple enough for a self-employed business to apply without creating excessive administration.</w:t>
      </w:r>
      <w:r w:rsidR="00062CE2" w:rsidRPr="00EA1C67">
        <w:rPr>
          <w:rFonts w:ascii="Calibri" w:hAnsi="Calibri" w:cs="Calibri"/>
        </w:rPr>
        <w:t xml:space="preserve"> </w:t>
      </w:r>
      <w:r w:rsidRPr="00EA1C67">
        <w:rPr>
          <w:rFonts w:ascii="Calibri" w:hAnsi="Calibri" w:cs="Calibri"/>
        </w:rPr>
        <w:t>Table 5 presents proposed KPIs for the salon.</w:t>
      </w:r>
    </w:p>
    <w:p w14:paraId="7F4B5B8B" w14:textId="77777777" w:rsidR="0037115C" w:rsidRPr="00EA1C67" w:rsidRDefault="0037115C" w:rsidP="0037115C">
      <w:pPr>
        <w:pStyle w:val="Caption"/>
        <w:rPr>
          <w:rFonts w:ascii="Calibri" w:hAnsi="Calibri" w:cs="Calibri"/>
          <w:color w:val="auto"/>
        </w:rPr>
      </w:pPr>
      <w:r w:rsidRPr="00EA1C67">
        <w:rPr>
          <w:rFonts w:ascii="Calibri" w:hAnsi="Calibri" w:cs="Calibri"/>
          <w:color w:val="auto"/>
        </w:rPr>
        <w:t>Table 5. Proposed Knowledge Management KPIs</w:t>
      </w:r>
    </w:p>
    <w:tbl>
      <w:tblPr>
        <w:tblStyle w:val="TableGrid"/>
        <w:tblW w:w="0" w:type="auto"/>
        <w:jc w:val="center"/>
        <w:tblLook w:val="04A0" w:firstRow="1" w:lastRow="0" w:firstColumn="1" w:lastColumn="0" w:noHBand="0" w:noVBand="1"/>
      </w:tblPr>
      <w:tblGrid>
        <w:gridCol w:w="1803"/>
        <w:gridCol w:w="1803"/>
        <w:gridCol w:w="1809"/>
        <w:gridCol w:w="1789"/>
        <w:gridCol w:w="1812"/>
      </w:tblGrid>
      <w:tr w:rsidR="0037115C" w:rsidRPr="00EA1C67" w14:paraId="78D54CE9" w14:textId="77777777" w:rsidTr="007A764A">
        <w:trPr>
          <w:tblHeader/>
          <w:jc w:val="center"/>
        </w:trPr>
        <w:tc>
          <w:tcPr>
            <w:tcW w:w="1892" w:type="dxa"/>
            <w:shd w:val="clear" w:color="auto" w:fill="E2F0D9"/>
          </w:tcPr>
          <w:p w14:paraId="0903E8A6"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4"/>
              </w:rPr>
              <w:t>KPI</w:t>
            </w:r>
          </w:p>
        </w:tc>
        <w:tc>
          <w:tcPr>
            <w:tcW w:w="1892" w:type="dxa"/>
            <w:shd w:val="clear" w:color="auto" w:fill="E2F0D9"/>
          </w:tcPr>
          <w:p w14:paraId="7600D33C"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4"/>
              </w:rPr>
              <w:t>Target</w:t>
            </w:r>
          </w:p>
        </w:tc>
        <w:tc>
          <w:tcPr>
            <w:tcW w:w="1892" w:type="dxa"/>
            <w:shd w:val="clear" w:color="auto" w:fill="E2F0D9"/>
          </w:tcPr>
          <w:p w14:paraId="18B4A813"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4"/>
              </w:rPr>
              <w:t>Measurement method</w:t>
            </w:r>
          </w:p>
        </w:tc>
        <w:tc>
          <w:tcPr>
            <w:tcW w:w="1892" w:type="dxa"/>
            <w:shd w:val="clear" w:color="auto" w:fill="E2F0D9"/>
          </w:tcPr>
          <w:p w14:paraId="65A09D5E"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4"/>
              </w:rPr>
              <w:t>Review frequency</w:t>
            </w:r>
          </w:p>
        </w:tc>
        <w:tc>
          <w:tcPr>
            <w:tcW w:w="1892" w:type="dxa"/>
            <w:shd w:val="clear" w:color="auto" w:fill="E2F0D9"/>
          </w:tcPr>
          <w:p w14:paraId="5DC20F64" w14:textId="77777777" w:rsidR="0037115C" w:rsidRPr="00EA1C67" w:rsidRDefault="0037115C" w:rsidP="0037115C">
            <w:pPr>
              <w:spacing w:line="360" w:lineRule="auto"/>
              <w:jc w:val="both"/>
              <w:rPr>
                <w:rFonts w:ascii="Calibri" w:hAnsi="Calibri" w:cs="Calibri"/>
              </w:rPr>
            </w:pPr>
            <w:r w:rsidRPr="00EA1C67">
              <w:rPr>
                <w:rFonts w:ascii="Calibri" w:hAnsi="Calibri" w:cs="Calibri"/>
                <w:b/>
                <w:sz w:val="14"/>
              </w:rPr>
              <w:t>Reason for inclusion</w:t>
            </w:r>
          </w:p>
        </w:tc>
      </w:tr>
      <w:tr w:rsidR="0037115C" w:rsidRPr="00EA1C67" w14:paraId="157EA52C" w14:textId="77777777" w:rsidTr="007A764A">
        <w:trPr>
          <w:jc w:val="center"/>
        </w:trPr>
        <w:tc>
          <w:tcPr>
            <w:tcW w:w="1892" w:type="dxa"/>
          </w:tcPr>
          <w:p w14:paraId="29F481D4"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Completed consent records</w:t>
            </w:r>
          </w:p>
        </w:tc>
        <w:tc>
          <w:tcPr>
            <w:tcW w:w="1892" w:type="dxa"/>
          </w:tcPr>
          <w:p w14:paraId="24256D2C"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100% before treatment</w:t>
            </w:r>
          </w:p>
        </w:tc>
        <w:tc>
          <w:tcPr>
            <w:tcW w:w="1892" w:type="dxa"/>
          </w:tcPr>
          <w:p w14:paraId="4AD9EB94"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Monthly Faces record audit</w:t>
            </w:r>
          </w:p>
        </w:tc>
        <w:tc>
          <w:tcPr>
            <w:tcW w:w="1892" w:type="dxa"/>
          </w:tcPr>
          <w:p w14:paraId="252F6841"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Monthly</w:t>
            </w:r>
          </w:p>
        </w:tc>
        <w:tc>
          <w:tcPr>
            <w:tcW w:w="1892" w:type="dxa"/>
          </w:tcPr>
          <w:p w14:paraId="26BF5723"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Protects client safety and insurance evidence.</w:t>
            </w:r>
          </w:p>
        </w:tc>
      </w:tr>
      <w:tr w:rsidR="0037115C" w:rsidRPr="00EA1C67" w14:paraId="584BD375" w14:textId="77777777" w:rsidTr="007A764A">
        <w:trPr>
          <w:jc w:val="center"/>
        </w:trPr>
        <w:tc>
          <w:tcPr>
            <w:tcW w:w="1892" w:type="dxa"/>
          </w:tcPr>
          <w:p w14:paraId="36933917"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Medical history checked</w:t>
            </w:r>
          </w:p>
        </w:tc>
        <w:tc>
          <w:tcPr>
            <w:tcW w:w="1892" w:type="dxa"/>
          </w:tcPr>
          <w:p w14:paraId="4901F25C"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100% before treatment</w:t>
            </w:r>
          </w:p>
        </w:tc>
        <w:tc>
          <w:tcPr>
            <w:tcW w:w="1892" w:type="dxa"/>
          </w:tcPr>
          <w:p w14:paraId="6ABB8671"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Consultation checklist review</w:t>
            </w:r>
          </w:p>
        </w:tc>
        <w:tc>
          <w:tcPr>
            <w:tcW w:w="1892" w:type="dxa"/>
          </w:tcPr>
          <w:p w14:paraId="372180C8"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Monthly</w:t>
            </w:r>
          </w:p>
        </w:tc>
        <w:tc>
          <w:tcPr>
            <w:tcW w:w="1892" w:type="dxa"/>
          </w:tcPr>
          <w:p w14:paraId="1B56496E"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Reduces treatment risk and supports safe decisions.</w:t>
            </w:r>
          </w:p>
        </w:tc>
      </w:tr>
      <w:tr w:rsidR="0037115C" w:rsidRPr="00EA1C67" w14:paraId="5ADDCE55" w14:textId="77777777" w:rsidTr="007A764A">
        <w:trPr>
          <w:jc w:val="center"/>
        </w:trPr>
        <w:tc>
          <w:tcPr>
            <w:tcW w:w="1892" w:type="dxa"/>
          </w:tcPr>
          <w:p w14:paraId="6FFC08D1"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Client aftercare issued</w:t>
            </w:r>
          </w:p>
        </w:tc>
        <w:tc>
          <w:tcPr>
            <w:tcW w:w="1892" w:type="dxa"/>
          </w:tcPr>
          <w:p w14:paraId="32EB278C"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95% or above</w:t>
            </w:r>
          </w:p>
        </w:tc>
        <w:tc>
          <w:tcPr>
            <w:tcW w:w="1892" w:type="dxa"/>
          </w:tcPr>
          <w:p w14:paraId="0258F5D0"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Aftercare message/form log</w:t>
            </w:r>
          </w:p>
        </w:tc>
        <w:tc>
          <w:tcPr>
            <w:tcW w:w="1892" w:type="dxa"/>
          </w:tcPr>
          <w:p w14:paraId="29DAD8C6"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Monthly</w:t>
            </w:r>
          </w:p>
        </w:tc>
        <w:tc>
          <w:tcPr>
            <w:tcW w:w="1892" w:type="dxa"/>
          </w:tcPr>
          <w:p w14:paraId="4BBADDDA"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Improves client education and recovery support.</w:t>
            </w:r>
          </w:p>
        </w:tc>
      </w:tr>
      <w:tr w:rsidR="0037115C" w:rsidRPr="00EA1C67" w14:paraId="65E377BE" w14:textId="77777777" w:rsidTr="007A764A">
        <w:trPr>
          <w:jc w:val="center"/>
        </w:trPr>
        <w:tc>
          <w:tcPr>
            <w:tcW w:w="1892" w:type="dxa"/>
          </w:tcPr>
          <w:p w14:paraId="0A41806D"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Record retrieval time</w:t>
            </w:r>
          </w:p>
        </w:tc>
        <w:tc>
          <w:tcPr>
            <w:tcW w:w="1892" w:type="dxa"/>
          </w:tcPr>
          <w:p w14:paraId="0DE89E82"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Under 2 minutes</w:t>
            </w:r>
          </w:p>
        </w:tc>
        <w:tc>
          <w:tcPr>
            <w:tcW w:w="1892" w:type="dxa"/>
          </w:tcPr>
          <w:p w14:paraId="30158A97"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Timed test on sample records</w:t>
            </w:r>
          </w:p>
        </w:tc>
        <w:tc>
          <w:tcPr>
            <w:tcW w:w="1892" w:type="dxa"/>
          </w:tcPr>
          <w:p w14:paraId="45728085"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Quarterly</w:t>
            </w:r>
          </w:p>
        </w:tc>
        <w:tc>
          <w:tcPr>
            <w:tcW w:w="1892" w:type="dxa"/>
          </w:tcPr>
          <w:p w14:paraId="54B95AF6"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Shows whether the system is efficient.</w:t>
            </w:r>
          </w:p>
        </w:tc>
      </w:tr>
      <w:tr w:rsidR="0037115C" w:rsidRPr="00EA1C67" w14:paraId="0EC5FC64" w14:textId="77777777" w:rsidTr="007A764A">
        <w:trPr>
          <w:jc w:val="center"/>
        </w:trPr>
        <w:tc>
          <w:tcPr>
            <w:tcW w:w="1892" w:type="dxa"/>
          </w:tcPr>
          <w:p w14:paraId="62758ED6"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Data/security incidents</w:t>
            </w:r>
          </w:p>
        </w:tc>
        <w:tc>
          <w:tcPr>
            <w:tcW w:w="1892" w:type="dxa"/>
          </w:tcPr>
          <w:p w14:paraId="52F58746"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Zero unauthorised disclosures</w:t>
            </w:r>
          </w:p>
        </w:tc>
        <w:tc>
          <w:tcPr>
            <w:tcW w:w="1892" w:type="dxa"/>
          </w:tcPr>
          <w:p w14:paraId="305378F9"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Incident log</w:t>
            </w:r>
          </w:p>
        </w:tc>
        <w:tc>
          <w:tcPr>
            <w:tcW w:w="1892" w:type="dxa"/>
          </w:tcPr>
          <w:p w14:paraId="0D54BB8E"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Immediate and quarterly review</w:t>
            </w:r>
          </w:p>
        </w:tc>
        <w:tc>
          <w:tcPr>
            <w:tcW w:w="1892" w:type="dxa"/>
          </w:tcPr>
          <w:p w14:paraId="06ABFAED"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Protects confidentiality and reputation.</w:t>
            </w:r>
          </w:p>
        </w:tc>
      </w:tr>
      <w:tr w:rsidR="0037115C" w:rsidRPr="00EA1C67" w14:paraId="040C4C6C" w14:textId="77777777" w:rsidTr="007A764A">
        <w:trPr>
          <w:jc w:val="center"/>
        </w:trPr>
        <w:tc>
          <w:tcPr>
            <w:tcW w:w="1892" w:type="dxa"/>
          </w:tcPr>
          <w:p w14:paraId="5C7034D6"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Privacy notice review</w:t>
            </w:r>
          </w:p>
        </w:tc>
        <w:tc>
          <w:tcPr>
            <w:tcW w:w="1892" w:type="dxa"/>
          </w:tcPr>
          <w:p w14:paraId="57A7CB89"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Reviewed annually</w:t>
            </w:r>
          </w:p>
        </w:tc>
        <w:tc>
          <w:tcPr>
            <w:tcW w:w="1892" w:type="dxa"/>
          </w:tcPr>
          <w:p w14:paraId="5B381FC8"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Document review record</w:t>
            </w:r>
          </w:p>
        </w:tc>
        <w:tc>
          <w:tcPr>
            <w:tcW w:w="1892" w:type="dxa"/>
          </w:tcPr>
          <w:p w14:paraId="132833C5"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Annual</w:t>
            </w:r>
          </w:p>
        </w:tc>
        <w:tc>
          <w:tcPr>
            <w:tcW w:w="1892" w:type="dxa"/>
          </w:tcPr>
          <w:p w14:paraId="0856C691"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Supports UK GDPR transparency and accountability.</w:t>
            </w:r>
          </w:p>
        </w:tc>
      </w:tr>
      <w:tr w:rsidR="0037115C" w:rsidRPr="00EA1C67" w14:paraId="1925179F" w14:textId="77777777" w:rsidTr="007A764A">
        <w:trPr>
          <w:jc w:val="center"/>
        </w:trPr>
        <w:tc>
          <w:tcPr>
            <w:tcW w:w="1892" w:type="dxa"/>
          </w:tcPr>
          <w:p w14:paraId="66DC70FF"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Knowledge-sharing sessions</w:t>
            </w:r>
          </w:p>
        </w:tc>
        <w:tc>
          <w:tcPr>
            <w:tcW w:w="1892" w:type="dxa"/>
          </w:tcPr>
          <w:p w14:paraId="31E7D575"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At least 6 per year</w:t>
            </w:r>
          </w:p>
        </w:tc>
        <w:tc>
          <w:tcPr>
            <w:tcW w:w="1892" w:type="dxa"/>
          </w:tcPr>
          <w:p w14:paraId="25F4B5C8"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Short session notes</w:t>
            </w:r>
          </w:p>
        </w:tc>
        <w:tc>
          <w:tcPr>
            <w:tcW w:w="1892" w:type="dxa"/>
          </w:tcPr>
          <w:p w14:paraId="37EE900D"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Six-monthly</w:t>
            </w:r>
          </w:p>
        </w:tc>
        <w:tc>
          <w:tcPr>
            <w:tcW w:w="1892" w:type="dxa"/>
          </w:tcPr>
          <w:p w14:paraId="561906C2"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Builds salon culture without breaching client confidentiality.</w:t>
            </w:r>
          </w:p>
        </w:tc>
      </w:tr>
      <w:tr w:rsidR="0037115C" w:rsidRPr="00EA1C67" w14:paraId="2EFE6499" w14:textId="77777777" w:rsidTr="007A764A">
        <w:trPr>
          <w:jc w:val="center"/>
        </w:trPr>
        <w:tc>
          <w:tcPr>
            <w:tcW w:w="1892" w:type="dxa"/>
          </w:tcPr>
          <w:p w14:paraId="3F07EBC1"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Repeat booking rate</w:t>
            </w:r>
          </w:p>
        </w:tc>
        <w:tc>
          <w:tcPr>
            <w:tcW w:w="1892" w:type="dxa"/>
          </w:tcPr>
          <w:p w14:paraId="2DEC1F69"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Increase by 10% in 6 months</w:t>
            </w:r>
          </w:p>
        </w:tc>
        <w:tc>
          <w:tcPr>
            <w:tcW w:w="1892" w:type="dxa"/>
          </w:tcPr>
          <w:p w14:paraId="567DBFE2"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Booking records and repeat client count</w:t>
            </w:r>
          </w:p>
        </w:tc>
        <w:tc>
          <w:tcPr>
            <w:tcW w:w="1892" w:type="dxa"/>
          </w:tcPr>
          <w:p w14:paraId="3137188B"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Six-monthly</w:t>
            </w:r>
          </w:p>
        </w:tc>
        <w:tc>
          <w:tcPr>
            <w:tcW w:w="1892" w:type="dxa"/>
          </w:tcPr>
          <w:p w14:paraId="29B5655D" w14:textId="77777777" w:rsidR="0037115C" w:rsidRPr="00EA1C67" w:rsidRDefault="0037115C" w:rsidP="0037115C">
            <w:pPr>
              <w:spacing w:line="360" w:lineRule="auto"/>
              <w:jc w:val="both"/>
              <w:rPr>
                <w:rFonts w:ascii="Calibri" w:hAnsi="Calibri" w:cs="Calibri"/>
              </w:rPr>
            </w:pPr>
            <w:r w:rsidRPr="00EA1C67">
              <w:rPr>
                <w:rFonts w:ascii="Calibri" w:hAnsi="Calibri" w:cs="Calibri"/>
                <w:sz w:val="14"/>
              </w:rPr>
              <w:t>Shows whether knowledge improves loyalty and experience.</w:t>
            </w:r>
          </w:p>
        </w:tc>
      </w:tr>
    </w:tbl>
    <w:p w14:paraId="706603D1" w14:textId="77777777" w:rsidR="0037115C" w:rsidRPr="00EA1C67" w:rsidRDefault="0037115C" w:rsidP="0037115C">
      <w:pPr>
        <w:pStyle w:val="Heading2"/>
        <w:spacing w:before="120" w:after="120" w:line="360" w:lineRule="auto"/>
        <w:jc w:val="both"/>
        <w:rPr>
          <w:rFonts w:ascii="Calibri" w:hAnsi="Calibri" w:cs="Calibri"/>
        </w:rPr>
      </w:pPr>
      <w:bookmarkStart w:id="9" w:name="_Toc230325749"/>
      <w:r w:rsidRPr="00EA1C67">
        <w:rPr>
          <w:rFonts w:ascii="Calibri" w:eastAsia="Times New Roman" w:hAnsi="Calibri" w:cs="Calibri"/>
        </w:rPr>
        <w:t>9.1 Information Required by the Business</w:t>
      </w:r>
      <w:bookmarkEnd w:id="9"/>
    </w:p>
    <w:p w14:paraId="14AD58A6" w14:textId="41D8747A" w:rsidR="0037115C" w:rsidRPr="00EA1C67" w:rsidRDefault="0037115C" w:rsidP="0037115C">
      <w:pPr>
        <w:spacing w:after="120" w:line="360" w:lineRule="auto"/>
        <w:jc w:val="both"/>
        <w:rPr>
          <w:rFonts w:ascii="Calibri" w:hAnsi="Calibri" w:cs="Calibri"/>
        </w:rPr>
      </w:pPr>
      <w:r w:rsidRPr="00EA1C67">
        <w:rPr>
          <w:rFonts w:ascii="Calibri" w:hAnsi="Calibri" w:cs="Calibri"/>
        </w:rPr>
        <w:t xml:space="preserve">Honey-Love Aesthetics requires several categories of information to make effective decisions. Client information is needed to manage appointments, assess suitability, personalise </w:t>
      </w:r>
      <w:r w:rsidRPr="00EA1C67">
        <w:rPr>
          <w:rFonts w:ascii="Calibri" w:hAnsi="Calibri" w:cs="Calibri"/>
        </w:rPr>
        <w:lastRenderedPageBreak/>
        <w:t>treatment plans and provide aftercare. Medical information is needed to identify contraindications, allergies and risks. Product and stock information is needed to ensure safe use, traceability and cost control. Finance information is needed when clients request Payl8r support through Faces. Prescriber information is needed where prescription</w:t>
      </w:r>
      <w:r w:rsidR="00D22B4D" w:rsidRPr="00EA1C67">
        <w:rPr>
          <w:rFonts w:ascii="Calibri" w:hAnsi="Calibri" w:cs="Calibri"/>
        </w:rPr>
        <w:t xml:space="preserve"> </w:t>
      </w:r>
      <w:r w:rsidRPr="00EA1C67">
        <w:rPr>
          <w:rFonts w:ascii="Calibri" w:hAnsi="Calibri" w:cs="Calibri"/>
        </w:rPr>
        <w:t>only pathways are involved. Marketing information, including client feedback and permitted before</w:t>
      </w:r>
      <w:r w:rsidR="00D22B4D" w:rsidRPr="00EA1C67">
        <w:rPr>
          <w:rFonts w:ascii="Calibri" w:hAnsi="Calibri" w:cs="Calibri"/>
        </w:rPr>
        <w:t xml:space="preserve"> </w:t>
      </w:r>
      <w:r w:rsidRPr="00EA1C67">
        <w:rPr>
          <w:rFonts w:ascii="Calibri" w:hAnsi="Calibri" w:cs="Calibri"/>
        </w:rPr>
        <w:t>and</w:t>
      </w:r>
      <w:r w:rsidR="00D22B4D" w:rsidRPr="00EA1C67">
        <w:rPr>
          <w:rFonts w:ascii="Calibri" w:hAnsi="Calibri" w:cs="Calibri"/>
        </w:rPr>
        <w:t xml:space="preserve"> </w:t>
      </w:r>
      <w:r w:rsidRPr="00EA1C67">
        <w:rPr>
          <w:rFonts w:ascii="Calibri" w:hAnsi="Calibri" w:cs="Calibri"/>
        </w:rPr>
        <w:t>after images, is needed to build reputation. Financial information is needed to monitor pricing, income and treatment profitability.</w:t>
      </w:r>
    </w:p>
    <w:p w14:paraId="592E852F" w14:textId="77777777" w:rsidR="0037115C" w:rsidRPr="00EA1C67" w:rsidRDefault="0037115C" w:rsidP="0037115C">
      <w:pPr>
        <w:spacing w:after="120" w:line="360" w:lineRule="auto"/>
        <w:jc w:val="both"/>
        <w:rPr>
          <w:rFonts w:ascii="Calibri" w:hAnsi="Calibri" w:cs="Calibri"/>
        </w:rPr>
      </w:pPr>
      <w:r w:rsidRPr="00EA1C67">
        <w:rPr>
          <w:rFonts w:ascii="Calibri" w:hAnsi="Calibri" w:cs="Calibri"/>
        </w:rPr>
        <w:t>However, the business should avoid collecting information simply because it might be useful one day. The data minimisation principle requires organisations to collect only what is adequate, relevant and limited to what is necessary (ICO, 2023a). Therefore, the knowledge management plan should include a simple rule: collect what is required for treatment safety, service delivery, consent, finance, prescribing, insurance, legal compliance or agreed marketing, and avoid unnecessary personal details. This protects clients and reduces risk for the business.</w:t>
      </w:r>
    </w:p>
    <w:p w14:paraId="68B854B5" w14:textId="77777777" w:rsidR="0037115C" w:rsidRPr="00EA1C67" w:rsidRDefault="0037115C" w:rsidP="0037115C">
      <w:pPr>
        <w:pStyle w:val="Heading1"/>
        <w:spacing w:before="200" w:after="120" w:line="360" w:lineRule="auto"/>
        <w:jc w:val="both"/>
        <w:rPr>
          <w:rFonts w:ascii="Calibri" w:hAnsi="Calibri" w:cs="Calibri"/>
        </w:rPr>
      </w:pPr>
      <w:bookmarkStart w:id="10" w:name="_Toc230325750"/>
      <w:r w:rsidRPr="00EA1C67">
        <w:rPr>
          <w:rFonts w:ascii="Calibri" w:eastAsia="Times New Roman" w:hAnsi="Calibri" w:cs="Calibri"/>
        </w:rPr>
        <w:t>10. Conclusion</w:t>
      </w:r>
      <w:bookmarkEnd w:id="10"/>
    </w:p>
    <w:p w14:paraId="02968E88" w14:textId="77777777" w:rsidR="0037115C" w:rsidRPr="00EA1C67" w:rsidRDefault="0037115C" w:rsidP="0037115C">
      <w:pPr>
        <w:spacing w:after="120" w:line="360" w:lineRule="auto"/>
        <w:jc w:val="both"/>
        <w:rPr>
          <w:rFonts w:ascii="Calibri" w:hAnsi="Calibri" w:cs="Calibri"/>
        </w:rPr>
      </w:pPr>
      <w:r w:rsidRPr="00EA1C67">
        <w:rPr>
          <w:rFonts w:ascii="Calibri" w:hAnsi="Calibri" w:cs="Calibri"/>
        </w:rPr>
        <w:t>This report has developed a strategic knowledge management plan for Honey-Love Aesthetics by Michelle. The report has shown that the salon is part of the knowledge economy because its value depends on specialist knowledge, client trust, safe consultation, accurate records, consent, product understanding, aftercare and confidentiality. The difference between data, information, knowledge and personal data is important because the salon handles both ordinary business data and sensitive client information. Personal data, including medical details and photographs, must be protected carefully under UK GDPR and professional confidentiality expectations.</w:t>
      </w:r>
    </w:p>
    <w:p w14:paraId="64E6A4A9" w14:textId="62FD5E1F" w:rsidR="0037115C" w:rsidRPr="00EA1C67" w:rsidRDefault="0037115C" w:rsidP="0037115C">
      <w:pPr>
        <w:spacing w:after="120" w:line="360" w:lineRule="auto"/>
        <w:jc w:val="both"/>
        <w:rPr>
          <w:rFonts w:ascii="Calibri" w:hAnsi="Calibri" w:cs="Calibri"/>
        </w:rPr>
      </w:pPr>
      <w:r w:rsidRPr="00EA1C67">
        <w:rPr>
          <w:rFonts w:ascii="Calibri" w:hAnsi="Calibri" w:cs="Calibri"/>
        </w:rPr>
        <w:t>The proposed plan recognises that Michelle’s individual knowledge is a major business asset, but it must be supported by organisational knowledge in the form of digital records, consent forms, aftercare templates, privacy information, KPIs and review processes. The six-year retention of client details is justified in this report as an insurance and professional evidence requirement, but it should be reviewed annually in line with the storage limitation principle.</w:t>
      </w:r>
    </w:p>
    <w:p w14:paraId="7F47DC82" w14:textId="0F3EE6F7" w:rsidR="0037115C" w:rsidRPr="00EA1C67" w:rsidRDefault="0037115C" w:rsidP="0037115C">
      <w:pPr>
        <w:spacing w:after="120" w:line="360" w:lineRule="auto"/>
        <w:jc w:val="both"/>
        <w:rPr>
          <w:rFonts w:ascii="Calibri" w:hAnsi="Calibri" w:cs="Calibri"/>
        </w:rPr>
      </w:pPr>
      <w:r w:rsidRPr="00EA1C67">
        <w:rPr>
          <w:rFonts w:ascii="Calibri" w:hAnsi="Calibri" w:cs="Calibri"/>
        </w:rPr>
        <w:t xml:space="preserve">The SMART plan provides practical actions that can be implemented in the workplace, including improving record completion, protecting confidentiality, creating aftercare </w:t>
      </w:r>
      <w:r w:rsidRPr="00EA1C67">
        <w:rPr>
          <w:rFonts w:ascii="Calibri" w:hAnsi="Calibri" w:cs="Calibri"/>
        </w:rPr>
        <w:lastRenderedPageBreak/>
        <w:t>templates, developing a privacy notice, holding knowledge</w:t>
      </w:r>
      <w:r w:rsidR="00EA1C67" w:rsidRPr="00EA1C67">
        <w:rPr>
          <w:rFonts w:ascii="Calibri" w:hAnsi="Calibri" w:cs="Calibri"/>
        </w:rPr>
        <w:t xml:space="preserve"> </w:t>
      </w:r>
      <w:r w:rsidRPr="00EA1C67">
        <w:rPr>
          <w:rFonts w:ascii="Calibri" w:hAnsi="Calibri" w:cs="Calibri"/>
        </w:rPr>
        <w:t>sharing discussions and monitoring repeat bookings. The plan also explains how Michelle can inspire clients and people working in the salon by creating a culture of care, accuracy, learning and accountability. Overall, the plan supports the module learning outcomes by evaluating knowledge management, explaining key knowledge processes and developing a workplace framework for a knowledge management culture.</w:t>
      </w:r>
    </w:p>
    <w:p w14:paraId="2CE50A71" w14:textId="2857A9EE" w:rsidR="00062CE2" w:rsidRPr="00EA1C67" w:rsidRDefault="00062CE2">
      <w:pPr>
        <w:spacing w:after="160" w:line="278" w:lineRule="auto"/>
        <w:rPr>
          <w:rFonts w:ascii="Calibri" w:hAnsi="Calibri" w:cs="Calibri"/>
          <w:b/>
          <w:sz w:val="28"/>
          <w:szCs w:val="40"/>
        </w:rPr>
      </w:pPr>
    </w:p>
    <w:p w14:paraId="02E35467" w14:textId="3AEC892A" w:rsidR="0037115C" w:rsidRPr="00EA1C67" w:rsidRDefault="00F63BBD" w:rsidP="0037115C">
      <w:pPr>
        <w:pStyle w:val="Heading1"/>
        <w:spacing w:before="200" w:after="120" w:line="360" w:lineRule="auto"/>
        <w:jc w:val="both"/>
        <w:rPr>
          <w:rFonts w:ascii="Calibri" w:hAnsi="Calibri" w:cs="Calibri"/>
        </w:rPr>
      </w:pPr>
      <w:bookmarkStart w:id="11" w:name="_Toc230325751"/>
      <w:r w:rsidRPr="00EA1C67">
        <w:rPr>
          <w:rFonts w:ascii="Calibri" w:eastAsia="Times New Roman" w:hAnsi="Calibri" w:cs="Calibri"/>
        </w:rPr>
        <w:t xml:space="preserve">11. </w:t>
      </w:r>
      <w:r w:rsidR="0037115C" w:rsidRPr="00EA1C67">
        <w:rPr>
          <w:rFonts w:ascii="Calibri" w:eastAsia="Times New Roman" w:hAnsi="Calibri" w:cs="Calibri"/>
        </w:rPr>
        <w:t>References</w:t>
      </w:r>
      <w:bookmarkEnd w:id="11"/>
    </w:p>
    <w:p w14:paraId="6629998E" w14:textId="77777777" w:rsidR="0037115C" w:rsidRPr="00EA1C67" w:rsidRDefault="0037115C" w:rsidP="0037115C">
      <w:pPr>
        <w:spacing w:after="80" w:line="360" w:lineRule="auto"/>
        <w:ind w:left="720" w:hanging="720"/>
        <w:jc w:val="both"/>
        <w:rPr>
          <w:rFonts w:ascii="Calibri" w:hAnsi="Calibri" w:cs="Calibri"/>
        </w:rPr>
      </w:pPr>
      <w:r w:rsidRPr="00EA1C67">
        <w:rPr>
          <w:rFonts w:ascii="Calibri" w:hAnsi="Calibri" w:cs="Calibri"/>
        </w:rPr>
        <w:t>Alavi, M., &amp; Leidner, D. E. (2001). Review: Knowledge management and knowledge management systems: Conceptual foundations and research issues. MIS Quarterly, 25(1), 107-136. https://doi.org/10.2307/3250961</w:t>
      </w:r>
    </w:p>
    <w:p w14:paraId="64F4C7E2" w14:textId="77777777" w:rsidR="0037115C" w:rsidRPr="00EA1C67" w:rsidRDefault="0037115C" w:rsidP="0037115C">
      <w:pPr>
        <w:spacing w:after="80" w:line="360" w:lineRule="auto"/>
        <w:ind w:left="720" w:hanging="720"/>
        <w:jc w:val="both"/>
        <w:rPr>
          <w:rFonts w:ascii="Calibri" w:hAnsi="Calibri" w:cs="Calibri"/>
        </w:rPr>
      </w:pPr>
      <w:proofErr w:type="spellStart"/>
      <w:r w:rsidRPr="00EA1C67">
        <w:rPr>
          <w:rFonts w:ascii="Calibri" w:hAnsi="Calibri" w:cs="Calibri"/>
        </w:rPr>
        <w:t>Dalkir</w:t>
      </w:r>
      <w:proofErr w:type="spellEnd"/>
      <w:r w:rsidRPr="00EA1C67">
        <w:rPr>
          <w:rFonts w:ascii="Calibri" w:hAnsi="Calibri" w:cs="Calibri"/>
        </w:rPr>
        <w:t>, K. (2017). Knowledge management in theory and practice (3rd ed.). MIT Press.</w:t>
      </w:r>
    </w:p>
    <w:p w14:paraId="1DA51E24" w14:textId="77777777" w:rsidR="0037115C" w:rsidRPr="00EA1C67" w:rsidRDefault="0037115C" w:rsidP="0037115C">
      <w:pPr>
        <w:spacing w:after="80" w:line="360" w:lineRule="auto"/>
        <w:ind w:left="720" w:hanging="720"/>
        <w:jc w:val="both"/>
        <w:rPr>
          <w:rFonts w:ascii="Calibri" w:hAnsi="Calibri" w:cs="Calibri"/>
        </w:rPr>
      </w:pPr>
      <w:r w:rsidRPr="00EA1C67">
        <w:rPr>
          <w:rFonts w:ascii="Calibri" w:hAnsi="Calibri" w:cs="Calibri"/>
        </w:rPr>
        <w:t>Davenport, T. H., &amp; Prusak, L. (1998). Working knowledge: How organizations manage what they know. Harvard Business School Press.</w:t>
      </w:r>
    </w:p>
    <w:p w14:paraId="62821A47" w14:textId="77777777" w:rsidR="0037115C" w:rsidRPr="00EA1C67" w:rsidRDefault="0037115C" w:rsidP="0037115C">
      <w:pPr>
        <w:spacing w:after="80" w:line="360" w:lineRule="auto"/>
        <w:ind w:left="720" w:hanging="720"/>
        <w:jc w:val="both"/>
        <w:rPr>
          <w:rFonts w:ascii="Calibri" w:hAnsi="Calibri" w:cs="Calibri"/>
        </w:rPr>
      </w:pPr>
      <w:r w:rsidRPr="00EA1C67">
        <w:rPr>
          <w:rFonts w:ascii="Calibri" w:hAnsi="Calibri" w:cs="Calibri"/>
        </w:rPr>
        <w:t>Doran, G. T. (1981). There’s a S.M.A.R.T. way to write management’s goals and objectives. Management Review, 70(11), 35-36.</w:t>
      </w:r>
    </w:p>
    <w:p w14:paraId="3436EF69" w14:textId="77777777" w:rsidR="0037115C" w:rsidRPr="00EA1C67" w:rsidRDefault="0037115C" w:rsidP="0037115C">
      <w:pPr>
        <w:spacing w:after="80" w:line="360" w:lineRule="auto"/>
        <w:ind w:left="720" w:hanging="720"/>
        <w:jc w:val="both"/>
        <w:rPr>
          <w:rFonts w:ascii="Calibri" w:hAnsi="Calibri" w:cs="Calibri"/>
        </w:rPr>
      </w:pPr>
      <w:r w:rsidRPr="00EA1C67">
        <w:rPr>
          <w:rFonts w:ascii="Calibri" w:hAnsi="Calibri" w:cs="Calibri"/>
        </w:rPr>
        <w:t>Durst, S., &amp; Edvardsson, I. R. (2012). Knowledge management in SMEs: A literature review. Journal of Knowledge Management, 16(6), 879-903. https://doi.org/10.1108/13673271211276173</w:t>
      </w:r>
    </w:p>
    <w:p w14:paraId="3A8B4BE9" w14:textId="77777777" w:rsidR="0037115C" w:rsidRPr="00EA1C67" w:rsidRDefault="0037115C" w:rsidP="0037115C">
      <w:pPr>
        <w:spacing w:after="80" w:line="360" w:lineRule="auto"/>
        <w:ind w:left="720" w:hanging="720"/>
        <w:jc w:val="both"/>
        <w:rPr>
          <w:rFonts w:ascii="Calibri" w:hAnsi="Calibri" w:cs="Calibri"/>
        </w:rPr>
      </w:pPr>
      <w:r w:rsidRPr="00EA1C67">
        <w:rPr>
          <w:rFonts w:ascii="Calibri" w:hAnsi="Calibri" w:cs="Calibri"/>
        </w:rPr>
        <w:t>Faces Consent. (2026a). Faces Consent: Free software built for aesthetic clinics and beauty businesses. https://facesconsent.com/</w:t>
      </w:r>
    </w:p>
    <w:p w14:paraId="0CEC0F67" w14:textId="77777777" w:rsidR="0037115C" w:rsidRPr="00EA1C67" w:rsidRDefault="0037115C" w:rsidP="0037115C">
      <w:pPr>
        <w:spacing w:after="80" w:line="360" w:lineRule="auto"/>
        <w:ind w:left="720" w:hanging="720"/>
        <w:jc w:val="both"/>
        <w:rPr>
          <w:rFonts w:ascii="Calibri" w:hAnsi="Calibri" w:cs="Calibri"/>
        </w:rPr>
      </w:pPr>
      <w:r w:rsidRPr="00EA1C67">
        <w:rPr>
          <w:rFonts w:ascii="Calibri" w:hAnsi="Calibri" w:cs="Calibri"/>
        </w:rPr>
        <w:t>Faces Consent. (2026b). Faces Consent - Apps on Google Play. Google Play. https://play.google.com/store/apps/details?id=com.kanvas.facesconsent</w:t>
      </w:r>
    </w:p>
    <w:p w14:paraId="57178928" w14:textId="77777777" w:rsidR="0037115C" w:rsidRPr="00EA1C67" w:rsidRDefault="0037115C" w:rsidP="0037115C">
      <w:pPr>
        <w:spacing w:after="80" w:line="360" w:lineRule="auto"/>
        <w:ind w:left="720" w:hanging="720"/>
        <w:jc w:val="both"/>
        <w:rPr>
          <w:rFonts w:ascii="Calibri" w:hAnsi="Calibri" w:cs="Calibri"/>
        </w:rPr>
      </w:pPr>
      <w:r w:rsidRPr="00EA1C67">
        <w:rPr>
          <w:rFonts w:ascii="Calibri" w:hAnsi="Calibri" w:cs="Calibri"/>
        </w:rPr>
        <w:t>Faces Consent. (2026c). Privacy policy. https://facesconsent.com/privacy-terms</w:t>
      </w:r>
    </w:p>
    <w:p w14:paraId="3CF599D9" w14:textId="77777777" w:rsidR="0037115C" w:rsidRPr="00EA1C67" w:rsidRDefault="0037115C" w:rsidP="0037115C">
      <w:pPr>
        <w:spacing w:after="80" w:line="360" w:lineRule="auto"/>
        <w:ind w:left="720" w:hanging="720"/>
        <w:jc w:val="both"/>
        <w:rPr>
          <w:rFonts w:ascii="Calibri" w:hAnsi="Calibri" w:cs="Calibri"/>
        </w:rPr>
      </w:pPr>
      <w:r w:rsidRPr="00EA1C67">
        <w:rPr>
          <w:rFonts w:ascii="Calibri" w:hAnsi="Calibri" w:cs="Calibri"/>
        </w:rPr>
        <w:t>GOV.UK. (2026). The UK’s data protection legislation. https://www.gov.uk/data-protection</w:t>
      </w:r>
    </w:p>
    <w:p w14:paraId="351BFD43" w14:textId="77777777" w:rsidR="0037115C" w:rsidRPr="00EA1C67" w:rsidRDefault="0037115C" w:rsidP="0037115C">
      <w:pPr>
        <w:spacing w:after="80" w:line="360" w:lineRule="auto"/>
        <w:ind w:left="720" w:hanging="720"/>
        <w:jc w:val="both"/>
        <w:rPr>
          <w:rFonts w:ascii="Calibri" w:hAnsi="Calibri" w:cs="Calibri"/>
        </w:rPr>
      </w:pPr>
      <w:r w:rsidRPr="00EA1C67">
        <w:rPr>
          <w:rFonts w:ascii="Calibri" w:hAnsi="Calibri" w:cs="Calibri"/>
        </w:rPr>
        <w:t>Grant, R. M. (1996). Toward a knowledge-based theory of the firm. Strategic Management Journal, 17(S2), 109-122. https://doi.org/10.1002/smj.4250171110</w:t>
      </w:r>
    </w:p>
    <w:p w14:paraId="0DCFCE9B" w14:textId="77777777" w:rsidR="0037115C" w:rsidRPr="00EA1C67" w:rsidRDefault="0037115C" w:rsidP="0037115C">
      <w:pPr>
        <w:spacing w:after="80" w:line="360" w:lineRule="auto"/>
        <w:ind w:left="720" w:hanging="720"/>
        <w:jc w:val="both"/>
        <w:rPr>
          <w:rFonts w:ascii="Calibri" w:hAnsi="Calibri" w:cs="Calibri"/>
        </w:rPr>
      </w:pPr>
      <w:r w:rsidRPr="00EA1C67">
        <w:rPr>
          <w:rFonts w:ascii="Calibri" w:hAnsi="Calibri" w:cs="Calibri"/>
        </w:rPr>
        <w:lastRenderedPageBreak/>
        <w:t>Information Commissioner’s Office. (2023a). A guide to the data protection principles. https://ico.org.uk/for-organisations/uk-gdpr-guidance-and-resources/data-protection-principles/a-guide-to-the-data-protection-principles/</w:t>
      </w:r>
    </w:p>
    <w:p w14:paraId="7835CCEC" w14:textId="77777777" w:rsidR="0037115C" w:rsidRPr="00EA1C67" w:rsidRDefault="0037115C" w:rsidP="0037115C">
      <w:pPr>
        <w:spacing w:after="80" w:line="360" w:lineRule="auto"/>
        <w:ind w:left="720" w:hanging="720"/>
        <w:jc w:val="both"/>
        <w:rPr>
          <w:rFonts w:ascii="Calibri" w:hAnsi="Calibri" w:cs="Calibri"/>
        </w:rPr>
      </w:pPr>
      <w:r w:rsidRPr="00EA1C67">
        <w:rPr>
          <w:rFonts w:ascii="Calibri" w:hAnsi="Calibri" w:cs="Calibri"/>
        </w:rPr>
        <w:t>Information Commissioner’s Office. (2024a). What is personal data? https://ico.org.uk/for-organisations/uk-gdpr-guidance-and-resources/personal-information-what-is-it/what-is-personal-data/what-is-personal-data/</w:t>
      </w:r>
    </w:p>
    <w:p w14:paraId="430377EA" w14:textId="77777777" w:rsidR="0037115C" w:rsidRPr="00EA1C67" w:rsidRDefault="0037115C" w:rsidP="0037115C">
      <w:pPr>
        <w:spacing w:after="80" w:line="360" w:lineRule="auto"/>
        <w:ind w:left="720" w:hanging="720"/>
        <w:jc w:val="both"/>
        <w:rPr>
          <w:rFonts w:ascii="Calibri" w:hAnsi="Calibri" w:cs="Calibri"/>
        </w:rPr>
      </w:pPr>
      <w:r w:rsidRPr="00EA1C67">
        <w:rPr>
          <w:rFonts w:ascii="Calibri" w:hAnsi="Calibri" w:cs="Calibri"/>
        </w:rPr>
        <w:t>Information Commissioner’s Office. (2024b). What is special category data? https://ico.org.uk/for-organisations/uk-gdpr-guidance-and-resources/lawful-basis/special-category-data/what-is-special-category-data/</w:t>
      </w:r>
    </w:p>
    <w:p w14:paraId="771C2159" w14:textId="77777777" w:rsidR="0037115C" w:rsidRPr="00EA1C67" w:rsidRDefault="0037115C" w:rsidP="0037115C">
      <w:pPr>
        <w:spacing w:after="80" w:line="360" w:lineRule="auto"/>
        <w:ind w:left="720" w:hanging="720"/>
        <w:jc w:val="both"/>
        <w:rPr>
          <w:rFonts w:ascii="Calibri" w:hAnsi="Calibri" w:cs="Calibri"/>
        </w:rPr>
      </w:pPr>
      <w:r w:rsidRPr="00EA1C67">
        <w:rPr>
          <w:rFonts w:ascii="Calibri" w:hAnsi="Calibri" w:cs="Calibri"/>
        </w:rPr>
        <w:t>Information Commissioner’s Office. (2024c). A guide to data security. https://ico.org.uk/for-organisations/uk-gdpr-guidance-and-resources/security/a-guide-to-data-security/</w:t>
      </w:r>
    </w:p>
    <w:p w14:paraId="0D384F44" w14:textId="77777777" w:rsidR="0037115C" w:rsidRPr="00EA1C67" w:rsidRDefault="0037115C" w:rsidP="0037115C">
      <w:pPr>
        <w:spacing w:after="80" w:line="360" w:lineRule="auto"/>
        <w:ind w:left="720" w:hanging="720"/>
        <w:jc w:val="both"/>
        <w:rPr>
          <w:rFonts w:ascii="Calibri" w:hAnsi="Calibri" w:cs="Calibri"/>
        </w:rPr>
      </w:pPr>
      <w:proofErr w:type="spellStart"/>
      <w:r w:rsidRPr="00EA1C67">
        <w:rPr>
          <w:rFonts w:ascii="Calibri" w:hAnsi="Calibri" w:cs="Calibri"/>
        </w:rPr>
        <w:t>Kianto</w:t>
      </w:r>
      <w:proofErr w:type="spellEnd"/>
      <w:r w:rsidRPr="00EA1C67">
        <w:rPr>
          <w:rFonts w:ascii="Calibri" w:hAnsi="Calibri" w:cs="Calibri"/>
        </w:rPr>
        <w:t>, A., Vanhala, M., &amp; Heilmann, P. (2016). The impact of knowledge management on job satisfaction. Journal of Knowledge Management, 20(4), 621-636. https://doi.org/10.1108/JKM-10-2015-0398</w:t>
      </w:r>
    </w:p>
    <w:p w14:paraId="4445A7F6" w14:textId="77777777" w:rsidR="0037115C" w:rsidRPr="00EA1C67" w:rsidRDefault="0037115C" w:rsidP="0037115C">
      <w:pPr>
        <w:spacing w:after="80" w:line="360" w:lineRule="auto"/>
        <w:ind w:left="720" w:hanging="720"/>
        <w:jc w:val="both"/>
        <w:rPr>
          <w:rFonts w:ascii="Calibri" w:hAnsi="Calibri" w:cs="Calibri"/>
        </w:rPr>
      </w:pPr>
      <w:r w:rsidRPr="00EA1C67">
        <w:rPr>
          <w:rFonts w:ascii="Calibri" w:hAnsi="Calibri" w:cs="Calibri"/>
        </w:rPr>
        <w:t>Lee, H., &amp; Choi, B. (2003). Knowledge management enablers, processes, and organizational performance: An integrative view and empirical examination. Journal of Management Information Systems, 20(1), 179-228. https://doi.org/10.1080/07421222.2003.11045756</w:t>
      </w:r>
    </w:p>
    <w:p w14:paraId="3F49746A" w14:textId="77777777" w:rsidR="0037115C" w:rsidRPr="00EA1C67" w:rsidRDefault="0037115C" w:rsidP="0037115C">
      <w:pPr>
        <w:spacing w:after="80" w:line="360" w:lineRule="auto"/>
        <w:ind w:left="720" w:hanging="720"/>
        <w:jc w:val="both"/>
        <w:rPr>
          <w:rFonts w:ascii="Calibri" w:hAnsi="Calibri" w:cs="Calibri"/>
        </w:rPr>
      </w:pPr>
      <w:r w:rsidRPr="00EA1C67">
        <w:rPr>
          <w:rFonts w:ascii="Calibri" w:hAnsi="Calibri" w:cs="Calibri"/>
        </w:rPr>
        <w:t>NHS. (2023). Choosing who will do your cosmetic procedure. https://www.nhs.uk/tests-and-treatments/cosmetic-procedures/advice/choosing-who-will-do-your-procedure/</w:t>
      </w:r>
    </w:p>
    <w:p w14:paraId="0003DD81" w14:textId="77777777" w:rsidR="0037115C" w:rsidRPr="00EA1C67" w:rsidRDefault="0037115C" w:rsidP="0037115C">
      <w:pPr>
        <w:spacing w:after="80" w:line="360" w:lineRule="auto"/>
        <w:ind w:left="720" w:hanging="720"/>
        <w:jc w:val="both"/>
        <w:rPr>
          <w:rFonts w:ascii="Calibri" w:hAnsi="Calibri" w:cs="Calibri"/>
        </w:rPr>
      </w:pPr>
      <w:r w:rsidRPr="00EA1C67">
        <w:rPr>
          <w:rFonts w:ascii="Calibri" w:hAnsi="Calibri" w:cs="Calibri"/>
        </w:rPr>
        <w:t>Nonaka, I. (1994). A dynamic theory of organizational knowledge creation. Organization Science, 5(1), 14-37. https://doi.org/10.1287/orsc.5.1.14</w:t>
      </w:r>
    </w:p>
    <w:p w14:paraId="2F554CEB" w14:textId="77777777" w:rsidR="0037115C" w:rsidRPr="00EA1C67" w:rsidRDefault="0037115C" w:rsidP="0037115C">
      <w:pPr>
        <w:spacing w:after="80" w:line="360" w:lineRule="auto"/>
        <w:ind w:left="720" w:hanging="720"/>
        <w:jc w:val="both"/>
        <w:rPr>
          <w:rFonts w:ascii="Calibri" w:hAnsi="Calibri" w:cs="Calibri"/>
        </w:rPr>
      </w:pPr>
      <w:r w:rsidRPr="00EA1C67">
        <w:rPr>
          <w:rFonts w:ascii="Calibri" w:hAnsi="Calibri" w:cs="Calibri"/>
        </w:rPr>
        <w:t>Polanyi, M. (1966). The tacit dimension. Doubleday.</w:t>
      </w:r>
    </w:p>
    <w:p w14:paraId="7674AFE8" w14:textId="77777777" w:rsidR="0037115C" w:rsidRPr="00EA1C67" w:rsidRDefault="0037115C" w:rsidP="0037115C">
      <w:pPr>
        <w:spacing w:after="80" w:line="360" w:lineRule="auto"/>
        <w:ind w:left="720" w:hanging="720"/>
        <w:jc w:val="both"/>
        <w:rPr>
          <w:rFonts w:ascii="Calibri" w:hAnsi="Calibri" w:cs="Calibri"/>
        </w:rPr>
      </w:pPr>
      <w:r w:rsidRPr="00EA1C67">
        <w:rPr>
          <w:rFonts w:ascii="Calibri" w:hAnsi="Calibri" w:cs="Calibri"/>
        </w:rPr>
        <w:t>Powell, W. W., &amp; Snellman, K. (2004). The knowledge economy. Annual Review of Sociology, 30, 199-220. https://doi.org/10.1146/annurev.soc.29.010202.100037</w:t>
      </w:r>
    </w:p>
    <w:p w14:paraId="758D4B74" w14:textId="77777777" w:rsidR="0037115C" w:rsidRPr="00EA1C67" w:rsidRDefault="0037115C" w:rsidP="0037115C">
      <w:pPr>
        <w:spacing w:after="80" w:line="360" w:lineRule="auto"/>
        <w:ind w:left="720" w:hanging="720"/>
        <w:jc w:val="both"/>
        <w:rPr>
          <w:rFonts w:ascii="Calibri" w:hAnsi="Calibri" w:cs="Calibri"/>
        </w:rPr>
      </w:pPr>
      <w:r w:rsidRPr="00EA1C67">
        <w:rPr>
          <w:rFonts w:ascii="Calibri" w:hAnsi="Calibri" w:cs="Calibri"/>
        </w:rPr>
        <w:t>UK Public General Acts. (1980). Limitation Act 1980. https://www.legislation.gov.uk/ukpga/1980/58</w:t>
      </w:r>
    </w:p>
    <w:p w14:paraId="4894A696" w14:textId="77777777" w:rsidR="0037115C" w:rsidRPr="00EA1C67" w:rsidRDefault="0037115C" w:rsidP="0037115C">
      <w:pPr>
        <w:spacing w:after="80" w:line="360" w:lineRule="auto"/>
        <w:ind w:left="720" w:hanging="720"/>
        <w:jc w:val="both"/>
        <w:rPr>
          <w:rFonts w:ascii="Calibri" w:hAnsi="Calibri" w:cs="Calibri"/>
        </w:rPr>
      </w:pPr>
      <w:r w:rsidRPr="00EA1C67">
        <w:rPr>
          <w:rFonts w:ascii="Calibri" w:hAnsi="Calibri" w:cs="Calibri"/>
        </w:rPr>
        <w:t>Wang, S., &amp; Noe, R. A. (2010). Knowledge sharing: A review and directions for future research. Human Resource Management Review, 20(2), 115-131. https://doi.org/10.1016/j.hrmr.2009.10.001</w:t>
      </w:r>
    </w:p>
    <w:p w14:paraId="7AEBE6A6" w14:textId="77777777" w:rsidR="001635D9" w:rsidRPr="00EA1C67" w:rsidRDefault="001635D9">
      <w:pPr>
        <w:spacing w:after="160" w:line="278" w:lineRule="auto"/>
        <w:rPr>
          <w:rFonts w:ascii="Calibri" w:hAnsi="Calibri" w:cs="Calibri"/>
        </w:rPr>
      </w:pPr>
    </w:p>
    <w:p w14:paraId="1E74115C" w14:textId="45C9B30D" w:rsidR="0037115C" w:rsidRPr="00EA1C67" w:rsidRDefault="0037115C">
      <w:pPr>
        <w:spacing w:after="160" w:line="278" w:lineRule="auto"/>
        <w:rPr>
          <w:rFonts w:ascii="Calibri" w:hAnsi="Calibri" w:cs="Calibri"/>
        </w:rPr>
      </w:pPr>
      <w:r w:rsidRPr="00EA1C67">
        <w:rPr>
          <w:rFonts w:ascii="Calibri" w:hAnsi="Calibri" w:cs="Calibri"/>
        </w:rPr>
        <w:br w:type="page"/>
      </w:r>
    </w:p>
    <w:p w14:paraId="7DB4CD51" w14:textId="7D8B4E03" w:rsidR="009B6E34" w:rsidRPr="00EA1C67" w:rsidRDefault="00F63BBD" w:rsidP="009B6E34">
      <w:pPr>
        <w:pStyle w:val="Heading1"/>
        <w:rPr>
          <w:rFonts w:ascii="Calibri" w:hAnsi="Calibri" w:cs="Calibri"/>
        </w:rPr>
      </w:pPr>
      <w:bookmarkStart w:id="12" w:name="_Toc230325752"/>
      <w:r w:rsidRPr="00EA1C67">
        <w:rPr>
          <w:rFonts w:ascii="Calibri" w:hAnsi="Calibri" w:cs="Calibri"/>
        </w:rPr>
        <w:lastRenderedPageBreak/>
        <w:t xml:space="preserve">12. </w:t>
      </w:r>
      <w:r w:rsidR="009B6E34" w:rsidRPr="00EA1C67">
        <w:rPr>
          <w:rFonts w:ascii="Calibri" w:hAnsi="Calibri" w:cs="Calibri"/>
        </w:rPr>
        <w:t>Appendix</w:t>
      </w:r>
      <w:bookmarkEnd w:id="12"/>
    </w:p>
    <w:p w14:paraId="56CC1325" w14:textId="7D2E8BC4" w:rsidR="0037115C" w:rsidRPr="00EA1C67" w:rsidRDefault="0037115C" w:rsidP="0037115C">
      <w:pPr>
        <w:pStyle w:val="Heading2"/>
        <w:rPr>
          <w:rFonts w:ascii="Calibri" w:hAnsi="Calibri" w:cs="Calibri"/>
        </w:rPr>
      </w:pPr>
      <w:bookmarkStart w:id="13" w:name="_Toc230325753"/>
      <w:r w:rsidRPr="00EA1C67">
        <w:rPr>
          <w:rFonts w:ascii="Calibri" w:hAnsi="Calibri" w:cs="Calibri"/>
        </w:rPr>
        <w:t>Appendix A: Suggested Client Privacy Notice Template</w:t>
      </w:r>
      <w:bookmarkEnd w:id="13"/>
    </w:p>
    <w:p w14:paraId="6E074D7A" w14:textId="77777777" w:rsidR="0037115C" w:rsidRPr="00EA1C67" w:rsidRDefault="0037115C" w:rsidP="0037115C">
      <w:pPr>
        <w:spacing w:after="40" w:line="360" w:lineRule="auto"/>
        <w:jc w:val="both"/>
        <w:rPr>
          <w:rFonts w:ascii="Calibri" w:hAnsi="Calibri" w:cs="Calibri"/>
          <w:b/>
          <w:bCs/>
        </w:rPr>
      </w:pPr>
      <w:r w:rsidRPr="00EA1C67">
        <w:rPr>
          <w:rFonts w:ascii="Calibri" w:hAnsi="Calibri" w:cs="Calibri"/>
          <w:b/>
          <w:bCs/>
        </w:rPr>
        <w:t>Honey-Love Aesthetics by Michelle: Client Privacy Notice</w:t>
      </w:r>
    </w:p>
    <w:p w14:paraId="293435C3" w14:textId="77777777" w:rsidR="0037115C" w:rsidRPr="00EA1C67" w:rsidRDefault="0037115C" w:rsidP="0037115C">
      <w:pPr>
        <w:spacing w:after="40" w:line="360" w:lineRule="auto"/>
        <w:jc w:val="both"/>
        <w:rPr>
          <w:rFonts w:ascii="Calibri" w:hAnsi="Calibri" w:cs="Calibri"/>
          <w:b/>
          <w:bCs/>
        </w:rPr>
      </w:pPr>
      <w:r w:rsidRPr="00EA1C67">
        <w:rPr>
          <w:rFonts w:ascii="Calibri" w:hAnsi="Calibri" w:cs="Calibri"/>
          <w:b/>
          <w:bCs/>
        </w:rPr>
        <w:t>1. Purpose of this privacy notice</w:t>
      </w:r>
    </w:p>
    <w:p w14:paraId="52FF37CE" w14:textId="77777777" w:rsidR="0037115C" w:rsidRPr="00EA1C67" w:rsidRDefault="0037115C" w:rsidP="0037115C">
      <w:pPr>
        <w:spacing w:after="40" w:line="360" w:lineRule="auto"/>
        <w:jc w:val="both"/>
        <w:rPr>
          <w:rFonts w:ascii="Calibri" w:hAnsi="Calibri" w:cs="Calibri"/>
        </w:rPr>
      </w:pPr>
      <w:r w:rsidRPr="00EA1C67">
        <w:rPr>
          <w:rFonts w:ascii="Calibri" w:hAnsi="Calibri" w:cs="Calibri"/>
        </w:rPr>
        <w:t xml:space="preserve">Honey-Love Aesthetics by Michelle is committed to protecting client privacy and handling all personal information responsibly, securely and confidentially. This privacy notice explains what personal data is collected, why it is collected, how it is stored, who it may be shared with, and how long it is retained. Under UK data protection law, clients have the right to be given clear and transparent information about how their personal information is used. The Information Commissioner’s Office explains that privacy information should be clear, concise and should explain what an organisation does with personal data. </w:t>
      </w:r>
    </w:p>
    <w:p w14:paraId="240CBBFE" w14:textId="77777777" w:rsidR="0037115C" w:rsidRPr="00EA1C67" w:rsidRDefault="0037115C" w:rsidP="0037115C">
      <w:pPr>
        <w:spacing w:after="40" w:line="360" w:lineRule="auto"/>
        <w:jc w:val="both"/>
        <w:rPr>
          <w:rFonts w:ascii="Calibri" w:hAnsi="Calibri" w:cs="Calibri"/>
          <w:b/>
          <w:bCs/>
        </w:rPr>
      </w:pPr>
      <w:r w:rsidRPr="00EA1C67">
        <w:rPr>
          <w:rFonts w:ascii="Calibri" w:hAnsi="Calibri" w:cs="Calibri"/>
          <w:b/>
          <w:bCs/>
        </w:rPr>
        <w:t>2. What personal data is collected</w:t>
      </w:r>
    </w:p>
    <w:p w14:paraId="1794D72B" w14:textId="77777777" w:rsidR="0037115C" w:rsidRPr="00EA1C67" w:rsidRDefault="0037115C" w:rsidP="0037115C">
      <w:pPr>
        <w:spacing w:after="40" w:line="360" w:lineRule="auto"/>
        <w:jc w:val="both"/>
        <w:rPr>
          <w:rFonts w:ascii="Calibri" w:hAnsi="Calibri" w:cs="Calibri"/>
        </w:rPr>
      </w:pPr>
      <w:r w:rsidRPr="00EA1C67">
        <w:rPr>
          <w:rFonts w:ascii="Calibri" w:hAnsi="Calibri" w:cs="Calibri"/>
        </w:rPr>
        <w:t>Honey-Love Aesthetics by Michelle may collect the following client information:</w:t>
      </w:r>
    </w:p>
    <w:tbl>
      <w:tblPr>
        <w:tblStyle w:val="GridTable4-Accent6"/>
        <w:tblW w:w="0" w:type="auto"/>
        <w:tblLook w:val="04A0" w:firstRow="1" w:lastRow="0" w:firstColumn="1" w:lastColumn="0" w:noHBand="0" w:noVBand="1"/>
      </w:tblPr>
      <w:tblGrid>
        <w:gridCol w:w="1682"/>
        <w:gridCol w:w="3659"/>
        <w:gridCol w:w="3675"/>
      </w:tblGrid>
      <w:tr w:rsidR="0037115C" w:rsidRPr="00EA1C67" w14:paraId="01FE5AC9" w14:textId="77777777" w:rsidTr="007A76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0F4292" w14:textId="77777777" w:rsidR="0037115C" w:rsidRPr="00EA1C67" w:rsidRDefault="0037115C" w:rsidP="007A764A">
            <w:pPr>
              <w:spacing w:after="40" w:line="360" w:lineRule="auto"/>
              <w:jc w:val="both"/>
              <w:rPr>
                <w:rFonts w:ascii="Calibri" w:hAnsi="Calibri" w:cs="Calibri"/>
                <w:color w:val="auto"/>
                <w:sz w:val="20"/>
              </w:rPr>
            </w:pPr>
            <w:r w:rsidRPr="00EA1C67">
              <w:rPr>
                <w:rFonts w:ascii="Calibri" w:hAnsi="Calibri" w:cs="Calibri"/>
                <w:color w:val="auto"/>
                <w:sz w:val="20"/>
              </w:rPr>
              <w:t>Type of personal data</w:t>
            </w:r>
          </w:p>
        </w:tc>
        <w:tc>
          <w:tcPr>
            <w:tcW w:w="0" w:type="auto"/>
            <w:hideMark/>
          </w:tcPr>
          <w:p w14:paraId="1879AC7D" w14:textId="77777777" w:rsidR="0037115C" w:rsidRPr="00EA1C67" w:rsidRDefault="0037115C" w:rsidP="007A764A">
            <w:pPr>
              <w:spacing w:after="40" w:line="360" w:lineRule="auto"/>
              <w:jc w:val="both"/>
              <w:cnfStyle w:val="100000000000" w:firstRow="1" w:lastRow="0" w:firstColumn="0" w:lastColumn="0" w:oddVBand="0" w:evenVBand="0" w:oddHBand="0" w:evenHBand="0" w:firstRowFirstColumn="0" w:firstRowLastColumn="0" w:lastRowFirstColumn="0" w:lastRowLastColumn="0"/>
              <w:rPr>
                <w:rFonts w:ascii="Calibri" w:hAnsi="Calibri" w:cs="Calibri"/>
                <w:color w:val="auto"/>
                <w:sz w:val="20"/>
              </w:rPr>
            </w:pPr>
            <w:r w:rsidRPr="00EA1C67">
              <w:rPr>
                <w:rFonts w:ascii="Calibri" w:hAnsi="Calibri" w:cs="Calibri"/>
                <w:color w:val="auto"/>
                <w:sz w:val="20"/>
              </w:rPr>
              <w:t>Examples collected in the salon</w:t>
            </w:r>
          </w:p>
        </w:tc>
        <w:tc>
          <w:tcPr>
            <w:tcW w:w="0" w:type="auto"/>
            <w:hideMark/>
          </w:tcPr>
          <w:p w14:paraId="0EDAFBE6" w14:textId="77777777" w:rsidR="0037115C" w:rsidRPr="00EA1C67" w:rsidRDefault="0037115C" w:rsidP="007A764A">
            <w:pPr>
              <w:spacing w:after="40" w:line="360" w:lineRule="auto"/>
              <w:jc w:val="both"/>
              <w:cnfStyle w:val="100000000000" w:firstRow="1" w:lastRow="0" w:firstColumn="0" w:lastColumn="0" w:oddVBand="0" w:evenVBand="0" w:oddHBand="0" w:evenHBand="0" w:firstRowFirstColumn="0" w:firstRowLastColumn="0" w:lastRowFirstColumn="0" w:lastRowLastColumn="0"/>
              <w:rPr>
                <w:rFonts w:ascii="Calibri" w:hAnsi="Calibri" w:cs="Calibri"/>
                <w:color w:val="auto"/>
                <w:sz w:val="20"/>
              </w:rPr>
            </w:pPr>
            <w:r w:rsidRPr="00EA1C67">
              <w:rPr>
                <w:rFonts w:ascii="Calibri" w:hAnsi="Calibri" w:cs="Calibri"/>
                <w:color w:val="auto"/>
                <w:sz w:val="20"/>
              </w:rPr>
              <w:t>Reason for collection</w:t>
            </w:r>
          </w:p>
        </w:tc>
      </w:tr>
      <w:tr w:rsidR="0037115C" w:rsidRPr="00EA1C67" w14:paraId="61EFE937" w14:textId="77777777" w:rsidTr="007A76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ED754A" w14:textId="77777777" w:rsidR="0037115C" w:rsidRPr="00EA1C67" w:rsidRDefault="0037115C" w:rsidP="007A764A">
            <w:pPr>
              <w:spacing w:after="40" w:line="360" w:lineRule="auto"/>
              <w:jc w:val="both"/>
              <w:rPr>
                <w:rFonts w:ascii="Calibri" w:hAnsi="Calibri" w:cs="Calibri"/>
                <w:sz w:val="20"/>
              </w:rPr>
            </w:pPr>
            <w:r w:rsidRPr="00EA1C67">
              <w:rPr>
                <w:rFonts w:ascii="Calibri" w:hAnsi="Calibri" w:cs="Calibri"/>
                <w:sz w:val="20"/>
              </w:rPr>
              <w:t>Identity details</w:t>
            </w:r>
          </w:p>
        </w:tc>
        <w:tc>
          <w:tcPr>
            <w:tcW w:w="0" w:type="auto"/>
            <w:hideMark/>
          </w:tcPr>
          <w:p w14:paraId="51B94810" w14:textId="77777777" w:rsidR="0037115C" w:rsidRPr="00EA1C67" w:rsidRDefault="0037115C" w:rsidP="007A764A">
            <w:pPr>
              <w:spacing w:after="4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Name, date of birth, age confirmation</w:t>
            </w:r>
          </w:p>
        </w:tc>
        <w:tc>
          <w:tcPr>
            <w:tcW w:w="0" w:type="auto"/>
            <w:hideMark/>
          </w:tcPr>
          <w:p w14:paraId="4C0E76C9" w14:textId="77777777" w:rsidR="0037115C" w:rsidRPr="00EA1C67" w:rsidRDefault="0037115C" w:rsidP="007A764A">
            <w:pPr>
              <w:spacing w:after="4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To identify the client and confirm suitability for treatment</w:t>
            </w:r>
          </w:p>
        </w:tc>
      </w:tr>
      <w:tr w:rsidR="0037115C" w:rsidRPr="00EA1C67" w14:paraId="560359C9" w14:textId="77777777" w:rsidTr="007A764A">
        <w:tc>
          <w:tcPr>
            <w:cnfStyle w:val="001000000000" w:firstRow="0" w:lastRow="0" w:firstColumn="1" w:lastColumn="0" w:oddVBand="0" w:evenVBand="0" w:oddHBand="0" w:evenHBand="0" w:firstRowFirstColumn="0" w:firstRowLastColumn="0" w:lastRowFirstColumn="0" w:lastRowLastColumn="0"/>
            <w:tcW w:w="0" w:type="auto"/>
            <w:hideMark/>
          </w:tcPr>
          <w:p w14:paraId="4BD2C7E9" w14:textId="77777777" w:rsidR="0037115C" w:rsidRPr="00EA1C67" w:rsidRDefault="0037115C" w:rsidP="007A764A">
            <w:pPr>
              <w:spacing w:after="40" w:line="360" w:lineRule="auto"/>
              <w:jc w:val="both"/>
              <w:rPr>
                <w:rFonts w:ascii="Calibri" w:hAnsi="Calibri" w:cs="Calibri"/>
                <w:sz w:val="20"/>
              </w:rPr>
            </w:pPr>
            <w:r w:rsidRPr="00EA1C67">
              <w:rPr>
                <w:rFonts w:ascii="Calibri" w:hAnsi="Calibri" w:cs="Calibri"/>
                <w:sz w:val="20"/>
              </w:rPr>
              <w:t>Contact details</w:t>
            </w:r>
          </w:p>
        </w:tc>
        <w:tc>
          <w:tcPr>
            <w:tcW w:w="0" w:type="auto"/>
            <w:hideMark/>
          </w:tcPr>
          <w:p w14:paraId="704C02D1" w14:textId="77777777" w:rsidR="0037115C" w:rsidRPr="00EA1C67" w:rsidRDefault="0037115C" w:rsidP="007A764A">
            <w:pPr>
              <w:spacing w:after="4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Phone number, email address, home address</w:t>
            </w:r>
          </w:p>
        </w:tc>
        <w:tc>
          <w:tcPr>
            <w:tcW w:w="0" w:type="auto"/>
            <w:hideMark/>
          </w:tcPr>
          <w:p w14:paraId="2F150F93" w14:textId="77777777" w:rsidR="0037115C" w:rsidRPr="00EA1C67" w:rsidRDefault="0037115C" w:rsidP="007A764A">
            <w:pPr>
              <w:spacing w:after="4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To manage bookings, send reminders, provide aftercare and contact the client where needed</w:t>
            </w:r>
          </w:p>
        </w:tc>
      </w:tr>
      <w:tr w:rsidR="0037115C" w:rsidRPr="00EA1C67" w14:paraId="112F48A0" w14:textId="77777777" w:rsidTr="007A76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99856A0" w14:textId="77777777" w:rsidR="0037115C" w:rsidRPr="00EA1C67" w:rsidRDefault="0037115C" w:rsidP="007A764A">
            <w:pPr>
              <w:spacing w:after="40" w:line="360" w:lineRule="auto"/>
              <w:jc w:val="both"/>
              <w:rPr>
                <w:rFonts w:ascii="Calibri" w:hAnsi="Calibri" w:cs="Calibri"/>
                <w:sz w:val="20"/>
              </w:rPr>
            </w:pPr>
            <w:r w:rsidRPr="00EA1C67">
              <w:rPr>
                <w:rFonts w:ascii="Calibri" w:hAnsi="Calibri" w:cs="Calibri"/>
                <w:sz w:val="20"/>
              </w:rPr>
              <w:t>Medical information</w:t>
            </w:r>
          </w:p>
        </w:tc>
        <w:tc>
          <w:tcPr>
            <w:tcW w:w="0" w:type="auto"/>
            <w:hideMark/>
          </w:tcPr>
          <w:p w14:paraId="44401376" w14:textId="77777777" w:rsidR="0037115C" w:rsidRPr="00EA1C67" w:rsidRDefault="0037115C" w:rsidP="007A764A">
            <w:pPr>
              <w:spacing w:after="4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Medical history, allergies, medication, contraindications</w:t>
            </w:r>
          </w:p>
        </w:tc>
        <w:tc>
          <w:tcPr>
            <w:tcW w:w="0" w:type="auto"/>
            <w:hideMark/>
          </w:tcPr>
          <w:p w14:paraId="69377FD0" w14:textId="77777777" w:rsidR="0037115C" w:rsidRPr="00EA1C67" w:rsidRDefault="0037115C" w:rsidP="007A764A">
            <w:pPr>
              <w:spacing w:after="4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To assess whether treatments such as dermal fillers, Botox, B12 injections or fat dissolving are safe and suitable</w:t>
            </w:r>
          </w:p>
        </w:tc>
      </w:tr>
      <w:tr w:rsidR="0037115C" w:rsidRPr="00EA1C67" w14:paraId="2B9F7C75" w14:textId="77777777" w:rsidTr="007A764A">
        <w:tc>
          <w:tcPr>
            <w:cnfStyle w:val="001000000000" w:firstRow="0" w:lastRow="0" w:firstColumn="1" w:lastColumn="0" w:oddVBand="0" w:evenVBand="0" w:oddHBand="0" w:evenHBand="0" w:firstRowFirstColumn="0" w:firstRowLastColumn="0" w:lastRowFirstColumn="0" w:lastRowLastColumn="0"/>
            <w:tcW w:w="0" w:type="auto"/>
            <w:hideMark/>
          </w:tcPr>
          <w:p w14:paraId="5E01D17A" w14:textId="77777777" w:rsidR="0037115C" w:rsidRPr="00EA1C67" w:rsidRDefault="0037115C" w:rsidP="007A764A">
            <w:pPr>
              <w:spacing w:after="40" w:line="360" w:lineRule="auto"/>
              <w:jc w:val="both"/>
              <w:rPr>
                <w:rFonts w:ascii="Calibri" w:hAnsi="Calibri" w:cs="Calibri"/>
                <w:sz w:val="20"/>
              </w:rPr>
            </w:pPr>
            <w:r w:rsidRPr="00EA1C67">
              <w:rPr>
                <w:rFonts w:ascii="Calibri" w:hAnsi="Calibri" w:cs="Calibri"/>
                <w:sz w:val="20"/>
              </w:rPr>
              <w:t>Treatment records</w:t>
            </w:r>
          </w:p>
        </w:tc>
        <w:tc>
          <w:tcPr>
            <w:tcW w:w="0" w:type="auto"/>
            <w:hideMark/>
          </w:tcPr>
          <w:p w14:paraId="06CE2DBC" w14:textId="77777777" w:rsidR="0037115C" w:rsidRPr="00EA1C67" w:rsidRDefault="0037115C" w:rsidP="007A764A">
            <w:pPr>
              <w:spacing w:after="4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Treatment type, treatment area, product used, batch number, dosage/amount, appointment notes</w:t>
            </w:r>
          </w:p>
        </w:tc>
        <w:tc>
          <w:tcPr>
            <w:tcW w:w="0" w:type="auto"/>
            <w:hideMark/>
          </w:tcPr>
          <w:p w14:paraId="2EBD34CE" w14:textId="77777777" w:rsidR="0037115C" w:rsidRPr="00EA1C67" w:rsidRDefault="0037115C" w:rsidP="007A764A">
            <w:pPr>
              <w:spacing w:after="4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To maintain accurate professional records and support safe future treatment</w:t>
            </w:r>
          </w:p>
        </w:tc>
      </w:tr>
      <w:tr w:rsidR="0037115C" w:rsidRPr="00EA1C67" w14:paraId="77A3126A" w14:textId="77777777" w:rsidTr="007A76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0766222" w14:textId="77777777" w:rsidR="0037115C" w:rsidRPr="00EA1C67" w:rsidRDefault="0037115C" w:rsidP="007A764A">
            <w:pPr>
              <w:spacing w:after="40" w:line="360" w:lineRule="auto"/>
              <w:jc w:val="both"/>
              <w:rPr>
                <w:rFonts w:ascii="Calibri" w:hAnsi="Calibri" w:cs="Calibri"/>
                <w:sz w:val="20"/>
              </w:rPr>
            </w:pPr>
            <w:r w:rsidRPr="00EA1C67">
              <w:rPr>
                <w:rFonts w:ascii="Calibri" w:hAnsi="Calibri" w:cs="Calibri"/>
                <w:sz w:val="20"/>
              </w:rPr>
              <w:t>Consent forms</w:t>
            </w:r>
          </w:p>
        </w:tc>
        <w:tc>
          <w:tcPr>
            <w:tcW w:w="0" w:type="auto"/>
            <w:hideMark/>
          </w:tcPr>
          <w:p w14:paraId="789F6CB8" w14:textId="77777777" w:rsidR="0037115C" w:rsidRPr="00EA1C67" w:rsidRDefault="0037115C" w:rsidP="007A764A">
            <w:pPr>
              <w:spacing w:after="4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Treatment consent, medical consent, photography consent</w:t>
            </w:r>
          </w:p>
        </w:tc>
        <w:tc>
          <w:tcPr>
            <w:tcW w:w="0" w:type="auto"/>
            <w:hideMark/>
          </w:tcPr>
          <w:p w14:paraId="171ABBCB" w14:textId="77777777" w:rsidR="0037115C" w:rsidRPr="00EA1C67" w:rsidRDefault="0037115C" w:rsidP="007A764A">
            <w:pPr>
              <w:spacing w:after="4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To evidence informed consent before treatment</w:t>
            </w:r>
          </w:p>
        </w:tc>
      </w:tr>
      <w:tr w:rsidR="0037115C" w:rsidRPr="00EA1C67" w14:paraId="7287CAD3" w14:textId="77777777" w:rsidTr="007A764A">
        <w:tc>
          <w:tcPr>
            <w:cnfStyle w:val="001000000000" w:firstRow="0" w:lastRow="0" w:firstColumn="1" w:lastColumn="0" w:oddVBand="0" w:evenVBand="0" w:oddHBand="0" w:evenHBand="0" w:firstRowFirstColumn="0" w:firstRowLastColumn="0" w:lastRowFirstColumn="0" w:lastRowLastColumn="0"/>
            <w:tcW w:w="0" w:type="auto"/>
            <w:hideMark/>
          </w:tcPr>
          <w:p w14:paraId="46066B23" w14:textId="77777777" w:rsidR="0037115C" w:rsidRPr="00EA1C67" w:rsidRDefault="0037115C" w:rsidP="007A764A">
            <w:pPr>
              <w:spacing w:after="40" w:line="360" w:lineRule="auto"/>
              <w:jc w:val="both"/>
              <w:rPr>
                <w:rFonts w:ascii="Calibri" w:hAnsi="Calibri" w:cs="Calibri"/>
                <w:sz w:val="20"/>
              </w:rPr>
            </w:pPr>
            <w:r w:rsidRPr="00EA1C67">
              <w:rPr>
                <w:rFonts w:ascii="Calibri" w:hAnsi="Calibri" w:cs="Calibri"/>
                <w:sz w:val="20"/>
              </w:rPr>
              <w:t>Images</w:t>
            </w:r>
          </w:p>
        </w:tc>
        <w:tc>
          <w:tcPr>
            <w:tcW w:w="0" w:type="auto"/>
            <w:hideMark/>
          </w:tcPr>
          <w:p w14:paraId="7F48F6A7" w14:textId="77777777" w:rsidR="0037115C" w:rsidRPr="00EA1C67" w:rsidRDefault="0037115C" w:rsidP="007A764A">
            <w:pPr>
              <w:spacing w:after="4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Before-and-after photographs</w:t>
            </w:r>
          </w:p>
        </w:tc>
        <w:tc>
          <w:tcPr>
            <w:tcW w:w="0" w:type="auto"/>
            <w:hideMark/>
          </w:tcPr>
          <w:p w14:paraId="2D2B55D0" w14:textId="77777777" w:rsidR="0037115C" w:rsidRPr="00EA1C67" w:rsidRDefault="0037115C" w:rsidP="007A764A">
            <w:pPr>
              <w:spacing w:after="4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To document treatment outcomes and, only with separate consent, for marketing or portfolio purposes</w:t>
            </w:r>
          </w:p>
        </w:tc>
      </w:tr>
      <w:tr w:rsidR="0037115C" w:rsidRPr="00EA1C67" w14:paraId="4CB215EE" w14:textId="77777777" w:rsidTr="007A76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7CFEAE" w14:textId="77777777" w:rsidR="0037115C" w:rsidRPr="00EA1C67" w:rsidRDefault="0037115C" w:rsidP="007A764A">
            <w:pPr>
              <w:spacing w:after="40" w:line="360" w:lineRule="auto"/>
              <w:jc w:val="both"/>
              <w:rPr>
                <w:rFonts w:ascii="Calibri" w:hAnsi="Calibri" w:cs="Calibri"/>
                <w:sz w:val="20"/>
              </w:rPr>
            </w:pPr>
            <w:r w:rsidRPr="00EA1C67">
              <w:rPr>
                <w:rFonts w:ascii="Calibri" w:hAnsi="Calibri" w:cs="Calibri"/>
                <w:sz w:val="20"/>
              </w:rPr>
              <w:t>Finance-related information</w:t>
            </w:r>
          </w:p>
        </w:tc>
        <w:tc>
          <w:tcPr>
            <w:tcW w:w="0" w:type="auto"/>
            <w:hideMark/>
          </w:tcPr>
          <w:p w14:paraId="7C434721" w14:textId="77777777" w:rsidR="0037115C" w:rsidRPr="00EA1C67" w:rsidRDefault="0037115C" w:rsidP="007A764A">
            <w:pPr>
              <w:spacing w:after="4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 xml:space="preserve">Information needed for Payl8r finance forms </w:t>
            </w:r>
            <w:proofErr w:type="gramStart"/>
            <w:r w:rsidRPr="00EA1C67">
              <w:rPr>
                <w:rFonts w:ascii="Calibri" w:hAnsi="Calibri" w:cs="Calibri"/>
                <w:sz w:val="20"/>
              </w:rPr>
              <w:t>where</w:t>
            </w:r>
            <w:proofErr w:type="gramEnd"/>
            <w:r w:rsidRPr="00EA1C67">
              <w:rPr>
                <w:rFonts w:ascii="Calibri" w:hAnsi="Calibri" w:cs="Calibri"/>
                <w:sz w:val="20"/>
              </w:rPr>
              <w:t xml:space="preserve"> requested</w:t>
            </w:r>
          </w:p>
        </w:tc>
        <w:tc>
          <w:tcPr>
            <w:tcW w:w="0" w:type="auto"/>
            <w:hideMark/>
          </w:tcPr>
          <w:p w14:paraId="3C0CA8BC" w14:textId="77777777" w:rsidR="0037115C" w:rsidRPr="00EA1C67" w:rsidRDefault="0037115C" w:rsidP="007A764A">
            <w:pPr>
              <w:spacing w:after="40" w:line="360" w:lineRule="auto"/>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To support finance applications requested by the client</w:t>
            </w:r>
          </w:p>
        </w:tc>
      </w:tr>
      <w:tr w:rsidR="0037115C" w:rsidRPr="00EA1C67" w14:paraId="30996CA6" w14:textId="77777777" w:rsidTr="007A764A">
        <w:tc>
          <w:tcPr>
            <w:cnfStyle w:val="001000000000" w:firstRow="0" w:lastRow="0" w:firstColumn="1" w:lastColumn="0" w:oddVBand="0" w:evenVBand="0" w:oddHBand="0" w:evenHBand="0" w:firstRowFirstColumn="0" w:firstRowLastColumn="0" w:lastRowFirstColumn="0" w:lastRowLastColumn="0"/>
            <w:tcW w:w="0" w:type="auto"/>
            <w:hideMark/>
          </w:tcPr>
          <w:p w14:paraId="670018EF" w14:textId="77777777" w:rsidR="0037115C" w:rsidRPr="00EA1C67" w:rsidRDefault="0037115C" w:rsidP="007A764A">
            <w:pPr>
              <w:spacing w:after="40" w:line="360" w:lineRule="auto"/>
              <w:jc w:val="both"/>
              <w:rPr>
                <w:rFonts w:ascii="Calibri" w:hAnsi="Calibri" w:cs="Calibri"/>
                <w:sz w:val="20"/>
              </w:rPr>
            </w:pPr>
            <w:r w:rsidRPr="00EA1C67">
              <w:rPr>
                <w:rFonts w:ascii="Calibri" w:hAnsi="Calibri" w:cs="Calibri"/>
                <w:sz w:val="20"/>
              </w:rPr>
              <w:lastRenderedPageBreak/>
              <w:t>Prescriber-related information</w:t>
            </w:r>
          </w:p>
        </w:tc>
        <w:tc>
          <w:tcPr>
            <w:tcW w:w="0" w:type="auto"/>
            <w:hideMark/>
          </w:tcPr>
          <w:p w14:paraId="09C981FD" w14:textId="77777777" w:rsidR="0037115C" w:rsidRPr="00EA1C67" w:rsidRDefault="0037115C" w:rsidP="007A764A">
            <w:pPr>
              <w:spacing w:after="4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Details required for prescribing processes</w:t>
            </w:r>
          </w:p>
        </w:tc>
        <w:tc>
          <w:tcPr>
            <w:tcW w:w="0" w:type="auto"/>
            <w:hideMark/>
          </w:tcPr>
          <w:p w14:paraId="128C6F60" w14:textId="77777777" w:rsidR="0037115C" w:rsidRPr="00EA1C67" w:rsidRDefault="0037115C" w:rsidP="007A764A">
            <w:pPr>
              <w:spacing w:after="40" w:line="360" w:lineRule="auto"/>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To support safe and appropriate prescribing where required</w:t>
            </w:r>
          </w:p>
        </w:tc>
      </w:tr>
    </w:tbl>
    <w:p w14:paraId="08E9EDAE" w14:textId="77777777" w:rsidR="0037115C" w:rsidRPr="00EA1C67" w:rsidRDefault="0037115C" w:rsidP="0037115C">
      <w:pPr>
        <w:spacing w:after="40" w:line="360" w:lineRule="auto"/>
        <w:jc w:val="both"/>
        <w:rPr>
          <w:rFonts w:ascii="Calibri" w:hAnsi="Calibri" w:cs="Calibri"/>
          <w:b/>
          <w:bCs/>
        </w:rPr>
      </w:pPr>
      <w:r w:rsidRPr="00EA1C67">
        <w:rPr>
          <w:rFonts w:ascii="Calibri" w:hAnsi="Calibri" w:cs="Calibri"/>
          <w:b/>
          <w:bCs/>
        </w:rPr>
        <w:t>3. Why this information is collected</w:t>
      </w:r>
    </w:p>
    <w:p w14:paraId="114FE9BB" w14:textId="77777777" w:rsidR="0037115C" w:rsidRPr="00EA1C67" w:rsidRDefault="0037115C" w:rsidP="0037115C">
      <w:pPr>
        <w:spacing w:after="40" w:line="360" w:lineRule="auto"/>
        <w:jc w:val="both"/>
        <w:rPr>
          <w:rFonts w:ascii="Calibri" w:hAnsi="Calibri" w:cs="Calibri"/>
        </w:rPr>
      </w:pPr>
      <w:r w:rsidRPr="00EA1C67">
        <w:rPr>
          <w:rFonts w:ascii="Calibri" w:hAnsi="Calibri" w:cs="Calibri"/>
        </w:rPr>
        <w:t xml:space="preserve">Personal data is collected to support safe, professional and legally responsible aesthetic practice. The information allows Honey-Love Aesthetics by Michelle to manage appointments, assess treatment suitability, record consent, document treatment decisions, provide aftercare, maintain insurance evidence, and protect both the client and the business if a query, complication or complaint arises. Data protection legislation in the UK controls how personal information is used by organisations and </w:t>
      </w:r>
      <w:proofErr w:type="gramStart"/>
      <w:r w:rsidRPr="00EA1C67">
        <w:rPr>
          <w:rFonts w:ascii="Calibri" w:hAnsi="Calibri" w:cs="Calibri"/>
        </w:rPr>
        <w:t>businesses, and</w:t>
      </w:r>
      <w:proofErr w:type="gramEnd"/>
      <w:r w:rsidRPr="00EA1C67">
        <w:rPr>
          <w:rFonts w:ascii="Calibri" w:hAnsi="Calibri" w:cs="Calibri"/>
        </w:rPr>
        <w:t xml:space="preserve"> is governed by the UK GDPR and the Data Protection Act 2018. </w:t>
      </w:r>
    </w:p>
    <w:p w14:paraId="41C66348" w14:textId="77777777" w:rsidR="0037115C" w:rsidRPr="00EA1C67" w:rsidRDefault="0037115C" w:rsidP="0037115C">
      <w:pPr>
        <w:spacing w:after="40" w:line="360" w:lineRule="auto"/>
        <w:jc w:val="both"/>
        <w:rPr>
          <w:rFonts w:ascii="Calibri" w:hAnsi="Calibri" w:cs="Calibri"/>
          <w:b/>
          <w:bCs/>
        </w:rPr>
      </w:pPr>
      <w:r w:rsidRPr="00EA1C67">
        <w:rPr>
          <w:rFonts w:ascii="Calibri" w:hAnsi="Calibri" w:cs="Calibri"/>
          <w:b/>
          <w:bCs/>
        </w:rPr>
        <w:t>4. How client information is stored</w:t>
      </w:r>
    </w:p>
    <w:p w14:paraId="72DB8B68" w14:textId="77777777" w:rsidR="0037115C" w:rsidRPr="00EA1C67" w:rsidRDefault="0037115C" w:rsidP="0037115C">
      <w:pPr>
        <w:spacing w:after="40" w:line="360" w:lineRule="auto"/>
        <w:jc w:val="both"/>
        <w:rPr>
          <w:rFonts w:ascii="Calibri" w:hAnsi="Calibri" w:cs="Calibri"/>
        </w:rPr>
      </w:pPr>
      <w:r w:rsidRPr="00EA1C67">
        <w:rPr>
          <w:rFonts w:ascii="Calibri" w:hAnsi="Calibri" w:cs="Calibri"/>
        </w:rPr>
        <w:t xml:space="preserve">Client information is stored securely using the </w:t>
      </w:r>
      <w:r w:rsidRPr="00EA1C67">
        <w:rPr>
          <w:rFonts w:ascii="Calibri" w:hAnsi="Calibri" w:cs="Calibri"/>
          <w:b/>
          <w:bCs/>
        </w:rPr>
        <w:t>Faces</w:t>
      </w:r>
      <w:r w:rsidRPr="00EA1C67">
        <w:rPr>
          <w:rFonts w:ascii="Calibri" w:hAnsi="Calibri" w:cs="Calibri"/>
        </w:rPr>
        <w:t xml:space="preserve"> app/system. The system is used to gather client details, complete and store consent forms, forward finance forms where requested, and support prescriber-related processes. Access to client records should only be available through secure login. Client information should not be shared casually, stored on unsecured devices, or discussed with unauthorised people.</w:t>
      </w:r>
    </w:p>
    <w:p w14:paraId="6B801535" w14:textId="77777777" w:rsidR="0037115C" w:rsidRPr="00EA1C67" w:rsidRDefault="0037115C" w:rsidP="0037115C">
      <w:pPr>
        <w:spacing w:after="40" w:line="360" w:lineRule="auto"/>
        <w:jc w:val="both"/>
        <w:rPr>
          <w:rFonts w:ascii="Calibri" w:hAnsi="Calibri" w:cs="Calibri"/>
          <w:b/>
          <w:bCs/>
        </w:rPr>
      </w:pPr>
      <w:r w:rsidRPr="00EA1C67">
        <w:rPr>
          <w:rFonts w:ascii="Calibri" w:hAnsi="Calibri" w:cs="Calibri"/>
          <w:b/>
          <w:bCs/>
        </w:rPr>
        <w:t>5. Confidentiality and sharing of information</w:t>
      </w:r>
    </w:p>
    <w:p w14:paraId="2BBA78FB" w14:textId="77777777" w:rsidR="0037115C" w:rsidRPr="00EA1C67" w:rsidRDefault="0037115C" w:rsidP="0037115C">
      <w:pPr>
        <w:spacing w:after="40" w:line="360" w:lineRule="auto"/>
        <w:jc w:val="both"/>
        <w:rPr>
          <w:rFonts w:ascii="Calibri" w:hAnsi="Calibri" w:cs="Calibri"/>
        </w:rPr>
      </w:pPr>
      <w:r w:rsidRPr="00EA1C67">
        <w:rPr>
          <w:rFonts w:ascii="Calibri" w:hAnsi="Calibri" w:cs="Calibri"/>
        </w:rPr>
        <w:t>Honey-Love Aesthetics by Michelle treats all client information as confidential. Client details are not shared with other people unless this is necessary for the service requested, required for safety, needed for insurance purposes, or required by law. Where a client requests Payl8r finance or requires prescriber involvement, relevant information may be shared only for that specific purpose.</w:t>
      </w:r>
    </w:p>
    <w:p w14:paraId="2BC01039" w14:textId="77777777" w:rsidR="0037115C" w:rsidRPr="00EA1C67" w:rsidRDefault="0037115C" w:rsidP="0037115C">
      <w:pPr>
        <w:spacing w:after="40" w:line="360" w:lineRule="auto"/>
        <w:jc w:val="both"/>
        <w:rPr>
          <w:rFonts w:ascii="Calibri" w:hAnsi="Calibri" w:cs="Calibri"/>
        </w:rPr>
      </w:pPr>
      <w:r w:rsidRPr="00EA1C67">
        <w:rPr>
          <w:rFonts w:ascii="Calibri" w:hAnsi="Calibri" w:cs="Calibri"/>
        </w:rPr>
        <w:t>Marketing photographs are treated separately from treatment records. Before-and-after photographs will only be used for social media, advertising or portfolio purposes where the client has given separate and clear consent.</w:t>
      </w:r>
    </w:p>
    <w:p w14:paraId="023B28C9" w14:textId="77777777" w:rsidR="0037115C" w:rsidRPr="00EA1C67" w:rsidRDefault="0037115C" w:rsidP="0037115C">
      <w:pPr>
        <w:spacing w:after="40" w:line="360" w:lineRule="auto"/>
        <w:jc w:val="both"/>
        <w:rPr>
          <w:rFonts w:ascii="Calibri" w:hAnsi="Calibri" w:cs="Calibri"/>
          <w:b/>
          <w:bCs/>
        </w:rPr>
      </w:pPr>
      <w:r w:rsidRPr="00EA1C67">
        <w:rPr>
          <w:rFonts w:ascii="Calibri" w:hAnsi="Calibri" w:cs="Calibri"/>
          <w:b/>
          <w:bCs/>
        </w:rPr>
        <w:t>6. How long information is kept</w:t>
      </w:r>
    </w:p>
    <w:p w14:paraId="329864D6" w14:textId="77777777" w:rsidR="0037115C" w:rsidRPr="00EA1C67" w:rsidRDefault="0037115C" w:rsidP="0037115C">
      <w:pPr>
        <w:spacing w:after="40" w:line="360" w:lineRule="auto"/>
        <w:jc w:val="both"/>
        <w:rPr>
          <w:rFonts w:ascii="Calibri" w:hAnsi="Calibri" w:cs="Calibri"/>
        </w:rPr>
      </w:pPr>
      <w:r w:rsidRPr="00EA1C67">
        <w:rPr>
          <w:rFonts w:ascii="Calibri" w:hAnsi="Calibri" w:cs="Calibri"/>
        </w:rPr>
        <w:t xml:space="preserve">Treatment records, consultation forms, consent forms and related client information are retained for </w:t>
      </w:r>
      <w:r w:rsidRPr="00EA1C67">
        <w:rPr>
          <w:rFonts w:ascii="Calibri" w:hAnsi="Calibri" w:cs="Calibri"/>
          <w:b/>
          <w:bCs/>
        </w:rPr>
        <w:t>six years</w:t>
      </w:r>
      <w:r w:rsidRPr="00EA1C67">
        <w:rPr>
          <w:rFonts w:ascii="Calibri" w:hAnsi="Calibri" w:cs="Calibri"/>
        </w:rPr>
        <w:t xml:space="preserve"> for insurance and professional record-keeping purposes. This is because the business may need to evidence consultation, consent, treatment details, aftercare advice and product use if an insurance query, complaint, complication or legal issue arises. The </w:t>
      </w:r>
      <w:r w:rsidRPr="00EA1C67">
        <w:rPr>
          <w:rFonts w:ascii="Calibri" w:hAnsi="Calibri" w:cs="Calibri"/>
        </w:rPr>
        <w:lastRenderedPageBreak/>
        <w:t xml:space="preserve">retention period should be reviewed regularly to ensure records are not kept for longer than necessary. The ICO states that organisations should tell people how long personal data will be kept, or explain the criteria used to decide the retention period. </w:t>
      </w:r>
    </w:p>
    <w:p w14:paraId="1B6139F7" w14:textId="77777777" w:rsidR="0037115C" w:rsidRPr="00EA1C67" w:rsidRDefault="0037115C" w:rsidP="0037115C">
      <w:pPr>
        <w:spacing w:after="40" w:line="360" w:lineRule="auto"/>
        <w:jc w:val="both"/>
        <w:rPr>
          <w:rFonts w:ascii="Calibri" w:hAnsi="Calibri" w:cs="Calibri"/>
          <w:b/>
          <w:bCs/>
        </w:rPr>
      </w:pPr>
      <w:r w:rsidRPr="00EA1C67">
        <w:rPr>
          <w:rFonts w:ascii="Calibri" w:hAnsi="Calibri" w:cs="Calibri"/>
          <w:b/>
          <w:bCs/>
        </w:rPr>
        <w:t>7. Client rights</w:t>
      </w:r>
    </w:p>
    <w:p w14:paraId="7BF98980" w14:textId="77777777" w:rsidR="0037115C" w:rsidRPr="00EA1C67" w:rsidRDefault="0037115C" w:rsidP="0037115C">
      <w:pPr>
        <w:spacing w:after="40" w:line="360" w:lineRule="auto"/>
        <w:jc w:val="both"/>
        <w:rPr>
          <w:rFonts w:ascii="Calibri" w:hAnsi="Calibri" w:cs="Calibri"/>
        </w:rPr>
      </w:pPr>
      <w:r w:rsidRPr="00EA1C67">
        <w:rPr>
          <w:rFonts w:ascii="Calibri" w:hAnsi="Calibri" w:cs="Calibri"/>
        </w:rPr>
        <w:t xml:space="preserve">Clients have rights in relation to their personal data. These may include the right to request access to their records, ask for inaccurate information to be corrected, ask about how information is used, withdraw consent where consent is the lawful basis, and complain if they are unhappy about how their data has been handled. The ICO states that privacy notices should include people’s information rights, including the right to withdraw consent where consent is used as the lawful basis. </w:t>
      </w:r>
    </w:p>
    <w:p w14:paraId="2F1CEC5C" w14:textId="77777777" w:rsidR="0037115C" w:rsidRPr="00EA1C67" w:rsidRDefault="0037115C" w:rsidP="0037115C">
      <w:pPr>
        <w:spacing w:after="40" w:line="360" w:lineRule="auto"/>
        <w:jc w:val="both"/>
        <w:rPr>
          <w:rFonts w:ascii="Calibri" w:hAnsi="Calibri" w:cs="Calibri"/>
          <w:b/>
          <w:bCs/>
        </w:rPr>
      </w:pPr>
      <w:r w:rsidRPr="00EA1C67">
        <w:rPr>
          <w:rFonts w:ascii="Calibri" w:hAnsi="Calibri" w:cs="Calibri"/>
          <w:b/>
          <w:bCs/>
        </w:rPr>
        <w:t>8. Client declaration</w:t>
      </w:r>
    </w:p>
    <w:p w14:paraId="03A45ED1" w14:textId="77777777" w:rsidR="0037115C" w:rsidRPr="00EA1C67" w:rsidRDefault="0037115C" w:rsidP="0037115C">
      <w:pPr>
        <w:spacing w:after="40" w:line="360" w:lineRule="auto"/>
        <w:jc w:val="both"/>
        <w:rPr>
          <w:rFonts w:ascii="Calibri" w:hAnsi="Calibri" w:cs="Calibri"/>
        </w:rPr>
      </w:pPr>
      <w:r w:rsidRPr="00EA1C67">
        <w:rPr>
          <w:rFonts w:ascii="Calibri" w:hAnsi="Calibri" w:cs="Calibri"/>
        </w:rPr>
        <w:t>By completing consultation and consent forms, the client confirms that the information provided is accurate to the best of their knowledge. Clients should inform Honey-Love Aesthetics by Michelle of any changes to their medical history, medication, allergies, pregnancy status, previous treatments or other information that may affect treatment safety.</w:t>
      </w:r>
    </w:p>
    <w:p w14:paraId="53D61FC9" w14:textId="77777777" w:rsidR="0037115C" w:rsidRPr="00EA1C67" w:rsidRDefault="0037115C" w:rsidP="0037115C">
      <w:pPr>
        <w:pStyle w:val="Heading2"/>
        <w:rPr>
          <w:rFonts w:ascii="Calibri" w:hAnsi="Calibri" w:cs="Calibri"/>
        </w:rPr>
      </w:pPr>
      <w:bookmarkStart w:id="14" w:name="_Toc230325754"/>
      <w:r w:rsidRPr="00EA1C67">
        <w:rPr>
          <w:rFonts w:ascii="Calibri" w:hAnsi="Calibri" w:cs="Calibri"/>
        </w:rPr>
        <w:t>Appendix B: Annual Knowledge Management Review Checklist</w:t>
      </w:r>
      <w:bookmarkEnd w:id="14"/>
    </w:p>
    <w:p w14:paraId="588E5422" w14:textId="77777777" w:rsidR="0037115C" w:rsidRPr="00EA1C67" w:rsidRDefault="0037115C" w:rsidP="0037115C">
      <w:pPr>
        <w:spacing w:after="40" w:line="360" w:lineRule="auto"/>
        <w:jc w:val="both"/>
        <w:rPr>
          <w:rFonts w:ascii="Calibri" w:hAnsi="Calibri" w:cs="Calibri"/>
          <w:b/>
          <w:bCs/>
        </w:rPr>
      </w:pPr>
      <w:r w:rsidRPr="00EA1C67">
        <w:rPr>
          <w:rFonts w:ascii="Calibri" w:hAnsi="Calibri" w:cs="Calibri"/>
          <w:b/>
          <w:bCs/>
        </w:rPr>
        <w:t>Honey-Love Aesthetics by Michelle: Annual Knowledge Management Review</w:t>
      </w:r>
    </w:p>
    <w:p w14:paraId="673E8EB1" w14:textId="77777777" w:rsidR="0037115C" w:rsidRPr="00EA1C67" w:rsidRDefault="0037115C" w:rsidP="0037115C">
      <w:pPr>
        <w:spacing w:after="40" w:line="360" w:lineRule="auto"/>
        <w:jc w:val="both"/>
        <w:rPr>
          <w:rFonts w:ascii="Calibri" w:hAnsi="Calibri" w:cs="Calibri"/>
        </w:rPr>
      </w:pPr>
      <w:r w:rsidRPr="00EA1C67">
        <w:rPr>
          <w:rFonts w:ascii="Calibri" w:hAnsi="Calibri" w:cs="Calibri"/>
        </w:rPr>
        <w:t>This checklist should be completed once per year to review how effectively Honey-Love Aesthetics by Michelle collects, stores, protects, shares and uses knowledge within the workplace. It supports GDPR awareness, client confidentiality, accurate treatment records, insurance evidence, professional decision-making and continuous improvement.</w:t>
      </w:r>
    </w:p>
    <w:tbl>
      <w:tblPr>
        <w:tblStyle w:val="GridTable4-Accent4"/>
        <w:tblW w:w="0" w:type="auto"/>
        <w:tblLook w:val="04A0" w:firstRow="1" w:lastRow="0" w:firstColumn="1" w:lastColumn="0" w:noHBand="0" w:noVBand="1"/>
      </w:tblPr>
      <w:tblGrid>
        <w:gridCol w:w="509"/>
        <w:gridCol w:w="1779"/>
        <w:gridCol w:w="1251"/>
        <w:gridCol w:w="1557"/>
        <w:gridCol w:w="1809"/>
        <w:gridCol w:w="1269"/>
        <w:gridCol w:w="842"/>
      </w:tblGrid>
      <w:tr w:rsidR="0037115C" w:rsidRPr="00EA1C67" w14:paraId="29432762" w14:textId="77777777" w:rsidTr="007A764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5F4FD2E" w14:textId="77777777" w:rsidR="0037115C" w:rsidRPr="00EA1C67" w:rsidRDefault="0037115C" w:rsidP="007A764A">
            <w:pPr>
              <w:spacing w:after="40"/>
              <w:jc w:val="both"/>
              <w:rPr>
                <w:rFonts w:ascii="Calibri" w:hAnsi="Calibri" w:cs="Calibri"/>
                <w:color w:val="auto"/>
                <w:sz w:val="20"/>
              </w:rPr>
            </w:pPr>
            <w:r w:rsidRPr="00EA1C67">
              <w:rPr>
                <w:rFonts w:ascii="Calibri" w:hAnsi="Calibri" w:cs="Calibri"/>
                <w:color w:val="auto"/>
                <w:sz w:val="20"/>
              </w:rPr>
              <w:t>No.</w:t>
            </w:r>
          </w:p>
        </w:tc>
        <w:tc>
          <w:tcPr>
            <w:tcW w:w="0" w:type="auto"/>
            <w:hideMark/>
          </w:tcPr>
          <w:p w14:paraId="02A1C899" w14:textId="77777777" w:rsidR="0037115C" w:rsidRPr="00EA1C67" w:rsidRDefault="0037115C" w:rsidP="007A764A">
            <w:pPr>
              <w:spacing w:after="40"/>
              <w:jc w:val="both"/>
              <w:cnfStyle w:val="100000000000" w:firstRow="1" w:lastRow="0" w:firstColumn="0" w:lastColumn="0" w:oddVBand="0" w:evenVBand="0" w:oddHBand="0" w:evenHBand="0" w:firstRowFirstColumn="0" w:firstRowLastColumn="0" w:lastRowFirstColumn="0" w:lastRowLastColumn="0"/>
              <w:rPr>
                <w:rFonts w:ascii="Calibri" w:hAnsi="Calibri" w:cs="Calibri"/>
                <w:color w:val="auto"/>
                <w:sz w:val="20"/>
              </w:rPr>
            </w:pPr>
            <w:r w:rsidRPr="00EA1C67">
              <w:rPr>
                <w:rFonts w:ascii="Calibri" w:hAnsi="Calibri" w:cs="Calibri"/>
                <w:color w:val="auto"/>
                <w:sz w:val="20"/>
              </w:rPr>
              <w:t>Review question</w:t>
            </w:r>
          </w:p>
        </w:tc>
        <w:tc>
          <w:tcPr>
            <w:tcW w:w="0" w:type="auto"/>
            <w:hideMark/>
          </w:tcPr>
          <w:p w14:paraId="139944DD" w14:textId="77777777" w:rsidR="0037115C" w:rsidRPr="00EA1C67" w:rsidRDefault="0037115C" w:rsidP="007A764A">
            <w:pPr>
              <w:spacing w:after="40"/>
              <w:jc w:val="both"/>
              <w:cnfStyle w:val="100000000000" w:firstRow="1" w:lastRow="0" w:firstColumn="0" w:lastColumn="0" w:oddVBand="0" w:evenVBand="0" w:oddHBand="0" w:evenHBand="0" w:firstRowFirstColumn="0" w:firstRowLastColumn="0" w:lastRowFirstColumn="0" w:lastRowLastColumn="0"/>
              <w:rPr>
                <w:rFonts w:ascii="Calibri" w:hAnsi="Calibri" w:cs="Calibri"/>
                <w:color w:val="auto"/>
                <w:sz w:val="20"/>
              </w:rPr>
            </w:pPr>
            <w:r w:rsidRPr="00EA1C67">
              <w:rPr>
                <w:rFonts w:ascii="Calibri" w:hAnsi="Calibri" w:cs="Calibri"/>
                <w:color w:val="auto"/>
                <w:sz w:val="20"/>
              </w:rPr>
              <w:t>Yes/No/N/A</w:t>
            </w:r>
          </w:p>
        </w:tc>
        <w:tc>
          <w:tcPr>
            <w:tcW w:w="0" w:type="auto"/>
            <w:hideMark/>
          </w:tcPr>
          <w:p w14:paraId="79F39D5D" w14:textId="77777777" w:rsidR="0037115C" w:rsidRPr="00EA1C67" w:rsidRDefault="0037115C" w:rsidP="007A764A">
            <w:pPr>
              <w:spacing w:after="40"/>
              <w:jc w:val="both"/>
              <w:cnfStyle w:val="100000000000" w:firstRow="1" w:lastRow="0" w:firstColumn="0" w:lastColumn="0" w:oddVBand="0" w:evenVBand="0" w:oddHBand="0" w:evenHBand="0" w:firstRowFirstColumn="0" w:firstRowLastColumn="0" w:lastRowFirstColumn="0" w:lastRowLastColumn="0"/>
              <w:rPr>
                <w:rFonts w:ascii="Calibri" w:hAnsi="Calibri" w:cs="Calibri"/>
                <w:color w:val="auto"/>
                <w:sz w:val="20"/>
              </w:rPr>
            </w:pPr>
            <w:r w:rsidRPr="00EA1C67">
              <w:rPr>
                <w:rFonts w:ascii="Calibri" w:hAnsi="Calibri" w:cs="Calibri"/>
                <w:color w:val="auto"/>
                <w:sz w:val="20"/>
              </w:rPr>
              <w:t>Evidence checked</w:t>
            </w:r>
          </w:p>
        </w:tc>
        <w:tc>
          <w:tcPr>
            <w:tcW w:w="0" w:type="auto"/>
            <w:hideMark/>
          </w:tcPr>
          <w:p w14:paraId="11E8E9C8" w14:textId="77777777" w:rsidR="0037115C" w:rsidRPr="00EA1C67" w:rsidRDefault="0037115C" w:rsidP="007A764A">
            <w:pPr>
              <w:spacing w:after="40"/>
              <w:jc w:val="both"/>
              <w:cnfStyle w:val="100000000000" w:firstRow="1" w:lastRow="0" w:firstColumn="0" w:lastColumn="0" w:oddVBand="0" w:evenVBand="0" w:oddHBand="0" w:evenHBand="0" w:firstRowFirstColumn="0" w:firstRowLastColumn="0" w:lastRowFirstColumn="0" w:lastRowLastColumn="0"/>
              <w:rPr>
                <w:rFonts w:ascii="Calibri" w:hAnsi="Calibri" w:cs="Calibri"/>
                <w:color w:val="auto"/>
                <w:sz w:val="20"/>
              </w:rPr>
            </w:pPr>
            <w:r w:rsidRPr="00EA1C67">
              <w:rPr>
                <w:rFonts w:ascii="Calibri" w:hAnsi="Calibri" w:cs="Calibri"/>
                <w:color w:val="auto"/>
                <w:sz w:val="20"/>
              </w:rPr>
              <w:t>Action required</w:t>
            </w:r>
          </w:p>
        </w:tc>
        <w:tc>
          <w:tcPr>
            <w:tcW w:w="0" w:type="auto"/>
            <w:hideMark/>
          </w:tcPr>
          <w:p w14:paraId="2F5D4DD6" w14:textId="77777777" w:rsidR="0037115C" w:rsidRPr="00EA1C67" w:rsidRDefault="0037115C" w:rsidP="007A764A">
            <w:pPr>
              <w:spacing w:after="40"/>
              <w:jc w:val="both"/>
              <w:cnfStyle w:val="100000000000" w:firstRow="1" w:lastRow="0" w:firstColumn="0" w:lastColumn="0" w:oddVBand="0" w:evenVBand="0" w:oddHBand="0" w:evenHBand="0" w:firstRowFirstColumn="0" w:firstRowLastColumn="0" w:lastRowFirstColumn="0" w:lastRowLastColumn="0"/>
              <w:rPr>
                <w:rFonts w:ascii="Calibri" w:hAnsi="Calibri" w:cs="Calibri"/>
                <w:color w:val="auto"/>
                <w:sz w:val="20"/>
              </w:rPr>
            </w:pPr>
            <w:r w:rsidRPr="00EA1C67">
              <w:rPr>
                <w:rFonts w:ascii="Calibri" w:hAnsi="Calibri" w:cs="Calibri"/>
                <w:color w:val="auto"/>
                <w:sz w:val="20"/>
              </w:rPr>
              <w:t>Responsible person</w:t>
            </w:r>
          </w:p>
        </w:tc>
        <w:tc>
          <w:tcPr>
            <w:tcW w:w="0" w:type="auto"/>
            <w:hideMark/>
          </w:tcPr>
          <w:p w14:paraId="297FDCB7" w14:textId="77777777" w:rsidR="0037115C" w:rsidRPr="00EA1C67" w:rsidRDefault="0037115C" w:rsidP="007A764A">
            <w:pPr>
              <w:spacing w:after="40"/>
              <w:jc w:val="both"/>
              <w:cnfStyle w:val="100000000000" w:firstRow="1" w:lastRow="0" w:firstColumn="0" w:lastColumn="0" w:oddVBand="0" w:evenVBand="0" w:oddHBand="0" w:evenHBand="0" w:firstRowFirstColumn="0" w:firstRowLastColumn="0" w:lastRowFirstColumn="0" w:lastRowLastColumn="0"/>
              <w:rPr>
                <w:rFonts w:ascii="Calibri" w:hAnsi="Calibri" w:cs="Calibri"/>
                <w:color w:val="auto"/>
                <w:sz w:val="20"/>
              </w:rPr>
            </w:pPr>
            <w:r w:rsidRPr="00EA1C67">
              <w:rPr>
                <w:rFonts w:ascii="Calibri" w:hAnsi="Calibri" w:cs="Calibri"/>
                <w:color w:val="auto"/>
                <w:sz w:val="20"/>
              </w:rPr>
              <w:t>Review date</w:t>
            </w:r>
          </w:p>
        </w:tc>
      </w:tr>
      <w:tr w:rsidR="0037115C" w:rsidRPr="00EA1C67" w14:paraId="1B498B84" w14:textId="77777777" w:rsidTr="007A76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04A9859" w14:textId="77777777" w:rsidR="0037115C" w:rsidRPr="00EA1C67" w:rsidRDefault="0037115C" w:rsidP="007A764A">
            <w:pPr>
              <w:spacing w:after="40"/>
              <w:jc w:val="both"/>
              <w:rPr>
                <w:rFonts w:ascii="Calibri" w:hAnsi="Calibri" w:cs="Calibri"/>
                <w:sz w:val="20"/>
              </w:rPr>
            </w:pPr>
            <w:r w:rsidRPr="00EA1C67">
              <w:rPr>
                <w:rFonts w:ascii="Calibri" w:hAnsi="Calibri" w:cs="Calibri"/>
                <w:sz w:val="20"/>
              </w:rPr>
              <w:t>1</w:t>
            </w:r>
          </w:p>
        </w:tc>
        <w:tc>
          <w:tcPr>
            <w:tcW w:w="0" w:type="auto"/>
            <w:hideMark/>
          </w:tcPr>
          <w:p w14:paraId="18C33539"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Are all client treatment records complete in Faces?</w:t>
            </w:r>
          </w:p>
        </w:tc>
        <w:tc>
          <w:tcPr>
            <w:tcW w:w="0" w:type="auto"/>
            <w:hideMark/>
          </w:tcPr>
          <w:p w14:paraId="13DD899A"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p>
        </w:tc>
        <w:tc>
          <w:tcPr>
            <w:tcW w:w="0" w:type="auto"/>
            <w:hideMark/>
          </w:tcPr>
          <w:p w14:paraId="34F48DC5"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Sample of client records checked in Faces</w:t>
            </w:r>
          </w:p>
        </w:tc>
        <w:tc>
          <w:tcPr>
            <w:tcW w:w="0" w:type="auto"/>
            <w:hideMark/>
          </w:tcPr>
          <w:p w14:paraId="24EF9A95"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Update incomplete records and remind users of record standards</w:t>
            </w:r>
          </w:p>
        </w:tc>
        <w:tc>
          <w:tcPr>
            <w:tcW w:w="0" w:type="auto"/>
            <w:hideMark/>
          </w:tcPr>
          <w:p w14:paraId="1709FBB5"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Michelle / Business owner</w:t>
            </w:r>
          </w:p>
        </w:tc>
        <w:tc>
          <w:tcPr>
            <w:tcW w:w="0" w:type="auto"/>
            <w:hideMark/>
          </w:tcPr>
          <w:p w14:paraId="7509FD5B"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p>
        </w:tc>
      </w:tr>
      <w:tr w:rsidR="0037115C" w:rsidRPr="00EA1C67" w14:paraId="5D5E3581" w14:textId="77777777" w:rsidTr="007A764A">
        <w:tc>
          <w:tcPr>
            <w:cnfStyle w:val="001000000000" w:firstRow="0" w:lastRow="0" w:firstColumn="1" w:lastColumn="0" w:oddVBand="0" w:evenVBand="0" w:oddHBand="0" w:evenHBand="0" w:firstRowFirstColumn="0" w:firstRowLastColumn="0" w:lastRowFirstColumn="0" w:lastRowLastColumn="0"/>
            <w:tcW w:w="0" w:type="auto"/>
            <w:hideMark/>
          </w:tcPr>
          <w:p w14:paraId="6F79F961" w14:textId="77777777" w:rsidR="0037115C" w:rsidRPr="00EA1C67" w:rsidRDefault="0037115C" w:rsidP="007A764A">
            <w:pPr>
              <w:spacing w:after="40"/>
              <w:jc w:val="both"/>
              <w:rPr>
                <w:rFonts w:ascii="Calibri" w:hAnsi="Calibri" w:cs="Calibri"/>
                <w:sz w:val="20"/>
              </w:rPr>
            </w:pPr>
            <w:r w:rsidRPr="00EA1C67">
              <w:rPr>
                <w:rFonts w:ascii="Calibri" w:hAnsi="Calibri" w:cs="Calibri"/>
                <w:sz w:val="20"/>
              </w:rPr>
              <w:t>2</w:t>
            </w:r>
          </w:p>
        </w:tc>
        <w:tc>
          <w:tcPr>
            <w:tcW w:w="0" w:type="auto"/>
            <w:hideMark/>
          </w:tcPr>
          <w:p w14:paraId="3560E172"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Are consent forms completed before every treatment?</w:t>
            </w:r>
          </w:p>
        </w:tc>
        <w:tc>
          <w:tcPr>
            <w:tcW w:w="0" w:type="auto"/>
            <w:hideMark/>
          </w:tcPr>
          <w:p w14:paraId="60B598C5"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p>
        </w:tc>
        <w:tc>
          <w:tcPr>
            <w:tcW w:w="0" w:type="auto"/>
            <w:hideMark/>
          </w:tcPr>
          <w:p w14:paraId="31B2ACE9"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Consent forms reviewed for fillers, Botox, B12, fat dissolving and contouring packages</w:t>
            </w:r>
          </w:p>
        </w:tc>
        <w:tc>
          <w:tcPr>
            <w:tcW w:w="0" w:type="auto"/>
            <w:hideMark/>
          </w:tcPr>
          <w:p w14:paraId="2EA03D57"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Ensure no treatment is carried out without completed consent</w:t>
            </w:r>
          </w:p>
        </w:tc>
        <w:tc>
          <w:tcPr>
            <w:tcW w:w="0" w:type="auto"/>
            <w:hideMark/>
          </w:tcPr>
          <w:p w14:paraId="545DEC26"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Michelle / Practitioner</w:t>
            </w:r>
          </w:p>
        </w:tc>
        <w:tc>
          <w:tcPr>
            <w:tcW w:w="0" w:type="auto"/>
            <w:hideMark/>
          </w:tcPr>
          <w:p w14:paraId="32395AD4"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p>
        </w:tc>
      </w:tr>
      <w:tr w:rsidR="0037115C" w:rsidRPr="00EA1C67" w14:paraId="1226083B" w14:textId="77777777" w:rsidTr="007A76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2378270" w14:textId="77777777" w:rsidR="0037115C" w:rsidRPr="00EA1C67" w:rsidRDefault="0037115C" w:rsidP="007A764A">
            <w:pPr>
              <w:spacing w:after="40"/>
              <w:jc w:val="both"/>
              <w:rPr>
                <w:rFonts w:ascii="Calibri" w:hAnsi="Calibri" w:cs="Calibri"/>
                <w:sz w:val="20"/>
              </w:rPr>
            </w:pPr>
            <w:r w:rsidRPr="00EA1C67">
              <w:rPr>
                <w:rFonts w:ascii="Calibri" w:hAnsi="Calibri" w:cs="Calibri"/>
                <w:sz w:val="20"/>
              </w:rPr>
              <w:t>3</w:t>
            </w:r>
          </w:p>
        </w:tc>
        <w:tc>
          <w:tcPr>
            <w:tcW w:w="0" w:type="auto"/>
            <w:hideMark/>
          </w:tcPr>
          <w:p w14:paraId="2693BDBC"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 xml:space="preserve">Are medical history and contraindication </w:t>
            </w:r>
            <w:r w:rsidRPr="00EA1C67">
              <w:rPr>
                <w:rFonts w:ascii="Calibri" w:hAnsi="Calibri" w:cs="Calibri"/>
                <w:sz w:val="20"/>
              </w:rPr>
              <w:lastRenderedPageBreak/>
              <w:t>checks completed before treatment?</w:t>
            </w:r>
          </w:p>
        </w:tc>
        <w:tc>
          <w:tcPr>
            <w:tcW w:w="0" w:type="auto"/>
            <w:hideMark/>
          </w:tcPr>
          <w:p w14:paraId="0CE28DE0"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p>
        </w:tc>
        <w:tc>
          <w:tcPr>
            <w:tcW w:w="0" w:type="auto"/>
            <w:hideMark/>
          </w:tcPr>
          <w:p w14:paraId="6A6973CF"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 xml:space="preserve">Consultation records and medical screening </w:t>
            </w:r>
            <w:r w:rsidRPr="00EA1C67">
              <w:rPr>
                <w:rFonts w:ascii="Calibri" w:hAnsi="Calibri" w:cs="Calibri"/>
                <w:sz w:val="20"/>
              </w:rPr>
              <w:lastRenderedPageBreak/>
              <w:t>questions checked</w:t>
            </w:r>
          </w:p>
        </w:tc>
        <w:tc>
          <w:tcPr>
            <w:tcW w:w="0" w:type="auto"/>
            <w:hideMark/>
          </w:tcPr>
          <w:p w14:paraId="6A8CB732"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lastRenderedPageBreak/>
              <w:t>Update consultation form if required</w:t>
            </w:r>
          </w:p>
        </w:tc>
        <w:tc>
          <w:tcPr>
            <w:tcW w:w="0" w:type="auto"/>
            <w:hideMark/>
          </w:tcPr>
          <w:p w14:paraId="335CE1B1"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Michelle / Practitioner</w:t>
            </w:r>
          </w:p>
        </w:tc>
        <w:tc>
          <w:tcPr>
            <w:tcW w:w="0" w:type="auto"/>
            <w:hideMark/>
          </w:tcPr>
          <w:p w14:paraId="0D4B05B1"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p>
        </w:tc>
      </w:tr>
      <w:tr w:rsidR="0037115C" w:rsidRPr="00EA1C67" w14:paraId="1A299D31" w14:textId="77777777" w:rsidTr="007A764A">
        <w:tc>
          <w:tcPr>
            <w:cnfStyle w:val="001000000000" w:firstRow="0" w:lastRow="0" w:firstColumn="1" w:lastColumn="0" w:oddVBand="0" w:evenVBand="0" w:oddHBand="0" w:evenHBand="0" w:firstRowFirstColumn="0" w:firstRowLastColumn="0" w:lastRowFirstColumn="0" w:lastRowLastColumn="0"/>
            <w:tcW w:w="0" w:type="auto"/>
            <w:hideMark/>
          </w:tcPr>
          <w:p w14:paraId="58168A5C" w14:textId="77777777" w:rsidR="0037115C" w:rsidRPr="00EA1C67" w:rsidRDefault="0037115C" w:rsidP="007A764A">
            <w:pPr>
              <w:spacing w:after="40"/>
              <w:jc w:val="both"/>
              <w:rPr>
                <w:rFonts w:ascii="Calibri" w:hAnsi="Calibri" w:cs="Calibri"/>
                <w:sz w:val="20"/>
              </w:rPr>
            </w:pPr>
            <w:r w:rsidRPr="00EA1C67">
              <w:rPr>
                <w:rFonts w:ascii="Calibri" w:hAnsi="Calibri" w:cs="Calibri"/>
                <w:sz w:val="20"/>
              </w:rPr>
              <w:t>4</w:t>
            </w:r>
          </w:p>
        </w:tc>
        <w:tc>
          <w:tcPr>
            <w:tcW w:w="0" w:type="auto"/>
            <w:hideMark/>
          </w:tcPr>
          <w:p w14:paraId="73C6DDD6"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Are photography permissions separate from treatment consent?</w:t>
            </w:r>
          </w:p>
        </w:tc>
        <w:tc>
          <w:tcPr>
            <w:tcW w:w="0" w:type="auto"/>
            <w:hideMark/>
          </w:tcPr>
          <w:p w14:paraId="2F394298"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p>
        </w:tc>
        <w:tc>
          <w:tcPr>
            <w:tcW w:w="0" w:type="auto"/>
            <w:hideMark/>
          </w:tcPr>
          <w:p w14:paraId="42BC91C4"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Photo consent section or separate form checked</w:t>
            </w:r>
          </w:p>
        </w:tc>
        <w:tc>
          <w:tcPr>
            <w:tcW w:w="0" w:type="auto"/>
            <w:hideMark/>
          </w:tcPr>
          <w:p w14:paraId="5730F028"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Ensure marketing image consent is clearly separate from clinical consent</w:t>
            </w:r>
          </w:p>
        </w:tc>
        <w:tc>
          <w:tcPr>
            <w:tcW w:w="0" w:type="auto"/>
            <w:hideMark/>
          </w:tcPr>
          <w:p w14:paraId="0B7A1436"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Michelle / Business owner</w:t>
            </w:r>
          </w:p>
        </w:tc>
        <w:tc>
          <w:tcPr>
            <w:tcW w:w="0" w:type="auto"/>
            <w:hideMark/>
          </w:tcPr>
          <w:p w14:paraId="656621C0"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p>
        </w:tc>
      </w:tr>
      <w:tr w:rsidR="0037115C" w:rsidRPr="00EA1C67" w14:paraId="5748A98D" w14:textId="77777777" w:rsidTr="007A76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801D7E" w14:textId="77777777" w:rsidR="0037115C" w:rsidRPr="00EA1C67" w:rsidRDefault="0037115C" w:rsidP="007A764A">
            <w:pPr>
              <w:spacing w:after="40"/>
              <w:jc w:val="both"/>
              <w:rPr>
                <w:rFonts w:ascii="Calibri" w:hAnsi="Calibri" w:cs="Calibri"/>
                <w:sz w:val="20"/>
              </w:rPr>
            </w:pPr>
            <w:r w:rsidRPr="00EA1C67">
              <w:rPr>
                <w:rFonts w:ascii="Calibri" w:hAnsi="Calibri" w:cs="Calibri"/>
                <w:sz w:val="20"/>
              </w:rPr>
              <w:t>5</w:t>
            </w:r>
          </w:p>
        </w:tc>
        <w:tc>
          <w:tcPr>
            <w:tcW w:w="0" w:type="auto"/>
            <w:hideMark/>
          </w:tcPr>
          <w:p w14:paraId="52F8498F"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Has the client privacy notice been reviewed and updated?</w:t>
            </w:r>
          </w:p>
        </w:tc>
        <w:tc>
          <w:tcPr>
            <w:tcW w:w="0" w:type="auto"/>
            <w:hideMark/>
          </w:tcPr>
          <w:p w14:paraId="1A2AC42D"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p>
        </w:tc>
        <w:tc>
          <w:tcPr>
            <w:tcW w:w="0" w:type="auto"/>
            <w:hideMark/>
          </w:tcPr>
          <w:p w14:paraId="75B4A1ED"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Privacy notice checked against current business practice</w:t>
            </w:r>
          </w:p>
        </w:tc>
        <w:tc>
          <w:tcPr>
            <w:tcW w:w="0" w:type="auto"/>
            <w:hideMark/>
          </w:tcPr>
          <w:p w14:paraId="2DB4E80D"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Update privacy notice if data collection, systems or sharing processes have changed</w:t>
            </w:r>
          </w:p>
        </w:tc>
        <w:tc>
          <w:tcPr>
            <w:tcW w:w="0" w:type="auto"/>
            <w:hideMark/>
          </w:tcPr>
          <w:p w14:paraId="10370461"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Michelle / Business owner</w:t>
            </w:r>
          </w:p>
        </w:tc>
        <w:tc>
          <w:tcPr>
            <w:tcW w:w="0" w:type="auto"/>
            <w:hideMark/>
          </w:tcPr>
          <w:p w14:paraId="29AFC5EC"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p>
        </w:tc>
      </w:tr>
      <w:tr w:rsidR="0037115C" w:rsidRPr="00EA1C67" w14:paraId="5DEC5092" w14:textId="77777777" w:rsidTr="007A764A">
        <w:tc>
          <w:tcPr>
            <w:cnfStyle w:val="001000000000" w:firstRow="0" w:lastRow="0" w:firstColumn="1" w:lastColumn="0" w:oddVBand="0" w:evenVBand="0" w:oddHBand="0" w:evenHBand="0" w:firstRowFirstColumn="0" w:firstRowLastColumn="0" w:lastRowFirstColumn="0" w:lastRowLastColumn="0"/>
            <w:tcW w:w="0" w:type="auto"/>
            <w:hideMark/>
          </w:tcPr>
          <w:p w14:paraId="199D769E" w14:textId="77777777" w:rsidR="0037115C" w:rsidRPr="00EA1C67" w:rsidRDefault="0037115C" w:rsidP="007A764A">
            <w:pPr>
              <w:spacing w:after="40"/>
              <w:jc w:val="both"/>
              <w:rPr>
                <w:rFonts w:ascii="Calibri" w:hAnsi="Calibri" w:cs="Calibri"/>
                <w:sz w:val="20"/>
              </w:rPr>
            </w:pPr>
            <w:r w:rsidRPr="00EA1C67">
              <w:rPr>
                <w:rFonts w:ascii="Calibri" w:hAnsi="Calibri" w:cs="Calibri"/>
                <w:sz w:val="20"/>
              </w:rPr>
              <w:t>6</w:t>
            </w:r>
          </w:p>
        </w:tc>
        <w:tc>
          <w:tcPr>
            <w:tcW w:w="0" w:type="auto"/>
            <w:hideMark/>
          </w:tcPr>
          <w:p w14:paraId="48DC508F"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Are retained records still within the six-year insurance retention period?</w:t>
            </w:r>
          </w:p>
        </w:tc>
        <w:tc>
          <w:tcPr>
            <w:tcW w:w="0" w:type="auto"/>
            <w:hideMark/>
          </w:tcPr>
          <w:p w14:paraId="470B4A87"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p>
        </w:tc>
        <w:tc>
          <w:tcPr>
            <w:tcW w:w="0" w:type="auto"/>
            <w:hideMark/>
          </w:tcPr>
          <w:p w14:paraId="1736E8F3"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Older client records reviewed</w:t>
            </w:r>
          </w:p>
        </w:tc>
        <w:tc>
          <w:tcPr>
            <w:tcW w:w="0" w:type="auto"/>
            <w:hideMark/>
          </w:tcPr>
          <w:p w14:paraId="309365D4"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Keep records required for insurance; review records beyond required retention period</w:t>
            </w:r>
          </w:p>
        </w:tc>
        <w:tc>
          <w:tcPr>
            <w:tcW w:w="0" w:type="auto"/>
            <w:hideMark/>
          </w:tcPr>
          <w:p w14:paraId="21B64EA8"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Michelle / Business owner</w:t>
            </w:r>
          </w:p>
        </w:tc>
        <w:tc>
          <w:tcPr>
            <w:tcW w:w="0" w:type="auto"/>
            <w:hideMark/>
          </w:tcPr>
          <w:p w14:paraId="69F4584C"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p>
        </w:tc>
      </w:tr>
      <w:tr w:rsidR="0037115C" w:rsidRPr="00EA1C67" w14:paraId="42095C90" w14:textId="77777777" w:rsidTr="007A76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DDBDFA2" w14:textId="77777777" w:rsidR="0037115C" w:rsidRPr="00EA1C67" w:rsidRDefault="0037115C" w:rsidP="007A764A">
            <w:pPr>
              <w:spacing w:after="40"/>
              <w:jc w:val="both"/>
              <w:rPr>
                <w:rFonts w:ascii="Calibri" w:hAnsi="Calibri" w:cs="Calibri"/>
                <w:sz w:val="20"/>
              </w:rPr>
            </w:pPr>
            <w:r w:rsidRPr="00EA1C67">
              <w:rPr>
                <w:rFonts w:ascii="Calibri" w:hAnsi="Calibri" w:cs="Calibri"/>
                <w:sz w:val="20"/>
              </w:rPr>
              <w:t>7</w:t>
            </w:r>
          </w:p>
        </w:tc>
        <w:tc>
          <w:tcPr>
            <w:tcW w:w="0" w:type="auto"/>
            <w:hideMark/>
          </w:tcPr>
          <w:p w14:paraId="071F2797"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Are aftercare templates up to date for each treatment?</w:t>
            </w:r>
          </w:p>
        </w:tc>
        <w:tc>
          <w:tcPr>
            <w:tcW w:w="0" w:type="auto"/>
            <w:hideMark/>
          </w:tcPr>
          <w:p w14:paraId="513E883F"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p>
        </w:tc>
        <w:tc>
          <w:tcPr>
            <w:tcW w:w="0" w:type="auto"/>
            <w:hideMark/>
          </w:tcPr>
          <w:p w14:paraId="66FDC229"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Aftercare templates for filler, Botox, B12, fat dissolving and contouring checked</w:t>
            </w:r>
          </w:p>
        </w:tc>
        <w:tc>
          <w:tcPr>
            <w:tcW w:w="0" w:type="auto"/>
            <w:hideMark/>
          </w:tcPr>
          <w:p w14:paraId="300E809A"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Update aftercare advice where training, products or procedures change</w:t>
            </w:r>
          </w:p>
        </w:tc>
        <w:tc>
          <w:tcPr>
            <w:tcW w:w="0" w:type="auto"/>
            <w:hideMark/>
          </w:tcPr>
          <w:p w14:paraId="37686864"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Michelle / Practitioner</w:t>
            </w:r>
          </w:p>
        </w:tc>
        <w:tc>
          <w:tcPr>
            <w:tcW w:w="0" w:type="auto"/>
            <w:hideMark/>
          </w:tcPr>
          <w:p w14:paraId="3B799301"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p>
        </w:tc>
      </w:tr>
      <w:tr w:rsidR="0037115C" w:rsidRPr="00EA1C67" w14:paraId="5D9C2F1C" w14:textId="77777777" w:rsidTr="007A764A">
        <w:tc>
          <w:tcPr>
            <w:cnfStyle w:val="001000000000" w:firstRow="0" w:lastRow="0" w:firstColumn="1" w:lastColumn="0" w:oddVBand="0" w:evenVBand="0" w:oddHBand="0" w:evenHBand="0" w:firstRowFirstColumn="0" w:firstRowLastColumn="0" w:lastRowFirstColumn="0" w:lastRowLastColumn="0"/>
            <w:tcW w:w="0" w:type="auto"/>
            <w:hideMark/>
          </w:tcPr>
          <w:p w14:paraId="7C30D9EC" w14:textId="77777777" w:rsidR="0037115C" w:rsidRPr="00EA1C67" w:rsidRDefault="0037115C" w:rsidP="007A764A">
            <w:pPr>
              <w:spacing w:after="40"/>
              <w:jc w:val="both"/>
              <w:rPr>
                <w:rFonts w:ascii="Calibri" w:hAnsi="Calibri" w:cs="Calibri"/>
                <w:sz w:val="20"/>
              </w:rPr>
            </w:pPr>
            <w:r w:rsidRPr="00EA1C67">
              <w:rPr>
                <w:rFonts w:ascii="Calibri" w:hAnsi="Calibri" w:cs="Calibri"/>
                <w:sz w:val="20"/>
              </w:rPr>
              <w:t>8</w:t>
            </w:r>
          </w:p>
        </w:tc>
        <w:tc>
          <w:tcPr>
            <w:tcW w:w="0" w:type="auto"/>
            <w:hideMark/>
          </w:tcPr>
          <w:p w14:paraId="79253C3A"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Have any confidentiality incidents occurred during the year?</w:t>
            </w:r>
          </w:p>
        </w:tc>
        <w:tc>
          <w:tcPr>
            <w:tcW w:w="0" w:type="auto"/>
            <w:hideMark/>
          </w:tcPr>
          <w:p w14:paraId="248462E6"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p>
        </w:tc>
        <w:tc>
          <w:tcPr>
            <w:tcW w:w="0" w:type="auto"/>
            <w:hideMark/>
          </w:tcPr>
          <w:p w14:paraId="05D2E5B4"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Incident log, messages, complaints or informal concerns reviewed</w:t>
            </w:r>
          </w:p>
        </w:tc>
        <w:tc>
          <w:tcPr>
            <w:tcW w:w="0" w:type="auto"/>
            <w:hideMark/>
          </w:tcPr>
          <w:p w14:paraId="06C2DD32"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Record incident, identify cause and improve controls</w:t>
            </w:r>
          </w:p>
        </w:tc>
        <w:tc>
          <w:tcPr>
            <w:tcW w:w="0" w:type="auto"/>
            <w:hideMark/>
          </w:tcPr>
          <w:p w14:paraId="7CAC807B"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Michelle / Business owner</w:t>
            </w:r>
          </w:p>
        </w:tc>
        <w:tc>
          <w:tcPr>
            <w:tcW w:w="0" w:type="auto"/>
            <w:hideMark/>
          </w:tcPr>
          <w:p w14:paraId="00C9ED2B"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p>
        </w:tc>
      </w:tr>
      <w:tr w:rsidR="0037115C" w:rsidRPr="00EA1C67" w14:paraId="46373A37" w14:textId="77777777" w:rsidTr="007A76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C8309F" w14:textId="77777777" w:rsidR="0037115C" w:rsidRPr="00EA1C67" w:rsidRDefault="0037115C" w:rsidP="007A764A">
            <w:pPr>
              <w:spacing w:after="40"/>
              <w:jc w:val="both"/>
              <w:rPr>
                <w:rFonts w:ascii="Calibri" w:hAnsi="Calibri" w:cs="Calibri"/>
                <w:sz w:val="20"/>
              </w:rPr>
            </w:pPr>
            <w:r w:rsidRPr="00EA1C67">
              <w:rPr>
                <w:rFonts w:ascii="Calibri" w:hAnsi="Calibri" w:cs="Calibri"/>
                <w:sz w:val="20"/>
              </w:rPr>
              <w:t>9</w:t>
            </w:r>
          </w:p>
        </w:tc>
        <w:tc>
          <w:tcPr>
            <w:tcW w:w="0" w:type="auto"/>
            <w:hideMark/>
          </w:tcPr>
          <w:p w14:paraId="59FE14D5"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Have salon colleagues been reminded of confidentiality expectations?</w:t>
            </w:r>
          </w:p>
        </w:tc>
        <w:tc>
          <w:tcPr>
            <w:tcW w:w="0" w:type="auto"/>
            <w:hideMark/>
          </w:tcPr>
          <w:p w14:paraId="03721DC1"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p>
        </w:tc>
        <w:tc>
          <w:tcPr>
            <w:tcW w:w="0" w:type="auto"/>
            <w:hideMark/>
          </w:tcPr>
          <w:p w14:paraId="4BEC1794"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Team discussion notes or reminder message checked</w:t>
            </w:r>
          </w:p>
        </w:tc>
        <w:tc>
          <w:tcPr>
            <w:tcW w:w="0" w:type="auto"/>
            <w:hideMark/>
          </w:tcPr>
          <w:p w14:paraId="3B5177E3"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Provide annual confidentiality reminder to anyone working in the salon</w:t>
            </w:r>
          </w:p>
        </w:tc>
        <w:tc>
          <w:tcPr>
            <w:tcW w:w="0" w:type="auto"/>
            <w:hideMark/>
          </w:tcPr>
          <w:p w14:paraId="3F710141"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Michelle / Business owner</w:t>
            </w:r>
          </w:p>
        </w:tc>
        <w:tc>
          <w:tcPr>
            <w:tcW w:w="0" w:type="auto"/>
            <w:hideMark/>
          </w:tcPr>
          <w:p w14:paraId="6D49E085"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p>
        </w:tc>
      </w:tr>
      <w:tr w:rsidR="0037115C" w:rsidRPr="00EA1C67" w14:paraId="5DFEDAAC" w14:textId="77777777" w:rsidTr="007A764A">
        <w:tc>
          <w:tcPr>
            <w:cnfStyle w:val="001000000000" w:firstRow="0" w:lastRow="0" w:firstColumn="1" w:lastColumn="0" w:oddVBand="0" w:evenVBand="0" w:oddHBand="0" w:evenHBand="0" w:firstRowFirstColumn="0" w:firstRowLastColumn="0" w:lastRowFirstColumn="0" w:lastRowLastColumn="0"/>
            <w:tcW w:w="0" w:type="auto"/>
            <w:hideMark/>
          </w:tcPr>
          <w:p w14:paraId="4FC11909" w14:textId="77777777" w:rsidR="0037115C" w:rsidRPr="00EA1C67" w:rsidRDefault="0037115C" w:rsidP="007A764A">
            <w:pPr>
              <w:spacing w:after="40"/>
              <w:jc w:val="both"/>
              <w:rPr>
                <w:rFonts w:ascii="Calibri" w:hAnsi="Calibri" w:cs="Calibri"/>
                <w:sz w:val="20"/>
              </w:rPr>
            </w:pPr>
            <w:r w:rsidRPr="00EA1C67">
              <w:rPr>
                <w:rFonts w:ascii="Calibri" w:hAnsi="Calibri" w:cs="Calibri"/>
                <w:sz w:val="20"/>
              </w:rPr>
              <w:t>10</w:t>
            </w:r>
          </w:p>
        </w:tc>
        <w:tc>
          <w:tcPr>
            <w:tcW w:w="0" w:type="auto"/>
            <w:hideMark/>
          </w:tcPr>
          <w:p w14:paraId="3DEA4BEE"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Are prescriber and finance processes documented clearly?</w:t>
            </w:r>
          </w:p>
        </w:tc>
        <w:tc>
          <w:tcPr>
            <w:tcW w:w="0" w:type="auto"/>
            <w:hideMark/>
          </w:tcPr>
          <w:p w14:paraId="606FC53F"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p>
        </w:tc>
        <w:tc>
          <w:tcPr>
            <w:tcW w:w="0" w:type="auto"/>
            <w:hideMark/>
          </w:tcPr>
          <w:p w14:paraId="3AEEEF48"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Faces prescriber process and Payl8r process reviewed</w:t>
            </w:r>
          </w:p>
        </w:tc>
        <w:tc>
          <w:tcPr>
            <w:tcW w:w="0" w:type="auto"/>
            <w:hideMark/>
          </w:tcPr>
          <w:p w14:paraId="7B5E7E7C"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Update process notes and ensure only necessary information is shared</w:t>
            </w:r>
          </w:p>
        </w:tc>
        <w:tc>
          <w:tcPr>
            <w:tcW w:w="0" w:type="auto"/>
            <w:hideMark/>
          </w:tcPr>
          <w:p w14:paraId="73275960"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Michelle / Business owner</w:t>
            </w:r>
          </w:p>
        </w:tc>
        <w:tc>
          <w:tcPr>
            <w:tcW w:w="0" w:type="auto"/>
            <w:hideMark/>
          </w:tcPr>
          <w:p w14:paraId="479C9B4E"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p>
        </w:tc>
      </w:tr>
      <w:tr w:rsidR="0037115C" w:rsidRPr="00EA1C67" w14:paraId="6D7645AE" w14:textId="77777777" w:rsidTr="007A76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17E270" w14:textId="77777777" w:rsidR="0037115C" w:rsidRPr="00EA1C67" w:rsidRDefault="0037115C" w:rsidP="007A764A">
            <w:pPr>
              <w:spacing w:after="40"/>
              <w:jc w:val="both"/>
              <w:rPr>
                <w:rFonts w:ascii="Calibri" w:hAnsi="Calibri" w:cs="Calibri"/>
                <w:sz w:val="20"/>
              </w:rPr>
            </w:pPr>
            <w:r w:rsidRPr="00EA1C67">
              <w:rPr>
                <w:rFonts w:ascii="Calibri" w:hAnsi="Calibri" w:cs="Calibri"/>
                <w:sz w:val="20"/>
              </w:rPr>
              <w:t>11</w:t>
            </w:r>
          </w:p>
        </w:tc>
        <w:tc>
          <w:tcPr>
            <w:tcW w:w="0" w:type="auto"/>
            <w:hideMark/>
          </w:tcPr>
          <w:p w14:paraId="50569005"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Are client records protected by secure login and device security?</w:t>
            </w:r>
          </w:p>
        </w:tc>
        <w:tc>
          <w:tcPr>
            <w:tcW w:w="0" w:type="auto"/>
            <w:hideMark/>
          </w:tcPr>
          <w:p w14:paraId="23DFE589"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p>
        </w:tc>
        <w:tc>
          <w:tcPr>
            <w:tcW w:w="0" w:type="auto"/>
            <w:hideMark/>
          </w:tcPr>
          <w:p w14:paraId="5F758AD0"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Faces login, password settings and device lock checked</w:t>
            </w:r>
          </w:p>
        </w:tc>
        <w:tc>
          <w:tcPr>
            <w:tcW w:w="0" w:type="auto"/>
            <w:hideMark/>
          </w:tcPr>
          <w:p w14:paraId="3B5B49CB"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Strengthen passwords and avoid shared logins</w:t>
            </w:r>
          </w:p>
        </w:tc>
        <w:tc>
          <w:tcPr>
            <w:tcW w:w="0" w:type="auto"/>
            <w:hideMark/>
          </w:tcPr>
          <w:p w14:paraId="382AD0BB"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Michelle / Business owner</w:t>
            </w:r>
          </w:p>
        </w:tc>
        <w:tc>
          <w:tcPr>
            <w:tcW w:w="0" w:type="auto"/>
            <w:hideMark/>
          </w:tcPr>
          <w:p w14:paraId="5D96638F"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p>
        </w:tc>
      </w:tr>
      <w:tr w:rsidR="0037115C" w:rsidRPr="00EA1C67" w14:paraId="1B1958BF" w14:textId="77777777" w:rsidTr="007A764A">
        <w:tc>
          <w:tcPr>
            <w:cnfStyle w:val="001000000000" w:firstRow="0" w:lastRow="0" w:firstColumn="1" w:lastColumn="0" w:oddVBand="0" w:evenVBand="0" w:oddHBand="0" w:evenHBand="0" w:firstRowFirstColumn="0" w:firstRowLastColumn="0" w:lastRowFirstColumn="0" w:lastRowLastColumn="0"/>
            <w:tcW w:w="0" w:type="auto"/>
            <w:hideMark/>
          </w:tcPr>
          <w:p w14:paraId="6D5C1127" w14:textId="77777777" w:rsidR="0037115C" w:rsidRPr="00EA1C67" w:rsidRDefault="0037115C" w:rsidP="007A764A">
            <w:pPr>
              <w:spacing w:after="40"/>
              <w:jc w:val="both"/>
              <w:rPr>
                <w:rFonts w:ascii="Calibri" w:hAnsi="Calibri" w:cs="Calibri"/>
                <w:sz w:val="20"/>
              </w:rPr>
            </w:pPr>
            <w:r w:rsidRPr="00EA1C67">
              <w:rPr>
                <w:rFonts w:ascii="Calibri" w:hAnsi="Calibri" w:cs="Calibri"/>
                <w:sz w:val="20"/>
              </w:rPr>
              <w:t>12</w:t>
            </w:r>
          </w:p>
        </w:tc>
        <w:tc>
          <w:tcPr>
            <w:tcW w:w="0" w:type="auto"/>
            <w:hideMark/>
          </w:tcPr>
          <w:p w14:paraId="000B0992"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Are treatment product details recorded accurately?</w:t>
            </w:r>
          </w:p>
        </w:tc>
        <w:tc>
          <w:tcPr>
            <w:tcW w:w="0" w:type="auto"/>
            <w:hideMark/>
          </w:tcPr>
          <w:p w14:paraId="427AD804"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p>
        </w:tc>
        <w:tc>
          <w:tcPr>
            <w:tcW w:w="0" w:type="auto"/>
            <w:hideMark/>
          </w:tcPr>
          <w:p w14:paraId="7DBDF136"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Product name, batch number, expiry date and treatment area checked</w:t>
            </w:r>
          </w:p>
        </w:tc>
        <w:tc>
          <w:tcPr>
            <w:tcW w:w="0" w:type="auto"/>
            <w:hideMark/>
          </w:tcPr>
          <w:p w14:paraId="7ADB9156"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Improve stock/treatment recording if gaps are found</w:t>
            </w:r>
          </w:p>
        </w:tc>
        <w:tc>
          <w:tcPr>
            <w:tcW w:w="0" w:type="auto"/>
            <w:hideMark/>
          </w:tcPr>
          <w:p w14:paraId="54637FA9"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Michelle / Practitioner</w:t>
            </w:r>
          </w:p>
        </w:tc>
        <w:tc>
          <w:tcPr>
            <w:tcW w:w="0" w:type="auto"/>
            <w:hideMark/>
          </w:tcPr>
          <w:p w14:paraId="08255422"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p>
        </w:tc>
      </w:tr>
      <w:tr w:rsidR="0037115C" w:rsidRPr="00EA1C67" w14:paraId="1433AAB3" w14:textId="77777777" w:rsidTr="007A76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6E5A4C" w14:textId="77777777" w:rsidR="0037115C" w:rsidRPr="00EA1C67" w:rsidRDefault="0037115C" w:rsidP="007A764A">
            <w:pPr>
              <w:spacing w:after="40"/>
              <w:jc w:val="both"/>
              <w:rPr>
                <w:rFonts w:ascii="Calibri" w:hAnsi="Calibri" w:cs="Calibri"/>
                <w:sz w:val="20"/>
              </w:rPr>
            </w:pPr>
            <w:r w:rsidRPr="00EA1C67">
              <w:rPr>
                <w:rFonts w:ascii="Calibri" w:hAnsi="Calibri" w:cs="Calibri"/>
                <w:sz w:val="20"/>
              </w:rPr>
              <w:lastRenderedPageBreak/>
              <w:t>13</w:t>
            </w:r>
          </w:p>
        </w:tc>
        <w:tc>
          <w:tcPr>
            <w:tcW w:w="0" w:type="auto"/>
            <w:hideMark/>
          </w:tcPr>
          <w:p w14:paraId="428AF751"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Are knowledge assets updated regularly?</w:t>
            </w:r>
          </w:p>
        </w:tc>
        <w:tc>
          <w:tcPr>
            <w:tcW w:w="0" w:type="auto"/>
            <w:hideMark/>
          </w:tcPr>
          <w:p w14:paraId="683EB2DE"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p>
        </w:tc>
        <w:tc>
          <w:tcPr>
            <w:tcW w:w="0" w:type="auto"/>
            <w:hideMark/>
          </w:tcPr>
          <w:p w14:paraId="4860E3B0"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Treatment guides, aftercare notes, pricing, product information and policies reviewed</w:t>
            </w:r>
          </w:p>
        </w:tc>
        <w:tc>
          <w:tcPr>
            <w:tcW w:w="0" w:type="auto"/>
            <w:hideMark/>
          </w:tcPr>
          <w:p w14:paraId="480BA623"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Remove outdated information and replace with current guidance</w:t>
            </w:r>
          </w:p>
        </w:tc>
        <w:tc>
          <w:tcPr>
            <w:tcW w:w="0" w:type="auto"/>
            <w:hideMark/>
          </w:tcPr>
          <w:p w14:paraId="01F16655"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Michelle / Business owner</w:t>
            </w:r>
          </w:p>
        </w:tc>
        <w:tc>
          <w:tcPr>
            <w:tcW w:w="0" w:type="auto"/>
            <w:hideMark/>
          </w:tcPr>
          <w:p w14:paraId="24EF87A6"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p>
        </w:tc>
      </w:tr>
      <w:tr w:rsidR="0037115C" w:rsidRPr="00EA1C67" w14:paraId="41817974" w14:textId="77777777" w:rsidTr="007A764A">
        <w:tc>
          <w:tcPr>
            <w:cnfStyle w:val="001000000000" w:firstRow="0" w:lastRow="0" w:firstColumn="1" w:lastColumn="0" w:oddVBand="0" w:evenVBand="0" w:oddHBand="0" w:evenHBand="0" w:firstRowFirstColumn="0" w:firstRowLastColumn="0" w:lastRowFirstColumn="0" w:lastRowLastColumn="0"/>
            <w:tcW w:w="0" w:type="auto"/>
            <w:hideMark/>
          </w:tcPr>
          <w:p w14:paraId="1D2852C5" w14:textId="77777777" w:rsidR="0037115C" w:rsidRPr="00EA1C67" w:rsidRDefault="0037115C" w:rsidP="007A764A">
            <w:pPr>
              <w:spacing w:after="40"/>
              <w:jc w:val="both"/>
              <w:rPr>
                <w:rFonts w:ascii="Calibri" w:hAnsi="Calibri" w:cs="Calibri"/>
                <w:sz w:val="20"/>
              </w:rPr>
            </w:pPr>
            <w:r w:rsidRPr="00EA1C67">
              <w:rPr>
                <w:rFonts w:ascii="Calibri" w:hAnsi="Calibri" w:cs="Calibri"/>
                <w:sz w:val="20"/>
              </w:rPr>
              <w:t>14</w:t>
            </w:r>
          </w:p>
        </w:tc>
        <w:tc>
          <w:tcPr>
            <w:tcW w:w="0" w:type="auto"/>
            <w:hideMark/>
          </w:tcPr>
          <w:p w14:paraId="2EFC1CD2"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Are KPIs reviewed and used to improve practice?</w:t>
            </w:r>
          </w:p>
        </w:tc>
        <w:tc>
          <w:tcPr>
            <w:tcW w:w="0" w:type="auto"/>
            <w:hideMark/>
          </w:tcPr>
          <w:p w14:paraId="18EA622F"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p>
        </w:tc>
        <w:tc>
          <w:tcPr>
            <w:tcW w:w="0" w:type="auto"/>
            <w:hideMark/>
          </w:tcPr>
          <w:p w14:paraId="72C559E5"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KPI records reviewed, including consent completion, complaints, rebooking and record accuracy</w:t>
            </w:r>
          </w:p>
        </w:tc>
        <w:tc>
          <w:tcPr>
            <w:tcW w:w="0" w:type="auto"/>
            <w:hideMark/>
          </w:tcPr>
          <w:p w14:paraId="1816A892"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Set new SMART targets for the next year</w:t>
            </w:r>
          </w:p>
        </w:tc>
        <w:tc>
          <w:tcPr>
            <w:tcW w:w="0" w:type="auto"/>
            <w:hideMark/>
          </w:tcPr>
          <w:p w14:paraId="384D9E9D"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r w:rsidRPr="00EA1C67">
              <w:rPr>
                <w:rFonts w:ascii="Calibri" w:hAnsi="Calibri" w:cs="Calibri"/>
                <w:sz w:val="20"/>
              </w:rPr>
              <w:t>Michelle / Business owner</w:t>
            </w:r>
          </w:p>
        </w:tc>
        <w:tc>
          <w:tcPr>
            <w:tcW w:w="0" w:type="auto"/>
            <w:hideMark/>
          </w:tcPr>
          <w:p w14:paraId="14CAC202" w14:textId="77777777" w:rsidR="0037115C" w:rsidRPr="00EA1C67" w:rsidRDefault="0037115C" w:rsidP="007A764A">
            <w:pPr>
              <w:spacing w:after="40"/>
              <w:jc w:val="both"/>
              <w:cnfStyle w:val="000000000000" w:firstRow="0" w:lastRow="0" w:firstColumn="0" w:lastColumn="0" w:oddVBand="0" w:evenVBand="0" w:oddHBand="0" w:evenHBand="0" w:firstRowFirstColumn="0" w:firstRowLastColumn="0" w:lastRowFirstColumn="0" w:lastRowLastColumn="0"/>
              <w:rPr>
                <w:rFonts w:ascii="Calibri" w:hAnsi="Calibri" w:cs="Calibri"/>
                <w:sz w:val="20"/>
              </w:rPr>
            </w:pPr>
          </w:p>
        </w:tc>
      </w:tr>
      <w:tr w:rsidR="0037115C" w:rsidRPr="00EA1C67" w14:paraId="34078526" w14:textId="77777777" w:rsidTr="007A764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1D2FDC" w14:textId="77777777" w:rsidR="0037115C" w:rsidRPr="00EA1C67" w:rsidRDefault="0037115C" w:rsidP="007A764A">
            <w:pPr>
              <w:spacing w:after="40"/>
              <w:jc w:val="both"/>
              <w:rPr>
                <w:rFonts w:ascii="Calibri" w:hAnsi="Calibri" w:cs="Calibri"/>
                <w:sz w:val="20"/>
              </w:rPr>
            </w:pPr>
            <w:r w:rsidRPr="00EA1C67">
              <w:rPr>
                <w:rFonts w:ascii="Calibri" w:hAnsi="Calibri" w:cs="Calibri"/>
                <w:sz w:val="20"/>
              </w:rPr>
              <w:t>15</w:t>
            </w:r>
          </w:p>
        </w:tc>
        <w:tc>
          <w:tcPr>
            <w:tcW w:w="0" w:type="auto"/>
            <w:hideMark/>
          </w:tcPr>
          <w:p w14:paraId="3DC1C0CC"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Are clients being educated clearly before and after treatment?</w:t>
            </w:r>
          </w:p>
        </w:tc>
        <w:tc>
          <w:tcPr>
            <w:tcW w:w="0" w:type="auto"/>
            <w:hideMark/>
          </w:tcPr>
          <w:p w14:paraId="4D0E1C96"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p>
        </w:tc>
        <w:tc>
          <w:tcPr>
            <w:tcW w:w="0" w:type="auto"/>
            <w:hideMark/>
          </w:tcPr>
          <w:p w14:paraId="316B9576"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Consultation notes, aftercare messages and client feedback checked</w:t>
            </w:r>
          </w:p>
        </w:tc>
        <w:tc>
          <w:tcPr>
            <w:tcW w:w="0" w:type="auto"/>
            <w:hideMark/>
          </w:tcPr>
          <w:p w14:paraId="0751AA16"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Improve explanation of risks, aftercare and expected outcomes</w:t>
            </w:r>
          </w:p>
        </w:tc>
        <w:tc>
          <w:tcPr>
            <w:tcW w:w="0" w:type="auto"/>
            <w:hideMark/>
          </w:tcPr>
          <w:p w14:paraId="62F6B5C7"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r w:rsidRPr="00EA1C67">
              <w:rPr>
                <w:rFonts w:ascii="Calibri" w:hAnsi="Calibri" w:cs="Calibri"/>
                <w:sz w:val="20"/>
              </w:rPr>
              <w:t>Michelle / Practitioner</w:t>
            </w:r>
          </w:p>
        </w:tc>
        <w:tc>
          <w:tcPr>
            <w:tcW w:w="0" w:type="auto"/>
            <w:hideMark/>
          </w:tcPr>
          <w:p w14:paraId="2DA87E71" w14:textId="77777777" w:rsidR="0037115C" w:rsidRPr="00EA1C67" w:rsidRDefault="0037115C" w:rsidP="007A764A">
            <w:pPr>
              <w:spacing w:after="40"/>
              <w:jc w:val="both"/>
              <w:cnfStyle w:val="000000100000" w:firstRow="0" w:lastRow="0" w:firstColumn="0" w:lastColumn="0" w:oddVBand="0" w:evenVBand="0" w:oddHBand="1" w:evenHBand="0" w:firstRowFirstColumn="0" w:firstRowLastColumn="0" w:lastRowFirstColumn="0" w:lastRowLastColumn="0"/>
              <w:rPr>
                <w:rFonts w:ascii="Calibri" w:hAnsi="Calibri" w:cs="Calibri"/>
                <w:sz w:val="20"/>
              </w:rPr>
            </w:pPr>
          </w:p>
        </w:tc>
      </w:tr>
    </w:tbl>
    <w:p w14:paraId="65E6E2B2" w14:textId="77777777" w:rsidR="007662A6" w:rsidRPr="004B0EC7" w:rsidRDefault="007662A6" w:rsidP="001635D9"/>
    <w:sectPr w:rsidR="007662A6" w:rsidRPr="004B0EC7" w:rsidSect="002A0F41">
      <w:footerReference w:type="default" r:id="rId10"/>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BC783A9" w14:textId="77777777" w:rsidR="002B3FA2" w:rsidRDefault="002B3FA2" w:rsidP="003B7D60">
      <w:r>
        <w:separator/>
      </w:r>
    </w:p>
  </w:endnote>
  <w:endnote w:type="continuationSeparator" w:id="0">
    <w:p w14:paraId="3F23B3BF" w14:textId="77777777" w:rsidR="002B3FA2" w:rsidRDefault="002B3FA2" w:rsidP="003B7D6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42309390"/>
      <w:docPartObj>
        <w:docPartGallery w:val="Page Numbers (Bottom of Page)"/>
        <w:docPartUnique/>
      </w:docPartObj>
    </w:sdtPr>
    <w:sdtEndPr>
      <w:rPr>
        <w:noProof/>
      </w:rPr>
    </w:sdtEndPr>
    <w:sdtContent>
      <w:p w14:paraId="7978F8C9" w14:textId="168F017D" w:rsidR="003B7D60" w:rsidRDefault="003B7D6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8324525" w14:textId="77777777" w:rsidR="003B7D60" w:rsidRDefault="003B7D6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75AE11" w14:textId="77777777" w:rsidR="002B3FA2" w:rsidRDefault="002B3FA2" w:rsidP="003B7D60">
      <w:r>
        <w:separator/>
      </w:r>
    </w:p>
  </w:footnote>
  <w:footnote w:type="continuationSeparator" w:id="0">
    <w:p w14:paraId="06877F06" w14:textId="77777777" w:rsidR="002B3FA2" w:rsidRDefault="002B3FA2" w:rsidP="003B7D6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501197"/>
    <w:multiLevelType w:val="multilevel"/>
    <w:tmpl w:val="EF7E7A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3080257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A0F41"/>
    <w:rsid w:val="00062CE2"/>
    <w:rsid w:val="001635D9"/>
    <w:rsid w:val="001F213B"/>
    <w:rsid w:val="002A0F41"/>
    <w:rsid w:val="002B3FA2"/>
    <w:rsid w:val="002B4D8F"/>
    <w:rsid w:val="0037115C"/>
    <w:rsid w:val="003B7D60"/>
    <w:rsid w:val="003D78A0"/>
    <w:rsid w:val="0044316D"/>
    <w:rsid w:val="004B0EC7"/>
    <w:rsid w:val="006E2008"/>
    <w:rsid w:val="006E3525"/>
    <w:rsid w:val="007662A6"/>
    <w:rsid w:val="00780D25"/>
    <w:rsid w:val="00786259"/>
    <w:rsid w:val="00792559"/>
    <w:rsid w:val="007A597E"/>
    <w:rsid w:val="007F220C"/>
    <w:rsid w:val="00811FC2"/>
    <w:rsid w:val="008245FC"/>
    <w:rsid w:val="00836A5D"/>
    <w:rsid w:val="008A6E0F"/>
    <w:rsid w:val="008D51EF"/>
    <w:rsid w:val="009B6E34"/>
    <w:rsid w:val="00AB1A3A"/>
    <w:rsid w:val="00AC361F"/>
    <w:rsid w:val="00B3092A"/>
    <w:rsid w:val="00C16AB9"/>
    <w:rsid w:val="00CE3470"/>
    <w:rsid w:val="00D22B4D"/>
    <w:rsid w:val="00E9236E"/>
    <w:rsid w:val="00EA1C67"/>
    <w:rsid w:val="00F63BBD"/>
    <w:rsid w:val="00FC2B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1CCFD5"/>
  <w15:chartTrackingRefBased/>
  <w15:docId w15:val="{B438A436-14ED-427B-8D2D-85F2F09140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635D9"/>
    <w:pPr>
      <w:spacing w:after="0" w:line="240" w:lineRule="auto"/>
    </w:pPr>
    <w:rPr>
      <w:rFonts w:ascii="Times New Roman" w:eastAsia="Times New Roman" w:hAnsi="Times New Roman" w:cs="Times New Roman"/>
      <w:kern w:val="0"/>
      <w:szCs w:val="20"/>
      <w:lang w:val="en-GB" w:eastAsia="en-GB"/>
      <w14:ligatures w14:val="none"/>
    </w:rPr>
  </w:style>
  <w:style w:type="paragraph" w:styleId="Heading1">
    <w:name w:val="heading 1"/>
    <w:basedOn w:val="Normal"/>
    <w:next w:val="Normal"/>
    <w:link w:val="Heading1Char"/>
    <w:autoRedefine/>
    <w:uiPriority w:val="9"/>
    <w:qFormat/>
    <w:rsid w:val="008A6E0F"/>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autoRedefine/>
    <w:unhideWhenUsed/>
    <w:qFormat/>
    <w:rsid w:val="008A6E0F"/>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semiHidden/>
    <w:unhideWhenUsed/>
    <w:qFormat/>
    <w:rsid w:val="002A0F41"/>
    <w:pPr>
      <w:keepNext/>
      <w:keepLines/>
      <w:spacing w:before="160" w:after="80"/>
      <w:outlineLvl w:val="2"/>
    </w:pPr>
    <w:rPr>
      <w:rFonts w:asciiTheme="minorHAnsi" w:eastAsiaTheme="majorEastAsia" w:hAnsiTheme="minorHAnsi" w:cstheme="majorBidi"/>
      <w:color w:val="0F4761" w:themeColor="accent1" w:themeShade="BF"/>
      <w:sz w:val="28"/>
      <w:szCs w:val="28"/>
    </w:rPr>
  </w:style>
  <w:style w:type="paragraph" w:styleId="Heading4">
    <w:name w:val="heading 4"/>
    <w:basedOn w:val="Normal"/>
    <w:next w:val="Normal"/>
    <w:link w:val="Heading4Char"/>
    <w:unhideWhenUsed/>
    <w:qFormat/>
    <w:rsid w:val="002A0F41"/>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2A0F41"/>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2A0F41"/>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2A0F41"/>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2A0F41"/>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2A0F41"/>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A6E0F"/>
    <w:rPr>
      <w:rFonts w:ascii="Times New Roman" w:eastAsiaTheme="majorEastAsia" w:hAnsi="Times New Roman" w:cstheme="majorBidi"/>
      <w:b/>
      <w:sz w:val="28"/>
      <w:szCs w:val="40"/>
    </w:rPr>
  </w:style>
  <w:style w:type="character" w:customStyle="1" w:styleId="Heading2Char">
    <w:name w:val="Heading 2 Char"/>
    <w:basedOn w:val="DefaultParagraphFont"/>
    <w:link w:val="Heading2"/>
    <w:uiPriority w:val="9"/>
    <w:semiHidden/>
    <w:rsid w:val="008A6E0F"/>
    <w:rPr>
      <w:rFonts w:ascii="Times New Roman" w:eastAsiaTheme="majorEastAsia" w:hAnsi="Times New Roman" w:cstheme="majorBidi"/>
      <w:b/>
      <w:szCs w:val="32"/>
    </w:rPr>
  </w:style>
  <w:style w:type="paragraph" w:styleId="Caption">
    <w:name w:val="caption"/>
    <w:basedOn w:val="Normal"/>
    <w:next w:val="Normal"/>
    <w:autoRedefine/>
    <w:uiPriority w:val="35"/>
    <w:unhideWhenUsed/>
    <w:qFormat/>
    <w:rsid w:val="0037115C"/>
    <w:pPr>
      <w:spacing w:after="200" w:line="360" w:lineRule="auto"/>
      <w:jc w:val="both"/>
    </w:pPr>
    <w:rPr>
      <w:b/>
      <w:color w:val="0E2841" w:themeColor="text2"/>
      <w:sz w:val="20"/>
      <w:szCs w:val="18"/>
    </w:rPr>
  </w:style>
  <w:style w:type="character" w:customStyle="1" w:styleId="Heading3Char">
    <w:name w:val="Heading 3 Char"/>
    <w:basedOn w:val="DefaultParagraphFont"/>
    <w:link w:val="Heading3"/>
    <w:uiPriority w:val="9"/>
    <w:semiHidden/>
    <w:rsid w:val="002A0F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A0F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A0F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A0F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A0F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A0F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A0F41"/>
    <w:rPr>
      <w:rFonts w:eastAsiaTheme="majorEastAsia" w:cstheme="majorBidi"/>
      <w:color w:val="272727" w:themeColor="text1" w:themeTint="D8"/>
    </w:rPr>
  </w:style>
  <w:style w:type="paragraph" w:styleId="Title">
    <w:name w:val="Title"/>
    <w:basedOn w:val="Normal"/>
    <w:next w:val="Normal"/>
    <w:link w:val="TitleChar"/>
    <w:uiPriority w:val="10"/>
    <w:qFormat/>
    <w:rsid w:val="002A0F41"/>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A0F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A0F41"/>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A0F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A0F41"/>
    <w:pPr>
      <w:spacing w:before="160"/>
      <w:jc w:val="center"/>
    </w:pPr>
    <w:rPr>
      <w:i/>
      <w:iCs/>
      <w:color w:val="404040" w:themeColor="text1" w:themeTint="BF"/>
    </w:rPr>
  </w:style>
  <w:style w:type="character" w:customStyle="1" w:styleId="QuoteChar">
    <w:name w:val="Quote Char"/>
    <w:basedOn w:val="DefaultParagraphFont"/>
    <w:link w:val="Quote"/>
    <w:uiPriority w:val="29"/>
    <w:rsid w:val="002A0F41"/>
    <w:rPr>
      <w:rFonts w:ascii="Times New Roman" w:hAnsi="Times New Roman"/>
      <w:i/>
      <w:iCs/>
      <w:color w:val="404040" w:themeColor="text1" w:themeTint="BF"/>
    </w:rPr>
  </w:style>
  <w:style w:type="paragraph" w:styleId="ListParagraph">
    <w:name w:val="List Paragraph"/>
    <w:basedOn w:val="Normal"/>
    <w:uiPriority w:val="34"/>
    <w:qFormat/>
    <w:rsid w:val="002A0F41"/>
    <w:pPr>
      <w:ind w:left="720"/>
      <w:contextualSpacing/>
    </w:pPr>
  </w:style>
  <w:style w:type="character" w:styleId="IntenseEmphasis">
    <w:name w:val="Intense Emphasis"/>
    <w:basedOn w:val="DefaultParagraphFont"/>
    <w:uiPriority w:val="21"/>
    <w:qFormat/>
    <w:rsid w:val="002A0F41"/>
    <w:rPr>
      <w:i/>
      <w:iCs/>
      <w:color w:val="0F4761" w:themeColor="accent1" w:themeShade="BF"/>
    </w:rPr>
  </w:style>
  <w:style w:type="paragraph" w:styleId="IntenseQuote">
    <w:name w:val="Intense Quote"/>
    <w:basedOn w:val="Normal"/>
    <w:next w:val="Normal"/>
    <w:link w:val="IntenseQuoteChar"/>
    <w:uiPriority w:val="30"/>
    <w:qFormat/>
    <w:rsid w:val="002A0F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A0F41"/>
    <w:rPr>
      <w:rFonts w:ascii="Times New Roman" w:hAnsi="Times New Roman"/>
      <w:i/>
      <w:iCs/>
      <w:color w:val="0F4761" w:themeColor="accent1" w:themeShade="BF"/>
    </w:rPr>
  </w:style>
  <w:style w:type="character" w:styleId="IntenseReference">
    <w:name w:val="Intense Reference"/>
    <w:basedOn w:val="DefaultParagraphFont"/>
    <w:uiPriority w:val="32"/>
    <w:qFormat/>
    <w:rsid w:val="002A0F41"/>
    <w:rPr>
      <w:b/>
      <w:bCs/>
      <w:smallCaps/>
      <w:color w:val="0F4761" w:themeColor="accent1" w:themeShade="BF"/>
      <w:spacing w:val="5"/>
    </w:rPr>
  </w:style>
  <w:style w:type="paragraph" w:styleId="Header">
    <w:name w:val="header"/>
    <w:basedOn w:val="Normal"/>
    <w:link w:val="HeaderChar"/>
    <w:rsid w:val="001635D9"/>
    <w:pPr>
      <w:tabs>
        <w:tab w:val="center" w:pos="4153"/>
        <w:tab w:val="right" w:pos="8306"/>
      </w:tabs>
    </w:pPr>
  </w:style>
  <w:style w:type="character" w:customStyle="1" w:styleId="HeaderChar">
    <w:name w:val="Header Char"/>
    <w:basedOn w:val="DefaultParagraphFont"/>
    <w:link w:val="Header"/>
    <w:rsid w:val="001635D9"/>
    <w:rPr>
      <w:rFonts w:ascii="Times New Roman" w:eastAsia="Times New Roman" w:hAnsi="Times New Roman" w:cs="Times New Roman"/>
      <w:kern w:val="0"/>
      <w:sz w:val="20"/>
      <w:szCs w:val="20"/>
      <w:lang w:val="en-GB" w:eastAsia="en-GB"/>
      <w14:ligatures w14:val="none"/>
    </w:rPr>
  </w:style>
  <w:style w:type="table" w:styleId="TableGrid">
    <w:name w:val="Table Grid"/>
    <w:basedOn w:val="TableNormal"/>
    <w:uiPriority w:val="59"/>
    <w:rsid w:val="00AB1A3A"/>
    <w:pPr>
      <w:spacing w:after="0" w:line="240" w:lineRule="auto"/>
    </w:pPr>
    <w:rPr>
      <w:rFonts w:ascii="Times New Roman" w:eastAsia="Times New Roman" w:hAnsi="Times New Roman" w:cs="Times New Roman"/>
      <w:kern w:val="0"/>
      <w:sz w:val="20"/>
      <w:szCs w:val="20"/>
      <w:lang w:val="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3B7D60"/>
    <w:pPr>
      <w:tabs>
        <w:tab w:val="center" w:pos="4680"/>
        <w:tab w:val="right" w:pos="9360"/>
      </w:tabs>
    </w:pPr>
  </w:style>
  <w:style w:type="character" w:customStyle="1" w:styleId="FooterChar">
    <w:name w:val="Footer Char"/>
    <w:basedOn w:val="DefaultParagraphFont"/>
    <w:link w:val="Footer"/>
    <w:uiPriority w:val="99"/>
    <w:rsid w:val="003B7D60"/>
    <w:rPr>
      <w:rFonts w:ascii="Times New Roman" w:eastAsia="Times New Roman" w:hAnsi="Times New Roman" w:cs="Times New Roman"/>
      <w:kern w:val="0"/>
      <w:szCs w:val="20"/>
      <w:lang w:val="en-GB" w:eastAsia="en-GB"/>
      <w14:ligatures w14:val="none"/>
    </w:rPr>
  </w:style>
  <w:style w:type="table" w:styleId="GridTable4-Accent6">
    <w:name w:val="Grid Table 4 Accent 6"/>
    <w:basedOn w:val="TableNormal"/>
    <w:uiPriority w:val="49"/>
    <w:rsid w:val="0037115C"/>
    <w:pPr>
      <w:spacing w:after="0" w:line="240" w:lineRule="auto"/>
    </w:pPr>
    <w:rPr>
      <w:rFonts w:eastAsiaTheme="minorEastAsia"/>
      <w:kern w:val="0"/>
      <w:sz w:val="22"/>
      <w:szCs w:val="22"/>
      <w14:ligatures w14:val="none"/>
    </w:rPr>
    <w:tblPr>
      <w:tblStyleRowBandSize w:val="1"/>
      <w:tblStyleColBandSize w:val="1"/>
      <w:tblBorders>
        <w:top w:val="single" w:sz="4" w:space="0" w:color="8DD873" w:themeColor="accent6" w:themeTint="99"/>
        <w:left w:val="single" w:sz="4" w:space="0" w:color="8DD873" w:themeColor="accent6" w:themeTint="99"/>
        <w:bottom w:val="single" w:sz="4" w:space="0" w:color="8DD873" w:themeColor="accent6" w:themeTint="99"/>
        <w:right w:val="single" w:sz="4" w:space="0" w:color="8DD873" w:themeColor="accent6" w:themeTint="99"/>
        <w:insideH w:val="single" w:sz="4" w:space="0" w:color="8DD873" w:themeColor="accent6" w:themeTint="99"/>
        <w:insideV w:val="single" w:sz="4" w:space="0" w:color="8DD873" w:themeColor="accent6" w:themeTint="99"/>
      </w:tblBorders>
    </w:tblPr>
    <w:tblStylePr w:type="firstRow">
      <w:rPr>
        <w:b/>
        <w:bCs/>
        <w:color w:val="FFFFFF" w:themeColor="background1"/>
      </w:rPr>
      <w:tblPr/>
      <w:tcPr>
        <w:tcBorders>
          <w:top w:val="single" w:sz="4" w:space="0" w:color="4EA72E" w:themeColor="accent6"/>
          <w:left w:val="single" w:sz="4" w:space="0" w:color="4EA72E" w:themeColor="accent6"/>
          <w:bottom w:val="single" w:sz="4" w:space="0" w:color="4EA72E" w:themeColor="accent6"/>
          <w:right w:val="single" w:sz="4" w:space="0" w:color="4EA72E" w:themeColor="accent6"/>
          <w:insideH w:val="nil"/>
          <w:insideV w:val="nil"/>
        </w:tcBorders>
        <w:shd w:val="clear" w:color="auto" w:fill="4EA72E" w:themeFill="accent6"/>
      </w:tcPr>
    </w:tblStylePr>
    <w:tblStylePr w:type="lastRow">
      <w:rPr>
        <w:b/>
        <w:bCs/>
      </w:rPr>
      <w:tblPr/>
      <w:tcPr>
        <w:tcBorders>
          <w:top w:val="double" w:sz="4" w:space="0" w:color="4EA72E" w:themeColor="accent6"/>
        </w:tcBorders>
      </w:tcPr>
    </w:tblStylePr>
    <w:tblStylePr w:type="firstCol">
      <w:rPr>
        <w:b/>
        <w:bCs/>
      </w:rPr>
    </w:tblStylePr>
    <w:tblStylePr w:type="lastCol">
      <w:rPr>
        <w:b/>
        <w:bCs/>
      </w:rPr>
    </w:tblStylePr>
    <w:tblStylePr w:type="band1Vert">
      <w:tblPr/>
      <w:tcPr>
        <w:shd w:val="clear" w:color="auto" w:fill="D9F2D0" w:themeFill="accent6" w:themeFillTint="33"/>
      </w:tcPr>
    </w:tblStylePr>
    <w:tblStylePr w:type="band1Horz">
      <w:tblPr/>
      <w:tcPr>
        <w:shd w:val="clear" w:color="auto" w:fill="D9F2D0" w:themeFill="accent6" w:themeFillTint="33"/>
      </w:tcPr>
    </w:tblStylePr>
  </w:style>
  <w:style w:type="table" w:styleId="GridTable4-Accent4">
    <w:name w:val="Grid Table 4 Accent 4"/>
    <w:basedOn w:val="TableNormal"/>
    <w:uiPriority w:val="49"/>
    <w:rsid w:val="0037115C"/>
    <w:pPr>
      <w:spacing w:after="0" w:line="240" w:lineRule="auto"/>
    </w:pPr>
    <w:rPr>
      <w:rFonts w:eastAsiaTheme="minorEastAsia"/>
      <w:kern w:val="0"/>
      <w:sz w:val="22"/>
      <w:szCs w:val="22"/>
      <w14:ligatures w14:val="none"/>
    </w:rPr>
    <w:tblPr>
      <w:tblStyleRowBandSize w:val="1"/>
      <w:tblStyleColBandSize w:val="1"/>
      <w:tblBorders>
        <w:top w:val="single" w:sz="4" w:space="0" w:color="60CAF3" w:themeColor="accent4" w:themeTint="99"/>
        <w:left w:val="single" w:sz="4" w:space="0" w:color="60CAF3" w:themeColor="accent4" w:themeTint="99"/>
        <w:bottom w:val="single" w:sz="4" w:space="0" w:color="60CAF3" w:themeColor="accent4" w:themeTint="99"/>
        <w:right w:val="single" w:sz="4" w:space="0" w:color="60CAF3" w:themeColor="accent4" w:themeTint="99"/>
        <w:insideH w:val="single" w:sz="4" w:space="0" w:color="60CAF3" w:themeColor="accent4" w:themeTint="99"/>
        <w:insideV w:val="single" w:sz="4" w:space="0" w:color="60CAF3" w:themeColor="accent4" w:themeTint="99"/>
      </w:tblBorders>
    </w:tblPr>
    <w:tblStylePr w:type="firstRow">
      <w:rPr>
        <w:b/>
        <w:bCs/>
        <w:color w:val="FFFFFF" w:themeColor="background1"/>
      </w:rPr>
      <w:tblPr/>
      <w:tcPr>
        <w:tcBorders>
          <w:top w:val="single" w:sz="4" w:space="0" w:color="0F9ED5" w:themeColor="accent4"/>
          <w:left w:val="single" w:sz="4" w:space="0" w:color="0F9ED5" w:themeColor="accent4"/>
          <w:bottom w:val="single" w:sz="4" w:space="0" w:color="0F9ED5" w:themeColor="accent4"/>
          <w:right w:val="single" w:sz="4" w:space="0" w:color="0F9ED5" w:themeColor="accent4"/>
          <w:insideH w:val="nil"/>
          <w:insideV w:val="nil"/>
        </w:tcBorders>
        <w:shd w:val="clear" w:color="auto" w:fill="0F9ED5" w:themeFill="accent4"/>
      </w:tcPr>
    </w:tblStylePr>
    <w:tblStylePr w:type="lastRow">
      <w:rPr>
        <w:b/>
        <w:bCs/>
      </w:rPr>
      <w:tblPr/>
      <w:tcPr>
        <w:tcBorders>
          <w:top w:val="double" w:sz="4" w:space="0" w:color="0F9ED5" w:themeColor="accent4"/>
        </w:tcBorders>
      </w:tcPr>
    </w:tblStylePr>
    <w:tblStylePr w:type="firstCol">
      <w:rPr>
        <w:b/>
        <w:bCs/>
      </w:rPr>
    </w:tblStylePr>
    <w:tblStylePr w:type="lastCol">
      <w:rPr>
        <w:b/>
        <w:bCs/>
      </w:rPr>
    </w:tblStylePr>
    <w:tblStylePr w:type="band1Vert">
      <w:tblPr/>
      <w:tcPr>
        <w:shd w:val="clear" w:color="auto" w:fill="CAEDFB" w:themeFill="accent4" w:themeFillTint="33"/>
      </w:tcPr>
    </w:tblStylePr>
    <w:tblStylePr w:type="band1Horz">
      <w:tblPr/>
      <w:tcPr>
        <w:shd w:val="clear" w:color="auto" w:fill="CAEDFB" w:themeFill="accent4" w:themeFillTint="33"/>
      </w:tcPr>
    </w:tblStylePr>
  </w:style>
  <w:style w:type="paragraph" w:styleId="TOCHeading">
    <w:name w:val="TOC Heading"/>
    <w:basedOn w:val="Heading1"/>
    <w:next w:val="Normal"/>
    <w:uiPriority w:val="39"/>
    <w:unhideWhenUsed/>
    <w:qFormat/>
    <w:rsid w:val="00F63BBD"/>
    <w:pPr>
      <w:spacing w:before="240" w:after="0" w:line="259" w:lineRule="auto"/>
      <w:outlineLvl w:val="9"/>
    </w:pPr>
    <w:rPr>
      <w:rFonts w:asciiTheme="majorHAnsi" w:hAnsiTheme="majorHAnsi"/>
      <w:b w:val="0"/>
      <w:color w:val="0F4761" w:themeColor="accent1" w:themeShade="BF"/>
      <w:sz w:val="32"/>
      <w:szCs w:val="32"/>
      <w:lang w:val="en-US" w:eastAsia="en-US"/>
    </w:rPr>
  </w:style>
  <w:style w:type="paragraph" w:styleId="TOC2">
    <w:name w:val="toc 2"/>
    <w:basedOn w:val="Normal"/>
    <w:next w:val="Normal"/>
    <w:autoRedefine/>
    <w:uiPriority w:val="39"/>
    <w:unhideWhenUsed/>
    <w:rsid w:val="00F63BBD"/>
    <w:pPr>
      <w:spacing w:after="100"/>
      <w:ind w:left="240"/>
    </w:pPr>
  </w:style>
  <w:style w:type="paragraph" w:styleId="TOC1">
    <w:name w:val="toc 1"/>
    <w:basedOn w:val="Normal"/>
    <w:next w:val="Normal"/>
    <w:autoRedefine/>
    <w:uiPriority w:val="39"/>
    <w:unhideWhenUsed/>
    <w:rsid w:val="00F63BBD"/>
    <w:pPr>
      <w:spacing w:after="100"/>
    </w:pPr>
  </w:style>
  <w:style w:type="character" w:styleId="Hyperlink">
    <w:name w:val="Hyperlink"/>
    <w:basedOn w:val="DefaultParagraphFont"/>
    <w:uiPriority w:val="99"/>
    <w:unhideWhenUsed/>
    <w:rsid w:val="00F63BBD"/>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6CFF125-CF7D-4B48-9884-93C24640907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6920</Words>
  <Characters>39446</Characters>
  <Application>Microsoft Office Word</Application>
  <DocSecurity>0</DocSecurity>
  <Lines>328</Lines>
  <Paragraphs>92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46274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Michelle</dc:creator>
  <cp:keywords/>
  <dc:description/>
  <cp:lastModifiedBy>Michelle B Bradshaw</cp:lastModifiedBy>
  <cp:revision>11</cp:revision>
  <dcterms:created xsi:type="dcterms:W3CDTF">2026-05-22T06:04:00Z</dcterms:created>
  <dcterms:modified xsi:type="dcterms:W3CDTF">2026-05-22T06:10:00Z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eae58418-47c7-4b16-a7cf-69b2d79f77cd</vt:lpwstr>
  </property>
</Properties>
</file>