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5941797">
      <w:pPr>
        <w:spacing w:after="158" w:line="360" w:lineRule="auto"/>
        <w:ind w:left="49"/>
        <w:jc w:val="center"/>
        <w:rPr>
          <w:rFonts w:ascii="Arial" w:hAnsi="Arial" w:cs="Arial"/>
        </w:rPr>
      </w:pPr>
      <w:r>
        <w:rPr>
          <w:rFonts w:ascii="Arial" w:hAnsi="Arial" w:cs="Arial"/>
        </w:rPr>
        <w:drawing>
          <wp:inline distT="0" distB="0" distL="0" distR="0">
            <wp:extent cx="2409825" cy="1359535"/>
            <wp:effectExtent l="9525" t="9525" r="19050" b="17780"/>
            <wp:docPr id="6" name="Picture 6"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text on a white background&#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431996" cy="1372113"/>
                    </a:xfrm>
                    <a:prstGeom prst="rect">
                      <a:avLst/>
                    </a:prstGeom>
                    <a:noFill/>
                    <a:ln>
                      <a:solidFill>
                        <a:schemeClr val="tx1"/>
                      </a:solidFill>
                    </a:ln>
                  </pic:spPr>
                </pic:pic>
              </a:graphicData>
            </a:graphic>
          </wp:inline>
        </w:drawing>
      </w:r>
      <w:r>
        <w:rPr>
          <w:rFonts w:ascii="Arial" w:hAnsi="Arial" w:eastAsia="Calibri" w:cs="Arial"/>
        </w:rPr>
        <w:t xml:space="preserve"> </w:t>
      </w:r>
    </w:p>
    <w:p w14:paraId="4D59F191">
      <w:pPr>
        <w:spacing w:line="360" w:lineRule="auto"/>
        <w:ind w:left="49"/>
        <w:jc w:val="center"/>
        <w:rPr>
          <w:rFonts w:ascii="Arial" w:hAnsi="Arial" w:cs="Arial"/>
        </w:rPr>
      </w:pPr>
      <w:r>
        <w:rPr>
          <w:rFonts w:ascii="Arial" w:hAnsi="Arial" w:eastAsia="Calibri" w:cs="Arial"/>
        </w:rPr>
        <w:t xml:space="preserve"> </w:t>
      </w:r>
    </w:p>
    <w:p w14:paraId="0E952F4E">
      <w:pPr>
        <w:spacing w:after="158" w:line="360" w:lineRule="auto"/>
        <w:ind w:left="49"/>
        <w:jc w:val="center"/>
        <w:rPr>
          <w:rFonts w:ascii="Arial" w:hAnsi="Arial" w:cs="Arial"/>
        </w:rPr>
      </w:pPr>
      <w:r>
        <w:rPr>
          <w:rFonts w:ascii="Arial" w:hAnsi="Arial" w:eastAsia="Calibri" w:cs="Arial"/>
        </w:rPr>
        <w:t xml:space="preserve"> </w:t>
      </w:r>
    </w:p>
    <w:p w14:paraId="0C447ED5">
      <w:pPr>
        <w:spacing w:line="360" w:lineRule="auto"/>
        <w:ind w:left="49"/>
        <w:jc w:val="center"/>
        <w:rPr>
          <w:rFonts w:ascii="Arial" w:hAnsi="Arial" w:cs="Arial"/>
          <w:sz w:val="28"/>
          <w:szCs w:val="28"/>
        </w:rPr>
      </w:pPr>
    </w:p>
    <w:p w14:paraId="3713B2D5">
      <w:pPr>
        <w:pStyle w:val="3"/>
        <w:spacing w:line="360" w:lineRule="auto"/>
        <w:jc w:val="center"/>
        <w:rPr>
          <w:rFonts w:hint="default" w:ascii="Arial" w:hAnsi="Arial" w:cs="Arial"/>
          <w:color w:val="0D0D0D" w:themeColor="text1" w:themeTint="F2"/>
          <w:sz w:val="28"/>
          <w:szCs w:val="28"/>
          <w14:textFill>
            <w14:solidFill>
              <w14:schemeClr w14:val="tx1">
                <w14:lumMod w14:val="95000"/>
                <w14:lumOff w14:val="5000"/>
              </w14:schemeClr>
            </w14:solidFill>
          </w14:textFill>
        </w:rPr>
      </w:pPr>
      <w:bookmarkStart w:id="0" w:name="_Toc12853"/>
      <w:bookmarkStart w:id="1" w:name="_Toc23225"/>
      <w:r>
        <w:rPr>
          <w:rFonts w:hint="default" w:ascii="Arial" w:hAnsi="Arial" w:eastAsia="CanvaSans-Bold" w:cs="Arial"/>
          <w:color w:val="30030F"/>
          <w:sz w:val="28"/>
          <w:szCs w:val="28"/>
          <w:lang w:bidi="ar"/>
        </w:rPr>
        <w:t>An exploration of how breast cancer impacts women’s mental health in the United Kingdom.</w:t>
      </w:r>
      <w:bookmarkEnd w:id="0"/>
      <w:bookmarkEnd w:id="1"/>
    </w:p>
    <w:p w14:paraId="4FEBA87D">
      <w:pPr>
        <w:spacing w:after="42" w:line="360" w:lineRule="auto"/>
        <w:ind w:left="89"/>
        <w:jc w:val="center"/>
        <w:rPr>
          <w:rFonts w:ascii="Arial" w:hAnsi="Arial" w:cs="Arial"/>
        </w:rPr>
      </w:pPr>
      <w:r>
        <w:rPr>
          <w:rFonts w:ascii="Arial" w:hAnsi="Arial" w:cs="Arial"/>
          <w:sz w:val="36"/>
        </w:rPr>
        <w:t xml:space="preserve"> </w:t>
      </w:r>
    </w:p>
    <w:p w14:paraId="1EAB935C">
      <w:pPr>
        <w:spacing w:after="157" w:line="360" w:lineRule="auto"/>
        <w:ind w:left="2367" w:right="2358"/>
        <w:jc w:val="center"/>
        <w:rPr>
          <w:rFonts w:ascii="Arial" w:hAnsi="Arial" w:cs="Arial"/>
          <w:b/>
          <w:bCs/>
          <w:sz w:val="28"/>
          <w:szCs w:val="28"/>
        </w:rPr>
      </w:pPr>
      <w:r>
        <w:rPr>
          <w:rFonts w:ascii="Arial" w:hAnsi="Arial" w:cs="Arial"/>
          <w:b/>
          <w:bCs/>
          <w:sz w:val="28"/>
          <w:szCs w:val="28"/>
        </w:rPr>
        <w:t xml:space="preserve">by </w:t>
      </w:r>
    </w:p>
    <w:p w14:paraId="374102FE">
      <w:pPr>
        <w:spacing w:after="158" w:line="360" w:lineRule="auto"/>
        <w:ind w:left="59"/>
        <w:jc w:val="center"/>
        <w:rPr>
          <w:rFonts w:ascii="Arial" w:hAnsi="Arial" w:cs="Arial"/>
        </w:rPr>
      </w:pPr>
      <w:r>
        <w:rPr>
          <w:rFonts w:ascii="Arial" w:hAnsi="Arial" w:cs="Arial"/>
        </w:rPr>
        <w:t xml:space="preserve"> </w:t>
      </w:r>
    </w:p>
    <w:p w14:paraId="07E3319B">
      <w:pPr>
        <w:spacing w:after="158" w:line="360" w:lineRule="auto"/>
        <w:ind w:left="59"/>
        <w:jc w:val="center"/>
        <w:rPr>
          <w:rFonts w:hint="default" w:ascii="Arial" w:hAnsi="Arial" w:cs="Arial"/>
          <w:b/>
          <w:bCs/>
          <w:sz w:val="32"/>
          <w:szCs w:val="32"/>
          <w:lang w:val="en-IN"/>
        </w:rPr>
      </w:pPr>
      <w:r>
        <w:rPr>
          <w:rFonts w:hint="default" w:ascii="Arial" w:hAnsi="Arial" w:cs="Arial"/>
          <w:b/>
          <w:bCs/>
          <w:sz w:val="32"/>
          <w:szCs w:val="32"/>
          <w:lang w:val="en-IN"/>
        </w:rPr>
        <w:t>Khushi Patel</w:t>
      </w:r>
    </w:p>
    <w:p w14:paraId="04FE261F">
      <w:pPr>
        <w:spacing w:after="158" w:line="360" w:lineRule="auto"/>
        <w:ind w:left="59"/>
        <w:jc w:val="center"/>
        <w:rPr>
          <w:rFonts w:hint="default" w:ascii="Arial" w:hAnsi="Arial" w:cs="Arial"/>
          <w:sz w:val="24"/>
          <w:szCs w:val="24"/>
          <w:lang w:val="en-IN"/>
        </w:rPr>
      </w:pPr>
      <w:r>
        <w:rPr>
          <w:rFonts w:hint="default" w:ascii="Arial" w:hAnsi="Arial" w:cs="Arial"/>
          <w:sz w:val="24"/>
          <w:szCs w:val="24"/>
          <w:lang w:val="en-IN"/>
        </w:rPr>
        <w:t>(2334075)</w:t>
      </w:r>
    </w:p>
    <w:p w14:paraId="13C5633E">
      <w:pPr>
        <w:spacing w:after="156" w:line="360" w:lineRule="auto"/>
        <w:ind w:left="59"/>
        <w:jc w:val="center"/>
        <w:rPr>
          <w:rFonts w:ascii="Arial" w:hAnsi="Arial" w:cs="Arial"/>
        </w:rPr>
      </w:pPr>
      <w:r>
        <w:rPr>
          <w:rFonts w:ascii="Arial" w:hAnsi="Arial" w:cs="Arial"/>
        </w:rPr>
        <w:t xml:space="preserve">   </w:t>
      </w:r>
    </w:p>
    <w:p w14:paraId="167D09AF">
      <w:pPr>
        <w:spacing w:after="156" w:line="360" w:lineRule="auto"/>
        <w:ind w:left="59"/>
        <w:jc w:val="center"/>
        <w:rPr>
          <w:rFonts w:ascii="Arial" w:hAnsi="Arial" w:cs="Arial"/>
        </w:rPr>
      </w:pPr>
      <w:r>
        <w:rPr>
          <w:rFonts w:ascii="Arial" w:hAnsi="Arial" w:cs="Arial"/>
        </w:rPr>
        <w:t xml:space="preserve">A Dissertation submitted in partial </w:t>
      </w:r>
      <w:r>
        <w:rPr>
          <w:rFonts w:ascii="Arial" w:hAnsi="Arial" w:cs="Arial"/>
          <w:lang w:val="en-IN"/>
        </w:rPr>
        <w:t>fulfillment</w:t>
      </w:r>
      <w:r>
        <w:rPr>
          <w:rFonts w:ascii="Arial" w:hAnsi="Arial" w:cs="Arial"/>
        </w:rPr>
        <w:t xml:space="preserve"> of the requirements for the degree of Masters of Science in Public Health and Social Care in Practice</w:t>
      </w:r>
    </w:p>
    <w:p w14:paraId="55E92EFA">
      <w:pPr>
        <w:spacing w:after="169" w:line="360" w:lineRule="auto"/>
        <w:jc w:val="center"/>
        <w:rPr>
          <w:rFonts w:ascii="Arial" w:hAnsi="Arial" w:cs="Arial"/>
          <w:b/>
          <w:bCs/>
          <w:sz w:val="24"/>
          <w:szCs w:val="24"/>
        </w:rPr>
      </w:pPr>
    </w:p>
    <w:p w14:paraId="6DBC13B2">
      <w:pPr>
        <w:spacing w:after="169" w:line="360" w:lineRule="auto"/>
        <w:jc w:val="center"/>
        <w:rPr>
          <w:rFonts w:ascii="Arial" w:hAnsi="Arial" w:cs="Arial"/>
          <w:b/>
          <w:bCs/>
          <w:sz w:val="24"/>
          <w:szCs w:val="24"/>
        </w:rPr>
      </w:pPr>
      <w:r>
        <w:rPr>
          <w:rFonts w:ascii="Arial" w:hAnsi="Arial" w:cs="Arial"/>
          <w:b/>
          <w:bCs/>
          <w:sz w:val="24"/>
          <w:szCs w:val="24"/>
        </w:rPr>
        <w:t>The Institute of Inner-City Learning</w:t>
      </w:r>
    </w:p>
    <w:p w14:paraId="634C7C90">
      <w:pPr>
        <w:spacing w:after="169" w:line="360" w:lineRule="auto"/>
        <w:jc w:val="center"/>
        <w:rPr>
          <w:rFonts w:ascii="Arial" w:hAnsi="Arial" w:cs="Arial"/>
          <w:b/>
          <w:bCs/>
          <w:sz w:val="24"/>
          <w:szCs w:val="24"/>
        </w:rPr>
      </w:pPr>
      <w:r>
        <w:rPr>
          <w:rFonts w:ascii="Arial" w:hAnsi="Arial" w:cs="Arial"/>
          <w:b/>
          <w:bCs/>
          <w:sz w:val="24"/>
          <w:szCs w:val="24"/>
        </w:rPr>
        <w:t>University of Wales Trinity Saint David – London Campus</w:t>
      </w:r>
    </w:p>
    <w:p w14:paraId="0853858B">
      <w:pPr>
        <w:spacing w:after="157" w:line="360" w:lineRule="auto"/>
        <w:ind w:left="2367" w:right="2357"/>
        <w:jc w:val="center"/>
        <w:rPr>
          <w:rFonts w:ascii="Arial" w:hAnsi="Arial" w:cs="Arial"/>
          <w:b/>
          <w:bCs/>
        </w:rPr>
      </w:pPr>
    </w:p>
    <w:p w14:paraId="0736E830">
      <w:pPr>
        <w:spacing w:after="157" w:line="360" w:lineRule="auto"/>
        <w:ind w:left="2367" w:right="2357"/>
        <w:jc w:val="center"/>
        <w:rPr>
          <w:rFonts w:ascii="Arial" w:hAnsi="Arial" w:cs="Arial"/>
          <w:b/>
          <w:bCs/>
        </w:rPr>
      </w:pPr>
    </w:p>
    <w:p w14:paraId="09E6F5AB">
      <w:pPr>
        <w:spacing w:after="157" w:line="360" w:lineRule="auto"/>
        <w:ind w:left="2367" w:right="2357"/>
        <w:jc w:val="center"/>
        <w:rPr>
          <w:rFonts w:hint="default" w:ascii="Arial" w:hAnsi="Arial" w:cs="Arial"/>
          <w:sz w:val="22"/>
          <w:szCs w:val="22"/>
          <w:lang w:val="en-IN"/>
        </w:rPr>
        <w:sectPr>
          <w:footerReference r:id="rId3" w:type="default"/>
          <w:pgSz w:w="11906" w:h="16838"/>
          <w:pgMar w:top="1440" w:right="1800" w:bottom="1440" w:left="1800" w:header="720" w:footer="720" w:gutter="0"/>
          <w:cols w:space="720" w:num="1"/>
          <w:docGrid w:linePitch="360" w:charSpace="0"/>
        </w:sectPr>
      </w:pPr>
      <w:r>
        <w:rPr>
          <w:rFonts w:hint="default" w:ascii="Arial" w:hAnsi="Arial" w:cs="Arial"/>
          <w:b/>
          <w:bCs/>
          <w:sz w:val="24"/>
          <w:szCs w:val="24"/>
          <w:lang w:val="en-IN"/>
        </w:rPr>
        <w:t>October</w:t>
      </w:r>
      <w:r>
        <w:rPr>
          <w:rFonts w:ascii="Arial" w:hAnsi="Arial" w:cs="Arial"/>
          <w:b/>
          <w:bCs/>
          <w:sz w:val="24"/>
          <w:szCs w:val="24"/>
        </w:rPr>
        <w:t>, 202</w:t>
      </w:r>
      <w:r>
        <w:rPr>
          <w:rFonts w:hint="default" w:ascii="Arial" w:hAnsi="Arial" w:cs="Arial"/>
          <w:b/>
          <w:bCs/>
          <w:sz w:val="24"/>
          <w:szCs w:val="24"/>
          <w:lang w:val="en-IN"/>
        </w:rPr>
        <w:t>5</w:t>
      </w:r>
    </w:p>
    <w:p w14:paraId="21C91134">
      <w:pPr>
        <w:spacing w:line="360" w:lineRule="auto"/>
        <w:jc w:val="center"/>
        <w:rPr>
          <w:rFonts w:hint="default"/>
          <w:sz w:val="24"/>
          <w:szCs w:val="24"/>
        </w:rPr>
      </w:pPr>
      <w:r>
        <w:rPr>
          <w:rFonts w:hint="default" w:ascii="Arial" w:hAnsi="Arial" w:cs="Arial"/>
          <w:b/>
          <w:sz w:val="24"/>
          <w:szCs w:val="24"/>
        </w:rPr>
        <w:t>Declaration</w:t>
      </w:r>
    </w:p>
    <w:p w14:paraId="647EB18A">
      <w:pPr>
        <w:pStyle w:val="252"/>
        <w:spacing w:line="360" w:lineRule="auto"/>
        <w:jc w:val="both"/>
        <w:rPr>
          <w:rFonts w:hint="default" w:ascii="Arial" w:hAnsi="Arial" w:cs="Arial"/>
          <w:b/>
          <w:sz w:val="24"/>
          <w:szCs w:val="24"/>
        </w:rPr>
      </w:pPr>
    </w:p>
    <w:p w14:paraId="6B6DDB0A">
      <w:pPr>
        <w:spacing w:line="360" w:lineRule="auto"/>
        <w:jc w:val="both"/>
        <w:rPr>
          <w:rFonts w:hint="default" w:ascii="Arial" w:hAnsi="Arial" w:cs="Arial" w:eastAsiaTheme="minorEastAsia"/>
          <w:sz w:val="24"/>
          <w:szCs w:val="24"/>
        </w:rPr>
      </w:pPr>
      <w:r>
        <w:rPr>
          <w:rFonts w:hint="default" w:ascii="Arial" w:hAnsi="Arial" w:cs="Arial" w:eastAsiaTheme="minorEastAsia"/>
          <w:sz w:val="24"/>
          <w:szCs w:val="24"/>
        </w:rPr>
        <w:t xml:space="preserve">I, </w:t>
      </w:r>
      <w:r>
        <w:rPr>
          <w:rFonts w:hint="default" w:ascii="Arial" w:hAnsi="Arial" w:cs="Arial"/>
          <w:sz w:val="24"/>
          <w:szCs w:val="24"/>
          <w:lang w:val="en-IN"/>
        </w:rPr>
        <w:t>Khushi Patel</w:t>
      </w:r>
      <w:r>
        <w:rPr>
          <w:rFonts w:hint="default" w:ascii="Arial" w:hAnsi="Arial" w:cs="Arial"/>
          <w:sz w:val="24"/>
          <w:szCs w:val="24"/>
          <w:lang w:val="en-US"/>
        </w:rPr>
        <w:t>,</w:t>
      </w:r>
      <w:r>
        <w:rPr>
          <w:rFonts w:hint="default" w:ascii="Arial" w:hAnsi="Arial" w:cs="Arial" w:eastAsiaTheme="minorEastAsia"/>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078FBA7">
      <w:pPr>
        <w:spacing w:line="360" w:lineRule="auto"/>
        <w:jc w:val="both"/>
        <w:rPr>
          <w:rFonts w:hint="default" w:ascii="Arial" w:hAnsi="Arial" w:cs="Arial" w:eastAsiaTheme="minorEastAsia"/>
          <w:sz w:val="24"/>
          <w:szCs w:val="24"/>
        </w:rPr>
      </w:pPr>
    </w:p>
    <w:p w14:paraId="6C5B1A98">
      <w:pPr>
        <w:spacing w:line="360" w:lineRule="auto"/>
        <w:jc w:val="both"/>
        <w:rPr>
          <w:rFonts w:hint="default" w:ascii="Arial" w:hAnsi="Arial" w:cs="Arial" w:eastAsiaTheme="minorEastAsia"/>
          <w:sz w:val="24"/>
          <w:szCs w:val="24"/>
        </w:rPr>
      </w:pPr>
    </w:p>
    <w:p w14:paraId="7E182CD4">
      <w:pPr>
        <w:spacing w:line="360" w:lineRule="auto"/>
        <w:jc w:val="both"/>
        <w:rPr>
          <w:rFonts w:hint="default" w:ascii="Arial" w:hAnsi="Arial" w:cs="Arial" w:eastAsiaTheme="minorEastAsia"/>
          <w:sz w:val="24"/>
          <w:szCs w:val="24"/>
        </w:rPr>
      </w:pPr>
    </w:p>
    <w:p w14:paraId="007CCBB6">
      <w:pPr>
        <w:spacing w:line="360" w:lineRule="auto"/>
        <w:jc w:val="both"/>
        <w:rPr>
          <w:rFonts w:hint="default" w:ascii="Arial" w:hAnsi="Arial" w:cs="Arial" w:eastAsiaTheme="minorEastAsia"/>
          <w:sz w:val="24"/>
          <w:szCs w:val="24"/>
        </w:rPr>
      </w:pPr>
    </w:p>
    <w:p w14:paraId="4E9FC0FC">
      <w:pPr>
        <w:spacing w:line="360" w:lineRule="auto"/>
        <w:jc w:val="both"/>
        <w:rPr>
          <w:rFonts w:hint="default" w:ascii="Arial" w:hAnsi="Arial" w:cs="Arial" w:eastAsiaTheme="minorEastAsia"/>
          <w:sz w:val="24"/>
          <w:szCs w:val="24"/>
        </w:rPr>
      </w:pPr>
      <w:r>
        <w:rPr>
          <w:rFonts w:hint="default" w:ascii="Arial" w:hAnsi="Arial" w:cs="Arial" w:eastAsiaTheme="minorEastAsia"/>
          <w:sz w:val="24"/>
          <w:szCs w:val="24"/>
        </w:rPr>
        <w:t>Signed:</w:t>
      </w:r>
      <w:r>
        <w:rPr>
          <w:rFonts w:hint="default" w:ascii="Arial" w:hAnsi="Arial" w:cs="Arial"/>
          <w:sz w:val="24"/>
          <w:szCs w:val="24"/>
          <w:lang w:val="en-US"/>
        </w:rPr>
        <w:t xml:space="preserve"> </w:t>
      </w:r>
      <w:r>
        <w:rPr>
          <w:rFonts w:hint="default" w:ascii="Arial" w:hAnsi="Arial" w:cs="Arial"/>
          <w:sz w:val="24"/>
          <w:szCs w:val="24"/>
          <w:lang w:val="en-IN"/>
        </w:rPr>
        <w:t>Khushi Patel</w:t>
      </w:r>
      <w:r>
        <w:rPr>
          <w:rFonts w:hint="default" w:ascii="Arial" w:hAnsi="Arial" w:cs="Arial" w:eastAsiaTheme="minorEastAsia"/>
          <w:sz w:val="24"/>
          <w:szCs w:val="24"/>
        </w:rPr>
        <w:t>……………………………………………</w:t>
      </w:r>
    </w:p>
    <w:p w14:paraId="61BB6268">
      <w:pPr>
        <w:spacing w:line="360" w:lineRule="auto"/>
        <w:jc w:val="both"/>
        <w:rPr>
          <w:rFonts w:hint="default" w:ascii="Arial" w:hAnsi="Arial" w:cs="Arial" w:eastAsiaTheme="minorEastAsia"/>
          <w:sz w:val="24"/>
          <w:szCs w:val="24"/>
        </w:rPr>
      </w:pPr>
    </w:p>
    <w:p w14:paraId="6CBB136F">
      <w:pPr>
        <w:spacing w:line="360" w:lineRule="auto"/>
        <w:jc w:val="both"/>
        <w:rPr>
          <w:rFonts w:hint="default" w:ascii="Arial" w:hAnsi="Arial" w:cs="Arial" w:eastAsiaTheme="minorEastAsia"/>
          <w:sz w:val="24"/>
          <w:szCs w:val="24"/>
        </w:rPr>
      </w:pPr>
      <w:r>
        <w:rPr>
          <w:rFonts w:hint="default" w:ascii="Arial" w:hAnsi="Arial" w:cs="Arial" w:eastAsiaTheme="minorEastAsia"/>
          <w:sz w:val="24"/>
          <w:szCs w:val="24"/>
        </w:rPr>
        <w:t>Date:...………………………………………………</w:t>
      </w:r>
    </w:p>
    <w:p w14:paraId="13F0C205">
      <w:pPr>
        <w:pStyle w:val="3"/>
        <w:spacing w:line="360" w:lineRule="auto"/>
        <w:jc w:val="both"/>
        <w:outlineLvl w:val="9"/>
        <w:rPr>
          <w:rFonts w:hint="default" w:ascii="Arial" w:hAnsi="Arial" w:eastAsia="CanvaSans-Bold" w:cs="Arial"/>
          <w:color w:val="30030F"/>
          <w:sz w:val="28"/>
          <w:szCs w:val="28"/>
          <w:lang w:bidi="ar"/>
        </w:rPr>
      </w:pPr>
    </w:p>
    <w:p w14:paraId="075B9DB2">
      <w:pPr>
        <w:pStyle w:val="3"/>
        <w:spacing w:line="360" w:lineRule="auto"/>
        <w:jc w:val="both"/>
        <w:outlineLvl w:val="9"/>
        <w:rPr>
          <w:rFonts w:hint="default" w:ascii="Arial" w:hAnsi="Arial" w:eastAsia="CanvaSans-Bold" w:cs="Arial"/>
          <w:color w:val="30030F"/>
          <w:sz w:val="28"/>
          <w:szCs w:val="28"/>
          <w:lang w:bidi="ar"/>
        </w:rPr>
      </w:pPr>
    </w:p>
    <w:p w14:paraId="012D0ED4">
      <w:pPr>
        <w:pStyle w:val="3"/>
        <w:spacing w:line="360" w:lineRule="auto"/>
        <w:jc w:val="both"/>
        <w:outlineLvl w:val="9"/>
        <w:rPr>
          <w:rFonts w:hint="default" w:ascii="Arial" w:hAnsi="Arial" w:eastAsia="CanvaSans-Bold" w:cs="Arial"/>
          <w:color w:val="30030F"/>
          <w:sz w:val="28"/>
          <w:szCs w:val="28"/>
          <w:lang w:bidi="ar"/>
        </w:rPr>
      </w:pPr>
    </w:p>
    <w:p w14:paraId="6E3064CC">
      <w:pPr>
        <w:pStyle w:val="3"/>
        <w:spacing w:line="360" w:lineRule="auto"/>
        <w:jc w:val="both"/>
        <w:outlineLvl w:val="9"/>
        <w:rPr>
          <w:rFonts w:hint="default" w:ascii="Arial" w:hAnsi="Arial" w:eastAsia="CanvaSans-Bold" w:cs="Arial"/>
          <w:color w:val="30030F"/>
          <w:sz w:val="28"/>
          <w:szCs w:val="28"/>
          <w:lang w:bidi="ar"/>
        </w:rPr>
      </w:pPr>
    </w:p>
    <w:p w14:paraId="46143565">
      <w:pPr>
        <w:pStyle w:val="3"/>
        <w:spacing w:line="360" w:lineRule="auto"/>
        <w:jc w:val="both"/>
        <w:outlineLvl w:val="9"/>
        <w:rPr>
          <w:rFonts w:hint="default" w:ascii="Arial" w:hAnsi="Arial" w:eastAsia="CanvaSans-Bold" w:cs="Arial"/>
          <w:color w:val="30030F"/>
          <w:sz w:val="28"/>
          <w:szCs w:val="28"/>
          <w:lang w:bidi="ar"/>
        </w:rPr>
      </w:pPr>
    </w:p>
    <w:p w14:paraId="0AE2A91F">
      <w:pPr>
        <w:pStyle w:val="3"/>
        <w:spacing w:line="360" w:lineRule="auto"/>
        <w:jc w:val="both"/>
        <w:outlineLvl w:val="9"/>
        <w:rPr>
          <w:rFonts w:hint="default" w:ascii="Arial" w:hAnsi="Arial" w:eastAsia="CanvaSans-Bold" w:cs="Arial"/>
          <w:color w:val="30030F"/>
          <w:sz w:val="28"/>
          <w:szCs w:val="28"/>
          <w:lang w:bidi="ar"/>
        </w:rPr>
      </w:pPr>
    </w:p>
    <w:p w14:paraId="1CFB735F">
      <w:pPr>
        <w:pStyle w:val="3"/>
        <w:spacing w:line="360" w:lineRule="auto"/>
        <w:jc w:val="both"/>
        <w:outlineLvl w:val="9"/>
        <w:rPr>
          <w:rFonts w:hint="default" w:ascii="Arial" w:hAnsi="Arial" w:eastAsia="CanvaSans-Bold" w:cs="Arial"/>
          <w:color w:val="30030F"/>
          <w:sz w:val="28"/>
          <w:szCs w:val="28"/>
          <w:lang w:bidi="ar"/>
        </w:rPr>
      </w:pPr>
    </w:p>
    <w:p w14:paraId="0F95A26F">
      <w:pPr>
        <w:pStyle w:val="3"/>
        <w:spacing w:line="360" w:lineRule="auto"/>
        <w:jc w:val="both"/>
        <w:outlineLvl w:val="9"/>
        <w:rPr>
          <w:rFonts w:hint="default" w:ascii="Arial" w:hAnsi="Arial" w:eastAsia="CanvaSans-Bold" w:cs="Arial"/>
          <w:color w:val="30030F"/>
          <w:sz w:val="28"/>
          <w:szCs w:val="28"/>
          <w:lang w:bidi="ar"/>
        </w:rPr>
      </w:pPr>
    </w:p>
    <w:p w14:paraId="7E3AA332">
      <w:pPr>
        <w:pStyle w:val="3"/>
        <w:spacing w:line="360" w:lineRule="auto"/>
        <w:jc w:val="both"/>
        <w:outlineLvl w:val="9"/>
        <w:rPr>
          <w:rFonts w:hint="default" w:ascii="Arial" w:hAnsi="Arial" w:eastAsia="CanvaSans-Bold" w:cs="Arial"/>
          <w:color w:val="30030F"/>
          <w:sz w:val="28"/>
          <w:szCs w:val="28"/>
          <w:lang w:bidi="ar"/>
        </w:rPr>
      </w:pPr>
    </w:p>
    <w:p w14:paraId="35B8E2DC">
      <w:pPr>
        <w:pStyle w:val="3"/>
        <w:spacing w:line="360" w:lineRule="auto"/>
        <w:jc w:val="both"/>
        <w:outlineLvl w:val="9"/>
        <w:rPr>
          <w:rFonts w:hint="default" w:ascii="Arial" w:hAnsi="Arial" w:eastAsia="CanvaSans-Bold" w:cs="Arial"/>
          <w:color w:val="30030F"/>
          <w:sz w:val="28"/>
          <w:szCs w:val="28"/>
          <w:lang w:bidi="ar"/>
        </w:rPr>
      </w:pPr>
    </w:p>
    <w:p w14:paraId="3C61A9D3">
      <w:pPr>
        <w:pStyle w:val="3"/>
        <w:spacing w:line="360" w:lineRule="auto"/>
        <w:jc w:val="both"/>
        <w:outlineLvl w:val="9"/>
        <w:rPr>
          <w:rFonts w:hint="default" w:ascii="Arial" w:hAnsi="Arial" w:eastAsia="CanvaSans-Bold" w:cs="Arial"/>
          <w:color w:val="30030F"/>
          <w:sz w:val="28"/>
          <w:szCs w:val="28"/>
          <w:lang w:bidi="ar"/>
        </w:rPr>
      </w:pPr>
    </w:p>
    <w:p w14:paraId="31779352">
      <w:pPr>
        <w:jc w:val="center"/>
        <w:rPr>
          <w:rFonts w:hint="default" w:ascii="Arial" w:hAnsi="Arial" w:cs="Arial"/>
          <w:b/>
          <w:bCs/>
          <w:sz w:val="32"/>
          <w:szCs w:val="32"/>
          <w:lang w:val="en-IN"/>
        </w:rPr>
      </w:pPr>
      <w:r>
        <w:rPr>
          <w:rFonts w:hint="default" w:ascii="Arial" w:hAnsi="Arial" w:cs="Arial"/>
          <w:b/>
          <w:bCs/>
          <w:sz w:val="32"/>
          <w:szCs w:val="32"/>
          <w:lang w:val="en-IN"/>
        </w:rPr>
        <w:t>Acknowledgement</w:t>
      </w:r>
    </w:p>
    <w:p w14:paraId="6264E4BE">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 xml:space="preserve">I would like to express my deepest gratitude to my supervisor, </w:t>
      </w:r>
      <w:r>
        <w:rPr>
          <w:rFonts w:hint="default" w:ascii="Arial" w:hAnsi="Arial" w:cs="Arial"/>
          <w:sz w:val="22"/>
          <w:szCs w:val="22"/>
          <w:lang w:val="en-IN"/>
        </w:rPr>
        <w:t>Dr. Soban Sadiq</w:t>
      </w:r>
      <w:r>
        <w:rPr>
          <w:rFonts w:hint="default" w:ascii="Arial" w:hAnsi="Arial" w:cs="Arial"/>
          <w:sz w:val="22"/>
          <w:szCs w:val="22"/>
        </w:rPr>
        <w:t xml:space="preserve"> , whose expertise, guidance, and encouragement were invaluable throughout every stage of this research. Their insightful feedback and unwavering support greatly enhanced the quality of my work.</w:t>
      </w:r>
    </w:p>
    <w:p w14:paraId="58C66672">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I am also thankful to the</w:t>
      </w:r>
      <w:r>
        <w:rPr>
          <w:rFonts w:hint="default" w:ascii="Arial" w:hAnsi="Arial" w:cs="Arial"/>
          <w:sz w:val="22"/>
          <w:szCs w:val="22"/>
          <w:lang w:val="en-IN"/>
        </w:rPr>
        <w:t xml:space="preserve"> my classmates, faculty and staff</w:t>
      </w:r>
      <w:r>
        <w:rPr>
          <w:rFonts w:hint="default" w:ascii="Arial" w:hAnsi="Arial" w:cs="Arial"/>
          <w:sz w:val="22"/>
          <w:szCs w:val="22"/>
        </w:rPr>
        <w:t xml:space="preserve"> at </w:t>
      </w:r>
      <w:r>
        <w:rPr>
          <w:rFonts w:hint="default" w:ascii="Arial" w:hAnsi="Arial" w:cs="Arial"/>
          <w:sz w:val="22"/>
          <w:szCs w:val="22"/>
          <w:lang w:val="en-IN"/>
        </w:rPr>
        <w:t>University of Wales Trinity Saint David</w:t>
      </w:r>
      <w:r>
        <w:rPr>
          <w:rFonts w:hint="default" w:ascii="Arial" w:hAnsi="Arial" w:cs="Arial"/>
          <w:sz w:val="22"/>
          <w:szCs w:val="22"/>
        </w:rPr>
        <w:t xml:space="preserve"> for providing an inspiring academic environment and access to essential resources. Special thanks go to my colleagues and friends, for their camaraderie, constructive discussions, and moral support.</w:t>
      </w:r>
    </w:p>
    <w:p w14:paraId="67D42612">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 xml:space="preserve">My heartfelt appreciation goes to my family </w:t>
      </w:r>
      <w:r>
        <w:rPr>
          <w:rFonts w:hint="default" w:ascii="Arial" w:hAnsi="Arial" w:cs="Arial"/>
          <w:sz w:val="22"/>
          <w:szCs w:val="22"/>
          <w:lang w:val="en-IN"/>
        </w:rPr>
        <w:t xml:space="preserve">and friends </w:t>
      </w:r>
      <w:r>
        <w:rPr>
          <w:rFonts w:hint="default" w:ascii="Arial" w:hAnsi="Arial" w:cs="Arial"/>
          <w:sz w:val="22"/>
          <w:szCs w:val="22"/>
        </w:rPr>
        <w:t>for their patience, understanding, and constant encouragement during this journey. Without their unwavering belief in me, this dissertation would not have been possible.</w:t>
      </w:r>
    </w:p>
    <w:p w14:paraId="7424CE17">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lang w:val="en-IN"/>
        </w:rPr>
      </w:pPr>
      <w:r>
        <w:rPr>
          <w:rFonts w:hint="default" w:ascii="Arial" w:hAnsi="Arial" w:cs="Arial"/>
          <w:sz w:val="22"/>
          <w:szCs w:val="22"/>
        </w:rPr>
        <w:t>Finally, I acknowledge all participants and contributors whose involvement made this research possible. Thank you all for your invaluable support and contributions</w:t>
      </w:r>
      <w:r>
        <w:rPr>
          <w:rFonts w:hint="default" w:ascii="Arial" w:hAnsi="Arial" w:cs="Arial"/>
          <w:sz w:val="22"/>
          <w:szCs w:val="22"/>
          <w:lang w:val="en-IN"/>
        </w:rPr>
        <w:t>.</w:t>
      </w:r>
    </w:p>
    <w:p w14:paraId="67F1A86B">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lang w:val="en-IN"/>
        </w:rPr>
      </w:pPr>
    </w:p>
    <w:p w14:paraId="4E981CD7">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lang w:val="en-IN"/>
        </w:rPr>
      </w:pPr>
      <w:r>
        <w:rPr>
          <w:rFonts w:hint="default" w:ascii="Arial" w:hAnsi="Arial" w:cs="Arial"/>
          <w:sz w:val="22"/>
          <w:szCs w:val="22"/>
          <w:lang w:val="en-IN"/>
        </w:rPr>
        <w:t>Khushi Patel.</w:t>
      </w:r>
    </w:p>
    <w:p w14:paraId="5E1F5800">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15100A34">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4C70D59B">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1905A890">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5AA79455">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1405FBFC">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0416F879">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26BEE826">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3301E715">
      <w:pPr>
        <w:pStyle w:val="85"/>
        <w:keepNext w:val="0"/>
        <w:keepLines w:val="0"/>
        <w:widowControl/>
        <w:suppressLineNumbers w:val="0"/>
        <w:spacing w:before="0" w:beforeAutospacing="1" w:after="0" w:afterAutospacing="1" w:line="360" w:lineRule="auto"/>
        <w:ind w:left="0" w:right="0"/>
        <w:jc w:val="both"/>
        <w:rPr>
          <w:rFonts w:hint="default" w:ascii="Arial" w:hAnsi="Arial" w:cs="Arial"/>
          <w:lang w:val="en-IN"/>
        </w:rPr>
      </w:pPr>
    </w:p>
    <w:p w14:paraId="2E9A651A">
      <w:pPr>
        <w:pStyle w:val="3"/>
        <w:spacing w:line="360" w:lineRule="auto"/>
        <w:jc w:val="center"/>
        <w:rPr>
          <w:rFonts w:hint="default" w:ascii="Arial" w:hAnsi="Arial" w:eastAsia="CanvaSans-Bold" w:cs="Arial"/>
          <w:color w:val="30030F"/>
          <w:sz w:val="22"/>
          <w:szCs w:val="22"/>
          <w:lang w:val="en-IN" w:bidi="ar"/>
        </w:rPr>
      </w:pPr>
      <w:bookmarkStart w:id="2" w:name="_Toc6342"/>
      <w:bookmarkStart w:id="3" w:name="_Toc8181"/>
      <w:r>
        <w:rPr>
          <w:rFonts w:hint="default" w:ascii="Arial" w:hAnsi="Arial" w:eastAsia="CanvaSans-Bold" w:cs="Arial"/>
          <w:color w:val="30030F"/>
          <w:sz w:val="22"/>
          <w:szCs w:val="22"/>
          <w:lang w:val="en-IN" w:bidi="ar"/>
        </w:rPr>
        <w:t>Abstract</w:t>
      </w:r>
      <w:bookmarkEnd w:id="2"/>
      <w:bookmarkEnd w:id="3"/>
    </w:p>
    <w:p w14:paraId="4A8509E9">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This systematic review explores the complex impact of breast cancer diagnosis and treatment on women's mental health in the United Kingdom. With breast cancer representing the most common cancer among UK women and survival rates improving markedly, the growing population of survivors faces persistent psychosocial challenges extending beyond physical recovery. Drawing on a comprehensive synthesis of UK-based qualitative, quantitative, and mixed-methods studies published from 2015 to 2025, the review highlights the elevated prevalence of psychological distress including anxiety, depression, post-traumatic stress, and adjustment disorders. These challenges often begin at diagnosis and may persist for years, compounded by treatment side effects such as fatigue, chronic pain, cognitive dysfunction ("chemo brain"), and sexual dysfunction.</w:t>
      </w:r>
    </w:p>
    <w:p w14:paraId="058F44B2">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Beyond common symptoms, survivors frequently experience biographical disruption involving altered body image, disrupted identity, and social isolation, especially among younger women and ethnic minority groups. Access to adequate mental health services remains inconsistent, with socioeconomic disparities and cultural barriers limiting equitable care. Effective interventions like cognitive-behavioral therapies, peer support, stress management, and digital health solutions show promise but are underutilized in routine practice.</w:t>
      </w:r>
    </w:p>
    <w:p w14:paraId="7DFF1A3E">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The review underscores the importance of a holistic, integrated survivorship care model incorporating multidisciplinary teams, routine mental health screening, culturally sensitive support, and personalized follow-up to address the multifaceted needs of survivors. The synthesis also identifies significant gaps in research on long-term psychological trajectories, interventions for sexual and cognitive dysfunction, and mechanisms underlying vulnerability and resilience.</w:t>
      </w:r>
    </w:p>
    <w:p w14:paraId="57E448E5">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r>
        <w:rPr>
          <w:rFonts w:hint="default" w:ascii="Arial" w:hAnsi="Arial" w:cs="Arial"/>
          <w:sz w:val="22"/>
          <w:szCs w:val="22"/>
        </w:rPr>
        <w:t>Despite medical advances increasing survival, the psychosocial burden of breast cancer remains high, necessitating health system reforms to enhance mental health support and reduce disparities. These findings provide a critical evidence base to inform clinical guidelines, policy development, and future research to improve quality of life and mental wellbeing for breast cancer survivors across the UK.</w:t>
      </w:r>
    </w:p>
    <w:p w14:paraId="02D96C6C">
      <w:pPr>
        <w:pStyle w:val="85"/>
        <w:keepNext w:val="0"/>
        <w:keepLines w:val="0"/>
        <w:widowControl/>
        <w:suppressLineNumbers w:val="0"/>
        <w:spacing w:before="0" w:beforeAutospacing="1" w:after="0" w:afterAutospacing="1" w:line="360" w:lineRule="auto"/>
        <w:ind w:left="0" w:right="0"/>
        <w:jc w:val="both"/>
        <w:rPr>
          <w:rFonts w:hint="default" w:ascii="Arial" w:hAnsi="Arial" w:cs="Arial"/>
          <w:sz w:val="22"/>
          <w:szCs w:val="22"/>
        </w:rPr>
      </w:pPr>
    </w:p>
    <w:p w14:paraId="6E1B91A0">
      <w:pPr>
        <w:pStyle w:val="3"/>
        <w:spacing w:line="360" w:lineRule="auto"/>
        <w:jc w:val="both"/>
        <w:outlineLvl w:val="9"/>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244D20CF">
      <w:pPr>
        <w:pStyle w:val="143"/>
        <w:tabs>
          <w:tab w:val="right" w:leader="dot" w:pos="8306"/>
        </w:tabs>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t>Table of Contents:</w:t>
      </w:r>
    </w:p>
    <w:p w14:paraId="12E674E9">
      <w:pPr>
        <w:pStyle w:val="143"/>
        <w:tabs>
          <w:tab w:val="right" w:leader="dot" w:pos="8306"/>
        </w:tabs>
      </w:pPr>
      <w: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fldChar w:fldCharType="begin"/>
      </w:r>
      <w: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instrText xml:space="preserve">TOC \o "1-3" \h \u </w:instrText>
      </w:r>
      <w: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fldChar w:fldCharType="separate"/>
      </w:r>
    </w:p>
    <w:p w14:paraId="557ED48A">
      <w:pPr>
        <w:pStyle w:val="143"/>
        <w:tabs>
          <w:tab w:val="right" w:leader="dot" w:pos="8306"/>
        </w:tabs>
        <w:rPr>
          <w:rFonts w:hint="default" w:asciiTheme="minorAscii" w:hAnsiTheme="minorAscii"/>
          <w:color w:val="auto"/>
        </w:rPr>
      </w:pPr>
      <w:r>
        <w:rPr>
          <w:rFonts w:hint="default" w:cs="Arial" w:asciiTheme="minorAscii" w:hAnsiTheme="minorAscii"/>
          <w:color w:val="auto"/>
          <w:szCs w:val="22"/>
          <w:lang w:val="en-IN"/>
        </w:rPr>
        <w:fldChar w:fldCharType="begin"/>
      </w:r>
      <w:r>
        <w:rPr>
          <w:rFonts w:hint="default" w:cs="Arial" w:asciiTheme="minorAscii" w:hAnsiTheme="minorAscii"/>
          <w:color w:val="auto"/>
          <w:szCs w:val="22"/>
          <w:lang w:val="en-IN"/>
        </w:rPr>
        <w:instrText xml:space="preserve"> HYPERLINK \l _Toc19695 </w:instrText>
      </w:r>
      <w:r>
        <w:rPr>
          <w:rFonts w:hint="default" w:cs="Arial" w:asciiTheme="minorAscii" w:hAnsiTheme="minorAscii"/>
          <w:color w:val="auto"/>
          <w:szCs w:val="22"/>
          <w:lang w:val="en-IN"/>
        </w:rPr>
        <w:fldChar w:fldCharType="separate"/>
      </w:r>
      <w:r>
        <w:rPr>
          <w:rFonts w:hint="default" w:cs="Arial" w:asciiTheme="minorAscii" w:hAnsiTheme="minorAscii"/>
          <w:color w:val="auto"/>
          <w:szCs w:val="22"/>
        </w:rPr>
        <w:t>Chapter 1: Introduction</w:t>
      </w:r>
      <w:r>
        <w:rPr>
          <w:rFonts w:hint="default" w:asciiTheme="minorAscii" w:hAnsiTheme="minorAscii"/>
          <w:color w:val="auto"/>
        </w:rPr>
        <w:tab/>
      </w:r>
      <w:r>
        <w:rPr>
          <w:rFonts w:hint="default" w:asciiTheme="minorAscii" w:hAnsiTheme="minorAscii"/>
          <w:color w:val="auto"/>
        </w:rPr>
        <w:fldChar w:fldCharType="begin"/>
      </w:r>
      <w:r>
        <w:rPr>
          <w:rFonts w:hint="default" w:asciiTheme="minorAscii" w:hAnsiTheme="minorAscii"/>
          <w:color w:val="auto"/>
        </w:rPr>
        <w:instrText xml:space="preserve"> PAGEREF _Toc19695 \h </w:instrText>
      </w:r>
      <w:r>
        <w:rPr>
          <w:rFonts w:hint="default" w:asciiTheme="minorAscii" w:hAnsiTheme="minorAscii"/>
          <w:color w:val="auto"/>
        </w:rPr>
        <w:fldChar w:fldCharType="separate"/>
      </w:r>
      <w:r>
        <w:rPr>
          <w:rFonts w:hint="default" w:asciiTheme="minorAscii" w:hAnsiTheme="minorAscii"/>
          <w:color w:val="auto"/>
        </w:rPr>
        <w:t>1</w:t>
      </w:r>
      <w:r>
        <w:rPr>
          <w:rFonts w:hint="default" w:asciiTheme="minorAscii" w:hAnsiTheme="minorAscii"/>
          <w:color w:val="auto"/>
        </w:rPr>
        <w:fldChar w:fldCharType="end"/>
      </w:r>
      <w:r>
        <w:rPr>
          <w:rFonts w:hint="default" w:cs="Arial" w:asciiTheme="minorAscii" w:hAnsiTheme="minorAscii"/>
          <w:color w:val="auto"/>
          <w:szCs w:val="22"/>
          <w:lang w:val="en-IN"/>
        </w:rPr>
        <w:fldChar w:fldCharType="end"/>
      </w:r>
    </w:p>
    <w:p w14:paraId="5BDA7321">
      <w:pPr>
        <w:pStyle w:val="144"/>
        <w:tabs>
          <w:tab w:val="right" w:leader="dot" w:pos="8306"/>
        </w:tabs>
      </w:pPr>
      <w:r>
        <w:rPr>
          <w:rFonts w:hint="default" w:cs="Arial" w:asciiTheme="minorAscii" w:hAnsiTheme="minorAscii"/>
          <w:color w:val="auto"/>
          <w:szCs w:val="22"/>
          <w:lang w:val="en-IN"/>
        </w:rPr>
        <w:fldChar w:fldCharType="begin"/>
      </w:r>
      <w:r>
        <w:rPr>
          <w:rFonts w:hint="default" w:cs="Arial" w:asciiTheme="minorAscii" w:hAnsiTheme="minorAscii"/>
          <w:color w:val="auto"/>
          <w:szCs w:val="22"/>
          <w:lang w:val="en-IN"/>
        </w:rPr>
        <w:instrText xml:space="preserve"> HYPERLINK \l _Toc6180 </w:instrText>
      </w:r>
      <w:r>
        <w:rPr>
          <w:rFonts w:hint="default" w:cs="Arial" w:asciiTheme="minorAscii" w:hAnsiTheme="minorAscii"/>
          <w:color w:val="auto"/>
          <w:szCs w:val="22"/>
          <w:lang w:val="en-IN"/>
        </w:rPr>
        <w:fldChar w:fldCharType="separate"/>
      </w:r>
      <w:r>
        <w:rPr>
          <w:rFonts w:hint="default" w:cs="Arial" w:asciiTheme="minorAscii" w:hAnsiTheme="minorAscii"/>
          <w:b w:val="0"/>
          <w:bCs w:val="0"/>
          <w:color w:val="auto"/>
          <w:szCs w:val="22"/>
        </w:rPr>
        <w:t>1.1 Breast Cancer Prevalence in the United Kingdom</w:t>
      </w:r>
      <w:r>
        <w:rPr>
          <w:rFonts w:hint="default" w:asciiTheme="minorAscii" w:hAnsiTheme="minorAscii"/>
          <w:color w:val="auto"/>
        </w:rPr>
        <w:tab/>
      </w:r>
      <w:r>
        <w:rPr>
          <w:rFonts w:hint="default" w:asciiTheme="minorAscii" w:hAnsiTheme="minorAscii"/>
          <w:color w:val="auto"/>
        </w:rPr>
        <w:fldChar w:fldCharType="begin"/>
      </w:r>
      <w:r>
        <w:rPr>
          <w:rFonts w:hint="default" w:asciiTheme="minorAscii" w:hAnsiTheme="minorAscii"/>
          <w:color w:val="auto"/>
        </w:rPr>
        <w:instrText xml:space="preserve"> PAGEREF _Toc6180 \h </w:instrText>
      </w:r>
      <w:r>
        <w:rPr>
          <w:rFonts w:hint="default" w:asciiTheme="minorAscii" w:hAnsiTheme="minorAscii"/>
          <w:color w:val="auto"/>
        </w:rPr>
        <w:fldChar w:fldCharType="separate"/>
      </w:r>
      <w:r>
        <w:rPr>
          <w:rFonts w:hint="default" w:asciiTheme="minorAscii" w:hAnsiTheme="minorAscii"/>
          <w:color w:val="auto"/>
        </w:rPr>
        <w:t>1</w:t>
      </w:r>
      <w:r>
        <w:rPr>
          <w:rFonts w:hint="default" w:asciiTheme="minorAscii" w:hAnsiTheme="minorAscii"/>
          <w:color w:val="auto"/>
        </w:rPr>
        <w:fldChar w:fldCharType="end"/>
      </w:r>
      <w:r>
        <w:rPr>
          <w:rFonts w:hint="default" w:cs="Arial" w:asciiTheme="minorAscii" w:hAnsiTheme="minorAscii"/>
          <w:color w:val="auto"/>
          <w:szCs w:val="22"/>
          <w:lang w:val="en-IN"/>
        </w:rPr>
        <w:fldChar w:fldCharType="end"/>
      </w:r>
    </w:p>
    <w:p w14:paraId="1C8C44DD">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_Toc29929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t>1.2 Psychological Impact of Breast Cancer</w:t>
      </w:r>
      <w:r>
        <w:tab/>
      </w:r>
      <w:r>
        <w:fldChar w:fldCharType="begin"/>
      </w:r>
      <w:r>
        <w:instrText xml:space="preserve"> PAGEREF _Toc29929 \h </w:instrText>
      </w:r>
      <w:r>
        <w:fldChar w:fldCharType="separate"/>
      </w:r>
      <w:r>
        <w:t>2</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56A8261F">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_Toc8480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t>1.3 Mental Health and Cancer Care in the UK</w:t>
      </w:r>
      <w:r>
        <w:tab/>
      </w:r>
      <w:r>
        <w:fldChar w:fldCharType="begin"/>
      </w:r>
      <w:r>
        <w:instrText xml:space="preserve"> PAGEREF _Toc8480 \h </w:instrText>
      </w:r>
      <w:r>
        <w:fldChar w:fldCharType="separate"/>
      </w:r>
      <w:r>
        <w:t>3</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2CCBFB8D">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_Toc24926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1.4 </w:t>
      </w:r>
      <w:r>
        <w:rPr>
          <w:rFonts w:hint="default"/>
        </w:rPr>
        <w:t>Interventions, Policy, and Research Gaps</w:t>
      </w:r>
      <w:r>
        <w:tab/>
      </w:r>
      <w:r>
        <w:fldChar w:fldCharType="begin"/>
      </w:r>
      <w:r>
        <w:instrText xml:space="preserve"> PAGEREF _Toc24926 \h </w:instrText>
      </w:r>
      <w:r>
        <w:fldChar w:fldCharType="separate"/>
      </w:r>
      <w:r>
        <w:t>6</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3735E787">
      <w:pPr>
        <w:pStyle w:val="143"/>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_Toc226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Chapter 2: Literature Review</w:t>
      </w:r>
      <w:r>
        <w:tab/>
      </w:r>
      <w:r>
        <w:fldChar w:fldCharType="begin"/>
      </w:r>
      <w:r>
        <w:instrText xml:space="preserve"> PAGEREF _Toc226 \h </w:instrText>
      </w:r>
      <w:r>
        <w:fldChar w:fldCharType="separate"/>
      </w:r>
      <w:r>
        <w:t>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3A4FFE76">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_Toc20614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2.1 </w:t>
      </w:r>
      <w:r>
        <w:rPr>
          <w:rFonts w:hint="default"/>
        </w:rPr>
        <w:t>Introduction</w:t>
      </w:r>
      <w:r>
        <w:tab/>
      </w:r>
      <w:r>
        <w:fldChar w:fldCharType="begin"/>
      </w:r>
      <w:r>
        <w:instrText xml:space="preserve"> PAGEREF _Toc20614 \h </w:instrText>
      </w:r>
      <w:r>
        <w:fldChar w:fldCharType="separate"/>
      </w:r>
      <w:r>
        <w:t>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4DBB8482">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_Toc30163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2.2 </w:t>
      </w:r>
      <w:r>
        <w:rPr>
          <w:rFonts w:hint="default"/>
        </w:rPr>
        <w:t>Epidemiology and Mental Health Burden</w:t>
      </w:r>
      <w:r>
        <w:tab/>
      </w:r>
      <w:r>
        <w:fldChar w:fldCharType="begin"/>
      </w:r>
      <w:r>
        <w:instrText xml:space="preserve"> PAGEREF _Toc30163 \h </w:instrText>
      </w:r>
      <w:r>
        <w:fldChar w:fldCharType="separate"/>
      </w:r>
      <w:r>
        <w:t>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7DAFD9F">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_Toc11249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2.3 </w:t>
      </w:r>
      <w:r>
        <w:rPr>
          <w:rFonts w:hint="default"/>
        </w:rPr>
        <w:t>Qualitative Insights and Survivor Narratives</w:t>
      </w:r>
      <w:r>
        <w:tab/>
      </w:r>
      <w:r>
        <w:fldChar w:fldCharType="begin"/>
      </w:r>
      <w:r>
        <w:instrText xml:space="preserve"> PAGEREF _Toc11249 \h </w:instrText>
      </w:r>
      <w:r>
        <w:fldChar w:fldCharType="separate"/>
      </w:r>
      <w:r>
        <w:t>10</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9EA3A37">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_Toc12150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2.4 </w:t>
      </w:r>
      <w:r>
        <w:rPr>
          <w:rFonts w:hint="default"/>
        </w:rPr>
        <w:t>Social, Economic, and Ethnic Disparities</w:t>
      </w:r>
      <w:r>
        <w:tab/>
      </w:r>
      <w:r>
        <w:fldChar w:fldCharType="begin"/>
      </w:r>
      <w:r>
        <w:instrText xml:space="preserve"> PAGEREF _Toc12150 \h </w:instrText>
      </w:r>
      <w:r>
        <w:fldChar w:fldCharType="separate"/>
      </w:r>
      <w:r>
        <w:t>10</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5FC4FAC3">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_Toc11127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2.5 </w:t>
      </w:r>
      <w:r>
        <w:rPr>
          <w:rFonts w:hint="default"/>
        </w:rPr>
        <w:t>Treatment Effects: Surgery, Chemotherapy, Radiotherapy</w:t>
      </w:r>
      <w:r>
        <w:tab/>
      </w:r>
      <w:r>
        <w:fldChar w:fldCharType="begin"/>
      </w:r>
      <w:r>
        <w:instrText xml:space="preserve"> PAGEREF _Toc11127 \h </w:instrText>
      </w:r>
      <w:r>
        <w:fldChar w:fldCharType="separate"/>
      </w:r>
      <w:r>
        <w:t>12</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33349511">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_Toc31543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2.6 </w:t>
      </w:r>
      <w:r>
        <w:rPr>
          <w:rFonts w:hint="default"/>
        </w:rPr>
        <w:t>Cognitive Function, Fatigue, and Pain</w:t>
      </w:r>
      <w:r>
        <w:tab/>
      </w:r>
      <w:r>
        <w:fldChar w:fldCharType="begin"/>
      </w:r>
      <w:r>
        <w:instrText xml:space="preserve"> PAGEREF _Toc31543 \h </w:instrText>
      </w:r>
      <w:r>
        <w:fldChar w:fldCharType="separate"/>
      </w:r>
      <w:r>
        <w:t>12</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06C1B2F5">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_Toc17568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2.7 </w:t>
      </w:r>
      <w:r>
        <w:rPr>
          <w:rFonts w:hint="default"/>
        </w:rPr>
        <w:t>Access to Psychosocial Interventions and NHS Support</w:t>
      </w:r>
      <w:r>
        <w:tab/>
      </w:r>
      <w:r>
        <w:fldChar w:fldCharType="begin"/>
      </w:r>
      <w:r>
        <w:instrText xml:space="preserve"> PAGEREF _Toc17568 \h </w:instrText>
      </w:r>
      <w:r>
        <w:fldChar w:fldCharType="separate"/>
      </w:r>
      <w:r>
        <w:t>15</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2DE3EC3C">
      <w:pPr>
        <w:pStyle w:val="143"/>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_Toc30836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t>Chapter 3: Methodology</w:t>
      </w:r>
      <w:r>
        <w:tab/>
      </w:r>
      <w:r>
        <w:fldChar w:fldCharType="begin"/>
      </w:r>
      <w:r>
        <w:instrText xml:space="preserve"> PAGEREF _Toc30836 \h </w:instrText>
      </w:r>
      <w:r>
        <w:fldChar w:fldCharType="separate"/>
      </w:r>
      <w:r>
        <w:t>18</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0AE961FE">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_Toc23258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3.1 Introduction</w:t>
      </w:r>
      <w:r>
        <w:tab/>
      </w:r>
      <w:r>
        <w:fldChar w:fldCharType="begin"/>
      </w:r>
      <w:r>
        <w:instrText xml:space="preserve"> PAGEREF _Toc23258 \h </w:instrText>
      </w:r>
      <w:r>
        <w:fldChar w:fldCharType="separate"/>
      </w:r>
      <w:r>
        <w:t>18</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F50821A">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_Toc3860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w:t>
      </w:r>
      <w:r>
        <w:rPr>
          <w:rFonts w:hint="default"/>
          <w:lang w:val="en-IN"/>
        </w:rPr>
        <w:t>2</w:t>
      </w:r>
      <w:r>
        <w:rPr>
          <w:rFonts w:hint="default"/>
        </w:rPr>
        <w:t xml:space="preserve"> PRISMA Framework Explanation</w:t>
      </w:r>
      <w:r>
        <w:tab/>
      </w:r>
      <w:r>
        <w:fldChar w:fldCharType="begin"/>
      </w:r>
      <w:r>
        <w:instrText xml:space="preserve"> PAGEREF _Toc3860 \h </w:instrText>
      </w:r>
      <w:r>
        <w:fldChar w:fldCharType="separate"/>
      </w:r>
      <w:r>
        <w:t>18</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7AF9A2BD">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_Toc5460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w:t>
      </w:r>
      <w:r>
        <w:rPr>
          <w:rFonts w:hint="default"/>
          <w:lang w:val="en-IN"/>
        </w:rPr>
        <w:t>2</w:t>
      </w:r>
      <w:r>
        <w:rPr>
          <w:rFonts w:hint="default"/>
        </w:rPr>
        <w:t>.1 Rationale for PRISMA</w:t>
      </w:r>
      <w:r>
        <w:tab/>
      </w:r>
      <w:r>
        <w:fldChar w:fldCharType="begin"/>
      </w:r>
      <w:r>
        <w:instrText xml:space="preserve"> PAGEREF _Toc5460 \h </w:instrText>
      </w:r>
      <w:r>
        <w:fldChar w:fldCharType="separate"/>
      </w:r>
      <w:r>
        <w:t>18</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0C772AB1">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_Toc14908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w:t>
      </w:r>
      <w:r>
        <w:rPr>
          <w:rFonts w:hint="default"/>
          <w:lang w:val="en-IN"/>
        </w:rPr>
        <w:t>2</w:t>
      </w:r>
      <w:r>
        <w:rPr>
          <w:rFonts w:hint="default"/>
        </w:rPr>
        <w:t>.2 PRISMA Checklist and Flow Diagram</w:t>
      </w:r>
      <w:r>
        <w:tab/>
      </w:r>
      <w:r>
        <w:fldChar w:fldCharType="begin"/>
      </w:r>
      <w:r>
        <w:instrText xml:space="preserve"> PAGEREF _Toc14908 \h </w:instrText>
      </w:r>
      <w:r>
        <w:fldChar w:fldCharType="separate"/>
      </w:r>
      <w:r>
        <w:t>18</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63700056">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_Toc829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w:t>
      </w:r>
      <w:r>
        <w:rPr>
          <w:rFonts w:hint="default"/>
          <w:lang w:val="en-IN"/>
        </w:rPr>
        <w:t>3</w:t>
      </w:r>
      <w:r>
        <w:rPr>
          <w:rFonts w:hint="default"/>
        </w:rPr>
        <w:t xml:space="preserve"> Protocol and Registration</w:t>
      </w:r>
      <w:r>
        <w:tab/>
      </w:r>
      <w:r>
        <w:fldChar w:fldCharType="begin"/>
      </w:r>
      <w:r>
        <w:instrText xml:space="preserve"> PAGEREF _Toc829 \h </w:instrText>
      </w:r>
      <w:r>
        <w:fldChar w:fldCharType="separate"/>
      </w:r>
      <w:r>
        <w:t>19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2218F3A4">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_Toc9473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w:t>
      </w:r>
      <w:r>
        <w:rPr>
          <w:rFonts w:hint="default"/>
          <w:lang w:val="en-IN"/>
        </w:rPr>
        <w:t>4</w:t>
      </w:r>
      <w:r>
        <w:rPr>
          <w:rFonts w:hint="default"/>
        </w:rPr>
        <w:t xml:space="preserve"> Study Design and Rationale</w:t>
      </w:r>
      <w:r>
        <w:tab/>
      </w:r>
      <w:r>
        <w:fldChar w:fldCharType="begin"/>
      </w:r>
      <w:r>
        <w:instrText xml:space="preserve"> PAGEREF _Toc9473 \h </w:instrText>
      </w:r>
      <w:r>
        <w:fldChar w:fldCharType="separate"/>
      </w:r>
      <w:r>
        <w:t>20</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5AC075BC">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_Toc26065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3.5 Eligibility Criteria</w:t>
      </w:r>
      <w:r>
        <w:tab/>
      </w:r>
      <w:r>
        <w:fldChar w:fldCharType="begin"/>
      </w:r>
      <w:r>
        <w:instrText xml:space="preserve"> PAGEREF _Toc26065 \h </w:instrText>
      </w:r>
      <w:r>
        <w:fldChar w:fldCharType="separate"/>
      </w:r>
      <w:r>
        <w:t>21</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4D49E9E6">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_Toc12957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3.6 Information Sources and Search Strategy</w:t>
      </w:r>
      <w:r>
        <w:tab/>
      </w:r>
      <w:r>
        <w:fldChar w:fldCharType="begin"/>
      </w:r>
      <w:r>
        <w:instrText xml:space="preserve"> PAGEREF _Toc12957 \h </w:instrText>
      </w:r>
      <w:r>
        <w:fldChar w:fldCharType="separate"/>
      </w:r>
      <w:r>
        <w:t>23</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4B22A8F">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_Toc26209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3.6.1 Search Terms</w:t>
      </w:r>
      <w:r>
        <w:tab/>
      </w:r>
      <w:r>
        <w:fldChar w:fldCharType="begin"/>
      </w:r>
      <w:r>
        <w:instrText xml:space="preserve"> PAGEREF _Toc26209 \h </w:instrText>
      </w:r>
      <w:r>
        <w:fldChar w:fldCharType="separate"/>
      </w:r>
      <w:r>
        <w:t>23</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4CC9EE73">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_Toc14670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3.7 Study Selection Process</w:t>
      </w:r>
      <w:r>
        <w:tab/>
      </w:r>
      <w:r>
        <w:fldChar w:fldCharType="begin"/>
      </w:r>
      <w:r>
        <w:instrText xml:space="preserve"> PAGEREF _Toc14670 \h </w:instrText>
      </w:r>
      <w:r>
        <w:fldChar w:fldCharType="separate"/>
      </w:r>
      <w:r>
        <w:t>24</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2FED44ED">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_Toc32715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3.8 Data</w:t>
      </w:r>
      <w:r>
        <w:rPr>
          <w:rFonts w:hint="default"/>
          <w:lang w:val="en-IN"/>
        </w:rPr>
        <w:t xml:space="preserve"> </w:t>
      </w:r>
      <w:r>
        <w:rPr>
          <w:rFonts w:hint="default"/>
        </w:rPr>
        <w:t>Extraction</w:t>
      </w:r>
      <w:r>
        <w:tab/>
      </w:r>
      <w:r>
        <w:fldChar w:fldCharType="begin"/>
      </w:r>
      <w:r>
        <w:instrText xml:space="preserve"> PAGEREF _Toc32715 \h </w:instrText>
      </w:r>
      <w:r>
        <w:fldChar w:fldCharType="separate"/>
      </w:r>
      <w:r>
        <w:t>26</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130AD72">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_Toc4283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3.9 Quality Assessment – CASP</w:t>
      </w:r>
      <w:r>
        <w:tab/>
      </w:r>
      <w:r>
        <w:fldChar w:fldCharType="begin"/>
      </w:r>
      <w:r>
        <w:instrText xml:space="preserve"> PAGEREF _Toc4283 \h </w:instrText>
      </w:r>
      <w:r>
        <w:fldChar w:fldCharType="separate"/>
      </w:r>
      <w:r>
        <w:t>27</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6FB0AE51">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_Toc2597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3.10 Data Synthesis</w:t>
      </w:r>
      <w:r>
        <w:tab/>
      </w:r>
      <w:r>
        <w:fldChar w:fldCharType="begin"/>
      </w:r>
      <w:r>
        <w:instrText xml:space="preserve"> PAGEREF _Toc2597 \h </w:instrText>
      </w:r>
      <w:r>
        <w:fldChar w:fldCharType="separate"/>
      </w:r>
      <w:r>
        <w:t>27</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59EB0FAA">
      <w:pPr>
        <w:pStyle w:val="143"/>
        <w:tabs>
          <w:tab w:val="right" w:leader="dot" w:pos="8306"/>
        </w:tabs>
        <w:ind w:firstLine="800" w:firstLineChars="40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_Toc19690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3.10.1 Qualitative Data</w:t>
      </w:r>
      <w:r>
        <w:tab/>
      </w:r>
      <w:r>
        <w:fldChar w:fldCharType="begin"/>
      </w:r>
      <w:r>
        <w:instrText xml:space="preserve"> PAGEREF _Toc19690 \h </w:instrText>
      </w:r>
      <w:r>
        <w:fldChar w:fldCharType="separate"/>
      </w:r>
      <w:r>
        <w:t>27</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333C743E">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_Toc7294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3.11 Sensitivity Analysis and Quality Assurance</w:t>
      </w:r>
      <w:r>
        <w:tab/>
      </w:r>
      <w:r>
        <w:fldChar w:fldCharType="begin"/>
      </w:r>
      <w:r>
        <w:instrText xml:space="preserve"> PAGEREF _Toc7294 \h </w:instrText>
      </w:r>
      <w:r>
        <w:fldChar w:fldCharType="separate"/>
      </w:r>
      <w:r>
        <w:t>28</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6BD0B11E">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_Toc14153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3.12 Ethical Considerations</w:t>
      </w:r>
      <w:r>
        <w:tab/>
      </w:r>
      <w:r>
        <w:fldChar w:fldCharType="begin"/>
      </w:r>
      <w:r>
        <w:instrText xml:space="preserve"> PAGEREF _Toc14153 \h </w:instrText>
      </w:r>
      <w:r>
        <w:fldChar w:fldCharType="separate"/>
      </w:r>
      <w:r>
        <w:t>28</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5BC0FEFE">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_Toc5825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3.13 Limitations</w:t>
      </w:r>
      <w:r>
        <w:tab/>
      </w:r>
      <w:r>
        <w:fldChar w:fldCharType="begin"/>
      </w:r>
      <w:r>
        <w:instrText xml:space="preserve"> PAGEREF _Toc5825 \h </w:instrText>
      </w:r>
      <w:r>
        <w:fldChar w:fldCharType="separate"/>
      </w:r>
      <w:r>
        <w:t>29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61A195F9">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_Toc17284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rPr>
        <w:t>3.14 Summary</w:t>
      </w:r>
      <w:r>
        <w:tab/>
      </w:r>
      <w:r>
        <w:fldChar w:fldCharType="begin"/>
      </w:r>
      <w:r>
        <w:instrText xml:space="preserve"> PAGEREF _Toc17284 \h </w:instrText>
      </w:r>
      <w:r>
        <w:fldChar w:fldCharType="separate"/>
      </w:r>
      <w:r>
        <w:t>30</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21CC2114">
      <w:pPr>
        <w:pStyle w:val="143"/>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_Toc2984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Chapter 4: Thematic Analysis</w:t>
      </w:r>
      <w:r>
        <w:tab/>
      </w:r>
      <w:r>
        <w:fldChar w:fldCharType="begin"/>
      </w:r>
      <w:r>
        <w:instrText xml:space="preserve"> PAGEREF _Toc2984 \h </w:instrText>
      </w:r>
      <w:r>
        <w:fldChar w:fldCharType="separate"/>
      </w:r>
      <w:r>
        <w:t>31</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6163E82D">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_Toc30752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4.1 Discussion:</w:t>
      </w:r>
      <w:r>
        <w:tab/>
      </w:r>
      <w:r>
        <w:fldChar w:fldCharType="begin"/>
      </w:r>
      <w:r>
        <w:instrText xml:space="preserve"> PAGEREF _Toc30752 \h </w:instrText>
      </w:r>
      <w:r>
        <w:fldChar w:fldCharType="separate"/>
      </w:r>
      <w:r>
        <w:t>31</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2AAB1C31">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_Toc4985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4.2 Thematic Identification and Analysis:</w:t>
      </w:r>
      <w:r>
        <w:tab/>
      </w:r>
      <w:r>
        <w:fldChar w:fldCharType="begin"/>
      </w:r>
      <w:r>
        <w:instrText xml:space="preserve"> PAGEREF _Toc4985 \h </w:instrText>
      </w:r>
      <w:r>
        <w:fldChar w:fldCharType="separate"/>
      </w:r>
      <w:r>
        <w:t>32</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278C2926">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_Toc20701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4.2.1 </w:t>
      </w:r>
      <w:r>
        <w:rPr>
          <w:rFonts w:hint="default"/>
        </w:rPr>
        <w:t>Theme 1: Emotional Turbulence and Vulnerability</w:t>
      </w:r>
      <w:r>
        <w:tab/>
      </w:r>
      <w:r>
        <w:fldChar w:fldCharType="begin"/>
      </w:r>
      <w:r>
        <w:instrText xml:space="preserve"> PAGEREF _Toc20701 \h </w:instrText>
      </w:r>
      <w:r>
        <w:fldChar w:fldCharType="separate"/>
      </w:r>
      <w:r>
        <w:t>32</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2D98A6C7">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_Toc17519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4.2.2 </w:t>
      </w:r>
      <w:r>
        <w:rPr>
          <w:rFonts w:hint="default"/>
        </w:rPr>
        <w:t>Theme 2: Search for Normalcy and Biographical Disruption</w:t>
      </w:r>
      <w:r>
        <w:tab/>
      </w:r>
      <w:r>
        <w:fldChar w:fldCharType="begin"/>
      </w:r>
      <w:r>
        <w:instrText xml:space="preserve"> PAGEREF _Toc17519 \h </w:instrText>
      </w:r>
      <w:r>
        <w:fldChar w:fldCharType="separate"/>
      </w:r>
      <w:r>
        <w:t>35</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64EFC2C7">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_Toc1057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4.2.3 </w:t>
      </w:r>
      <w:r>
        <w:rPr>
          <w:rFonts w:hint="default"/>
        </w:rPr>
        <w:t>Theme 3: Sexual Dysfunction, Intimacy, and Femininity</w:t>
      </w:r>
      <w:r>
        <w:tab/>
      </w:r>
      <w:r>
        <w:fldChar w:fldCharType="begin"/>
      </w:r>
      <w:r>
        <w:instrText xml:space="preserve"> PAGEREF _Toc1057 \h </w:instrText>
      </w:r>
      <w:r>
        <w:fldChar w:fldCharType="separate"/>
      </w:r>
      <w:r>
        <w:t>37</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72EAD21">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_Toc20906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4.2.4 </w:t>
      </w:r>
      <w:r>
        <w:rPr>
          <w:rFonts w:hint="default"/>
        </w:rPr>
        <w:t>Theme 4: Cognitive Dysfunction, Fatigue, and Pain</w:t>
      </w:r>
      <w:r>
        <w:tab/>
      </w:r>
      <w:r>
        <w:fldChar w:fldCharType="begin"/>
      </w:r>
      <w:r>
        <w:instrText xml:space="preserve"> PAGEREF _Toc20906 \h </w:instrText>
      </w:r>
      <w:r>
        <w:fldChar w:fldCharType="separate"/>
      </w:r>
      <w:r>
        <w:t>39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3672E175">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_Toc12884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4.2.5 </w:t>
      </w:r>
      <w:r>
        <w:rPr>
          <w:rFonts w:hint="default"/>
        </w:rPr>
        <w:t>Theme</w:t>
      </w:r>
      <w:r>
        <w:rPr>
          <w:rFonts w:hint="default"/>
          <w:lang w:val="en-IN"/>
        </w:rPr>
        <w:t xml:space="preserve"> 5</w:t>
      </w:r>
      <w:r>
        <w:rPr>
          <w:rFonts w:hint="default"/>
        </w:rPr>
        <w:t>: Social Marginali</w:t>
      </w:r>
      <w:r>
        <w:rPr>
          <w:rFonts w:hint="default"/>
          <w:lang w:val="en-IN"/>
        </w:rPr>
        <w:t>z</w:t>
      </w:r>
      <w:r>
        <w:rPr>
          <w:rFonts w:hint="default"/>
        </w:rPr>
        <w:t>ation, Healthcare Communication, and Health Equity</w:t>
      </w:r>
      <w:r>
        <w:tab/>
      </w:r>
      <w:r>
        <w:fldChar w:fldCharType="begin"/>
      </w:r>
      <w:r>
        <w:instrText xml:space="preserve"> PAGEREF _Toc12884 \h </w:instrText>
      </w:r>
      <w:r>
        <w:fldChar w:fldCharType="separate"/>
      </w:r>
      <w:r>
        <w:t>41</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F751928">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_Toc623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4.2.6 </w:t>
      </w:r>
      <w:r>
        <w:rPr>
          <w:rFonts w:hint="default"/>
        </w:rPr>
        <w:t xml:space="preserve">Theme </w:t>
      </w:r>
      <w:r>
        <w:rPr>
          <w:rFonts w:hint="default"/>
          <w:lang w:val="en-IN"/>
        </w:rPr>
        <w:t>6</w:t>
      </w:r>
      <w:r>
        <w:rPr>
          <w:rFonts w:hint="default"/>
        </w:rPr>
        <w:t>: Coping Strategies and Support Networks</w:t>
      </w:r>
      <w:r>
        <w:tab/>
      </w:r>
      <w:r>
        <w:fldChar w:fldCharType="begin"/>
      </w:r>
      <w:r>
        <w:instrText xml:space="preserve"> PAGEREF _Toc623 \h </w:instrText>
      </w:r>
      <w:r>
        <w:fldChar w:fldCharType="separate"/>
      </w:r>
      <w:r>
        <w:t>42</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763F9D4E">
      <w:pPr>
        <w:pStyle w:val="143"/>
        <w:tabs>
          <w:tab w:val="right" w:leader="dot" w:pos="8306"/>
        </w:tabs>
        <w:ind w:firstLine="700" w:firstLineChars="350"/>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_Toc6151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 xml:space="preserve">4.2.7 </w:t>
      </w:r>
      <w:r>
        <w:rPr>
          <w:rFonts w:hint="default"/>
        </w:rPr>
        <w:t xml:space="preserve">Theme </w:t>
      </w:r>
      <w:r>
        <w:rPr>
          <w:rFonts w:hint="default"/>
          <w:lang w:val="en-IN"/>
        </w:rPr>
        <w:t>7</w:t>
      </w:r>
      <w:r>
        <w:rPr>
          <w:rFonts w:hint="default"/>
        </w:rPr>
        <w:t>: Quality of Care and Service Provision</w:t>
      </w:r>
      <w:r>
        <w:tab/>
      </w:r>
      <w:r>
        <w:fldChar w:fldCharType="begin"/>
      </w:r>
      <w:r>
        <w:instrText xml:space="preserve"> PAGEREF _Toc6151 \h </w:instrText>
      </w:r>
      <w:r>
        <w:fldChar w:fldCharType="separate"/>
      </w:r>
      <w:r>
        <w:t>44</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4D8EDB2C">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_Toc7148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4.3 Conclusion</w:t>
      </w:r>
      <w:r>
        <w:tab/>
      </w:r>
      <w:r>
        <w:fldChar w:fldCharType="begin"/>
      </w:r>
      <w:r>
        <w:instrText xml:space="preserve"> PAGEREF _Toc7148 \h </w:instrText>
      </w:r>
      <w:r>
        <w:fldChar w:fldCharType="separate"/>
      </w:r>
      <w:r>
        <w:t>46</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EA4B91D">
      <w:pPr>
        <w:pStyle w:val="143"/>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_Toc521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Chapter 5: Conclusion and Recommendations</w:t>
      </w:r>
      <w:r>
        <w:tab/>
      </w:r>
      <w:r>
        <w:fldChar w:fldCharType="begin"/>
      </w:r>
      <w:r>
        <w:instrText xml:space="preserve"> PAGEREF _Toc521 \h </w:instrText>
      </w:r>
      <w:r>
        <w:fldChar w:fldCharType="separate"/>
      </w:r>
      <w:r>
        <w:t>49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188954F2">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_Toc18216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5.1 Conclusion</w:t>
      </w:r>
      <w:r>
        <w:tab/>
      </w:r>
      <w:r>
        <w:fldChar w:fldCharType="begin"/>
      </w:r>
      <w:r>
        <w:instrText xml:space="preserve"> PAGEREF _Toc18216 \h </w:instrText>
      </w:r>
      <w:r>
        <w:fldChar w:fldCharType="separate"/>
      </w:r>
      <w:r>
        <w:t>49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7DF301B8">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_Toc15636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5.2 Recommendations</w:t>
      </w:r>
      <w:r>
        <w:tab/>
      </w:r>
      <w:r>
        <w:fldChar w:fldCharType="begin"/>
      </w:r>
      <w:r>
        <w:instrText xml:space="preserve"> PAGEREF _Toc15636 \h </w:instrText>
      </w:r>
      <w:r>
        <w:fldChar w:fldCharType="separate"/>
      </w:r>
      <w:r>
        <w:t>50</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6CE58530">
      <w:pPr>
        <w:pStyle w:val="143"/>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_Toc3826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Abstract</w:t>
      </w:r>
      <w:r>
        <w:tab/>
      </w:r>
      <w:r>
        <w:fldChar w:fldCharType="begin"/>
      </w:r>
      <w:r>
        <w:instrText xml:space="preserve"> PAGEREF _Toc3826 \h </w:instrText>
      </w:r>
      <w:r>
        <w:fldChar w:fldCharType="separate"/>
      </w:r>
      <w:r>
        <w:t>53</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5031DEF9">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_Toc20165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Table: 1 Quality Assessment CASP.</w:t>
      </w:r>
      <w:r>
        <w:tab/>
      </w:r>
      <w:r>
        <w:fldChar w:fldCharType="begin"/>
      </w:r>
      <w:r>
        <w:instrText xml:space="preserve"> PAGEREF _Toc20165 \h </w:instrText>
      </w:r>
      <w:r>
        <w:fldChar w:fldCharType="separate"/>
      </w:r>
      <w:r>
        <w:t>53</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0098212D">
      <w:pPr>
        <w:pStyle w:val="144"/>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_Toc4104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rFonts w:hint="default"/>
          <w:lang w:val="en-IN"/>
        </w:rPr>
        <w:t>Table 2: Characteristics of selected articles.</w:t>
      </w:r>
      <w:r>
        <w:tab/>
      </w:r>
      <w:r>
        <w:fldChar w:fldCharType="begin"/>
      </w:r>
      <w:r>
        <w:instrText xml:space="preserve"> PAGEREF _Toc4104 \h </w:instrText>
      </w:r>
      <w:r>
        <w:fldChar w:fldCharType="separate"/>
      </w:r>
      <w:r>
        <w:t>59</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7A782C73">
      <w:pPr>
        <w:pStyle w:val="143"/>
        <w:tabs>
          <w:tab w:val="right" w:leader="dot" w:pos="8306"/>
        </w:tabs>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begin"/>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instrText xml:space="preserve"> HYPERLINK \l _Toc29620 </w:instrText>
      </w:r>
      <w:r>
        <w:rPr>
          <w:rFonts w:hint="default" w:ascii="Arial" w:hAnsi="Arial" w:cs="Arial"/>
          <w:color w:val="056BD0" w:themeColor="hyperlink" w:themeTint="F2"/>
          <w:szCs w:val="22"/>
          <w:lang w:val="en-IN"/>
          <w14:textFill>
            <w14:solidFill>
              <w14:schemeClr w14:val="hlink">
                <w14:lumMod w14:val="95000"/>
                <w14:lumOff w14:val="5000"/>
              </w14:schemeClr>
            </w14:solidFill>
          </w14:textFill>
        </w:rPr>
        <w:fldChar w:fldCharType="separate"/>
      </w:r>
      <w:r>
        <w:rPr>
          <w:lang w:val="en-IN"/>
        </w:rPr>
        <w:t>References:</w:t>
      </w:r>
      <w:r>
        <w:rPr>
          <w:rFonts w:ascii="Arial" w:hAnsi="Arial" w:cs="Arial"/>
          <w:szCs w:val="22"/>
          <w:shd w:val="clear" w:color="auto" w:fill="FFFFFF"/>
        </w:rPr>
        <w:t>‌</w:t>
      </w:r>
      <w:r>
        <w:tab/>
      </w:r>
      <w:r>
        <w:fldChar w:fldCharType="begin"/>
      </w:r>
      <w:r>
        <w:instrText xml:space="preserve"> PAGEREF _Toc29620 \h </w:instrText>
      </w:r>
      <w:r>
        <w:fldChar w:fldCharType="separate"/>
      </w:r>
      <w:r>
        <w:t>63</w:t>
      </w:r>
      <w:r>
        <w:fldChar w:fldCharType="end"/>
      </w: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4AC8AFE0">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r>
        <w:rPr>
          <w:rFonts w:hint="default" w:ascii="Arial" w:hAnsi="Arial" w:cs="Arial"/>
          <w:color w:val="0D0D0D" w:themeColor="text1" w:themeTint="F2"/>
          <w:szCs w:val="22"/>
          <w:lang w:val="en-IN"/>
          <w14:textFill>
            <w14:solidFill>
              <w14:schemeClr w14:val="tx1">
                <w14:lumMod w14:val="95000"/>
                <w14:lumOff w14:val="5000"/>
              </w14:schemeClr>
            </w14:solidFill>
          </w14:textFill>
        </w:rPr>
        <w:fldChar w:fldCharType="end"/>
      </w:r>
    </w:p>
    <w:p w14:paraId="0941360E">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0F339831">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4456C4D8">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488DA240">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66A554CD">
      <w:pPr>
        <w:pStyle w:val="3"/>
        <w:spacing w:line="360" w:lineRule="auto"/>
        <w:jc w:val="both"/>
      </w:pPr>
      <w:bookmarkStart w:id="4" w:name="_Toc13909"/>
      <w:bookmarkStart w:id="5" w:name="_Toc1711"/>
      <w: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t>List of Abbreviations</w:t>
      </w:r>
      <w:bookmarkEnd w:id="4"/>
      <w:bookmarkEnd w:id="5"/>
    </w:p>
    <w:p w14:paraId="74A44690">
      <w:pPr>
        <w:pStyle w:val="85"/>
        <w:keepNext w:val="0"/>
        <w:keepLines w:val="0"/>
        <w:widowControl/>
        <w:suppressLineNumbers w:val="0"/>
        <w:spacing w:before="0" w:beforeAutospacing="1" w:after="0" w:afterAutospacing="1"/>
        <w:ind w:left="720" w:right="0"/>
        <w:jc w:val="left"/>
      </w:pPr>
      <w:r>
        <w:t>CASP: Critical Appraisal Skills Programme</w:t>
      </w:r>
    </w:p>
    <w:p w14:paraId="4F4CC456">
      <w:pPr>
        <w:pStyle w:val="85"/>
        <w:keepNext w:val="0"/>
        <w:keepLines w:val="0"/>
        <w:widowControl/>
        <w:suppressLineNumbers w:val="0"/>
        <w:spacing w:before="0" w:beforeAutospacing="1" w:after="0" w:afterAutospacing="1"/>
        <w:ind w:left="720" w:right="0"/>
        <w:jc w:val="left"/>
      </w:pPr>
      <w:r>
        <w:t>CBT: Cognitive-Behavioral Therapy</w:t>
      </w:r>
    </w:p>
    <w:p w14:paraId="3082EB35">
      <w:pPr>
        <w:pStyle w:val="85"/>
        <w:keepNext w:val="0"/>
        <w:keepLines w:val="0"/>
        <w:widowControl/>
        <w:suppressLineNumbers w:val="0"/>
        <w:spacing w:before="0" w:beforeAutospacing="1" w:after="0" w:afterAutospacing="1"/>
        <w:ind w:left="720" w:right="0"/>
        <w:jc w:val="left"/>
      </w:pPr>
      <w:r>
        <w:t>CRCI: Cancer-Related Cognitive Impairment</w:t>
      </w:r>
    </w:p>
    <w:p w14:paraId="7823D5B4">
      <w:pPr>
        <w:pStyle w:val="85"/>
        <w:keepNext w:val="0"/>
        <w:keepLines w:val="0"/>
        <w:widowControl/>
        <w:suppressLineNumbers w:val="0"/>
        <w:spacing w:before="0" w:beforeAutospacing="1" w:after="0" w:afterAutospacing="1"/>
        <w:ind w:left="720" w:right="0"/>
        <w:jc w:val="left"/>
      </w:pPr>
      <w:r>
        <w:t>FCR: Fear of Cancer Recurrence</w:t>
      </w:r>
    </w:p>
    <w:p w14:paraId="127159C4">
      <w:pPr>
        <w:pStyle w:val="85"/>
        <w:keepNext w:val="0"/>
        <w:keepLines w:val="0"/>
        <w:widowControl/>
        <w:suppressLineNumbers w:val="0"/>
        <w:spacing w:before="0" w:beforeAutospacing="1" w:after="0" w:afterAutospacing="1"/>
        <w:ind w:left="720" w:right="0"/>
        <w:jc w:val="left"/>
      </w:pPr>
      <w:r>
        <w:t>HR: Hazard Ratio</w:t>
      </w:r>
    </w:p>
    <w:p w14:paraId="0BBD30AB">
      <w:pPr>
        <w:pStyle w:val="85"/>
        <w:keepNext w:val="0"/>
        <w:keepLines w:val="0"/>
        <w:widowControl/>
        <w:suppressLineNumbers w:val="0"/>
        <w:spacing w:before="0" w:beforeAutospacing="1" w:after="0" w:afterAutospacing="1"/>
        <w:ind w:left="720" w:right="0"/>
        <w:jc w:val="left"/>
      </w:pPr>
      <w:r>
        <w:t>NHS: National Health Service</w:t>
      </w:r>
    </w:p>
    <w:p w14:paraId="5386378D">
      <w:pPr>
        <w:pStyle w:val="85"/>
        <w:keepNext w:val="0"/>
        <w:keepLines w:val="0"/>
        <w:widowControl/>
        <w:suppressLineNumbers w:val="0"/>
        <w:spacing w:before="0" w:beforeAutospacing="1" w:after="0" w:afterAutospacing="1"/>
        <w:ind w:left="720" w:right="0"/>
        <w:jc w:val="left"/>
      </w:pPr>
      <w:r>
        <w:t>NICE: National Institute for Health and Care Excellence</w:t>
      </w:r>
    </w:p>
    <w:p w14:paraId="199DC304">
      <w:pPr>
        <w:pStyle w:val="85"/>
        <w:keepNext w:val="0"/>
        <w:keepLines w:val="0"/>
        <w:widowControl/>
        <w:suppressLineNumbers w:val="0"/>
        <w:spacing w:before="0" w:beforeAutospacing="1" w:after="0" w:afterAutospacing="1"/>
        <w:ind w:left="720" w:right="0"/>
        <w:jc w:val="left"/>
      </w:pPr>
      <w:r>
        <w:t>ONS: Office for National Statistics</w:t>
      </w:r>
    </w:p>
    <w:p w14:paraId="39F324E6">
      <w:pPr>
        <w:pStyle w:val="85"/>
        <w:keepNext w:val="0"/>
        <w:keepLines w:val="0"/>
        <w:widowControl/>
        <w:suppressLineNumbers w:val="0"/>
        <w:spacing w:before="0" w:beforeAutospacing="1" w:after="0" w:afterAutospacing="1"/>
        <w:ind w:left="720" w:right="0"/>
        <w:jc w:val="left"/>
      </w:pPr>
      <w:r>
        <w:t>PTSD: Post-Traumatic Stress Disorder</w:t>
      </w:r>
    </w:p>
    <w:p w14:paraId="7E8A53BC">
      <w:pPr>
        <w:pStyle w:val="85"/>
        <w:keepNext w:val="0"/>
        <w:keepLines w:val="0"/>
        <w:widowControl/>
        <w:suppressLineNumbers w:val="0"/>
        <w:spacing w:before="0" w:beforeAutospacing="1" w:after="0" w:afterAutospacing="1"/>
        <w:ind w:left="720" w:right="0"/>
        <w:jc w:val="left"/>
      </w:pPr>
      <w:r>
        <w:t>RCT: Randomized Controlled Trial</w:t>
      </w:r>
    </w:p>
    <w:p w14:paraId="1B1DAEA4">
      <w:pPr>
        <w:pStyle w:val="85"/>
        <w:keepNext w:val="0"/>
        <w:keepLines w:val="0"/>
        <w:widowControl/>
        <w:suppressLineNumbers w:val="0"/>
        <w:spacing w:before="0" w:beforeAutospacing="1" w:after="0" w:afterAutospacing="1"/>
        <w:ind w:left="720" w:right="0"/>
        <w:jc w:val="left"/>
      </w:pPr>
      <w:r>
        <w:t>SMS: Short Message Service</w:t>
      </w:r>
    </w:p>
    <w:p w14:paraId="62C36C5C">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0B62985E">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2FAFBEC0">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3C87B372">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54C5CA10">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2E082072">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02C16B21">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4786C5E6">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63EBB5A3">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40E2560C">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56D6F1AA">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33E74C27">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6BA3C63C">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40BF03B3">
      <w:pP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p>
    <w:p w14:paraId="30DB8BF9">
      <w:pPr>
        <w:pStyle w:val="3"/>
        <w:spacing w:line="360" w:lineRule="auto"/>
        <w:jc w:val="both"/>
        <w:outlineLvl w:val="9"/>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sectPr>
          <w:pgSz w:w="11906" w:h="16838"/>
          <w:pgMar w:top="1440" w:right="1800" w:bottom="1440" w:left="1800" w:header="720" w:footer="720" w:gutter="0"/>
          <w:cols w:space="720" w:num="1"/>
          <w:docGrid w:linePitch="360" w:charSpace="0"/>
        </w:sectPr>
      </w:pPr>
    </w:p>
    <w:p w14:paraId="5BB38E67">
      <w:pPr>
        <w:pStyle w:val="3"/>
        <w:spacing w:line="360" w:lineRule="auto"/>
        <w:jc w:val="both"/>
        <w:rPr>
          <w:rFonts w:hint="default" w:ascii="Arial" w:hAnsi="Arial" w:cs="Arial"/>
          <w:color w:val="0D0D0D" w:themeColor="text1" w:themeTint="F2"/>
          <w:sz w:val="22"/>
          <w:szCs w:val="22"/>
          <w14:textFill>
            <w14:solidFill>
              <w14:schemeClr w14:val="tx1">
                <w14:lumMod w14:val="95000"/>
                <w14:lumOff w14:val="5000"/>
              </w14:schemeClr>
            </w14:solidFill>
          </w14:textFill>
        </w:rPr>
      </w:pPr>
      <w:bookmarkStart w:id="6" w:name="_Toc26589"/>
      <w:bookmarkStart w:id="7" w:name="_Toc19695"/>
      <w:r>
        <w:rPr>
          <w:rFonts w:hint="default" w:ascii="Arial" w:hAnsi="Arial" w:cs="Arial"/>
          <w:color w:val="0D0D0D" w:themeColor="text1" w:themeTint="F2"/>
          <w:sz w:val="22"/>
          <w:szCs w:val="22"/>
          <w14:textFill>
            <w14:solidFill>
              <w14:schemeClr w14:val="tx1">
                <w14:lumMod w14:val="95000"/>
                <w14:lumOff w14:val="5000"/>
              </w14:schemeClr>
            </w14:solidFill>
          </w14:textFill>
        </w:rPr>
        <w:t>Chapter 1: Introduction</w:t>
      </w:r>
      <w:bookmarkEnd w:id="6"/>
      <w:bookmarkEnd w:id="7"/>
    </w:p>
    <w:p w14:paraId="5A4E08A5">
      <w:pPr>
        <w:pStyle w:val="4"/>
        <w:keepNext w:val="0"/>
        <w:keepLines w:val="0"/>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bookmarkStart w:id="8" w:name="_Toc6180"/>
      <w:r>
        <w:rPr>
          <w:rFonts w:ascii="Arial" w:hAnsi="Arial" w:cs="Arial"/>
          <w:color w:val="0D0D0D" w:themeColor="text1" w:themeTint="F2"/>
          <w:sz w:val="22"/>
          <w:szCs w:val="22"/>
          <w14:textFill>
            <w14:solidFill>
              <w14:schemeClr w14:val="tx1">
                <w14:lumMod w14:val="95000"/>
                <w14:lumOff w14:val="5000"/>
              </w14:schemeClr>
            </w14:solidFill>
          </w14:textFill>
        </w:rPr>
        <w:t>1.1 Breast Cancer Prevalence in the United Kingdom</w:t>
      </w:r>
      <w:bookmarkEnd w:id="8"/>
    </w:p>
    <w:p w14:paraId="6EEA9185">
      <w:pPr>
        <w:pStyle w:val="85"/>
        <w:spacing w:line="360" w:lineRule="auto"/>
        <w:jc w:val="both"/>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Breast cancer remains the most frequently diagnosed cancer among women in the United Kingdom, constituting around </w:t>
      </w:r>
      <w:r>
        <w:rPr>
          <w:rStyle w:val="92"/>
          <w:rFonts w:ascii="Arial" w:hAnsi="Arial" w:cs="Arial"/>
          <w:color w:val="0D0D0D" w:themeColor="text1" w:themeTint="F2"/>
          <w:sz w:val="22"/>
          <w:szCs w:val="22"/>
          <w14:textFill>
            <w14:solidFill>
              <w14:schemeClr w14:val="tx1">
                <w14:lumMod w14:val="95000"/>
                <w14:lumOff w14:val="5000"/>
              </w14:schemeClr>
            </w14:solidFill>
          </w14:textFill>
        </w:rPr>
        <w:t>15% of all new cancer cases</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(Cancer Research UK, 2023). According to recent figures from the Office for National Statistics (ONS, 2022), </w:t>
      </w:r>
      <w:r>
        <w:rPr>
          <w:rStyle w:val="92"/>
          <w:rFonts w:ascii="Arial" w:hAnsi="Arial" w:cs="Arial"/>
          <w:color w:val="0D0D0D" w:themeColor="text1" w:themeTint="F2"/>
          <w:sz w:val="22"/>
          <w:szCs w:val="22"/>
          <w14:textFill>
            <w14:solidFill>
              <w14:schemeClr w14:val="tx1">
                <w14:lumMod w14:val="95000"/>
                <w14:lumOff w14:val="5000"/>
              </w14:schemeClr>
            </w14:solidFill>
          </w14:textFill>
        </w:rPr>
        <w:t>approximately 55,900 women were diagnosed with breast cancer in the UK in 2020</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with incidence rates continuing to rise gradually. On average, </w:t>
      </w:r>
      <w:r>
        <w:rPr>
          <w:rStyle w:val="92"/>
          <w:rFonts w:ascii="Arial" w:hAnsi="Arial" w:cs="Arial"/>
          <w:color w:val="0D0D0D" w:themeColor="text1" w:themeTint="F2"/>
          <w:sz w:val="22"/>
          <w:szCs w:val="22"/>
          <w14:textFill>
            <w14:solidFill>
              <w14:schemeClr w14:val="tx1">
                <w14:lumMod w14:val="95000"/>
                <w14:lumOff w14:val="5000"/>
              </w14:schemeClr>
            </w14:solidFill>
          </w14:textFill>
        </w:rPr>
        <w:t>one in every seven women</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will be diagnosed with breast cancer at some point in their lifetime (Public Health England, 2021). On average, one in every seven women in the United Kingdom will be diagnosed with breast cancer at some point in their lifetime (Public Health England, 2021). The age-standardised incidence rate for invasive female breast cancer in the UK is approximately </w:t>
      </w:r>
      <w:r>
        <w:rPr>
          <w:rStyle w:val="92"/>
          <w:rFonts w:ascii="Arial" w:hAnsi="Arial" w:cs="Arial"/>
          <w:color w:val="0D0D0D" w:themeColor="text1" w:themeTint="F2"/>
          <w:sz w:val="22"/>
          <w:szCs w:val="22"/>
          <w14:textFill>
            <w14:solidFill>
              <w14:schemeClr w14:val="tx1">
                <w14:lumMod w14:val="95000"/>
                <w14:lumOff w14:val="5000"/>
              </w14:schemeClr>
            </w14:solidFill>
          </w14:textFill>
        </w:rPr>
        <w:t>170 cases per 100,000 women</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with the highest rates observed in women aged </w:t>
      </w:r>
      <w:r>
        <w:rPr>
          <w:rStyle w:val="92"/>
          <w:rFonts w:ascii="Arial" w:hAnsi="Arial" w:cs="Arial"/>
          <w:color w:val="0D0D0D" w:themeColor="text1" w:themeTint="F2"/>
          <w:sz w:val="22"/>
          <w:szCs w:val="22"/>
          <w14:textFill>
            <w14:solidFill>
              <w14:schemeClr w14:val="tx1">
                <w14:lumMod w14:val="95000"/>
                <w14:lumOff w14:val="5000"/>
              </w14:schemeClr>
            </w14:solidFill>
          </w14:textFill>
        </w:rPr>
        <w:t>50 to 70 years</w:t>
      </w:r>
      <w:r>
        <w:rPr>
          <w:rFonts w:ascii="Arial" w:hAnsi="Arial" w:cs="Arial"/>
          <w:color w:val="0D0D0D" w:themeColor="text1" w:themeTint="F2"/>
          <w:sz w:val="22"/>
          <w:szCs w:val="22"/>
          <w14:textFill>
            <w14:solidFill>
              <w14:schemeClr w14:val="tx1">
                <w14:lumMod w14:val="95000"/>
                <w14:lumOff w14:val="5000"/>
              </w14:schemeClr>
            </w14:solidFill>
          </w14:textFill>
        </w:rPr>
        <w:t>, who are routinely invited for NHS breast screening (Cancer Research UK, 2024). This high prevalence underscores the substantial burden of disease and highlights the importance of timely diagnosis and continued surveillance within this demographic</w:t>
      </w:r>
      <w:r>
        <w:rPr>
          <w:rFonts w:hint="default" w:ascii="Arial" w:hAnsi="Arial" w:cs="Arial"/>
          <w:color w:val="0D0D0D" w:themeColor="text1" w:themeTint="F2"/>
          <w:sz w:val="22"/>
          <w:szCs w:val="22"/>
          <w14:textFill>
            <w14:solidFill>
              <w14:schemeClr w14:val="tx1">
                <w14:lumMod w14:val="95000"/>
                <w14:lumOff w14:val="5000"/>
              </w14:schemeClr>
            </w14:solidFill>
          </w14:textFill>
        </w:rPr>
        <w:t>.</w:t>
      </w:r>
      <w:r>
        <w:rPr>
          <w:rFonts w:hint="default" w:ascii="Arial" w:hAnsi="Arial" w:eastAsia="SimSun" w:cs="Arial"/>
          <w:sz w:val="22"/>
          <w:szCs w:val="22"/>
        </w:rPr>
        <w:t>(Cai et al., 2025)</w:t>
      </w:r>
      <w:r>
        <w:rPr>
          <w:rFonts w:hint="default" w:ascii="Arial" w:hAnsi="Arial" w:cs="Arial"/>
          <w:sz w:val="22"/>
          <w:szCs w:val="22"/>
          <w:lang w:val="en-IN"/>
        </w:rPr>
        <w:t>.</w:t>
      </w:r>
    </w:p>
    <w:p w14:paraId="682E88F2">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Despite its high incidence, survival outcomes have improved significantly over the last few decades. Advancements in early detection through national screening programmes, coupled with more effective treatment protocols, have led to increased survival. The </w:t>
      </w:r>
      <w:r>
        <w:rPr>
          <w:rStyle w:val="92"/>
          <w:rFonts w:ascii="Arial" w:hAnsi="Arial" w:cs="Arial"/>
          <w:color w:val="0D0D0D" w:themeColor="text1" w:themeTint="F2"/>
          <w:sz w:val="22"/>
          <w:szCs w:val="22"/>
          <w14:textFill>
            <w14:solidFill>
              <w14:schemeClr w14:val="tx1">
                <w14:lumMod w14:val="95000"/>
                <w14:lumOff w14:val="5000"/>
              </w14:schemeClr>
            </w14:solidFill>
          </w14:textFill>
        </w:rPr>
        <w:t>five-year survival rate</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now stands at over </w:t>
      </w:r>
      <w:r>
        <w:rPr>
          <w:rStyle w:val="92"/>
          <w:rFonts w:ascii="Arial" w:hAnsi="Arial" w:cs="Arial"/>
          <w:color w:val="0D0D0D" w:themeColor="text1" w:themeTint="F2"/>
          <w:sz w:val="22"/>
          <w:szCs w:val="22"/>
          <w14:textFill>
            <w14:solidFill>
              <w14:schemeClr w14:val="tx1">
                <w14:lumMod w14:val="95000"/>
                <w14:lumOff w14:val="5000"/>
              </w14:schemeClr>
            </w14:solidFill>
          </w14:textFill>
        </w:rPr>
        <w:t>85%</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and </w:t>
      </w:r>
      <w:r>
        <w:rPr>
          <w:rStyle w:val="92"/>
          <w:rFonts w:ascii="Arial" w:hAnsi="Arial" w:cs="Arial"/>
          <w:color w:val="0D0D0D" w:themeColor="text1" w:themeTint="F2"/>
          <w:sz w:val="22"/>
          <w:szCs w:val="22"/>
          <w14:textFill>
            <w14:solidFill>
              <w14:schemeClr w14:val="tx1">
                <w14:lumMod w14:val="95000"/>
                <w14:lumOff w14:val="5000"/>
              </w14:schemeClr>
            </w14:solidFill>
          </w14:textFill>
        </w:rPr>
        <w:t>ten-year survival exceeds 76%</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(Cancer Research UK, 2023; Allemani et al., 2018). Consequently, the UK has a growing population of breast cancer survivors, many of whom live with long-term consequences of their diagnosis and treatment. This shift from acute cancer care to survivorship has brought increased attention to </w:t>
      </w:r>
      <w:r>
        <w:rPr>
          <w:rStyle w:val="92"/>
          <w:rFonts w:ascii="Arial" w:hAnsi="Arial" w:cs="Arial"/>
          <w:color w:val="0D0D0D" w:themeColor="text1" w:themeTint="F2"/>
          <w:sz w:val="22"/>
          <w:szCs w:val="22"/>
          <w14:textFill>
            <w14:solidFill>
              <w14:schemeClr w14:val="tx1">
                <w14:lumMod w14:val="95000"/>
                <w14:lumOff w14:val="5000"/>
              </w14:schemeClr>
            </w14:solidFill>
          </w14:textFill>
        </w:rPr>
        <w:t>quality of life and psychological well-being</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in post-treatment life.</w:t>
      </w:r>
    </w:p>
    <w:p w14:paraId="26ADD418">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Although survivorship is often presented as a medical success, it comes with complex physical, emotional, and psychological challenges. Survivors may continue to experience persistent fatigue, pain, or lymphoedema, in addition to facing employment difficulties, altered family roles, and financial strain (Maher, 2010; Foster &amp; Fenlon, 2011). These challenges frequently intersect with mental health outcomes, making the psychosocial aspect of breast cancer a critical focus for research and care.</w:t>
      </w:r>
    </w:p>
    <w:p w14:paraId="60504EC3">
      <w:pPr>
        <w:pStyle w:val="256"/>
        <w:bidi w:val="0"/>
      </w:pPr>
      <w:bookmarkStart w:id="9" w:name="_Toc29929"/>
      <w:r>
        <w:t>1.2 Psychological Impact of Breast Cancer</w:t>
      </w:r>
      <w:bookmarkEnd w:id="9"/>
    </w:p>
    <w:p w14:paraId="49318586">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A diagnosis of breast cancer is often described by patients as a </w:t>
      </w:r>
      <w:r>
        <w:rPr>
          <w:rStyle w:val="92"/>
          <w:rFonts w:ascii="Arial" w:hAnsi="Arial" w:cs="Arial"/>
          <w:color w:val="0D0D0D" w:themeColor="text1" w:themeTint="F2"/>
          <w:sz w:val="22"/>
          <w:szCs w:val="22"/>
          <w14:textFill>
            <w14:solidFill>
              <w14:schemeClr w14:val="tx1">
                <w14:lumMod w14:val="95000"/>
                <w14:lumOff w14:val="5000"/>
              </w14:schemeClr>
            </w14:solidFill>
          </w14:textFill>
        </w:rPr>
        <w:t>life-altering event</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associated with high levels of emotional trauma, uncertainty, and fear. From the point of diagnosis through treatment and into survivorship, women are at increased risk of experiencing significant psychological distress. </w:t>
      </w:r>
      <w:r>
        <w:rPr>
          <w:rStyle w:val="92"/>
          <w:rFonts w:ascii="Arial" w:hAnsi="Arial" w:cs="Arial"/>
          <w:color w:val="0D0D0D" w:themeColor="text1" w:themeTint="F2"/>
          <w:sz w:val="22"/>
          <w:szCs w:val="22"/>
          <w14:textFill>
            <w14:solidFill>
              <w14:schemeClr w14:val="tx1">
                <w14:lumMod w14:val="95000"/>
                <w14:lumOff w14:val="5000"/>
              </w14:schemeClr>
            </w14:solidFill>
          </w14:textFill>
        </w:rPr>
        <w:t>Depression, anxiety, post-traumatic stress disorder (PTSD)</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and adjustment disorders are among the most frequently reported conditions (Burgess et al., 2005; Carreira et al., 2018). A UK-based longitudinal study by Burgess et al. (2005) reported that </w:t>
      </w:r>
      <w:r>
        <w:rPr>
          <w:rStyle w:val="92"/>
          <w:rFonts w:ascii="Arial" w:hAnsi="Arial" w:cs="Arial"/>
          <w:color w:val="0D0D0D" w:themeColor="text1" w:themeTint="F2"/>
          <w:sz w:val="22"/>
          <w:szCs w:val="22"/>
          <w14:textFill>
            <w14:solidFill>
              <w14:schemeClr w14:val="tx1">
                <w14:lumMod w14:val="95000"/>
                <w14:lumOff w14:val="5000"/>
              </w14:schemeClr>
            </w14:solidFill>
          </w14:textFill>
        </w:rPr>
        <w:t>over 50% of women with early breast cancer experienced depression, anxiety, or both in the first year</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following diagnosis, with some symptoms persisting five years post-treatment.</w:t>
      </w:r>
    </w:p>
    <w:p w14:paraId="444A3298">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The psychological burden is often exacerbated by the physical consequences of treatment. Mastectomy and other surgical interventions may alter body image and perceptions of femininity, leading to reduced self-esteem and sexual dysfunction (Fobair et al., 2006;</w:t>
      </w:r>
      <w:r>
        <w:rPr>
          <w:rFonts w:ascii="Arial" w:hAnsi="Arial" w:cs="Arial"/>
          <w:color w:val="0D0D0D" w:themeColor="text1" w:themeTint="F2"/>
          <w:sz w:val="22"/>
          <w:szCs w:val="22"/>
          <w:lang w:val="en-IN"/>
          <w14:textFill>
            <w14:solidFill>
              <w14:schemeClr w14:val="tx1">
                <w14:lumMod w14:val="95000"/>
                <w14:lumOff w14:val="5000"/>
              </w14:schemeClr>
            </w14:solidFill>
          </w14:textFill>
        </w:rPr>
        <w:t xml:space="preserve"> </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Grassi et al., 2004). Chemotherapy and hormone therapy may induce premature menopause, cognitive impairments, or chronic fatigue, which further impair psychological adjustment (Rehse &amp; Pukrop, 2003). </w:t>
      </w:r>
      <w:r>
        <w:rPr>
          <w:rFonts w:ascii="Arial" w:hAnsi="Arial" w:cs="Arial"/>
          <w:color w:val="0D0D0D" w:themeColor="text1" w:themeTint="F2"/>
          <w:sz w:val="22"/>
          <w:szCs w:val="22"/>
          <w:lang w:val="en-IN"/>
          <w14:textFill>
            <w14:solidFill>
              <w14:schemeClr w14:val="tx1">
                <w14:lumMod w14:val="95000"/>
                <w14:lumOff w14:val="5000"/>
              </w14:schemeClr>
            </w14:solidFill>
          </w14:textFill>
        </w:rPr>
        <w:t>A</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recent systematic review and meta-analysis by Mudiyanselage et al. (2025) reported that 10% of breast cancer patients experience suicidal ideation, with suicide risk being higher among younger women and those with advanced cancer stages. The review highlighted that unmarried status further increases risk, emphasizing the need for comprehensive mental health support for women with breast cancer</w:t>
      </w:r>
    </w:p>
    <w:p w14:paraId="00D6A4FE">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Furthermore, the </w:t>
      </w:r>
      <w:r>
        <w:rPr>
          <w:rStyle w:val="92"/>
          <w:rFonts w:ascii="Arial" w:hAnsi="Arial" w:cs="Arial"/>
          <w:color w:val="0D0D0D" w:themeColor="text1" w:themeTint="F2"/>
          <w:sz w:val="22"/>
          <w:szCs w:val="22"/>
          <w14:textFill>
            <w14:solidFill>
              <w14:schemeClr w14:val="tx1">
                <w14:lumMod w14:val="95000"/>
                <w14:lumOff w14:val="5000"/>
              </w14:schemeClr>
            </w14:solidFill>
          </w14:textFill>
        </w:rPr>
        <w:t>fear of cancer recurrence (FCR)</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has been recognised as a major psychological concern. Studies show that </w:t>
      </w:r>
      <w:r>
        <w:rPr>
          <w:rStyle w:val="92"/>
          <w:rFonts w:ascii="Arial" w:hAnsi="Arial" w:cs="Arial"/>
          <w:color w:val="0D0D0D" w:themeColor="text1" w:themeTint="F2"/>
          <w:sz w:val="22"/>
          <w:szCs w:val="22"/>
          <w14:textFill>
            <w14:solidFill>
              <w14:schemeClr w14:val="tx1">
                <w14:lumMod w14:val="95000"/>
                <w14:lumOff w14:val="5000"/>
              </w14:schemeClr>
            </w14:solidFill>
          </w14:textFill>
        </w:rPr>
        <w:t>over 70% of breast cancer survivors</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report moderate to high levels of FCR, which can persist for many years and is associated with anxiety and reduced quality of life (Simard et al., 2013; Lebel et al., 2016). Psychological impacts also vary across demographic groups. Younger women, for instance, tend to report greater levels of distress than older women, potentially due to concerns related to fertility, child-rearing, and disrupted life plans (Howard-Anderson et al., 2012). </w:t>
      </w:r>
      <w:r>
        <w:rPr>
          <w:rFonts w:ascii="Arial" w:hAnsi="Arial" w:cs="Arial"/>
          <w:color w:val="0D0D0D" w:themeColor="text1" w:themeTint="F2"/>
          <w:sz w:val="22"/>
          <w:szCs w:val="22"/>
          <w:lang w:val="en-IN"/>
          <w14:textFill>
            <w14:solidFill>
              <w14:schemeClr w14:val="tx1">
                <w14:lumMod w14:val="95000"/>
                <w14:lumOff w14:val="5000"/>
              </w14:schemeClr>
            </w14:solidFill>
          </w14:textFill>
        </w:rPr>
        <w:t xml:space="preserve">A study of </w:t>
      </w:r>
      <w:r>
        <w:rPr>
          <w:rFonts w:ascii="Arial" w:hAnsi="Arial" w:cs="Arial"/>
          <w:color w:val="0D0D0D" w:themeColor="text1" w:themeTint="F2"/>
          <w:sz w:val="22"/>
          <w:szCs w:val="22"/>
          <w14:textFill>
            <w14:solidFill>
              <w14:schemeClr w14:val="tx1">
                <w14:lumMod w14:val="95000"/>
                <w14:lumOff w14:val="5000"/>
              </w14:schemeClr>
            </w14:solidFill>
          </w14:textFill>
        </w:rPr>
        <w:t>Kim et al.</w:t>
      </w:r>
      <w:r>
        <w:rPr>
          <w:rFonts w:ascii="Arial" w:hAnsi="Arial" w:cs="Arial"/>
          <w:color w:val="0D0D0D" w:themeColor="text1" w:themeTint="F2"/>
          <w:sz w:val="22"/>
          <w:szCs w:val="22"/>
          <w:lang w:val="en-IN"/>
          <w14:textFill>
            <w14:solidFill>
              <w14:schemeClr w14:val="tx1">
                <w14:lumMod w14:val="95000"/>
                <w14:lumOff w14:val="5000"/>
              </w14:schemeClr>
            </w14:solidFill>
          </w14:textFill>
        </w:rPr>
        <w:t>(</w:t>
      </w:r>
      <w:r>
        <w:rPr>
          <w:rFonts w:ascii="Arial" w:hAnsi="Arial" w:cs="Arial"/>
          <w:color w:val="0D0D0D" w:themeColor="text1" w:themeTint="F2"/>
          <w:sz w:val="22"/>
          <w:szCs w:val="22"/>
          <w14:textFill>
            <w14:solidFill>
              <w14:schemeClr w14:val="tx1">
                <w14:lumMod w14:val="95000"/>
                <w14:lumOff w14:val="5000"/>
              </w14:schemeClr>
            </w14:solidFill>
          </w14:textFill>
        </w:rPr>
        <w:t>2023</w:t>
      </w:r>
      <w:r>
        <w:rPr>
          <w:rFonts w:ascii="Arial" w:hAnsi="Arial" w:cs="Arial"/>
          <w:color w:val="0D0D0D" w:themeColor="text1" w:themeTint="F2"/>
          <w:sz w:val="22"/>
          <w:szCs w:val="22"/>
          <w:lang w:val="en-IN"/>
          <w14:textFill>
            <w14:solidFill>
              <w14:schemeClr w14:val="tx1">
                <w14:lumMod w14:val="95000"/>
                <w14:lumOff w14:val="5000"/>
              </w14:schemeClr>
            </w14:solidFill>
          </w14:textFill>
        </w:rPr>
        <w:t xml:space="preserve">) </w:t>
      </w:r>
      <w:r>
        <w:rPr>
          <w:rFonts w:ascii="Arial" w:hAnsi="Arial" w:cs="Arial"/>
          <w:color w:val="0D0D0D" w:themeColor="text1" w:themeTint="F2"/>
          <w:sz w:val="22"/>
          <w:szCs w:val="22"/>
          <w14:textFill>
            <w14:solidFill>
              <w14:schemeClr w14:val="tx1">
                <w14:lumMod w14:val="95000"/>
                <w14:lumOff w14:val="5000"/>
              </w14:schemeClr>
            </w14:solidFill>
          </w14:textFill>
        </w:rPr>
        <w:t>found that cancer survivors of Black/African American race/ethnicity, those who were unmarried, with lower income, lower education, or living in rural areas, experienced poorer mental health. The research highlights that socioeconomic disadvantage, limited social support, and minority status are significant risk factors for adverse mental health outcomes among cancer survivors, including those with breast cancer.</w:t>
      </w:r>
    </w:p>
    <w:p w14:paraId="38FBE2CD">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Despite the high prevalence of psychological distress, many women do not receive adequate support. Factors such as stigma, limited awareness of available services, and insufficient training among healthcare professionals often result in underdiagnosis and undertreatment of mental health conditions in breast cancer patients (Fann et al., 2008;</w:t>
      </w:r>
      <w:r>
        <w:rPr>
          <w:rFonts w:ascii="Arial" w:hAnsi="Arial" w:cs="Arial"/>
          <w:color w:val="0D0D0D" w:themeColor="text1" w:themeTint="F2"/>
          <w:sz w:val="22"/>
          <w:szCs w:val="22"/>
          <w:lang w:val="en-IN"/>
          <w14:textFill>
            <w14:solidFill>
              <w14:schemeClr w14:val="tx1">
                <w14:lumMod w14:val="95000"/>
                <w14:lumOff w14:val="5000"/>
              </w14:schemeClr>
            </w14:solidFill>
          </w14:textFill>
        </w:rPr>
        <w:t xml:space="preserve"> </w:t>
      </w:r>
      <w:r>
        <w:rPr>
          <w:rFonts w:ascii="Arial" w:hAnsi="Arial" w:cs="Arial"/>
          <w:color w:val="0D0D0D" w:themeColor="text1" w:themeTint="F2"/>
          <w:sz w:val="22"/>
          <w:szCs w:val="22"/>
          <w14:textFill>
            <w14:solidFill>
              <w14:schemeClr w14:val="tx1">
                <w14:lumMod w14:val="95000"/>
                <w14:lumOff w14:val="5000"/>
              </w14:schemeClr>
            </w14:solidFill>
          </w14:textFill>
        </w:rPr>
        <w:t>Van Beek et al., 2022).</w:t>
      </w:r>
    </w:p>
    <w:p w14:paraId="58A9E027">
      <w:pPr>
        <w:pStyle w:val="256"/>
        <w:bidi w:val="0"/>
      </w:pPr>
      <w:bookmarkStart w:id="10" w:name="_Toc8480"/>
      <w:r>
        <w:t>1.3 Mental Health and Cancer Care in the UK</w:t>
      </w:r>
      <w:bookmarkEnd w:id="10"/>
    </w:p>
    <w:p w14:paraId="2C62C1F8">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In recent years, there has been a growing recognition of the importance of integrating mental health care into routine oncology services. In the United Kingdom, the </w:t>
      </w:r>
      <w:r>
        <w:rPr>
          <w:rStyle w:val="92"/>
          <w:rFonts w:ascii="Arial" w:hAnsi="Arial" w:cs="Arial"/>
          <w:color w:val="0D0D0D" w:themeColor="text1" w:themeTint="F2"/>
          <w:sz w:val="22"/>
          <w:szCs w:val="22"/>
          <w14:textFill>
            <w14:solidFill>
              <w14:schemeClr w14:val="tx1">
                <w14:lumMod w14:val="95000"/>
                <w14:lumOff w14:val="5000"/>
              </w14:schemeClr>
            </w14:solidFill>
          </w14:textFill>
        </w:rPr>
        <w:t>National Institute for Health and Care Excellence (NICE)</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has established guidelines recommending the routine assessment of psychological needs among cancer patients (NICE, 2021). The guidelines advocate for a </w:t>
      </w:r>
      <w:r>
        <w:rPr>
          <w:rStyle w:val="92"/>
          <w:rFonts w:ascii="Arial" w:hAnsi="Arial" w:cs="Arial"/>
          <w:color w:val="0D0D0D" w:themeColor="text1" w:themeTint="F2"/>
          <w:sz w:val="22"/>
          <w:szCs w:val="22"/>
          <w14:textFill>
            <w14:solidFill>
              <w14:schemeClr w14:val="tx1">
                <w14:lumMod w14:val="95000"/>
                <w14:lumOff w14:val="5000"/>
              </w14:schemeClr>
            </w14:solidFill>
          </w14:textFill>
        </w:rPr>
        <w:t>stepped-care model</w:t>
      </w:r>
      <w:r>
        <w:rPr>
          <w:rFonts w:ascii="Arial" w:hAnsi="Arial" w:cs="Arial"/>
          <w:color w:val="0D0D0D" w:themeColor="text1" w:themeTint="F2"/>
          <w:sz w:val="22"/>
          <w:szCs w:val="22"/>
          <w14:textFill>
            <w14:solidFill>
              <w14:schemeClr w14:val="tx1">
                <w14:lumMod w14:val="95000"/>
                <w14:lumOff w14:val="5000"/>
              </w14:schemeClr>
            </w14:solidFill>
          </w14:textFill>
        </w:rPr>
        <w:t>, ensuring that patients with mild distress receive self-management resources or counselling, while those with more severe needs are referred to specialist psychological services (NICE, 2018).</w:t>
      </w:r>
    </w:p>
    <w:p w14:paraId="306DF8AA">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Despite these policy recommendations, implementation in practice remains inconsistent. A recent large-scale survey by Breast Cancer Now (2025) found that the most significant gap in support for people affected by breast cancer across the UK was around their mental health and wellbeing, with many reporting unmet emotional needs at various stages of their cancer experience</w:t>
      </w:r>
      <w:r>
        <w:fldChar w:fldCharType="begin"/>
      </w:r>
      <w:r>
        <w:instrText xml:space="preserve"> HYPERLINK "https://breastcancernow.org/media-assets/tazb0mae/big_breast_cancer_survey_report_final.pdf" \t "https://www.perplexity.ai/search/_blank" </w:instrText>
      </w:r>
      <w:r>
        <w:fldChar w:fldCharType="separate"/>
      </w:r>
      <w:r>
        <w:fldChar w:fldCharType="end"/>
      </w:r>
      <w:r>
        <w:rPr>
          <w:rFonts w:ascii="Arial" w:hAnsi="Arial" w:cs="Arial"/>
          <w:color w:val="0D0D0D" w:themeColor="text1" w:themeTint="F2"/>
          <w:sz w:val="22"/>
          <w:szCs w:val="22"/>
          <w:lang w:val="en-IN"/>
          <w14:textFill>
            <w14:solidFill>
              <w14:schemeClr w14:val="tx1">
                <w14:lumMod w14:val="95000"/>
                <w14:lumOff w14:val="5000"/>
              </w14:schemeClr>
            </w14:solidFill>
          </w14:textFill>
        </w:rPr>
        <w:t xml:space="preserve">. </w:t>
      </w:r>
      <w:r>
        <w:rPr>
          <w:rFonts w:ascii="Arial" w:hAnsi="Arial" w:cs="Arial"/>
          <w:color w:val="0D0D0D" w:themeColor="text1" w:themeTint="F2"/>
          <w:sz w:val="22"/>
          <w:szCs w:val="22"/>
          <w14:textFill>
            <w14:solidFill>
              <w14:schemeClr w14:val="tx1">
                <w14:lumMod w14:val="95000"/>
                <w14:lumOff w14:val="5000"/>
              </w14:schemeClr>
            </w14:solidFill>
          </w14:textFill>
        </w:rPr>
        <w:t>Limited availability of psycho-oncology services, long waiting times, and regional disparities in mental health provision contribute to these challenges (Scott and Hoskin, 2024). Moreover, clinicians often prioritise physical health outcomes over emotional well</w:t>
      </w:r>
      <w:r>
        <w:rPr>
          <w:rFonts w:ascii="Arial" w:hAnsi="Arial" w:cs="Arial"/>
          <w:color w:val="0D0D0D" w:themeColor="text1" w:themeTint="F2"/>
          <w:sz w:val="22"/>
          <w:szCs w:val="22"/>
          <w14:textFill>
            <w14:solidFill>
              <w14:schemeClr w14:val="tx1">
                <w14:lumMod w14:val="95000"/>
                <w14:lumOff w14:val="5000"/>
              </w14:schemeClr>
            </w14:solidFill>
          </w14:textFill>
        </w:rPr>
        <w:noBreakHyphen/>
      </w:r>
      <w:r>
        <w:rPr>
          <w:rFonts w:ascii="Arial" w:hAnsi="Arial" w:cs="Arial"/>
          <w:color w:val="0D0D0D" w:themeColor="text1" w:themeTint="F2"/>
          <w:sz w:val="22"/>
          <w:szCs w:val="22"/>
          <w14:textFill>
            <w14:solidFill>
              <w14:schemeClr w14:val="tx1">
                <w14:lumMod w14:val="95000"/>
                <w14:lumOff w14:val="5000"/>
              </w14:schemeClr>
            </w14:solidFill>
          </w14:textFill>
        </w:rPr>
        <w:t>being due to time constraints, lack of training, or systemic pressures within the NHS</w:t>
      </w:r>
      <w:r>
        <w:rPr>
          <w:rFonts w:ascii="Arial" w:hAnsi="Arial" w:cs="Arial"/>
          <w:color w:val="0D0D0D" w:themeColor="text1" w:themeTint="F2"/>
          <w:sz w:val="22"/>
          <w:szCs w:val="22"/>
          <w:lang w:val="en-IN"/>
          <w14:textFill>
            <w14:solidFill>
              <w14:schemeClr w14:val="tx1">
                <w14:lumMod w14:val="95000"/>
                <w14:lumOff w14:val="5000"/>
              </w14:schemeClr>
            </w14:solidFill>
          </w14:textFill>
        </w:rPr>
        <w:t xml:space="preserve">. </w:t>
      </w:r>
      <w:r>
        <w:rPr>
          <w:rFonts w:ascii="Arial" w:hAnsi="Arial" w:cs="Arial"/>
          <w:color w:val="0D0D0D" w:themeColor="text1" w:themeTint="F2"/>
          <w:sz w:val="22"/>
          <w:szCs w:val="22"/>
          <w14:textFill>
            <w14:solidFill>
              <w14:schemeClr w14:val="tx1">
                <w14:lumMod w14:val="95000"/>
                <w14:lumOff w14:val="5000"/>
              </w14:schemeClr>
            </w14:solidFill>
          </w14:textFill>
        </w:rPr>
        <w:t>(Fernando et al., 2023).</w:t>
      </w:r>
    </w:p>
    <w:p w14:paraId="4E14CC22">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Community and voluntary sector organisations have attempted to fill this gap through peer support groups, helplines, and digital resources. However, access to these services may be uneven, and evidence on their effectiveness in improving clinical mental health outcomes is still emerging (Bender et al., 2011).</w:t>
      </w:r>
    </w:p>
    <w:p w14:paraId="000FF278">
      <w:pPr>
        <w:pStyle w:val="85"/>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In the context of evolving survivorship care, ensuring </w:t>
      </w:r>
      <w:r>
        <w:rPr>
          <w:rStyle w:val="92"/>
          <w:rFonts w:ascii="Arial" w:hAnsi="Arial" w:cs="Arial"/>
          <w:color w:val="0D0D0D" w:themeColor="text1" w:themeTint="F2"/>
          <w:sz w:val="22"/>
          <w:szCs w:val="22"/>
          <w14:textFill>
            <w14:solidFill>
              <w14:schemeClr w14:val="tx1">
                <w14:lumMod w14:val="95000"/>
                <w14:lumOff w14:val="5000"/>
              </w14:schemeClr>
            </w14:solidFill>
          </w14:textFill>
        </w:rPr>
        <w:t>comprehensive and equitable access to mental health support</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is essential for improving outcomes and quality of life among women with breast cancer. Understanding the scope and impact of mental health issues within this population is therefore vital for informing service development, clinical guidelines, and research priorities</w:t>
      </w:r>
      <w:r>
        <w:rPr>
          <w:rFonts w:hint="default" w:ascii="Arial" w:hAnsi="Arial" w:cs="Arial"/>
          <w:color w:val="0D0D0D" w:themeColor="text1" w:themeTint="F2"/>
          <w:sz w:val="22"/>
          <w:szCs w:val="22"/>
          <w:lang w:val="en-IN"/>
          <w14:textFill>
            <w14:solidFill>
              <w14:schemeClr w14:val="tx1">
                <w14:lumMod w14:val="95000"/>
                <w14:lumOff w14:val="5000"/>
              </w14:schemeClr>
            </w14:solidFill>
          </w14:textFill>
        </w:rPr>
        <w:t xml:space="preserve"> </w:t>
      </w:r>
      <w:r>
        <w:rPr>
          <w:rFonts w:hint="default" w:ascii="Arial" w:hAnsi="Arial" w:eastAsia="SimSun" w:cs="Arial"/>
          <w:sz w:val="22"/>
          <w:szCs w:val="22"/>
        </w:rPr>
        <w:t>(Cristiane Bergerot et al., 2023)</w:t>
      </w:r>
      <w:r>
        <w:rPr>
          <w:rFonts w:ascii="Arial" w:hAnsi="Arial" w:cs="Arial"/>
          <w:color w:val="0D0D0D" w:themeColor="text1" w:themeTint="F2"/>
          <w:sz w:val="22"/>
          <w:szCs w:val="22"/>
          <w14:textFill>
            <w14:solidFill>
              <w14:schemeClr w14:val="tx1">
                <w14:lumMod w14:val="95000"/>
                <w14:lumOff w14:val="5000"/>
              </w14:schemeClr>
            </w14:solidFill>
          </w14:textFill>
        </w:rPr>
        <w:t>.</w:t>
      </w:r>
    </w:p>
    <w:p w14:paraId="17E30D4F">
      <w:pPr>
        <w:pStyle w:val="3"/>
        <w:spacing w:line="360" w:lineRule="auto"/>
        <w:jc w:val="both"/>
        <w:rPr>
          <w:rFonts w:hint="default" w:ascii="Arial" w:hAnsi="Arial" w:cs="Arial"/>
          <w:sz w:val="22"/>
          <w:szCs w:val="22"/>
        </w:rPr>
      </w:pPr>
      <w:bookmarkStart w:id="11" w:name="_Toc9652"/>
      <w:bookmarkStart w:id="12" w:name="_Toc7131"/>
      <w:r>
        <w:rPr>
          <w:rFonts w:hint="default" w:ascii="Arial" w:hAnsi="Arial" w:cs="Arial"/>
          <w:sz w:val="22"/>
          <w:szCs w:val="22"/>
        </w:rPr>
        <w:t>Prevalence and Nature of Mental Health Challenges</w:t>
      </w:r>
      <w:bookmarkEnd w:id="11"/>
      <w:bookmarkEnd w:id="12"/>
    </w:p>
    <w:p w14:paraId="17BD9312">
      <w:pPr>
        <w:pStyle w:val="85"/>
        <w:spacing w:line="360" w:lineRule="auto"/>
        <w:jc w:val="both"/>
        <w:rPr>
          <w:rFonts w:ascii="Arial" w:hAnsi="Arial" w:cs="Arial"/>
          <w:sz w:val="22"/>
          <w:szCs w:val="22"/>
        </w:rPr>
      </w:pPr>
      <w:r>
        <w:rPr>
          <w:rFonts w:ascii="Arial" w:hAnsi="Arial" w:cs="Arial"/>
          <w:sz w:val="22"/>
          <w:szCs w:val="22"/>
        </w:rPr>
        <w:t>A growing body of research, including meta-analyses and systematic reviews, demonstrates that breast cancer survivors are at a higher risk of experiencing anxiety and depression compared to women with no history of cancer. For example, a meta-analysis found that the prevalence of depression and anxiety among breast cancer patients was up to 32.2% and 41.9%, respectively (Wang et al., 2020). Another review estimated that 34% of women with breast cancer experience clinically significant anxiety, 31% experience post-traumatic stress, and 20% experience depression in the period following diagnosis (Fortin et al., 2021). These risks are especially pronounced in the first few years after diagnosis and are more severe in younger women and those with advanced disease (Forbes et al., 2024). Importantly, the risk of anxiety remains significantly increased for at least two years, and depression for up to four years after diagnosis, while sleep disorders and chronic fatigue are also prevalent, often lasting five to ten years post-diagnosis. These symptoms are closely interrelated, creating a cycle of psychological and physical distress that can severely impair daily functioning (Fortin et al., 2021; Wang et al., 2020; Forbes et al., 2024).</w:t>
      </w:r>
    </w:p>
    <w:p w14:paraId="39F571C8">
      <w:pPr>
        <w:pStyle w:val="3"/>
        <w:spacing w:line="360" w:lineRule="auto"/>
        <w:jc w:val="both"/>
        <w:rPr>
          <w:rFonts w:hint="default" w:ascii="Arial" w:hAnsi="Arial" w:cs="Arial"/>
          <w:b w:val="0"/>
          <w:bCs w:val="0"/>
          <w:sz w:val="22"/>
          <w:szCs w:val="22"/>
        </w:rPr>
      </w:pPr>
      <w:bookmarkStart w:id="13" w:name="_Toc27190"/>
      <w:bookmarkStart w:id="14" w:name="_Toc6327"/>
      <w:r>
        <w:rPr>
          <w:rFonts w:hint="default" w:ascii="Arial" w:hAnsi="Arial" w:cs="Arial"/>
          <w:sz w:val="22"/>
          <w:szCs w:val="22"/>
        </w:rPr>
        <w:t>Additional Psychological and Physical Sequelae</w:t>
      </w:r>
      <w:r>
        <w:rPr>
          <w:rFonts w:hint="default" w:ascii="Arial" w:hAnsi="Arial" w:cs="Arial"/>
          <w:sz w:val="22"/>
          <w:szCs w:val="22"/>
        </w:rPr>
        <w:br w:type="textWrapping"/>
      </w:r>
      <w:r>
        <w:rPr>
          <w:rFonts w:hint="default" w:ascii="Arial" w:hAnsi="Arial" w:cs="Arial"/>
          <w:b w:val="0"/>
          <w:bCs w:val="0"/>
          <w:sz w:val="22"/>
          <w:szCs w:val="22"/>
        </w:rPr>
        <w:t xml:space="preserve">Beyond the commonly reported symptoms of anxiety and depression, breast cancer survivors frequently experience a range of additional psychological and physical sequelae that can significantly impact their quality of life. One such under-recognized but highly prevalent issue is </w:t>
      </w:r>
      <w:r>
        <w:rPr>
          <w:rStyle w:val="92"/>
          <w:rFonts w:hint="default" w:ascii="Arial" w:hAnsi="Arial" w:cs="Arial"/>
          <w:b w:val="0"/>
          <w:bCs w:val="0"/>
          <w:sz w:val="22"/>
          <w:szCs w:val="22"/>
        </w:rPr>
        <w:t>sexual dysfunction</w:t>
      </w:r>
      <w:r>
        <w:rPr>
          <w:rFonts w:hint="default" w:ascii="Arial" w:hAnsi="Arial" w:eastAsia="SimSun" w:cs="Arial"/>
          <w:b w:val="0"/>
          <w:bCs w:val="0"/>
          <w:sz w:val="22"/>
          <w:szCs w:val="22"/>
        </w:rPr>
        <w:t>(Chang et al., 2023)</w:t>
      </w:r>
      <w:r>
        <w:rPr>
          <w:rFonts w:hint="default" w:ascii="Arial" w:hAnsi="Arial" w:cs="Arial"/>
          <w:b w:val="0"/>
          <w:bCs w:val="0"/>
          <w:sz w:val="22"/>
          <w:szCs w:val="22"/>
        </w:rPr>
        <w:t>.</w:t>
      </w:r>
      <w:r>
        <w:rPr>
          <w:rFonts w:hint="default" w:ascii="Arial" w:hAnsi="Arial" w:cs="Arial"/>
          <w:b w:val="0"/>
          <w:bCs w:val="0"/>
          <w:sz w:val="22"/>
          <w:szCs w:val="22"/>
        </w:rPr>
        <w:t xml:space="preserve"> Research has shown that breast cancer survivors are at a significantly higher risk of experiencing sexual health problems compared to women without a cancer history</w:t>
      </w:r>
      <w:r>
        <w:rPr>
          <w:rFonts w:hint="default" w:ascii="Arial" w:hAnsi="Arial" w:eastAsia="SimSun" w:cs="Arial"/>
          <w:b w:val="0"/>
          <w:bCs w:val="0"/>
          <w:sz w:val="22"/>
          <w:szCs w:val="22"/>
        </w:rPr>
        <w:t>(Hernández-Blanquisett et al., 2022)</w:t>
      </w:r>
      <w:r>
        <w:rPr>
          <w:rFonts w:hint="default" w:ascii="Arial" w:hAnsi="Arial" w:cs="Arial"/>
          <w:b w:val="0"/>
          <w:bCs w:val="0"/>
          <w:sz w:val="22"/>
          <w:szCs w:val="22"/>
        </w:rPr>
        <w:t xml:space="preserve">. These issues include decreased libido, vaginal dryness, dyspareunia (pain during intercourse), and difficulties achieving orgasm, largely attributed to the effects of </w:t>
      </w:r>
      <w:r>
        <w:rPr>
          <w:rStyle w:val="92"/>
          <w:rFonts w:hint="default" w:ascii="Arial" w:hAnsi="Arial" w:cs="Arial"/>
          <w:b w:val="0"/>
          <w:bCs w:val="0"/>
          <w:sz w:val="22"/>
          <w:szCs w:val="22"/>
        </w:rPr>
        <w:t>chemotherapy</w:t>
      </w:r>
      <w:r>
        <w:rPr>
          <w:rFonts w:hint="default" w:ascii="Arial" w:hAnsi="Arial" w:cs="Arial"/>
          <w:b w:val="0"/>
          <w:bCs w:val="0"/>
          <w:sz w:val="22"/>
          <w:szCs w:val="22"/>
        </w:rPr>
        <w:t xml:space="preserve">, </w:t>
      </w:r>
      <w:r>
        <w:rPr>
          <w:rStyle w:val="92"/>
          <w:rFonts w:hint="default" w:ascii="Arial" w:hAnsi="Arial" w:cs="Arial"/>
          <w:b w:val="0"/>
          <w:bCs w:val="0"/>
          <w:sz w:val="22"/>
          <w:szCs w:val="22"/>
        </w:rPr>
        <w:t>hormonal therapies</w:t>
      </w:r>
      <w:r>
        <w:rPr>
          <w:rFonts w:hint="default" w:ascii="Arial" w:hAnsi="Arial" w:cs="Arial"/>
          <w:b w:val="0"/>
          <w:bCs w:val="0"/>
          <w:sz w:val="22"/>
          <w:szCs w:val="22"/>
        </w:rPr>
        <w:t xml:space="preserve"> (e.g., tamoxifen, aromatase inhibitors), premature menopause, and body image changes following surgery or radiation (Elliott et al., 2024). Despite its prevalence, sexual dysfunction is often inadequately addressed in routine oncological follow-up, highlighting a gap in holistic survivorship care </w:t>
      </w:r>
      <w:r>
        <w:rPr>
          <w:rFonts w:hint="default" w:ascii="Arial" w:hAnsi="Arial" w:cs="Arial"/>
          <w:sz w:val="22"/>
          <w:szCs w:val="22"/>
        </w:rPr>
        <w:t>(Boquiren et al., 2015)</w:t>
      </w:r>
      <w:r>
        <w:rPr>
          <w:rFonts w:hint="default" w:ascii="Arial" w:hAnsi="Arial" w:cs="Arial"/>
          <w:b w:val="0"/>
          <w:bCs w:val="0"/>
          <w:sz w:val="22"/>
          <w:szCs w:val="22"/>
        </w:rPr>
        <w:t>.</w:t>
      </w:r>
      <w:bookmarkEnd w:id="13"/>
      <w:bookmarkEnd w:id="14"/>
    </w:p>
    <w:p w14:paraId="11FD3D21">
      <w:pPr>
        <w:pStyle w:val="85"/>
        <w:spacing w:line="360" w:lineRule="auto"/>
        <w:jc w:val="both"/>
        <w:rPr>
          <w:rFonts w:ascii="Arial" w:hAnsi="Arial" w:cs="Arial"/>
          <w:sz w:val="22"/>
          <w:szCs w:val="22"/>
        </w:rPr>
      </w:pPr>
      <w:r>
        <w:rPr>
          <w:rFonts w:ascii="Arial" w:hAnsi="Arial" w:cs="Arial"/>
          <w:sz w:val="22"/>
          <w:szCs w:val="22"/>
        </w:rPr>
        <w:t xml:space="preserve">In addition to sexual dysfunction, survivors commonly report </w:t>
      </w:r>
      <w:r>
        <w:rPr>
          <w:rStyle w:val="92"/>
          <w:rFonts w:ascii="Arial" w:hAnsi="Arial" w:cs="Arial"/>
          <w:sz w:val="22"/>
          <w:szCs w:val="22"/>
        </w:rPr>
        <w:t>chronic pain</w:t>
      </w:r>
      <w:r>
        <w:rPr>
          <w:rFonts w:ascii="Arial" w:hAnsi="Arial" w:cs="Arial"/>
          <w:sz w:val="22"/>
          <w:szCs w:val="22"/>
        </w:rPr>
        <w:t xml:space="preserve">, </w:t>
      </w:r>
      <w:r>
        <w:rPr>
          <w:rStyle w:val="92"/>
          <w:rFonts w:ascii="Arial" w:hAnsi="Arial" w:cs="Arial"/>
          <w:sz w:val="22"/>
          <w:szCs w:val="22"/>
        </w:rPr>
        <w:t>lymphedema</w:t>
      </w:r>
      <w:r>
        <w:rPr>
          <w:rFonts w:ascii="Arial" w:hAnsi="Arial" w:cs="Arial"/>
          <w:sz w:val="22"/>
          <w:szCs w:val="22"/>
        </w:rPr>
        <w:t xml:space="preserve">, and </w:t>
      </w:r>
      <w:r>
        <w:rPr>
          <w:rStyle w:val="92"/>
          <w:rFonts w:ascii="Arial" w:hAnsi="Arial" w:cs="Arial"/>
          <w:sz w:val="22"/>
          <w:szCs w:val="22"/>
        </w:rPr>
        <w:t>peripheral neuropathy</w:t>
      </w:r>
      <w:r>
        <w:rPr>
          <w:rFonts w:ascii="Arial" w:hAnsi="Arial" w:cs="Arial"/>
          <w:sz w:val="22"/>
          <w:szCs w:val="22"/>
        </w:rPr>
        <w:t>, which contribute to long-term physical disability and psychological distress. Persistent pain following treatment—particularly after surgery or radiation—has been linked to heightened levels of anxiety, sleep disturbances, and depressive symptoms, creating a cycle of psychological burden that may persist for years post-treatment (Forbes et al., 2024; Fortin et al., 2021). Lymphedema, a swelling typically in the arms due to lymph node removal or radiation, can be both physically debilitating and emotionally distressing, affecting body image and limiting daily activities (Hidding et al., 201</w:t>
      </w:r>
      <w:r>
        <w:rPr>
          <w:rFonts w:ascii="Arial" w:hAnsi="Arial" w:cs="Arial"/>
          <w:sz w:val="22"/>
          <w:szCs w:val="22"/>
          <w:lang w:val="en-IN"/>
        </w:rPr>
        <w:t>4</w:t>
      </w:r>
      <w:r>
        <w:rPr>
          <w:rFonts w:ascii="Arial" w:hAnsi="Arial" w:cs="Arial"/>
          <w:sz w:val="22"/>
          <w:szCs w:val="22"/>
        </w:rPr>
        <w:t>).</w:t>
      </w:r>
    </w:p>
    <w:p w14:paraId="33FFC663">
      <w:pPr>
        <w:pStyle w:val="85"/>
        <w:spacing w:line="360" w:lineRule="auto"/>
        <w:jc w:val="both"/>
        <w:rPr>
          <w:rFonts w:ascii="Arial" w:hAnsi="Arial" w:cs="Arial"/>
          <w:sz w:val="22"/>
          <w:szCs w:val="22"/>
        </w:rPr>
      </w:pPr>
      <w:r>
        <w:rPr>
          <w:rFonts w:ascii="Arial" w:hAnsi="Arial" w:cs="Arial"/>
          <w:sz w:val="22"/>
          <w:szCs w:val="22"/>
        </w:rPr>
        <w:t xml:space="preserve">Another area gaining attention is </w:t>
      </w:r>
      <w:r>
        <w:rPr>
          <w:rStyle w:val="92"/>
          <w:rFonts w:ascii="Arial" w:hAnsi="Arial" w:cs="Arial"/>
          <w:sz w:val="22"/>
          <w:szCs w:val="22"/>
        </w:rPr>
        <w:t>cognitive dysfunction</w:t>
      </w:r>
      <w:r>
        <w:rPr>
          <w:rFonts w:ascii="Arial" w:hAnsi="Arial" w:cs="Arial"/>
          <w:sz w:val="22"/>
          <w:szCs w:val="22"/>
        </w:rPr>
        <w:t xml:space="preserve">, often referred to as “chemo brain” or cancer-related cognitive impairment (CRCI). This includes difficulties in memory, attention, executive functioning, and information processing speed. While some survivors report these symptoms subside over time, others experience lasting effects that interfere with </w:t>
      </w:r>
      <w:r>
        <w:rPr>
          <w:rStyle w:val="92"/>
          <w:rFonts w:ascii="Arial" w:hAnsi="Arial" w:cs="Arial"/>
          <w:sz w:val="22"/>
          <w:szCs w:val="22"/>
        </w:rPr>
        <w:t>occupational performance</w:t>
      </w:r>
      <w:r>
        <w:rPr>
          <w:rFonts w:ascii="Arial" w:hAnsi="Arial" w:cs="Arial"/>
          <w:sz w:val="22"/>
          <w:szCs w:val="22"/>
        </w:rPr>
        <w:t xml:space="preserve">, </w:t>
      </w:r>
      <w:r>
        <w:rPr>
          <w:rStyle w:val="92"/>
          <w:rFonts w:ascii="Arial" w:hAnsi="Arial" w:cs="Arial"/>
          <w:sz w:val="22"/>
          <w:szCs w:val="22"/>
        </w:rPr>
        <w:t>social interactions</w:t>
      </w:r>
      <w:r>
        <w:rPr>
          <w:rFonts w:ascii="Arial" w:hAnsi="Arial" w:cs="Arial"/>
          <w:sz w:val="22"/>
          <w:szCs w:val="22"/>
        </w:rPr>
        <w:t xml:space="preserve">, and </w:t>
      </w:r>
      <w:r>
        <w:rPr>
          <w:rStyle w:val="92"/>
          <w:rFonts w:ascii="Arial" w:hAnsi="Arial" w:cs="Arial"/>
          <w:sz w:val="22"/>
          <w:szCs w:val="22"/>
        </w:rPr>
        <w:t>self-esteem</w:t>
      </w:r>
      <w:r>
        <w:rPr>
          <w:rFonts w:ascii="Arial" w:hAnsi="Arial" w:cs="Arial"/>
          <w:sz w:val="22"/>
          <w:szCs w:val="22"/>
        </w:rPr>
        <w:t xml:space="preserve"> (Paltrinieri et al., 2024). Recent research </w:t>
      </w:r>
      <w:r>
        <w:rPr>
          <w:rFonts w:ascii="Arial" w:hAnsi="Arial" w:cs="Arial"/>
          <w:sz w:val="22"/>
          <w:szCs w:val="22"/>
          <w:lang w:val="en-IN"/>
        </w:rPr>
        <w:t xml:space="preserve">of </w:t>
      </w:r>
      <w:r>
        <w:rPr>
          <w:rFonts w:ascii="Arial" w:hAnsi="Arial" w:cs="Arial"/>
          <w:sz w:val="22"/>
          <w:szCs w:val="22"/>
        </w:rPr>
        <w:t xml:space="preserve">Blaes et al. </w:t>
      </w:r>
      <w:r>
        <w:rPr>
          <w:rFonts w:ascii="Arial" w:hAnsi="Arial" w:cs="Arial"/>
          <w:sz w:val="22"/>
          <w:szCs w:val="22"/>
          <w:lang w:val="en-IN"/>
        </w:rPr>
        <w:t>(</w:t>
      </w:r>
      <w:r>
        <w:rPr>
          <w:rFonts w:ascii="Arial" w:hAnsi="Arial" w:cs="Arial"/>
          <w:sz w:val="22"/>
          <w:szCs w:val="22"/>
        </w:rPr>
        <w:t>2023)suggests that inflammation, hormonal changes, and stress may affect the mental and physical health of breast cancer patients. Treatments like chemotherapy can disrupt hormones and cause mood changes, while chronic stress may increase inflammation, making recovery more difficult</w:t>
      </w:r>
      <w:r>
        <w:rPr>
          <w:rFonts w:hint="default" w:ascii="Arial" w:hAnsi="Arial" w:eastAsia="SimSun" w:cs="Arial"/>
          <w:sz w:val="22"/>
          <w:szCs w:val="22"/>
        </w:rPr>
        <w:t>(Walker, Chan and Vardy, 2022)</w:t>
      </w:r>
      <w:r>
        <w:rPr>
          <w:rFonts w:ascii="Arial" w:hAnsi="Arial" w:cs="Arial"/>
          <w:sz w:val="22"/>
          <w:szCs w:val="22"/>
        </w:rPr>
        <w:t>. These factors are now being studied to improve support for patients during and after treatment (Vignjević Petrinović et al., 2023)</w:t>
      </w:r>
      <w:r>
        <w:rPr>
          <w:rFonts w:ascii="Arial" w:hAnsi="Arial" w:cs="Arial"/>
          <w:sz w:val="22"/>
          <w:szCs w:val="22"/>
          <w:lang w:val="en-IN"/>
        </w:rPr>
        <w:t>.</w:t>
      </w:r>
      <w:r>
        <w:rPr>
          <w:rFonts w:ascii="Arial" w:hAnsi="Arial" w:cs="Arial"/>
          <w:sz w:val="22"/>
          <w:szCs w:val="22"/>
        </w:rPr>
        <w:t xml:space="preserve"> More longitudinal, high-quality studies are needed to clarify these associations and to develop effective cognitive rehabilitation strategies.</w:t>
      </w:r>
    </w:p>
    <w:p w14:paraId="5C6C3707">
      <w:pPr>
        <w:pStyle w:val="85"/>
        <w:spacing w:line="360" w:lineRule="auto"/>
        <w:jc w:val="both"/>
        <w:rPr>
          <w:rFonts w:ascii="Arial" w:hAnsi="Arial" w:cs="Arial"/>
          <w:sz w:val="22"/>
          <w:szCs w:val="22"/>
        </w:rPr>
      </w:pPr>
      <w:r>
        <w:rPr>
          <w:rFonts w:ascii="Arial" w:hAnsi="Arial" w:cs="Arial"/>
          <w:sz w:val="22"/>
          <w:szCs w:val="22"/>
        </w:rPr>
        <w:t xml:space="preserve">Overall, addressing these multidimensional challenges requires a </w:t>
      </w:r>
      <w:r>
        <w:rPr>
          <w:rStyle w:val="92"/>
          <w:rFonts w:ascii="Arial" w:hAnsi="Arial" w:cs="Arial"/>
          <w:sz w:val="22"/>
          <w:szCs w:val="22"/>
        </w:rPr>
        <w:t>comprehensive, multidisciplinary survivorship care model</w:t>
      </w:r>
      <w:r>
        <w:rPr>
          <w:rFonts w:ascii="Arial" w:hAnsi="Arial" w:cs="Arial"/>
          <w:sz w:val="22"/>
          <w:szCs w:val="22"/>
        </w:rPr>
        <w:t xml:space="preserve"> that goes beyond cancer eradication to encompass sexual health, pain management, mental wellbeing, and cognitive support.</w:t>
      </w:r>
    </w:p>
    <w:p w14:paraId="4066D42C">
      <w:pPr>
        <w:pStyle w:val="3"/>
        <w:spacing w:line="360" w:lineRule="auto"/>
        <w:jc w:val="both"/>
        <w:rPr>
          <w:rFonts w:hint="default" w:ascii="Arial" w:hAnsi="Arial" w:cs="Arial"/>
          <w:sz w:val="22"/>
          <w:szCs w:val="22"/>
        </w:rPr>
      </w:pPr>
      <w:bookmarkStart w:id="15" w:name="_Toc31754"/>
      <w:bookmarkStart w:id="16" w:name="_Toc22891"/>
      <w:r>
        <w:rPr>
          <w:rFonts w:hint="default" w:ascii="Arial" w:hAnsi="Arial" w:cs="Arial"/>
          <w:sz w:val="22"/>
          <w:szCs w:val="22"/>
        </w:rPr>
        <w:t>Risk of Suicidal Ideation and Contributing Factors</w:t>
      </w:r>
      <w:bookmarkEnd w:id="15"/>
      <w:bookmarkEnd w:id="16"/>
    </w:p>
    <w:p w14:paraId="71E00EDE">
      <w:pPr>
        <w:pStyle w:val="85"/>
        <w:spacing w:line="360" w:lineRule="auto"/>
        <w:jc w:val="both"/>
        <w:rPr>
          <w:rFonts w:ascii="Arial" w:hAnsi="Arial" w:cs="Arial"/>
          <w:sz w:val="22"/>
          <w:szCs w:val="22"/>
        </w:rPr>
      </w:pPr>
      <w:r>
        <w:rPr>
          <w:rFonts w:ascii="Arial" w:hAnsi="Arial" w:cs="Arial"/>
          <w:sz w:val="22"/>
          <w:szCs w:val="22"/>
        </w:rPr>
        <w:t>The risk of suicidal ideation and self-harm is also elevated among breast cancer survivors, particularly in younger women and those with advanced disease. The risk is highest in the initial years following diagnosis and is associated with the severity of depression and lack of social support (Forbes et al., 2024). Demographic and clinical factors such as younger age at diagnosis, advanced cancer stage, aggressive treatments, and physical comorbidities increase psychological vulnerability. Socioeconomic factors, including lower income, lack of social support, and pre-existing mental health issues, are significant predictors of adverse outcomes. Social isolation is common, and many women report feeling more isolated at the end of treatment than at diagnosis (Paltrinieri et al., 2024; Elliott et al., 2024).</w:t>
      </w:r>
    </w:p>
    <w:p w14:paraId="6D4C0030">
      <w:pPr>
        <w:pStyle w:val="3"/>
        <w:spacing w:line="360" w:lineRule="auto"/>
        <w:jc w:val="both"/>
        <w:rPr>
          <w:rFonts w:hint="default" w:ascii="Arial" w:hAnsi="Arial" w:cs="Arial"/>
          <w:sz w:val="22"/>
          <w:szCs w:val="22"/>
        </w:rPr>
      </w:pPr>
      <w:bookmarkStart w:id="17" w:name="_Toc23603"/>
      <w:bookmarkStart w:id="18" w:name="_Toc13859"/>
      <w:r>
        <w:rPr>
          <w:rFonts w:hint="default" w:ascii="Arial" w:hAnsi="Arial" w:cs="Arial"/>
          <w:sz w:val="22"/>
          <w:szCs w:val="22"/>
        </w:rPr>
        <w:t>Lived Experiences and Unmet Support Needs</w:t>
      </w:r>
      <w:bookmarkEnd w:id="17"/>
      <w:bookmarkEnd w:id="18"/>
    </w:p>
    <w:p w14:paraId="60BB2626">
      <w:pPr>
        <w:pStyle w:val="85"/>
        <w:spacing w:line="360" w:lineRule="auto"/>
        <w:jc w:val="both"/>
        <w:rPr>
          <w:rFonts w:ascii="Arial" w:hAnsi="Arial" w:cs="Arial"/>
          <w:sz w:val="22"/>
          <w:szCs w:val="22"/>
        </w:rPr>
      </w:pPr>
      <w:r>
        <w:rPr>
          <w:rFonts w:ascii="Arial" w:hAnsi="Arial" w:cs="Arial"/>
          <w:sz w:val="22"/>
          <w:szCs w:val="22"/>
        </w:rPr>
        <w:t>Qualitative research provides valuable insight into the lived experiences of women with breast cancer. Many describe the diagnosis as shocking and distressing, accompanied by fear, anger, confusion, and guilt. Coping mechanisms vary widely; some women demonstrate resilience, while others experience prolonged psychological distress. The emotional impact is influenced by personal beliefs, family support, and the quality of communication with healthcare professionals. Changes in body image, femininity, and sexuality are central to the psychological experience of breast cancer, with stigma and concerns about attractiveness and desirability leading to withdrawal from intimate relationships and social activities (Hughes et al., 2024; Schmidt et al., 2024). Many women report a lack of information and support regarding the psychological effects of breast cancer, with only a minority receiving information about the potential long-term mental health effects. There is a clear need for better integration of psychological support into routine cancer care, as unmet needs and gaps in support are frequently reported (Hughes et al., 2024; Elliott et al., 2024).</w:t>
      </w:r>
    </w:p>
    <w:p w14:paraId="2B83176F">
      <w:pPr>
        <w:pStyle w:val="3"/>
        <w:spacing w:line="360" w:lineRule="auto"/>
        <w:jc w:val="both"/>
        <w:rPr>
          <w:rFonts w:hint="default" w:ascii="Arial" w:hAnsi="Arial" w:cs="Arial"/>
          <w:sz w:val="22"/>
          <w:szCs w:val="22"/>
        </w:rPr>
      </w:pPr>
      <w:bookmarkStart w:id="19" w:name="_Toc8122"/>
      <w:bookmarkStart w:id="20" w:name="_Toc13679"/>
      <w:r>
        <w:rPr>
          <w:rFonts w:hint="default" w:ascii="Arial" w:hAnsi="Arial" w:cs="Arial"/>
          <w:sz w:val="22"/>
          <w:szCs w:val="22"/>
        </w:rPr>
        <w:t>Long-Term Trajectory and Quality of Life</w:t>
      </w:r>
      <w:bookmarkEnd w:id="19"/>
      <w:bookmarkEnd w:id="20"/>
    </w:p>
    <w:p w14:paraId="40629828">
      <w:pPr>
        <w:pStyle w:val="85"/>
        <w:spacing w:line="360" w:lineRule="auto"/>
        <w:jc w:val="both"/>
        <w:rPr>
          <w:rFonts w:ascii="Arial" w:hAnsi="Arial" w:cs="Arial"/>
          <w:sz w:val="22"/>
          <w:szCs w:val="22"/>
        </w:rPr>
      </w:pPr>
      <w:r>
        <w:rPr>
          <w:rFonts w:ascii="Arial" w:hAnsi="Arial" w:cs="Arial"/>
          <w:sz w:val="22"/>
          <w:szCs w:val="22"/>
        </w:rPr>
        <w:t>Long-term psychological symptoms often persist well beyond the end of active treatment, with some women experiencing anxiety, depression, and fatigue for up to a decade post-diagnosis. Although the risk of mental health disorders diminishes over time, it remains elevated compared to the general population. Mental health problems significantly reduce quality of life, affecting relationships, employment, and overall well-being. Women with unresolved psychological symptoms are less likely to return to work and more likely to experience social isolation and financial difficulties (Forbes et al., 2024; Paltrinieri et al., 2024)).</w:t>
      </w:r>
    </w:p>
    <w:p w14:paraId="3C184D8B">
      <w:pPr>
        <w:pStyle w:val="256"/>
        <w:bidi w:val="0"/>
        <w:rPr>
          <w:rFonts w:hint="default"/>
        </w:rPr>
      </w:pPr>
      <w:bookmarkStart w:id="21" w:name="_Toc31309"/>
      <w:bookmarkStart w:id="22" w:name="_Toc24926"/>
      <w:r>
        <w:rPr>
          <w:rFonts w:hint="default"/>
          <w:lang w:val="en-IN"/>
        </w:rPr>
        <w:t xml:space="preserve">1.4 </w:t>
      </w:r>
      <w:r>
        <w:rPr>
          <w:rFonts w:hint="default"/>
        </w:rPr>
        <w:t>Interventions, Policy, and Research Gaps</w:t>
      </w:r>
      <w:bookmarkEnd w:id="21"/>
      <w:bookmarkEnd w:id="22"/>
    </w:p>
    <w:p w14:paraId="745F6D03">
      <w:pPr>
        <w:pStyle w:val="85"/>
        <w:spacing w:line="360" w:lineRule="auto"/>
        <w:jc w:val="both"/>
        <w:rPr>
          <w:rFonts w:ascii="Arial" w:hAnsi="Arial" w:cs="Arial"/>
          <w:sz w:val="22"/>
          <w:szCs w:val="22"/>
        </w:rPr>
      </w:pPr>
      <w:r>
        <w:rPr>
          <w:rFonts w:ascii="Arial" w:hAnsi="Arial" w:cs="Arial"/>
          <w:sz w:val="22"/>
          <w:szCs w:val="22"/>
        </w:rPr>
        <w:t>Early identification and management of mental health problems are crucial for improving outcomes among breast cancer survivors. Routine screening for anxiety, depression, and other psychological symptoms should be integrated into breast cancer care pathways. Psychological interventions, including cognitive-behavioural therapy, support groups, and psychoeducation, have been shown to reduce distress and improve quality of life. Peer support and survivorship programmes can help reduce isolation and promote coping. Greater awareness and training for healthcare professionals are needed to improve detection and management of mental health problems in breast cancer survivors, particularly regarding sensitive issues such as sexual dysfunction and body image. There remains a need for more UK-based longitudinal studies to better understand the long-term psychological trajectory of breast cancer survivors, and research into interventions for fatigue, sexual dysfunction, and cognitive symptoms is particularly lacking (Paltrinieri et al., 2024); Hughes et al., 2024; Elliott et al., 2024).</w:t>
      </w:r>
    </w:p>
    <w:p w14:paraId="0FB7A9AC">
      <w:pPr>
        <w:pStyle w:val="3"/>
        <w:spacing w:line="360" w:lineRule="auto"/>
        <w:jc w:val="both"/>
        <w:rPr>
          <w:rFonts w:hint="default" w:ascii="Arial" w:hAnsi="Arial" w:cs="Arial"/>
          <w:sz w:val="22"/>
          <w:szCs w:val="22"/>
          <w:lang w:val="en-IN"/>
        </w:rPr>
      </w:pPr>
      <w:bookmarkStart w:id="23" w:name="_Toc18315"/>
      <w:bookmarkStart w:id="24" w:name="_Toc24973"/>
      <w:r>
        <w:rPr>
          <w:rFonts w:hint="default" w:ascii="Arial" w:hAnsi="Arial" w:cs="Arial"/>
          <w:sz w:val="22"/>
          <w:szCs w:val="22"/>
        </w:rPr>
        <w:t>Key Mental Health Outcomes Table</w:t>
      </w:r>
      <w:bookmarkEnd w:id="23"/>
      <w:r>
        <w:rPr>
          <w:rFonts w:hint="default" w:ascii="Arial" w:hAnsi="Arial" w:cs="Arial"/>
          <w:sz w:val="22"/>
          <w:szCs w:val="22"/>
          <w:lang w:val="en-IN"/>
        </w:rPr>
        <w:t>:</w:t>
      </w:r>
      <w:bookmarkEnd w:id="24"/>
    </w:p>
    <w:tbl>
      <w:tblPr>
        <w:tblStyle w:val="12"/>
        <w:tblW w:w="0" w:type="auto"/>
        <w:tblCellSpacing w:w="1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15" w:type="dxa"/>
          <w:left w:w="15" w:type="dxa"/>
          <w:bottom w:w="15" w:type="dxa"/>
          <w:right w:w="15" w:type="dxa"/>
        </w:tblCellMar>
      </w:tblPr>
      <w:tblGrid>
        <w:gridCol w:w="2028"/>
        <w:gridCol w:w="1954"/>
        <w:gridCol w:w="1835"/>
        <w:gridCol w:w="2599"/>
      </w:tblGrid>
      <w:tr w14:paraId="4A7CF9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72C07E88">
            <w:pPr>
              <w:spacing w:line="360" w:lineRule="auto"/>
              <w:jc w:val="both"/>
              <w:rPr>
                <w:rFonts w:ascii="Arial" w:hAnsi="Arial" w:cs="Arial"/>
                <w:b/>
                <w:bCs/>
                <w:sz w:val="22"/>
                <w:szCs w:val="22"/>
              </w:rPr>
            </w:pPr>
            <w:r>
              <w:rPr>
                <w:rFonts w:ascii="Arial" w:hAnsi="Arial" w:eastAsia="SimSun" w:cs="Arial"/>
                <w:b/>
                <w:bCs/>
                <w:sz w:val="22"/>
                <w:szCs w:val="22"/>
                <w:lang w:bidi="ar"/>
              </w:rPr>
              <w:t>Mental Health Outcome</w:t>
            </w:r>
          </w:p>
        </w:tc>
        <w:tc>
          <w:tcPr>
            <w:tcW w:w="0" w:type="auto"/>
            <w:shd w:val="clear" w:color="auto" w:fill="auto"/>
            <w:vAlign w:val="center"/>
          </w:tcPr>
          <w:p w14:paraId="766E5CC9">
            <w:pPr>
              <w:spacing w:line="360" w:lineRule="auto"/>
              <w:jc w:val="both"/>
              <w:rPr>
                <w:rFonts w:ascii="Arial" w:hAnsi="Arial" w:cs="Arial"/>
                <w:b/>
                <w:bCs/>
                <w:sz w:val="22"/>
                <w:szCs w:val="22"/>
              </w:rPr>
            </w:pPr>
            <w:r>
              <w:rPr>
                <w:rFonts w:ascii="Arial" w:hAnsi="Arial" w:eastAsia="SimSun" w:cs="Arial"/>
                <w:b/>
                <w:bCs/>
                <w:sz w:val="22"/>
                <w:szCs w:val="22"/>
                <w:lang w:bidi="ar"/>
              </w:rPr>
              <w:t>Evidence of Increased Risk</w:t>
            </w:r>
          </w:p>
        </w:tc>
        <w:tc>
          <w:tcPr>
            <w:tcW w:w="0" w:type="auto"/>
            <w:shd w:val="clear" w:color="auto" w:fill="auto"/>
            <w:vAlign w:val="center"/>
          </w:tcPr>
          <w:p w14:paraId="5B2C8762">
            <w:pPr>
              <w:spacing w:line="360" w:lineRule="auto"/>
              <w:jc w:val="both"/>
              <w:rPr>
                <w:rFonts w:ascii="Arial" w:hAnsi="Arial" w:cs="Arial"/>
                <w:b/>
                <w:bCs/>
                <w:sz w:val="22"/>
                <w:szCs w:val="22"/>
              </w:rPr>
            </w:pPr>
            <w:r>
              <w:rPr>
                <w:rFonts w:ascii="Arial" w:hAnsi="Arial" w:eastAsia="SimSun" w:cs="Arial"/>
                <w:b/>
                <w:bCs/>
                <w:sz w:val="22"/>
                <w:szCs w:val="22"/>
                <w:lang w:bidi="ar"/>
              </w:rPr>
              <w:t>Duration Post-Diagnosis</w:t>
            </w:r>
          </w:p>
        </w:tc>
        <w:tc>
          <w:tcPr>
            <w:tcW w:w="0" w:type="auto"/>
            <w:shd w:val="clear" w:color="auto" w:fill="auto"/>
            <w:vAlign w:val="center"/>
          </w:tcPr>
          <w:p w14:paraId="040EA1DC">
            <w:pPr>
              <w:spacing w:line="360" w:lineRule="auto"/>
              <w:jc w:val="both"/>
              <w:rPr>
                <w:rFonts w:ascii="Arial" w:hAnsi="Arial" w:cs="Arial"/>
                <w:b/>
                <w:bCs/>
                <w:sz w:val="22"/>
                <w:szCs w:val="22"/>
              </w:rPr>
            </w:pPr>
            <w:r>
              <w:rPr>
                <w:rFonts w:ascii="Arial" w:hAnsi="Arial" w:eastAsia="SimSun" w:cs="Arial"/>
                <w:b/>
                <w:bCs/>
                <w:sz w:val="22"/>
                <w:szCs w:val="22"/>
                <w:lang w:bidi="ar"/>
              </w:rPr>
              <w:t>Key References</w:t>
            </w:r>
          </w:p>
        </w:tc>
      </w:tr>
      <w:tr w14:paraId="7BE920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004CD9B8">
            <w:pPr>
              <w:spacing w:line="360" w:lineRule="auto"/>
              <w:jc w:val="both"/>
              <w:rPr>
                <w:rFonts w:ascii="Arial" w:hAnsi="Arial" w:cs="Arial"/>
                <w:sz w:val="22"/>
                <w:szCs w:val="22"/>
              </w:rPr>
            </w:pPr>
            <w:r>
              <w:rPr>
                <w:rFonts w:ascii="Arial" w:hAnsi="Arial" w:eastAsia="SimSun" w:cs="Arial"/>
                <w:sz w:val="22"/>
                <w:szCs w:val="22"/>
                <w:lang w:bidi="ar"/>
              </w:rPr>
              <w:t>Anxiety</w:t>
            </w:r>
          </w:p>
        </w:tc>
        <w:tc>
          <w:tcPr>
            <w:tcW w:w="0" w:type="auto"/>
            <w:shd w:val="clear" w:color="auto" w:fill="auto"/>
            <w:vAlign w:val="center"/>
          </w:tcPr>
          <w:p w14:paraId="7B69ED75">
            <w:pPr>
              <w:spacing w:line="360" w:lineRule="auto"/>
              <w:jc w:val="both"/>
              <w:rPr>
                <w:rFonts w:ascii="Arial" w:hAnsi="Arial" w:cs="Arial"/>
                <w:sz w:val="22"/>
                <w:szCs w:val="22"/>
              </w:rPr>
            </w:pPr>
            <w:r>
              <w:rPr>
                <w:rFonts w:ascii="Arial" w:hAnsi="Arial" w:eastAsia="SimSun" w:cs="Arial"/>
                <w:sz w:val="22"/>
                <w:szCs w:val="22"/>
                <w:lang w:bidi="ar"/>
              </w:rPr>
              <w:t>Yes</w:t>
            </w:r>
          </w:p>
        </w:tc>
        <w:tc>
          <w:tcPr>
            <w:tcW w:w="0" w:type="auto"/>
            <w:shd w:val="clear" w:color="auto" w:fill="auto"/>
            <w:vAlign w:val="center"/>
          </w:tcPr>
          <w:p w14:paraId="04744EEC">
            <w:pPr>
              <w:spacing w:line="360" w:lineRule="auto"/>
              <w:jc w:val="both"/>
              <w:rPr>
                <w:rFonts w:ascii="Arial" w:hAnsi="Arial" w:cs="Arial"/>
                <w:sz w:val="22"/>
                <w:szCs w:val="22"/>
              </w:rPr>
            </w:pPr>
            <w:r>
              <w:rPr>
                <w:rFonts w:ascii="Arial" w:hAnsi="Arial" w:eastAsia="SimSun" w:cs="Arial"/>
                <w:sz w:val="22"/>
                <w:szCs w:val="22"/>
                <w:lang w:bidi="ar"/>
              </w:rPr>
              <w:t>2+ years</w:t>
            </w:r>
          </w:p>
        </w:tc>
        <w:tc>
          <w:tcPr>
            <w:tcW w:w="0" w:type="auto"/>
            <w:shd w:val="clear" w:color="auto" w:fill="auto"/>
            <w:vAlign w:val="center"/>
          </w:tcPr>
          <w:p w14:paraId="7754B46F">
            <w:pPr>
              <w:spacing w:line="360" w:lineRule="auto"/>
              <w:jc w:val="both"/>
              <w:rPr>
                <w:rFonts w:ascii="Arial" w:hAnsi="Arial" w:cs="Arial"/>
                <w:sz w:val="22"/>
                <w:szCs w:val="22"/>
              </w:rPr>
            </w:pPr>
            <w:r>
              <w:rPr>
                <w:rFonts w:ascii="Arial" w:hAnsi="Arial" w:eastAsia="SimSun" w:cs="Arial"/>
                <w:sz w:val="22"/>
                <w:szCs w:val="22"/>
                <w:lang w:bidi="ar"/>
              </w:rPr>
              <w:t>Fortin et al., 2021; Wang et al., 2020</w:t>
            </w:r>
          </w:p>
        </w:tc>
      </w:tr>
      <w:tr w14:paraId="32A807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0C8850CF">
            <w:pPr>
              <w:spacing w:line="360" w:lineRule="auto"/>
              <w:jc w:val="both"/>
              <w:rPr>
                <w:rFonts w:ascii="Arial" w:hAnsi="Arial" w:cs="Arial"/>
                <w:sz w:val="22"/>
                <w:szCs w:val="22"/>
              </w:rPr>
            </w:pPr>
            <w:r>
              <w:rPr>
                <w:rFonts w:ascii="Arial" w:hAnsi="Arial" w:eastAsia="SimSun" w:cs="Arial"/>
                <w:sz w:val="22"/>
                <w:szCs w:val="22"/>
                <w:lang w:bidi="ar"/>
              </w:rPr>
              <w:t>Depression</w:t>
            </w:r>
          </w:p>
        </w:tc>
        <w:tc>
          <w:tcPr>
            <w:tcW w:w="0" w:type="auto"/>
            <w:shd w:val="clear" w:color="auto" w:fill="auto"/>
            <w:vAlign w:val="center"/>
          </w:tcPr>
          <w:p w14:paraId="03EF7DD3">
            <w:pPr>
              <w:spacing w:line="360" w:lineRule="auto"/>
              <w:jc w:val="both"/>
              <w:rPr>
                <w:rFonts w:ascii="Arial" w:hAnsi="Arial" w:cs="Arial"/>
                <w:sz w:val="22"/>
                <w:szCs w:val="22"/>
              </w:rPr>
            </w:pPr>
            <w:r>
              <w:rPr>
                <w:rFonts w:ascii="Arial" w:hAnsi="Arial" w:eastAsia="SimSun" w:cs="Arial"/>
                <w:sz w:val="22"/>
                <w:szCs w:val="22"/>
                <w:lang w:bidi="ar"/>
              </w:rPr>
              <w:t>Yes</w:t>
            </w:r>
          </w:p>
        </w:tc>
        <w:tc>
          <w:tcPr>
            <w:tcW w:w="0" w:type="auto"/>
            <w:shd w:val="clear" w:color="auto" w:fill="auto"/>
            <w:vAlign w:val="center"/>
          </w:tcPr>
          <w:p w14:paraId="64E91CC6">
            <w:pPr>
              <w:spacing w:line="360" w:lineRule="auto"/>
              <w:jc w:val="both"/>
              <w:rPr>
                <w:rFonts w:ascii="Arial" w:hAnsi="Arial" w:cs="Arial"/>
                <w:sz w:val="22"/>
                <w:szCs w:val="22"/>
              </w:rPr>
            </w:pPr>
            <w:r>
              <w:rPr>
                <w:rFonts w:ascii="Arial" w:hAnsi="Arial" w:eastAsia="SimSun" w:cs="Arial"/>
                <w:sz w:val="22"/>
                <w:szCs w:val="22"/>
                <w:lang w:bidi="ar"/>
              </w:rPr>
              <w:t>4+ years</w:t>
            </w:r>
          </w:p>
        </w:tc>
        <w:tc>
          <w:tcPr>
            <w:tcW w:w="0" w:type="auto"/>
            <w:shd w:val="clear" w:color="auto" w:fill="auto"/>
            <w:vAlign w:val="center"/>
          </w:tcPr>
          <w:p w14:paraId="6D96A216">
            <w:pPr>
              <w:spacing w:line="360" w:lineRule="auto"/>
              <w:jc w:val="both"/>
              <w:rPr>
                <w:rFonts w:ascii="Arial" w:hAnsi="Arial" w:cs="Arial"/>
                <w:sz w:val="22"/>
                <w:szCs w:val="22"/>
              </w:rPr>
            </w:pPr>
            <w:r>
              <w:rPr>
                <w:rFonts w:ascii="Arial" w:hAnsi="Arial" w:eastAsia="SimSun" w:cs="Arial"/>
                <w:sz w:val="22"/>
                <w:szCs w:val="22"/>
                <w:lang w:bidi="ar"/>
              </w:rPr>
              <w:t>Wang et al., 2020; Forbes et al., 2024</w:t>
            </w:r>
          </w:p>
        </w:tc>
      </w:tr>
      <w:tr w14:paraId="2FE4A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57BC95AD">
            <w:pPr>
              <w:spacing w:line="360" w:lineRule="auto"/>
              <w:jc w:val="both"/>
              <w:rPr>
                <w:rFonts w:ascii="Arial" w:hAnsi="Arial" w:cs="Arial"/>
                <w:sz w:val="22"/>
                <w:szCs w:val="22"/>
              </w:rPr>
            </w:pPr>
            <w:r>
              <w:rPr>
                <w:rFonts w:ascii="Arial" w:hAnsi="Arial" w:eastAsia="SimSun" w:cs="Arial"/>
                <w:sz w:val="22"/>
                <w:szCs w:val="22"/>
                <w:lang w:bidi="ar"/>
              </w:rPr>
              <w:t>Sleep Disorders</w:t>
            </w:r>
          </w:p>
        </w:tc>
        <w:tc>
          <w:tcPr>
            <w:tcW w:w="0" w:type="auto"/>
            <w:shd w:val="clear" w:color="auto" w:fill="auto"/>
            <w:vAlign w:val="center"/>
          </w:tcPr>
          <w:p w14:paraId="23435D3F">
            <w:pPr>
              <w:spacing w:line="360" w:lineRule="auto"/>
              <w:jc w:val="both"/>
              <w:rPr>
                <w:rFonts w:ascii="Arial" w:hAnsi="Arial" w:cs="Arial"/>
                <w:sz w:val="22"/>
                <w:szCs w:val="22"/>
              </w:rPr>
            </w:pPr>
            <w:r>
              <w:rPr>
                <w:rFonts w:ascii="Arial" w:hAnsi="Arial" w:eastAsia="SimSun" w:cs="Arial"/>
                <w:sz w:val="22"/>
                <w:szCs w:val="22"/>
                <w:lang w:bidi="ar"/>
              </w:rPr>
              <w:t>Yes</w:t>
            </w:r>
          </w:p>
        </w:tc>
        <w:tc>
          <w:tcPr>
            <w:tcW w:w="0" w:type="auto"/>
            <w:shd w:val="clear" w:color="auto" w:fill="auto"/>
            <w:vAlign w:val="center"/>
          </w:tcPr>
          <w:p w14:paraId="0E2E7261">
            <w:pPr>
              <w:spacing w:line="360" w:lineRule="auto"/>
              <w:jc w:val="both"/>
              <w:rPr>
                <w:rFonts w:ascii="Arial" w:hAnsi="Arial" w:cs="Arial"/>
                <w:sz w:val="22"/>
                <w:szCs w:val="22"/>
              </w:rPr>
            </w:pPr>
            <w:r>
              <w:rPr>
                <w:rFonts w:ascii="Arial" w:hAnsi="Arial" w:eastAsia="SimSun" w:cs="Arial"/>
                <w:sz w:val="22"/>
                <w:szCs w:val="22"/>
                <w:lang w:bidi="ar"/>
              </w:rPr>
              <w:t>5–10 years</w:t>
            </w:r>
          </w:p>
        </w:tc>
        <w:tc>
          <w:tcPr>
            <w:tcW w:w="0" w:type="auto"/>
            <w:shd w:val="clear" w:color="auto" w:fill="auto"/>
            <w:vAlign w:val="center"/>
          </w:tcPr>
          <w:p w14:paraId="47D44D6F">
            <w:pPr>
              <w:spacing w:line="360" w:lineRule="auto"/>
              <w:jc w:val="both"/>
              <w:rPr>
                <w:rFonts w:ascii="Arial" w:hAnsi="Arial" w:cs="Arial"/>
                <w:sz w:val="22"/>
                <w:szCs w:val="22"/>
              </w:rPr>
            </w:pPr>
            <w:r>
              <w:rPr>
                <w:rFonts w:ascii="Arial" w:hAnsi="Arial" w:eastAsia="SimSun" w:cs="Arial"/>
                <w:sz w:val="22"/>
                <w:szCs w:val="22"/>
                <w:lang w:bidi="ar"/>
              </w:rPr>
              <w:t xml:space="preserve">Fortin et al., 2021; </w:t>
            </w:r>
            <w:r>
              <w:rPr>
                <w:rFonts w:ascii="Arial" w:hAnsi="Arial" w:eastAsia="SimSun" w:cs="Arial"/>
                <w:sz w:val="22"/>
                <w:szCs w:val="22"/>
              </w:rPr>
              <w:t>Paltrinieri et al., 2024</w:t>
            </w:r>
          </w:p>
        </w:tc>
      </w:tr>
      <w:tr w14:paraId="2A4754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6511C5EA">
            <w:pPr>
              <w:spacing w:line="360" w:lineRule="auto"/>
              <w:jc w:val="both"/>
              <w:rPr>
                <w:rFonts w:ascii="Arial" w:hAnsi="Arial" w:cs="Arial"/>
                <w:sz w:val="22"/>
                <w:szCs w:val="22"/>
              </w:rPr>
            </w:pPr>
            <w:r>
              <w:rPr>
                <w:rFonts w:ascii="Arial" w:hAnsi="Arial" w:eastAsia="SimSun" w:cs="Arial"/>
                <w:sz w:val="22"/>
                <w:szCs w:val="22"/>
                <w:lang w:bidi="ar"/>
              </w:rPr>
              <w:t>Fatigue</w:t>
            </w:r>
          </w:p>
        </w:tc>
        <w:tc>
          <w:tcPr>
            <w:tcW w:w="0" w:type="auto"/>
            <w:shd w:val="clear" w:color="auto" w:fill="auto"/>
            <w:vAlign w:val="center"/>
          </w:tcPr>
          <w:p w14:paraId="39A9AF5E">
            <w:pPr>
              <w:spacing w:line="360" w:lineRule="auto"/>
              <w:jc w:val="both"/>
              <w:rPr>
                <w:rFonts w:ascii="Arial" w:hAnsi="Arial" w:cs="Arial"/>
                <w:sz w:val="22"/>
                <w:szCs w:val="22"/>
              </w:rPr>
            </w:pPr>
            <w:r>
              <w:rPr>
                <w:rFonts w:ascii="Arial" w:hAnsi="Arial" w:eastAsia="SimSun" w:cs="Arial"/>
                <w:sz w:val="22"/>
                <w:szCs w:val="22"/>
                <w:lang w:bidi="ar"/>
              </w:rPr>
              <w:t>Yes</w:t>
            </w:r>
          </w:p>
        </w:tc>
        <w:tc>
          <w:tcPr>
            <w:tcW w:w="0" w:type="auto"/>
            <w:shd w:val="clear" w:color="auto" w:fill="auto"/>
            <w:vAlign w:val="center"/>
          </w:tcPr>
          <w:p w14:paraId="60C430BB">
            <w:pPr>
              <w:spacing w:line="360" w:lineRule="auto"/>
              <w:jc w:val="both"/>
              <w:rPr>
                <w:rFonts w:ascii="Arial" w:hAnsi="Arial" w:cs="Arial"/>
                <w:sz w:val="22"/>
                <w:szCs w:val="22"/>
              </w:rPr>
            </w:pPr>
            <w:r>
              <w:rPr>
                <w:rFonts w:ascii="Arial" w:hAnsi="Arial" w:eastAsia="SimSun" w:cs="Arial"/>
                <w:sz w:val="22"/>
                <w:szCs w:val="22"/>
                <w:lang w:bidi="ar"/>
              </w:rPr>
              <w:t>5–10 years</w:t>
            </w:r>
          </w:p>
        </w:tc>
        <w:tc>
          <w:tcPr>
            <w:tcW w:w="0" w:type="auto"/>
            <w:shd w:val="clear" w:color="auto" w:fill="auto"/>
            <w:vAlign w:val="center"/>
          </w:tcPr>
          <w:p w14:paraId="0DCDF79E">
            <w:pPr>
              <w:spacing w:line="360" w:lineRule="auto"/>
              <w:jc w:val="both"/>
              <w:rPr>
                <w:rFonts w:ascii="Arial" w:hAnsi="Arial" w:cs="Arial"/>
                <w:sz w:val="22"/>
                <w:szCs w:val="22"/>
              </w:rPr>
            </w:pPr>
            <w:r>
              <w:rPr>
                <w:rFonts w:ascii="Arial" w:hAnsi="Arial" w:eastAsia="SimSun" w:cs="Arial"/>
                <w:sz w:val="22"/>
                <w:szCs w:val="22"/>
              </w:rPr>
              <w:t>Paltrinieri et al., 2024</w:t>
            </w:r>
            <w:r>
              <w:rPr>
                <w:rFonts w:ascii="Arial" w:hAnsi="Arial" w:eastAsia="SimSun" w:cs="Arial"/>
                <w:sz w:val="22"/>
                <w:szCs w:val="22"/>
                <w:lang w:bidi="ar"/>
              </w:rPr>
              <w:t>; Forbes et al., 2024</w:t>
            </w:r>
          </w:p>
        </w:tc>
      </w:tr>
      <w:tr w14:paraId="5342BE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4520FB32">
            <w:pPr>
              <w:spacing w:line="360" w:lineRule="auto"/>
              <w:jc w:val="both"/>
              <w:rPr>
                <w:rFonts w:ascii="Arial" w:hAnsi="Arial" w:cs="Arial"/>
                <w:sz w:val="22"/>
                <w:szCs w:val="22"/>
              </w:rPr>
            </w:pPr>
            <w:r>
              <w:rPr>
                <w:rFonts w:ascii="Arial" w:hAnsi="Arial" w:eastAsia="SimSun" w:cs="Arial"/>
                <w:sz w:val="22"/>
                <w:szCs w:val="22"/>
                <w:lang w:bidi="ar"/>
              </w:rPr>
              <w:t>Sexual Dysfunction</w:t>
            </w:r>
          </w:p>
        </w:tc>
        <w:tc>
          <w:tcPr>
            <w:tcW w:w="0" w:type="auto"/>
            <w:shd w:val="clear" w:color="auto" w:fill="auto"/>
            <w:vAlign w:val="center"/>
          </w:tcPr>
          <w:p w14:paraId="2D47D327">
            <w:pPr>
              <w:spacing w:line="360" w:lineRule="auto"/>
              <w:jc w:val="both"/>
              <w:rPr>
                <w:rFonts w:ascii="Arial" w:hAnsi="Arial" w:cs="Arial"/>
                <w:sz w:val="22"/>
                <w:szCs w:val="22"/>
              </w:rPr>
            </w:pPr>
            <w:r>
              <w:rPr>
                <w:rFonts w:ascii="Arial" w:hAnsi="Arial" w:eastAsia="SimSun" w:cs="Arial"/>
                <w:sz w:val="22"/>
                <w:szCs w:val="22"/>
                <w:lang w:bidi="ar"/>
              </w:rPr>
              <w:t>Yes</w:t>
            </w:r>
          </w:p>
        </w:tc>
        <w:tc>
          <w:tcPr>
            <w:tcW w:w="0" w:type="auto"/>
            <w:shd w:val="clear" w:color="auto" w:fill="auto"/>
            <w:vAlign w:val="center"/>
          </w:tcPr>
          <w:p w14:paraId="245F3BD2">
            <w:pPr>
              <w:spacing w:line="360" w:lineRule="auto"/>
              <w:jc w:val="both"/>
              <w:rPr>
                <w:rFonts w:ascii="Arial" w:hAnsi="Arial" w:cs="Arial"/>
                <w:sz w:val="22"/>
                <w:szCs w:val="22"/>
              </w:rPr>
            </w:pPr>
            <w:r>
              <w:rPr>
                <w:rFonts w:ascii="Arial" w:hAnsi="Arial" w:eastAsia="SimSun" w:cs="Arial"/>
                <w:sz w:val="22"/>
                <w:szCs w:val="22"/>
                <w:lang w:bidi="ar"/>
              </w:rPr>
              <w:t>Long-term</w:t>
            </w:r>
          </w:p>
        </w:tc>
        <w:tc>
          <w:tcPr>
            <w:tcW w:w="0" w:type="auto"/>
            <w:shd w:val="clear" w:color="auto" w:fill="auto"/>
            <w:vAlign w:val="center"/>
          </w:tcPr>
          <w:p w14:paraId="431BA7C8">
            <w:pPr>
              <w:spacing w:line="360" w:lineRule="auto"/>
              <w:jc w:val="both"/>
              <w:rPr>
                <w:rFonts w:ascii="Arial" w:hAnsi="Arial" w:cs="Arial"/>
                <w:sz w:val="22"/>
                <w:szCs w:val="22"/>
              </w:rPr>
            </w:pPr>
            <w:r>
              <w:rPr>
                <w:rFonts w:ascii="Arial" w:hAnsi="Arial" w:eastAsia="SimSun" w:cs="Arial"/>
                <w:sz w:val="22"/>
                <w:szCs w:val="22"/>
                <w:lang w:bidi="ar"/>
              </w:rPr>
              <w:t>Elliott et al., 2024</w:t>
            </w:r>
          </w:p>
        </w:tc>
      </w:tr>
      <w:tr w14:paraId="43A6F8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3A112490">
            <w:pPr>
              <w:spacing w:line="360" w:lineRule="auto"/>
              <w:jc w:val="both"/>
              <w:rPr>
                <w:rFonts w:ascii="Arial" w:hAnsi="Arial" w:cs="Arial"/>
                <w:sz w:val="22"/>
                <w:szCs w:val="22"/>
              </w:rPr>
            </w:pPr>
            <w:r>
              <w:rPr>
                <w:rFonts w:ascii="Arial" w:hAnsi="Arial" w:eastAsia="SimSun" w:cs="Arial"/>
                <w:sz w:val="22"/>
                <w:szCs w:val="22"/>
                <w:lang w:bidi="ar"/>
              </w:rPr>
              <w:t>Pain</w:t>
            </w:r>
          </w:p>
        </w:tc>
        <w:tc>
          <w:tcPr>
            <w:tcW w:w="0" w:type="auto"/>
            <w:shd w:val="clear" w:color="auto" w:fill="auto"/>
            <w:vAlign w:val="center"/>
          </w:tcPr>
          <w:p w14:paraId="429F3C1E">
            <w:pPr>
              <w:spacing w:line="360" w:lineRule="auto"/>
              <w:jc w:val="both"/>
              <w:rPr>
                <w:rFonts w:ascii="Arial" w:hAnsi="Arial" w:cs="Arial"/>
                <w:sz w:val="22"/>
                <w:szCs w:val="22"/>
              </w:rPr>
            </w:pPr>
            <w:r>
              <w:rPr>
                <w:rFonts w:ascii="Arial" w:hAnsi="Arial" w:eastAsia="SimSun" w:cs="Arial"/>
                <w:sz w:val="22"/>
                <w:szCs w:val="22"/>
                <w:lang w:bidi="ar"/>
              </w:rPr>
              <w:t>Yes</w:t>
            </w:r>
          </w:p>
        </w:tc>
        <w:tc>
          <w:tcPr>
            <w:tcW w:w="0" w:type="auto"/>
            <w:shd w:val="clear" w:color="auto" w:fill="auto"/>
            <w:vAlign w:val="center"/>
          </w:tcPr>
          <w:p w14:paraId="0BDC53AB">
            <w:pPr>
              <w:spacing w:line="360" w:lineRule="auto"/>
              <w:jc w:val="both"/>
              <w:rPr>
                <w:rFonts w:ascii="Arial" w:hAnsi="Arial" w:cs="Arial"/>
                <w:sz w:val="22"/>
                <w:szCs w:val="22"/>
              </w:rPr>
            </w:pPr>
            <w:r>
              <w:rPr>
                <w:rFonts w:ascii="Arial" w:hAnsi="Arial" w:eastAsia="SimSun" w:cs="Arial"/>
                <w:sz w:val="22"/>
                <w:szCs w:val="22"/>
                <w:lang w:bidi="ar"/>
              </w:rPr>
              <w:t>Long-term</w:t>
            </w:r>
          </w:p>
        </w:tc>
        <w:tc>
          <w:tcPr>
            <w:tcW w:w="0" w:type="auto"/>
            <w:shd w:val="clear" w:color="auto" w:fill="auto"/>
            <w:vAlign w:val="center"/>
          </w:tcPr>
          <w:p w14:paraId="67012EA6">
            <w:pPr>
              <w:spacing w:line="360" w:lineRule="auto"/>
              <w:jc w:val="both"/>
              <w:rPr>
                <w:rFonts w:ascii="Arial" w:hAnsi="Arial" w:cs="Arial"/>
                <w:sz w:val="22"/>
                <w:szCs w:val="22"/>
              </w:rPr>
            </w:pPr>
            <w:r>
              <w:rPr>
                <w:rFonts w:ascii="Arial" w:hAnsi="Arial" w:eastAsia="SimSun" w:cs="Arial"/>
                <w:sz w:val="22"/>
                <w:szCs w:val="22"/>
                <w:lang w:bidi="ar"/>
              </w:rPr>
              <w:t xml:space="preserve">Forbes et al., 2024; </w:t>
            </w:r>
            <w:r>
              <w:rPr>
                <w:rFonts w:ascii="Arial" w:hAnsi="Arial" w:eastAsia="SimSun" w:cs="Arial"/>
                <w:sz w:val="22"/>
                <w:szCs w:val="22"/>
              </w:rPr>
              <w:t>Paltrinieri et al., 2024</w:t>
            </w:r>
          </w:p>
        </w:tc>
      </w:tr>
      <w:tr w14:paraId="11AD87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449D9154">
            <w:pPr>
              <w:spacing w:line="360" w:lineRule="auto"/>
              <w:jc w:val="both"/>
              <w:rPr>
                <w:rFonts w:ascii="Arial" w:hAnsi="Arial" w:cs="Arial"/>
                <w:sz w:val="22"/>
                <w:szCs w:val="22"/>
              </w:rPr>
            </w:pPr>
            <w:r>
              <w:rPr>
                <w:rFonts w:ascii="Arial" w:hAnsi="Arial" w:eastAsia="SimSun" w:cs="Arial"/>
                <w:sz w:val="22"/>
                <w:szCs w:val="22"/>
                <w:lang w:bidi="ar"/>
              </w:rPr>
              <w:t>Cognitive Dysfunction</w:t>
            </w:r>
          </w:p>
        </w:tc>
        <w:tc>
          <w:tcPr>
            <w:tcW w:w="0" w:type="auto"/>
            <w:shd w:val="clear" w:color="auto" w:fill="auto"/>
            <w:vAlign w:val="center"/>
          </w:tcPr>
          <w:p w14:paraId="42FF92F7">
            <w:pPr>
              <w:spacing w:line="360" w:lineRule="auto"/>
              <w:jc w:val="both"/>
              <w:rPr>
                <w:rFonts w:ascii="Arial" w:hAnsi="Arial" w:cs="Arial"/>
                <w:sz w:val="22"/>
                <w:szCs w:val="22"/>
              </w:rPr>
            </w:pPr>
            <w:r>
              <w:rPr>
                <w:rFonts w:ascii="Arial" w:hAnsi="Arial" w:eastAsia="SimSun" w:cs="Arial"/>
                <w:sz w:val="22"/>
                <w:szCs w:val="22"/>
                <w:lang w:bidi="ar"/>
              </w:rPr>
              <w:t>Mixed</w:t>
            </w:r>
          </w:p>
        </w:tc>
        <w:tc>
          <w:tcPr>
            <w:tcW w:w="0" w:type="auto"/>
            <w:shd w:val="clear" w:color="auto" w:fill="auto"/>
            <w:vAlign w:val="center"/>
          </w:tcPr>
          <w:p w14:paraId="13ECA3E0">
            <w:pPr>
              <w:spacing w:line="360" w:lineRule="auto"/>
              <w:jc w:val="both"/>
              <w:rPr>
                <w:rFonts w:ascii="Arial" w:hAnsi="Arial" w:cs="Arial"/>
                <w:sz w:val="22"/>
                <w:szCs w:val="22"/>
              </w:rPr>
            </w:pPr>
            <w:r>
              <w:rPr>
                <w:rFonts w:ascii="Arial" w:hAnsi="Arial" w:eastAsia="SimSun" w:cs="Arial"/>
                <w:sz w:val="22"/>
                <w:szCs w:val="22"/>
                <w:lang w:bidi="ar"/>
              </w:rPr>
              <w:t>Unclear</w:t>
            </w:r>
          </w:p>
        </w:tc>
        <w:tc>
          <w:tcPr>
            <w:tcW w:w="0" w:type="auto"/>
            <w:shd w:val="clear" w:color="auto" w:fill="auto"/>
            <w:vAlign w:val="center"/>
          </w:tcPr>
          <w:p w14:paraId="57CDD1AD">
            <w:pPr>
              <w:spacing w:line="360" w:lineRule="auto"/>
              <w:jc w:val="both"/>
              <w:rPr>
                <w:rFonts w:ascii="Arial" w:hAnsi="Arial" w:cs="Arial"/>
                <w:sz w:val="22"/>
                <w:szCs w:val="22"/>
              </w:rPr>
            </w:pPr>
            <w:r>
              <w:rPr>
                <w:rFonts w:ascii="Arial" w:hAnsi="Arial" w:eastAsia="SimSun" w:cs="Arial"/>
                <w:sz w:val="22"/>
                <w:szCs w:val="22"/>
              </w:rPr>
              <w:t>Paltrinieri et al., 2024</w:t>
            </w:r>
          </w:p>
        </w:tc>
      </w:tr>
      <w:tr w14:paraId="502BA8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44AE7B65">
            <w:pPr>
              <w:spacing w:line="360" w:lineRule="auto"/>
              <w:jc w:val="both"/>
              <w:rPr>
                <w:rFonts w:ascii="Arial" w:hAnsi="Arial" w:cs="Arial"/>
                <w:sz w:val="22"/>
                <w:szCs w:val="22"/>
              </w:rPr>
            </w:pPr>
            <w:r>
              <w:rPr>
                <w:rFonts w:ascii="Arial" w:hAnsi="Arial" w:eastAsia="SimSun" w:cs="Arial"/>
                <w:sz w:val="22"/>
                <w:szCs w:val="22"/>
                <w:lang w:bidi="ar"/>
              </w:rPr>
              <w:t>Suicidal Ideation/Self-Harm</w:t>
            </w:r>
          </w:p>
        </w:tc>
        <w:tc>
          <w:tcPr>
            <w:tcW w:w="0" w:type="auto"/>
            <w:shd w:val="clear" w:color="auto" w:fill="auto"/>
            <w:vAlign w:val="center"/>
          </w:tcPr>
          <w:p w14:paraId="58CDB3C8">
            <w:pPr>
              <w:spacing w:line="360" w:lineRule="auto"/>
              <w:jc w:val="both"/>
              <w:rPr>
                <w:rFonts w:ascii="Arial" w:hAnsi="Arial" w:cs="Arial"/>
                <w:sz w:val="22"/>
                <w:szCs w:val="22"/>
              </w:rPr>
            </w:pPr>
            <w:r>
              <w:rPr>
                <w:rFonts w:ascii="Arial" w:hAnsi="Arial" w:eastAsia="SimSun" w:cs="Arial"/>
                <w:sz w:val="22"/>
                <w:szCs w:val="22"/>
                <w:lang w:bidi="ar"/>
              </w:rPr>
              <w:t>Yes</w:t>
            </w:r>
          </w:p>
        </w:tc>
        <w:tc>
          <w:tcPr>
            <w:tcW w:w="0" w:type="auto"/>
            <w:shd w:val="clear" w:color="auto" w:fill="auto"/>
            <w:vAlign w:val="center"/>
          </w:tcPr>
          <w:p w14:paraId="25D4415A">
            <w:pPr>
              <w:spacing w:line="360" w:lineRule="auto"/>
              <w:jc w:val="both"/>
              <w:rPr>
                <w:rFonts w:ascii="Arial" w:hAnsi="Arial" w:cs="Arial"/>
                <w:sz w:val="22"/>
                <w:szCs w:val="22"/>
              </w:rPr>
            </w:pPr>
            <w:r>
              <w:rPr>
                <w:rFonts w:ascii="Arial" w:hAnsi="Arial" w:eastAsia="SimSun" w:cs="Arial"/>
                <w:sz w:val="22"/>
                <w:szCs w:val="22"/>
                <w:lang w:bidi="ar"/>
              </w:rPr>
              <w:t>Early years</w:t>
            </w:r>
          </w:p>
        </w:tc>
        <w:tc>
          <w:tcPr>
            <w:tcW w:w="0" w:type="auto"/>
            <w:shd w:val="clear" w:color="auto" w:fill="auto"/>
            <w:vAlign w:val="center"/>
          </w:tcPr>
          <w:p w14:paraId="35606969">
            <w:pPr>
              <w:spacing w:line="360" w:lineRule="auto"/>
              <w:jc w:val="both"/>
              <w:rPr>
                <w:rFonts w:ascii="Arial" w:hAnsi="Arial" w:cs="Arial"/>
                <w:sz w:val="22"/>
                <w:szCs w:val="22"/>
              </w:rPr>
            </w:pPr>
            <w:r>
              <w:rPr>
                <w:rFonts w:ascii="Arial" w:hAnsi="Arial" w:eastAsia="SimSun" w:cs="Arial"/>
                <w:sz w:val="22"/>
                <w:szCs w:val="22"/>
                <w:lang w:bidi="ar"/>
              </w:rPr>
              <w:t>Forbes et al., 2024</w:t>
            </w:r>
          </w:p>
        </w:tc>
      </w:tr>
    </w:tbl>
    <w:p w14:paraId="51FFDA95">
      <w:pPr>
        <w:pStyle w:val="3"/>
        <w:spacing w:line="360" w:lineRule="auto"/>
        <w:jc w:val="both"/>
        <w:rPr>
          <w:rFonts w:hint="default" w:ascii="Arial" w:hAnsi="Arial" w:cs="Arial"/>
          <w:sz w:val="22"/>
          <w:szCs w:val="22"/>
        </w:rPr>
      </w:pPr>
      <w:bookmarkStart w:id="25" w:name="_Toc9117"/>
    </w:p>
    <w:p w14:paraId="08A2F85C">
      <w:pPr>
        <w:pStyle w:val="3"/>
        <w:spacing w:line="360" w:lineRule="auto"/>
        <w:jc w:val="both"/>
        <w:rPr>
          <w:rFonts w:hint="default" w:ascii="Arial" w:hAnsi="Arial" w:cs="Arial"/>
          <w:sz w:val="22"/>
          <w:szCs w:val="22"/>
        </w:rPr>
      </w:pPr>
    </w:p>
    <w:p w14:paraId="7025093D">
      <w:pPr>
        <w:pStyle w:val="3"/>
        <w:spacing w:line="360" w:lineRule="auto"/>
        <w:jc w:val="both"/>
        <w:rPr>
          <w:rFonts w:hint="default" w:ascii="Arial" w:hAnsi="Arial" w:cs="Arial"/>
          <w:sz w:val="22"/>
          <w:szCs w:val="22"/>
        </w:rPr>
      </w:pPr>
      <w:bookmarkStart w:id="26" w:name="_Toc4285"/>
      <w:r>
        <w:rPr>
          <w:rFonts w:hint="default" w:ascii="Arial" w:hAnsi="Arial" w:cs="Arial"/>
          <w:sz w:val="22"/>
          <w:szCs w:val="22"/>
        </w:rPr>
        <w:t>Conclusion</w:t>
      </w:r>
      <w:bookmarkEnd w:id="25"/>
      <w:bookmarkEnd w:id="26"/>
    </w:p>
    <w:p w14:paraId="20493D54">
      <w:pPr>
        <w:pStyle w:val="85"/>
        <w:spacing w:line="360" w:lineRule="auto"/>
        <w:jc w:val="both"/>
        <w:rPr>
          <w:rFonts w:ascii="Arial" w:hAnsi="Arial" w:cs="Arial"/>
          <w:sz w:val="22"/>
          <w:szCs w:val="22"/>
        </w:rPr>
      </w:pPr>
      <w:r>
        <w:rPr>
          <w:rFonts w:ascii="Arial" w:hAnsi="Arial" w:cs="Arial"/>
          <w:sz w:val="22"/>
          <w:szCs w:val="22"/>
        </w:rPr>
        <w:t>In summary, breast cancer has a profound and lasting impact on the mental health of women in the United Kingdom. Anxiety, depression, fatigue, sleep disorders, and sexual dysfunction are prevalent and often persist for years after diagnosis and treatment. The risk is highest in the early years post-diagnosis and among younger women, those with advanced disease, and those lacking social support. Despite the high burden, psychological needs are frequently unmet, highlighting the need for integrated mental health care, routine screening, and tailored interventions within breast cancer services. Addressing these challenges is essential for improving quality of life and long-term outcomes for the growing population of breast cancer survivors in the UK.</w:t>
      </w:r>
    </w:p>
    <w:p w14:paraId="09485FB0">
      <w:pPr>
        <w:pStyle w:val="85"/>
        <w:spacing w:line="360" w:lineRule="auto"/>
        <w:jc w:val="both"/>
        <w:rPr>
          <w:rFonts w:ascii="Arial" w:hAnsi="Arial" w:cs="Arial"/>
          <w:sz w:val="22"/>
          <w:szCs w:val="22"/>
        </w:rPr>
      </w:pPr>
    </w:p>
    <w:p w14:paraId="652583FF">
      <w:pPr>
        <w:pStyle w:val="85"/>
        <w:spacing w:line="360" w:lineRule="auto"/>
        <w:jc w:val="both"/>
        <w:rPr>
          <w:rFonts w:ascii="Arial" w:hAnsi="Arial" w:cs="Arial"/>
          <w:sz w:val="22"/>
          <w:szCs w:val="22"/>
        </w:rPr>
      </w:pPr>
    </w:p>
    <w:p w14:paraId="7113ED1A">
      <w:pPr>
        <w:pStyle w:val="85"/>
        <w:spacing w:line="360" w:lineRule="auto"/>
        <w:jc w:val="both"/>
        <w:rPr>
          <w:rFonts w:ascii="Arial" w:hAnsi="Arial" w:cs="Arial"/>
          <w:sz w:val="22"/>
          <w:szCs w:val="22"/>
        </w:rPr>
      </w:pPr>
    </w:p>
    <w:p w14:paraId="35A1D19A">
      <w:pPr>
        <w:pStyle w:val="85"/>
        <w:spacing w:line="360" w:lineRule="auto"/>
        <w:jc w:val="both"/>
        <w:rPr>
          <w:rFonts w:ascii="Arial" w:hAnsi="Arial" w:cs="Arial"/>
          <w:sz w:val="22"/>
          <w:szCs w:val="22"/>
        </w:rPr>
      </w:pPr>
    </w:p>
    <w:p w14:paraId="14F501BD">
      <w:pPr>
        <w:pStyle w:val="85"/>
        <w:spacing w:line="360" w:lineRule="auto"/>
        <w:jc w:val="both"/>
        <w:rPr>
          <w:rFonts w:ascii="Arial" w:hAnsi="Arial" w:cs="Arial"/>
          <w:sz w:val="22"/>
          <w:szCs w:val="22"/>
        </w:rPr>
      </w:pPr>
    </w:p>
    <w:p w14:paraId="7084F6F7">
      <w:pPr>
        <w:pStyle w:val="85"/>
        <w:spacing w:line="360" w:lineRule="auto"/>
        <w:jc w:val="both"/>
        <w:rPr>
          <w:rFonts w:ascii="Arial" w:hAnsi="Arial" w:cs="Arial"/>
          <w:sz w:val="22"/>
          <w:szCs w:val="22"/>
        </w:rPr>
      </w:pPr>
    </w:p>
    <w:p w14:paraId="757E266D">
      <w:pPr>
        <w:pStyle w:val="85"/>
        <w:spacing w:line="360" w:lineRule="auto"/>
        <w:jc w:val="both"/>
        <w:rPr>
          <w:rFonts w:ascii="Arial" w:hAnsi="Arial" w:cs="Arial"/>
          <w:sz w:val="22"/>
          <w:szCs w:val="22"/>
        </w:rPr>
      </w:pPr>
    </w:p>
    <w:p w14:paraId="50131C0B">
      <w:pPr>
        <w:pStyle w:val="85"/>
        <w:spacing w:line="360" w:lineRule="auto"/>
        <w:jc w:val="both"/>
        <w:rPr>
          <w:rFonts w:ascii="Arial" w:hAnsi="Arial" w:cs="Arial"/>
          <w:sz w:val="22"/>
          <w:szCs w:val="22"/>
        </w:rPr>
      </w:pPr>
    </w:p>
    <w:p w14:paraId="57A853D0">
      <w:pPr>
        <w:pStyle w:val="85"/>
        <w:spacing w:line="360" w:lineRule="auto"/>
        <w:jc w:val="both"/>
        <w:rPr>
          <w:rFonts w:ascii="Arial" w:hAnsi="Arial" w:cs="Arial"/>
          <w:sz w:val="22"/>
          <w:szCs w:val="22"/>
        </w:rPr>
      </w:pPr>
    </w:p>
    <w:p w14:paraId="4CAD4EDD">
      <w:pPr>
        <w:pStyle w:val="85"/>
        <w:spacing w:line="360" w:lineRule="auto"/>
        <w:jc w:val="both"/>
        <w:rPr>
          <w:rFonts w:ascii="Arial" w:hAnsi="Arial" w:cs="Arial"/>
          <w:sz w:val="22"/>
          <w:szCs w:val="22"/>
        </w:rPr>
      </w:pPr>
    </w:p>
    <w:p w14:paraId="5C565366">
      <w:pPr>
        <w:pStyle w:val="85"/>
        <w:spacing w:line="360" w:lineRule="auto"/>
        <w:jc w:val="both"/>
        <w:rPr>
          <w:rFonts w:ascii="Arial" w:hAnsi="Arial" w:cs="Arial"/>
          <w:sz w:val="22"/>
          <w:szCs w:val="22"/>
        </w:rPr>
      </w:pPr>
    </w:p>
    <w:p w14:paraId="6AF49044">
      <w:pPr>
        <w:pStyle w:val="85"/>
        <w:spacing w:line="360" w:lineRule="auto"/>
        <w:jc w:val="both"/>
        <w:rPr>
          <w:rFonts w:ascii="Arial" w:hAnsi="Arial" w:cs="Arial"/>
          <w:sz w:val="22"/>
          <w:szCs w:val="22"/>
        </w:rPr>
      </w:pPr>
    </w:p>
    <w:p w14:paraId="45BB30B9">
      <w:pPr>
        <w:pStyle w:val="85"/>
        <w:spacing w:line="360" w:lineRule="auto"/>
        <w:jc w:val="both"/>
        <w:rPr>
          <w:rFonts w:ascii="Arial" w:hAnsi="Arial" w:cs="Arial"/>
          <w:sz w:val="22"/>
          <w:szCs w:val="22"/>
        </w:rPr>
      </w:pPr>
    </w:p>
    <w:p w14:paraId="2C70B0C6">
      <w:pPr>
        <w:pStyle w:val="85"/>
        <w:spacing w:line="360" w:lineRule="auto"/>
        <w:jc w:val="both"/>
        <w:rPr>
          <w:rFonts w:ascii="Arial" w:hAnsi="Arial" w:cs="Arial"/>
          <w:sz w:val="22"/>
          <w:szCs w:val="22"/>
        </w:rPr>
      </w:pPr>
    </w:p>
    <w:p w14:paraId="6FC07ED6">
      <w:pPr>
        <w:pStyle w:val="255"/>
        <w:bidi w:val="0"/>
        <w:rPr>
          <w:lang w:val="en-IN"/>
        </w:rPr>
      </w:pPr>
      <w:bookmarkStart w:id="27" w:name="_Toc226"/>
      <w:r>
        <w:rPr>
          <w:lang w:val="en-IN"/>
        </w:rPr>
        <w:t>Chapter 2: Literature Review</w:t>
      </w:r>
      <w:bookmarkEnd w:id="27"/>
    </w:p>
    <w:p w14:paraId="11AE0AF0">
      <w:pPr>
        <w:pStyle w:val="256"/>
        <w:bidi w:val="0"/>
        <w:rPr>
          <w:rFonts w:hint="default"/>
        </w:rPr>
      </w:pPr>
      <w:bookmarkStart w:id="28" w:name="_Toc29685"/>
      <w:bookmarkStart w:id="29" w:name="_Toc20614"/>
      <w:r>
        <w:rPr>
          <w:rFonts w:hint="default"/>
          <w:lang w:val="en-IN"/>
        </w:rPr>
        <w:t xml:space="preserve">2.1 </w:t>
      </w:r>
      <w:r>
        <w:rPr>
          <w:rFonts w:hint="default"/>
        </w:rPr>
        <w:t>Introduction</w:t>
      </w:r>
      <w:bookmarkEnd w:id="28"/>
      <w:bookmarkEnd w:id="29"/>
    </w:p>
    <w:p w14:paraId="0134BFB3">
      <w:pPr>
        <w:pStyle w:val="85"/>
        <w:spacing w:line="360" w:lineRule="auto"/>
        <w:jc w:val="both"/>
        <w:rPr>
          <w:rFonts w:ascii="Arial" w:hAnsi="Arial" w:cs="Arial"/>
          <w:sz w:val="22"/>
          <w:szCs w:val="22"/>
        </w:rPr>
      </w:pPr>
      <w:r>
        <w:rPr>
          <w:rFonts w:ascii="Arial" w:hAnsi="Arial" w:cs="Arial"/>
          <w:sz w:val="22"/>
          <w:szCs w:val="22"/>
        </w:rPr>
        <w:t>Breast cancer remains the most commonly diagnosed cancer among women in the United Kingdom, affecting over 55,000 new cases each year. Recent improvements in early detection and treatment have significantly increased survival rates, with around 80% of women now surviving ten years or more after diagnosis. As the survivor population grows, the long-term psychological impact of breast cancer has become a central concern for clinicians and researchers alike.(Moore et al., 2022)</w:t>
      </w:r>
      <w:r>
        <w:rPr>
          <w:rFonts w:ascii="Arial" w:hAnsi="Arial" w:cs="Arial"/>
          <w:sz w:val="22"/>
          <w:szCs w:val="22"/>
          <w:lang w:val="en-IN"/>
        </w:rPr>
        <w:t>.</w:t>
      </w:r>
      <w:r>
        <w:fldChar w:fldCharType="begin"/>
      </w:r>
      <w:r>
        <w:instrText xml:space="preserve"> HYPERLINK "https://pmc.ncbi.nlm.nih.gov/articles/PMC7822529/" \t "https://www.perplexity.ai/search/_blank" </w:instrText>
      </w:r>
      <w:r>
        <w:fldChar w:fldCharType="separate"/>
      </w:r>
      <w:r>
        <w:fldChar w:fldCharType="end"/>
      </w:r>
    </w:p>
    <w:p w14:paraId="3DC1C17E">
      <w:pPr>
        <w:pStyle w:val="85"/>
        <w:spacing w:line="360" w:lineRule="auto"/>
        <w:jc w:val="both"/>
        <w:rPr>
          <w:rFonts w:ascii="Arial" w:hAnsi="Arial" w:cs="Arial"/>
          <w:sz w:val="22"/>
          <w:szCs w:val="22"/>
        </w:rPr>
      </w:pPr>
      <w:r>
        <w:rPr>
          <w:rFonts w:ascii="Arial" w:hAnsi="Arial" w:cs="Arial"/>
          <w:sz w:val="22"/>
          <w:szCs w:val="22"/>
        </w:rPr>
        <w:t>Survivors often face complex psychological and social challenges that persist beyond the completion of primary treatment, including anxiety, depression, sleep disturbances, chronic fatigue, sexual dysfunction, cognitive complaints, and concerns about body image. These symptoms not only reduce quality of life but may affect treatment adherence, social relationships, employment, and overall wellbeing.  The experience of diagnosis, treatment, and survivorship is often accompanied by substantial psychological distress, including anxiety, depression, sleep disorders, fatigue, pain, and sexual dysfunction</w:t>
      </w:r>
      <w:r>
        <w:rPr>
          <w:rFonts w:hint="default" w:ascii="Arial" w:hAnsi="Arial" w:eastAsia="SimSun" w:cs="Arial"/>
          <w:sz w:val="22"/>
          <w:szCs w:val="22"/>
        </w:rPr>
        <w:t>(R. et al., 2023)</w:t>
      </w:r>
      <w:r>
        <w:rPr>
          <w:rFonts w:ascii="Arial" w:hAnsi="Arial" w:cs="Arial"/>
          <w:sz w:val="22"/>
          <w:szCs w:val="22"/>
        </w:rPr>
        <w:t>. These mental health challenges can endure for years, deeply affecting quality of life, social relationships, and the ability to return to work or engage in daily activities (Fortin et al., 2021; Wang et al., 2020).</w:t>
      </w:r>
      <w:r>
        <w:rPr>
          <w:rFonts w:ascii="Arial" w:hAnsi="Arial" w:cs="Arial"/>
          <w:sz w:val="22"/>
          <w:szCs w:val="22"/>
          <w:lang w:val="en-IN"/>
        </w:rPr>
        <w:t xml:space="preserve"> </w:t>
      </w:r>
      <w:r>
        <w:rPr>
          <w:rFonts w:ascii="Arial" w:hAnsi="Arial" w:cs="Arial"/>
          <w:sz w:val="22"/>
          <w:szCs w:val="22"/>
        </w:rPr>
        <w:t>This review synthesizes evidence from large-scale cohort studies, qualitative investigations, and systematic reviews to explore the breadth and depth of mental health challenges confronting breast cancer survivors in the UK.(Falagas et al., 2007)</w:t>
      </w:r>
      <w:r>
        <w:fldChar w:fldCharType="begin"/>
      </w:r>
      <w:r>
        <w:instrText xml:space="preserve"> HYPERLINK "https://www.sciencedirect.com/science/article/pii/S0960977624001863" \t "https://www.perplexity.ai/search/_blank" </w:instrText>
      </w:r>
      <w:r>
        <w:fldChar w:fldCharType="separate"/>
      </w:r>
      <w:r>
        <w:fldChar w:fldCharType="end"/>
      </w:r>
    </w:p>
    <w:p w14:paraId="5A1A6758">
      <w:pPr>
        <w:pStyle w:val="256"/>
        <w:bidi w:val="0"/>
        <w:rPr>
          <w:rFonts w:hint="default"/>
        </w:rPr>
      </w:pPr>
      <w:bookmarkStart w:id="30" w:name="_Toc1396"/>
      <w:bookmarkStart w:id="31" w:name="_Toc30163"/>
      <w:r>
        <w:rPr>
          <w:rFonts w:hint="default"/>
          <w:lang w:val="en-IN"/>
        </w:rPr>
        <w:t xml:space="preserve">2.2 </w:t>
      </w:r>
      <w:r>
        <w:rPr>
          <w:rFonts w:hint="default"/>
        </w:rPr>
        <w:t>Epidemiology and Mental Health Burden</w:t>
      </w:r>
      <w:bookmarkEnd w:id="30"/>
      <w:bookmarkEnd w:id="31"/>
    </w:p>
    <w:p w14:paraId="745513C3">
      <w:pPr>
        <w:spacing w:line="360" w:lineRule="auto"/>
        <w:jc w:val="both"/>
        <w:rPr>
          <w:rFonts w:ascii="Arial" w:hAnsi="Arial" w:cs="Arial"/>
          <w:sz w:val="22"/>
          <w:szCs w:val="22"/>
        </w:rPr>
      </w:pPr>
      <w:r>
        <w:rPr>
          <w:rFonts w:ascii="Arial" w:hAnsi="Arial" w:eastAsia="SimSun" w:cs="Arial"/>
          <w:sz w:val="22"/>
          <w:szCs w:val="22"/>
          <w:lang w:bidi="ar"/>
        </w:rPr>
        <w:t>National audits and cohort studies consistently reveal that breast cancer survivors face a significantly elevated risk of mental health disorders compared to the general population. A matched cohort study by Carreira et al. (2021), utilizing the CPRD database, identified that breast cancer survivors are at notably higher risk for anxiety (hazard ratio [HR] = 1.33), depression (HR = 1.35), fatigue (HR = 1.28), pain (HR = 1.22), sleep disorders (HR = 1.68), and sexual dysfunction (HR = 1.27) for up to ten years post-diagnosis. These results are supported by a breadth of longitudinal and cross-sectional research, highlighting the lasting mental health impact of breast cancer survivorship.</w:t>
      </w:r>
      <w:r>
        <w:fldChar w:fldCharType="begin"/>
      </w:r>
      <w:r>
        <w:instrText xml:space="preserve"> HYPERLINK "https://researchonline.lshtm.ac.uk/id/eprint/4650135/1/Carreria_etal_2018_Associations-Between-Breast-Cancer-Survivorship-and-Adverse-Mental-Health-Outcomes.pdf" \t "https://www.perplexity.ai/search/_blank" </w:instrText>
      </w:r>
      <w:r>
        <w:fldChar w:fldCharType="separate"/>
      </w:r>
      <w:r>
        <w:fldChar w:fldCharType="end"/>
      </w:r>
      <w:r>
        <w:rPr>
          <w:rFonts w:ascii="Arial" w:hAnsi="Arial" w:eastAsia="SimSun" w:cs="Arial"/>
          <w:sz w:val="22"/>
          <w:szCs w:val="22"/>
          <w:lang w:bidi="ar"/>
        </w:rPr>
        <w:t xml:space="preserve"> </w:t>
      </w:r>
    </w:p>
    <w:p w14:paraId="716BE6D7">
      <w:pPr>
        <w:pStyle w:val="85"/>
        <w:spacing w:line="360" w:lineRule="auto"/>
        <w:jc w:val="both"/>
        <w:rPr>
          <w:rFonts w:ascii="Arial" w:hAnsi="Arial" w:cs="Arial"/>
          <w:sz w:val="22"/>
          <w:szCs w:val="22"/>
        </w:rPr>
      </w:pPr>
      <w:r>
        <w:rPr>
          <w:rFonts w:ascii="Arial" w:hAnsi="Arial" w:cs="Arial"/>
          <w:sz w:val="22"/>
          <w:szCs w:val="22"/>
        </w:rPr>
        <w:t>Furthermore, recent NHS audits report that depression affects approximately 25% of breast cancer survivors, with a similar proportion struggling with persistent anxiety following treatment. Sleep disturbances, fatigue, and pain are prevalent in over half of survivors during the first five years post-diagnosis, with some symptoms continuing even a decade later</w:t>
      </w:r>
      <w:r>
        <w:rPr>
          <w:rFonts w:hint="default" w:ascii="Arial" w:hAnsi="Arial" w:cs="Arial"/>
          <w:sz w:val="22"/>
          <w:szCs w:val="22"/>
          <w:lang w:val="en-IN"/>
        </w:rPr>
        <w:t xml:space="preserve"> </w:t>
      </w:r>
      <w:r>
        <w:rPr>
          <w:rFonts w:hint="default" w:ascii="Arial" w:hAnsi="Arial" w:eastAsia="SimSun" w:cs="Arial"/>
          <w:sz w:val="22"/>
          <w:szCs w:val="22"/>
        </w:rPr>
        <w:t>(Davide Soldato et al., 2023)</w:t>
      </w:r>
      <w:r>
        <w:rPr>
          <w:rFonts w:ascii="Arial" w:hAnsi="Arial" w:cs="Arial"/>
          <w:sz w:val="22"/>
          <w:szCs w:val="22"/>
        </w:rPr>
        <w:t>. Population-based studies suggest that the highest mental health risks occur during and immediately after active treatment; however, for many survivors, psychological distress remains a chronic concern well beyond this period.(Monroy-Iglesias et al., 2024)</w:t>
      </w:r>
      <w:r>
        <w:fldChar w:fldCharType="begin"/>
      </w:r>
      <w:r>
        <w:instrText xml:space="preserve"> HYPERLINK "https://www.frontiersin.org/journals/oncology/articles/10.3389/fonc.2024.1358888/full" \t "https://www.perplexity.ai/search/_blank" </w:instrText>
      </w:r>
      <w:r>
        <w:fldChar w:fldCharType="separate"/>
      </w:r>
      <w:r>
        <w:fldChar w:fldCharType="end"/>
      </w:r>
    </w:p>
    <w:p w14:paraId="02ACCE51">
      <w:pPr>
        <w:pStyle w:val="85"/>
        <w:spacing w:line="360" w:lineRule="auto"/>
        <w:jc w:val="both"/>
        <w:rPr>
          <w:rFonts w:ascii="Arial" w:hAnsi="Arial" w:cs="Arial"/>
          <w:sz w:val="22"/>
          <w:szCs w:val="22"/>
        </w:rPr>
      </w:pPr>
      <w:r>
        <w:rPr>
          <w:rFonts w:ascii="Arial" w:hAnsi="Arial" w:cs="Arial"/>
          <w:sz w:val="22"/>
          <w:szCs w:val="22"/>
        </w:rPr>
        <w:t>These findings emphasize the critical need for integrated mental health support throughout the cancer care continuum, from diagnosis through long-term survivorship, to address the sustained psychological burden experienced by breast cancer survivors.</w:t>
      </w:r>
      <w:r>
        <w:fldChar w:fldCharType="begin"/>
      </w:r>
      <w:r>
        <w:instrText xml:space="preserve"> HYPERLINK "https://associationofbreastsurgery.org.uk/professionals/information-hub/webcasts/2025/anxiety-in-the-post-treatment-breast-cancer-patient/" \t "https://www.perplexity.ai/search/_blank" </w:instrText>
      </w:r>
      <w:r>
        <w:fldChar w:fldCharType="separate"/>
      </w:r>
      <w:r>
        <w:fldChar w:fldCharType="end"/>
      </w:r>
      <w:r>
        <w:fldChar w:fldCharType="begin"/>
      </w:r>
      <w:r>
        <w:instrText xml:space="preserve"> HYPERLINK "https://academic.oup.com/jnci/article/110/12/1311/5164282" \t "https://www.perplexity.ai/search/_blank" </w:instrText>
      </w:r>
      <w:r>
        <w:fldChar w:fldCharType="separate"/>
      </w:r>
      <w:r>
        <w:fldChar w:fldCharType="end"/>
      </w:r>
    </w:p>
    <w:p w14:paraId="7D2DB11A">
      <w:pPr>
        <w:pStyle w:val="256"/>
        <w:bidi w:val="0"/>
        <w:rPr>
          <w:rFonts w:hint="default"/>
        </w:rPr>
      </w:pPr>
      <w:bookmarkStart w:id="32" w:name="_Toc30935"/>
      <w:bookmarkStart w:id="33" w:name="_Toc11249"/>
      <w:r>
        <w:rPr>
          <w:rFonts w:hint="default"/>
          <w:lang w:val="en-IN"/>
        </w:rPr>
        <w:t xml:space="preserve">2.3 </w:t>
      </w:r>
      <w:r>
        <w:rPr>
          <w:rFonts w:hint="default"/>
        </w:rPr>
        <w:t>Qualitative Insights and Survivor Narratives</w:t>
      </w:r>
      <w:bookmarkEnd w:id="32"/>
      <w:bookmarkEnd w:id="33"/>
    </w:p>
    <w:p w14:paraId="550BA6D2">
      <w:pPr>
        <w:pStyle w:val="85"/>
        <w:spacing w:line="360" w:lineRule="auto"/>
        <w:jc w:val="both"/>
        <w:rPr>
          <w:rFonts w:ascii="Arial" w:hAnsi="Arial" w:cs="Arial"/>
          <w:sz w:val="22"/>
          <w:szCs w:val="22"/>
        </w:rPr>
      </w:pPr>
      <w:r>
        <w:rPr>
          <w:rFonts w:ascii="Arial" w:hAnsi="Arial" w:cs="Arial"/>
          <w:sz w:val="22"/>
          <w:szCs w:val="22"/>
        </w:rPr>
        <w:t>Qualitative evidence offers in-depth perspectives on how breast cancer affects women’s psychological and social lives in the UK.</w:t>
      </w:r>
      <w:r>
        <w:rPr>
          <w:rFonts w:ascii="Arial" w:hAnsi="Arial" w:cs="Arial"/>
          <w:sz w:val="22"/>
          <w:szCs w:val="22"/>
          <w:lang w:val="en-IN"/>
        </w:rPr>
        <w:t xml:space="preserve"> </w:t>
      </w:r>
      <w:r>
        <w:rPr>
          <w:rFonts w:ascii="Arial" w:hAnsi="Arial" w:cs="Arial"/>
          <w:sz w:val="22"/>
          <w:szCs w:val="22"/>
        </w:rPr>
        <w:t xml:space="preserve">Sophie et al. </w:t>
      </w:r>
      <w:r>
        <w:rPr>
          <w:rFonts w:ascii="Arial" w:hAnsi="Arial" w:cs="Arial"/>
          <w:sz w:val="22"/>
          <w:szCs w:val="22"/>
          <w:lang w:val="en-IN"/>
        </w:rPr>
        <w:t>(</w:t>
      </w:r>
      <w:r>
        <w:rPr>
          <w:rFonts w:ascii="Arial" w:hAnsi="Arial" w:cs="Arial"/>
          <w:sz w:val="22"/>
          <w:szCs w:val="22"/>
        </w:rPr>
        <w:t>2025) conducted interviews revealing themes of persistent fear of recurrence, altered body image, emotional isolation, and strained relationships, particularly prevalent among younger survivors. Studies by Boland</w:t>
      </w:r>
      <w:r>
        <w:rPr>
          <w:rFonts w:ascii="Arial" w:hAnsi="Arial" w:cs="Arial"/>
          <w:sz w:val="22"/>
          <w:szCs w:val="22"/>
          <w:lang w:val="en-IN"/>
        </w:rPr>
        <w:t xml:space="preserve"> V. et al.</w:t>
      </w:r>
      <w:r>
        <w:rPr>
          <w:rFonts w:ascii="Arial" w:hAnsi="Arial" w:cs="Arial"/>
          <w:sz w:val="22"/>
          <w:szCs w:val="22"/>
        </w:rPr>
        <w:t xml:space="preserve"> </w:t>
      </w:r>
      <w:r>
        <w:rPr>
          <w:rFonts w:ascii="Arial" w:hAnsi="Arial" w:cs="Arial"/>
          <w:sz w:val="22"/>
          <w:szCs w:val="22"/>
          <w:lang w:val="en-IN"/>
        </w:rPr>
        <w:t>(</w:t>
      </w:r>
      <w:r>
        <w:rPr>
          <w:rFonts w:ascii="Arial" w:hAnsi="Arial" w:cs="Arial"/>
          <w:sz w:val="22"/>
          <w:szCs w:val="22"/>
        </w:rPr>
        <w:t>2020) and (Ahn and Suh, 2023) highlight a recurring sense of loss of femininity, identity, and intimacy, which are not always mitigated by completion of treatment or positive prognoses.</w:t>
      </w:r>
      <w:r>
        <w:fldChar w:fldCharType="begin"/>
      </w:r>
      <w:r>
        <w:instrText xml:space="preserve"> HYPERLINK "https://www.repository.cam.ac.uk/items/a8410883-22d6-4927-a5dc-9fc9ae56d10c" \t "https://www.perplexity.ai/search/_blank" </w:instrText>
      </w:r>
      <w:r>
        <w:fldChar w:fldCharType="separate"/>
      </w:r>
      <w:r>
        <w:fldChar w:fldCharType="end"/>
      </w:r>
    </w:p>
    <w:p w14:paraId="3D9768EB">
      <w:pPr>
        <w:pStyle w:val="85"/>
        <w:spacing w:line="360" w:lineRule="auto"/>
        <w:jc w:val="both"/>
        <w:rPr>
          <w:rFonts w:ascii="Arial" w:hAnsi="Arial" w:cs="Arial"/>
          <w:sz w:val="22"/>
          <w:szCs w:val="22"/>
        </w:rPr>
      </w:pPr>
      <w:r>
        <w:rPr>
          <w:rFonts w:ascii="Arial" w:hAnsi="Arial" w:cs="Arial"/>
          <w:sz w:val="22"/>
          <w:szCs w:val="22"/>
        </w:rPr>
        <w:t>Many women describe difficulties communicating their worries to clinicians, while family members themselves often experience significant distress. Emotional support from partners, children, and friends is crucial for adjustment, but concerns about upsetting loved ones sometimes drive women to internalize their distress. These studies indicate that psychological challenges are complex, multifaceted, and frequently entwined with social and relational factors</w:t>
      </w:r>
      <w:r>
        <w:rPr>
          <w:rFonts w:hint="default" w:ascii="Arial" w:hAnsi="Arial" w:cs="Arial"/>
          <w:sz w:val="22"/>
          <w:szCs w:val="22"/>
          <w:lang w:val="en-IN"/>
        </w:rPr>
        <w:t xml:space="preserve"> </w:t>
      </w:r>
      <w:r>
        <w:rPr>
          <w:rFonts w:hint="default" w:ascii="Arial" w:hAnsi="Arial" w:eastAsia="SimSun" w:cs="Arial"/>
          <w:sz w:val="22"/>
          <w:szCs w:val="22"/>
        </w:rPr>
        <w:t>(Yi et al., 2015)</w:t>
      </w:r>
      <w:r>
        <w:rPr>
          <w:rFonts w:ascii="Arial" w:hAnsi="Arial" w:cs="Arial"/>
          <w:sz w:val="22"/>
          <w:szCs w:val="22"/>
        </w:rPr>
        <w:t>.</w:t>
      </w:r>
    </w:p>
    <w:p w14:paraId="67053A48">
      <w:pPr>
        <w:pStyle w:val="256"/>
        <w:bidi w:val="0"/>
        <w:rPr>
          <w:rFonts w:hint="default"/>
        </w:rPr>
      </w:pPr>
      <w:bookmarkStart w:id="34" w:name="_Toc22716"/>
      <w:bookmarkStart w:id="35" w:name="_Toc12150"/>
      <w:r>
        <w:rPr>
          <w:rFonts w:hint="default"/>
          <w:lang w:val="en-IN"/>
        </w:rPr>
        <w:t xml:space="preserve">2.4 </w:t>
      </w:r>
      <w:r>
        <w:rPr>
          <w:rFonts w:hint="default"/>
        </w:rPr>
        <w:t>Social, Economic, and Ethnic Disparities</w:t>
      </w:r>
      <w:bookmarkEnd w:id="34"/>
      <w:bookmarkEnd w:id="35"/>
    </w:p>
    <w:p w14:paraId="37227358">
      <w:pPr>
        <w:spacing w:line="360" w:lineRule="auto"/>
        <w:jc w:val="both"/>
        <w:rPr>
          <w:rFonts w:ascii="Arial" w:hAnsi="Arial" w:cs="Arial"/>
          <w:sz w:val="22"/>
          <w:szCs w:val="22"/>
        </w:rPr>
      </w:pPr>
      <w:r>
        <w:rPr>
          <w:rFonts w:ascii="Arial" w:hAnsi="Arial" w:eastAsia="SimSun" w:cs="Arial"/>
          <w:sz w:val="22"/>
          <w:szCs w:val="22"/>
          <w:lang w:bidi="ar"/>
        </w:rPr>
        <w:t xml:space="preserve">Socioeconomic and ethnic disparities have a profound and complex influence on the mental health outcomes of breast cancer survivors in the United Kingdom. Evidence indicates that women from lower socioeconomic backgrounds encounter greater psychological distress, experience reduced quality of life, and are less likely to access psychosocial support services compared to their more affluent counterparts </w:t>
      </w:r>
      <w:r>
        <w:rPr>
          <w:rFonts w:ascii="Arial" w:hAnsi="Arial" w:eastAsia="SimSun" w:cs="Arial"/>
          <w:sz w:val="22"/>
          <w:szCs w:val="22"/>
        </w:rPr>
        <w:t>(Slade et al., 2024)</w:t>
      </w:r>
      <w:r>
        <w:rPr>
          <w:rFonts w:ascii="Arial" w:hAnsi="Arial" w:eastAsia="SimSun" w:cs="Arial"/>
          <w:sz w:val="22"/>
          <w:szCs w:val="22"/>
          <w:lang w:bidi="ar"/>
        </w:rPr>
        <w:t xml:space="preserve">. Financial hardship due to lost income during treatment, costs associated with travel to care centres, and limited resources for supplementary therapies compound this vulnerability, often leading to feelings of stress, isolation, and helplessness </w:t>
      </w:r>
      <w:r>
        <w:rPr>
          <w:rFonts w:ascii="Arial" w:hAnsi="Arial" w:eastAsia="SimSun" w:cs="Arial"/>
          <w:sz w:val="22"/>
          <w:szCs w:val="22"/>
        </w:rPr>
        <w:t>(Elliott et al., 2024)</w:t>
      </w:r>
      <w:r>
        <w:rPr>
          <w:rFonts w:ascii="Arial" w:hAnsi="Arial" w:eastAsia="SimSun" w:cs="Arial"/>
          <w:sz w:val="22"/>
          <w:szCs w:val="22"/>
          <w:lang w:bidi="ar"/>
        </w:rPr>
        <w:t>.</w:t>
      </w:r>
      <w:r>
        <w:fldChar w:fldCharType="begin"/>
      </w:r>
      <w:r>
        <w:instrText xml:space="preserve"> HYPERLINK "https://pmc.ncbi.nlm.nih.gov/articles/PMC7822529/" \t "https://www.perplexity.ai/search/_blank" </w:instrText>
      </w:r>
      <w:r>
        <w:fldChar w:fldCharType="separate"/>
      </w:r>
      <w:r>
        <w:fldChar w:fldCharType="end"/>
      </w:r>
      <w:r>
        <w:rPr>
          <w:rFonts w:ascii="Arial" w:hAnsi="Arial" w:eastAsia="SimSun" w:cs="Arial"/>
          <w:sz w:val="22"/>
          <w:szCs w:val="22"/>
          <w:lang w:bidi="ar"/>
        </w:rPr>
        <w:t xml:space="preserve"> </w:t>
      </w:r>
    </w:p>
    <w:p w14:paraId="69FCEB62">
      <w:pPr>
        <w:pStyle w:val="85"/>
        <w:spacing w:line="360" w:lineRule="auto"/>
        <w:jc w:val="both"/>
        <w:rPr>
          <w:rFonts w:ascii="Arial" w:hAnsi="Arial" w:cs="Arial"/>
          <w:sz w:val="22"/>
          <w:szCs w:val="22"/>
        </w:rPr>
      </w:pPr>
      <w:r>
        <w:rPr>
          <w:rFonts w:ascii="Arial" w:hAnsi="Arial" w:cs="Arial"/>
          <w:sz w:val="22"/>
          <w:szCs w:val="22"/>
        </w:rPr>
        <w:t xml:space="preserve">Minority ethnic groups face unique barriers that intensify these challenges. Hirko et al. </w:t>
      </w:r>
      <w:r>
        <w:rPr>
          <w:rFonts w:ascii="Arial" w:hAnsi="Arial" w:cs="Arial"/>
          <w:sz w:val="22"/>
          <w:szCs w:val="22"/>
          <w:lang w:val="en-IN"/>
        </w:rPr>
        <w:t>(</w:t>
      </w:r>
      <w:r>
        <w:rPr>
          <w:rFonts w:ascii="Arial" w:hAnsi="Arial" w:cs="Arial"/>
          <w:sz w:val="22"/>
          <w:szCs w:val="22"/>
        </w:rPr>
        <w:t xml:space="preserve">2022) and Flynn et al., </w:t>
      </w:r>
      <w:r>
        <w:rPr>
          <w:rFonts w:ascii="Arial" w:hAnsi="Arial" w:cs="Arial"/>
          <w:sz w:val="22"/>
          <w:szCs w:val="22"/>
          <w:lang w:val="en-IN"/>
        </w:rPr>
        <w:t>(</w:t>
      </w:r>
      <w:r>
        <w:rPr>
          <w:rFonts w:ascii="Arial" w:hAnsi="Arial" w:cs="Arial"/>
          <w:sz w:val="22"/>
          <w:szCs w:val="22"/>
        </w:rPr>
        <w:t>2025) document that linguistic obstacles, discrimination within healthcare environments, and cultural stigma surrounding mental health frequently hinder effective communication, timely diagnosis, and the acceptance of psychological support (Hirko et al., 2022; Flynn et al., 2025). In many cases, cultural expectations regarding stoicism or privacy further discourage women from seeking help, resulting in under-diagnosis of mental health conditions and limited engagement with available support (Public Health England, 2021).</w:t>
      </w:r>
      <w:r>
        <w:fldChar w:fldCharType="begin"/>
      </w:r>
      <w:r>
        <w:instrText xml:space="preserve"> HYPERLINK "https://pmc.ncbi.nlm.nih.gov/articles/PMC8272697/" \t "https://www.perplexity.ai/search/_blank" </w:instrText>
      </w:r>
      <w:r>
        <w:fldChar w:fldCharType="separate"/>
      </w:r>
      <w:r>
        <w:fldChar w:fldCharType="end"/>
      </w:r>
    </w:p>
    <w:p w14:paraId="1E79C469">
      <w:pPr>
        <w:pStyle w:val="85"/>
        <w:spacing w:line="360" w:lineRule="auto"/>
        <w:jc w:val="both"/>
        <w:rPr>
          <w:rFonts w:ascii="Arial" w:hAnsi="Arial" w:cs="Arial"/>
          <w:sz w:val="22"/>
          <w:szCs w:val="22"/>
        </w:rPr>
      </w:pPr>
      <w:r>
        <w:rPr>
          <w:rFonts w:ascii="Arial" w:hAnsi="Arial" w:cs="Arial"/>
          <w:sz w:val="22"/>
          <w:szCs w:val="22"/>
        </w:rPr>
        <w:t>Regional analyses reveal significant variation in survivor experiences. Those living in deprived urban or rural settings are disproportionately affected; they are more likely to report elevated symptom burden, greater levels of fatigue, depression, anxiety, and overall poorer health-related quality of life (McGarvey et al., 2020). These women also encounter more frequent service gaps, with a lack of accessible mental health clinics, support groups, and culturally appropriate interventions exacerbating feelings of abandonment and distress (Elliott et al., 2024). Such disparities mean that the postcode lottery remains a reality for breast cancer survivors’ psychological care.</w:t>
      </w:r>
      <w:r>
        <w:fldChar w:fldCharType="begin"/>
      </w:r>
      <w:r>
        <w:instrText xml:space="preserve"> HYPERLINK "https://www.sciencedirect.com/science/article/pii/S0960977624001863" \t "https://www.perplexity.ai/search/_blank" </w:instrText>
      </w:r>
      <w:r>
        <w:fldChar w:fldCharType="separate"/>
      </w:r>
      <w:r>
        <w:fldChar w:fldCharType="end"/>
      </w:r>
    </w:p>
    <w:p w14:paraId="1507A021">
      <w:pPr>
        <w:pStyle w:val="85"/>
        <w:spacing w:line="360" w:lineRule="auto"/>
        <w:jc w:val="both"/>
        <w:rPr>
          <w:rFonts w:ascii="Arial" w:hAnsi="Arial" w:cs="Arial"/>
          <w:sz w:val="22"/>
          <w:szCs w:val="22"/>
        </w:rPr>
      </w:pPr>
      <w:r>
        <w:rPr>
          <w:rFonts w:ascii="Arial" w:hAnsi="Arial" w:cs="Arial"/>
          <w:sz w:val="22"/>
          <w:szCs w:val="22"/>
        </w:rPr>
        <w:t>Despite sustained NHS commitment to tackling health inequalities, service gaps persist across multiple dimensions. National reviews and policy briefings highlight that women in under-resourced areas frequently struggle to navigate the system, face long waiting times for psychological therapy, and rarely have access to peer networks or specialized interventions tailored for their needs (Public Health England, 2021). As a result, disparities in psychosocial outcomes are perpetuated and may even widen over time.</w:t>
      </w:r>
      <w:r>
        <w:fldChar w:fldCharType="begin"/>
      </w:r>
      <w:r>
        <w:instrText xml:space="preserve"> HYPERLINK "https://academic.oup.com/jnci/article/110/12/1311/5164282" \t "https://www.perplexity.ai/search/_blank" </w:instrText>
      </w:r>
      <w:r>
        <w:fldChar w:fldCharType="separate"/>
      </w:r>
      <w:r>
        <w:fldChar w:fldCharType="end"/>
      </w:r>
    </w:p>
    <w:p w14:paraId="04FD3C6A">
      <w:pPr>
        <w:pStyle w:val="85"/>
        <w:spacing w:line="360" w:lineRule="auto"/>
        <w:jc w:val="both"/>
        <w:rPr>
          <w:rFonts w:ascii="Arial" w:hAnsi="Arial" w:cs="Arial"/>
          <w:sz w:val="22"/>
          <w:szCs w:val="22"/>
        </w:rPr>
      </w:pPr>
      <w:r>
        <w:rPr>
          <w:rFonts w:ascii="Arial" w:hAnsi="Arial" w:cs="Arial"/>
          <w:sz w:val="22"/>
          <w:szCs w:val="22"/>
        </w:rPr>
        <w:t>Addressing these intersecting inequities requires targeted policy action, improved funding, culturally sensitive programming, and proactive outreach to marginalized communities. Expanding tailored mental health services and reducing logistical, cultural, and structural barriers could make a tangible difference for thousands of breast cancer survivors, helping to mitigate the long-term emotional and social burden of the disease.</w:t>
      </w:r>
    </w:p>
    <w:p w14:paraId="777AE06D">
      <w:pPr>
        <w:pStyle w:val="256"/>
        <w:bidi w:val="0"/>
        <w:rPr>
          <w:rFonts w:hint="default"/>
        </w:rPr>
      </w:pPr>
      <w:bookmarkStart w:id="36" w:name="_Toc13778"/>
      <w:bookmarkStart w:id="37" w:name="_Toc11127"/>
      <w:r>
        <w:rPr>
          <w:rFonts w:hint="default"/>
          <w:lang w:val="en-IN"/>
        </w:rPr>
        <w:t xml:space="preserve">2.5 </w:t>
      </w:r>
      <w:r>
        <w:rPr>
          <w:rFonts w:hint="default"/>
        </w:rPr>
        <w:t>Treatment Effects: Surgery, Chemotherapy, Radiotherapy</w:t>
      </w:r>
      <w:bookmarkEnd w:id="36"/>
      <w:bookmarkEnd w:id="37"/>
    </w:p>
    <w:p w14:paraId="048EF31D">
      <w:pPr>
        <w:spacing w:line="360" w:lineRule="auto"/>
        <w:jc w:val="both"/>
        <w:rPr>
          <w:rFonts w:ascii="Arial" w:hAnsi="Arial" w:cs="Arial"/>
          <w:sz w:val="22"/>
          <w:szCs w:val="22"/>
        </w:rPr>
      </w:pPr>
      <w:r>
        <w:rPr>
          <w:rFonts w:ascii="Arial" w:hAnsi="Arial" w:eastAsia="SimSun" w:cs="Arial"/>
          <w:sz w:val="22"/>
          <w:szCs w:val="22"/>
          <w:lang w:bidi="ar"/>
        </w:rPr>
        <w:t>Medical treatment for breast cancer—including surgery, chemotherapy, radiotherapy, and hormone therapy—can profoundly shape psychological wellbeing in survivors. Mastectomy, often seen as a life-saving procedure, is frequently accompanied by severe body image disturbances, feelings of diminished femininity, and loss of sexual self-esteem</w:t>
      </w:r>
      <w:r>
        <w:rPr>
          <w:rFonts w:hint="default" w:ascii="Arial" w:hAnsi="Arial" w:eastAsia="SimSun" w:cs="Arial"/>
          <w:sz w:val="22"/>
          <w:szCs w:val="22"/>
        </w:rPr>
        <w:t>(Dinapoli et al., 2021)</w:t>
      </w:r>
      <w:r>
        <w:rPr>
          <w:rFonts w:ascii="Arial" w:hAnsi="Arial" w:eastAsia="SimSun" w:cs="Arial"/>
          <w:sz w:val="22"/>
          <w:szCs w:val="22"/>
          <w:lang w:bidi="ar"/>
        </w:rPr>
        <w:t xml:space="preserve">. Reports indicate that many women grapple with inadequacy and struggle to reestablish personal and intimate relationships after surgery, with impacts often lasting for years (Graham, 2024). Chemotherapy and endocrine therapies contribute to elevated rates of anxiety, depressive symptoms, fatigue, and sexual dysfunction, with younger patients often experiencing more pronounced psychological effects due to concerns over fertility, early menopause, and disrupted life plans </w:t>
      </w:r>
      <w:r>
        <w:rPr>
          <w:rFonts w:ascii="Arial" w:hAnsi="Arial" w:eastAsia="SimSun" w:cs="Arial"/>
          <w:sz w:val="22"/>
          <w:szCs w:val="22"/>
        </w:rPr>
        <w:t>(Izci et al., 2016)</w:t>
      </w:r>
      <w:r>
        <w:rPr>
          <w:rFonts w:ascii="Arial" w:hAnsi="Arial" w:eastAsia="SimSun" w:cs="Arial"/>
          <w:sz w:val="22"/>
          <w:szCs w:val="22"/>
          <w:lang w:bidi="ar"/>
        </w:rPr>
        <w:t xml:space="preserve">. The intensity of these psychological symptoms—including depression, anxiety, sleep disturbances, and cognitive complaints—can often be at their worst during initial treatment and persist long after its completion </w:t>
      </w:r>
      <w:r>
        <w:rPr>
          <w:rFonts w:ascii="Arial" w:hAnsi="Arial" w:eastAsia="SimSun" w:cs="Arial"/>
          <w:sz w:val="22"/>
          <w:szCs w:val="22"/>
        </w:rPr>
        <w:t>(Catarina Lopes et al., 2022)</w:t>
      </w:r>
    </w:p>
    <w:p w14:paraId="368B8B96">
      <w:pPr>
        <w:pStyle w:val="85"/>
        <w:spacing w:line="360" w:lineRule="auto"/>
        <w:jc w:val="both"/>
        <w:rPr>
          <w:rFonts w:ascii="Arial" w:hAnsi="Arial" w:cs="Arial"/>
          <w:sz w:val="22"/>
          <w:szCs w:val="22"/>
        </w:rPr>
      </w:pPr>
      <w:r>
        <w:rPr>
          <w:rFonts w:ascii="Arial" w:hAnsi="Arial" w:cs="Arial"/>
          <w:sz w:val="22"/>
          <w:szCs w:val="22"/>
        </w:rPr>
        <w:t>Radiotherapy, while less extensively discussed in comparison with other modalities, has also been independently linked to chronic pain, depressive symptoms, and challenges with cognitive functioning (Macmillan Cancer Support, 2023). For many survivors, late effects such as cognitive impairment and chronic fatigue further complicate a return to normal daily life, amplifying distress and limiting social and occupational participation</w:t>
      </w:r>
      <w:r>
        <w:rPr>
          <w:rFonts w:hint="default" w:ascii="Arial" w:hAnsi="Arial" w:eastAsia="SimSun" w:cs="Arial"/>
          <w:sz w:val="22"/>
          <w:szCs w:val="22"/>
        </w:rPr>
        <w:t>(Joly et al., 2019)</w:t>
      </w:r>
      <w:r>
        <w:rPr>
          <w:rFonts w:ascii="Arial" w:hAnsi="Arial" w:cs="Arial"/>
          <w:sz w:val="22"/>
          <w:szCs w:val="22"/>
        </w:rPr>
        <w:t>. Additionally, early menopause and fertility loss resulting from aggressive treatments represent particularly distressing side effects for younger women, who face the double burden of health uncertainties and unmet family aspirations (Izci et al., 2016). The psychological impacts of such changes—ranging from grief for lost fertility to anxiety about future wellbeing—often require sensitive, ongoing support.</w:t>
      </w:r>
      <w:r>
        <w:fldChar w:fldCharType="begin"/>
      </w:r>
      <w:r>
        <w:instrText xml:space="preserve"> HYPERLINK "https://www.sciencedirect.com/science/article/pii/S0960977624001863" \t "https://www.perplexity.ai/search/_blank" </w:instrText>
      </w:r>
      <w:r>
        <w:fldChar w:fldCharType="separate"/>
      </w:r>
      <w:r>
        <w:fldChar w:fldCharType="end"/>
      </w:r>
    </w:p>
    <w:p w14:paraId="35717C15">
      <w:pPr>
        <w:pStyle w:val="85"/>
        <w:spacing w:line="360" w:lineRule="auto"/>
        <w:jc w:val="both"/>
        <w:rPr>
          <w:rFonts w:ascii="Arial" w:hAnsi="Arial" w:cs="Arial"/>
          <w:sz w:val="22"/>
          <w:szCs w:val="22"/>
        </w:rPr>
      </w:pPr>
      <w:r>
        <w:rPr>
          <w:rFonts w:ascii="Arial" w:hAnsi="Arial" w:cs="Arial"/>
          <w:sz w:val="22"/>
          <w:szCs w:val="22"/>
        </w:rPr>
        <w:t>Collectively, these findings reinforce the urgent need for holistic, individualized survivorship care. Approaches must address both the physical consequences of treatment and the complex, long-term psychological sequelae experienced by breast cancer survivors. Comprehensive psychosocial assessment, shared decision-making, and integrative support services are vital to promote recovery, resilience, and lasting quality of life.</w:t>
      </w:r>
    </w:p>
    <w:p w14:paraId="558DB46A">
      <w:pPr>
        <w:pStyle w:val="256"/>
        <w:bidi w:val="0"/>
        <w:rPr>
          <w:rFonts w:hint="default"/>
        </w:rPr>
      </w:pPr>
      <w:bookmarkStart w:id="38" w:name="_Toc26479"/>
      <w:bookmarkStart w:id="39" w:name="_Toc31543"/>
      <w:r>
        <w:rPr>
          <w:rFonts w:hint="default"/>
          <w:lang w:val="en-IN"/>
        </w:rPr>
        <w:t xml:space="preserve">2.6 </w:t>
      </w:r>
      <w:r>
        <w:rPr>
          <w:rFonts w:hint="default"/>
        </w:rPr>
        <w:t>Cognitive Function, Fatigue, and Pain</w:t>
      </w:r>
      <w:bookmarkEnd w:id="38"/>
      <w:bookmarkEnd w:id="39"/>
    </w:p>
    <w:p w14:paraId="61B838DB">
      <w:pPr>
        <w:pStyle w:val="85"/>
        <w:spacing w:line="360" w:lineRule="auto"/>
        <w:jc w:val="both"/>
        <w:rPr>
          <w:rFonts w:ascii="Arial" w:hAnsi="Arial" w:cs="Arial"/>
          <w:sz w:val="22"/>
          <w:szCs w:val="22"/>
        </w:rPr>
      </w:pPr>
      <w:r>
        <w:rPr>
          <w:rFonts w:ascii="Arial" w:hAnsi="Arial" w:cs="Arial"/>
          <w:sz w:val="22"/>
          <w:szCs w:val="22"/>
        </w:rPr>
        <w:t>Persistent cognitive impairment, commonly termed "chemo brain" or cancer-related cognitive impairment (CRCI), represents a significant yet often under-recognized consequence of breast cancer treatment. Although widely reported by survivors, cognitive deficits involving memory, attention, processing speed, and executive function are frequently marginalized in clinical discourse, overshadowed by more visible or immediate physical health concerns. Retzer et al. (2023) note that such impairments can severely disrupt daily functioning, employment, and social engagement, suggesting that their impact extends beyond subjective inconvenience and into broader domains of survivorship quality. Despite growing acknowledgment of CRCI, clinical pathways for its assessment and management remain inconsistent and underdeveloped.</w:t>
      </w:r>
    </w:p>
    <w:p w14:paraId="57464B50">
      <w:pPr>
        <w:pStyle w:val="85"/>
        <w:spacing w:line="360" w:lineRule="auto"/>
        <w:jc w:val="both"/>
        <w:rPr>
          <w:rFonts w:ascii="Arial" w:hAnsi="Arial" w:cs="Arial"/>
          <w:sz w:val="22"/>
          <w:szCs w:val="22"/>
        </w:rPr>
      </w:pPr>
      <w:r>
        <w:rPr>
          <w:rFonts w:ascii="Arial" w:hAnsi="Arial" w:cs="Arial"/>
          <w:sz w:val="22"/>
          <w:szCs w:val="22"/>
        </w:rPr>
        <w:t>The persistence of these symptoms well beyond the treatment period challenges earlier assumptions that cognitive changes are transient side effects of chemotherapy. Palesh et al. (2025) highlight that for many women, cognitive symptoms continue for years post-treatment, contributing to chronic anxiety, reduced self-efficacy, and impaired psychosocial adjustment. Neuroimaging findings have substantiated these lived experiences, revealing structural brain alterations such as decreased grey matter volume in regions implicated in cognitive processing (Zhou et al., 2024). However, the causal mechanisms remain contested, with studies pointing to multifactorial origins—ranging from neuroinflammatory responses and hormonal fluctuations to oxidative stress and genetic predispositions. This complexity underscores a critical gap: the lack of standardized diagnostic criteria and biomarkers for CRCI, which impedes early detection and personalized intervention.</w:t>
      </w:r>
    </w:p>
    <w:p w14:paraId="0E41529A">
      <w:pPr>
        <w:pStyle w:val="85"/>
        <w:spacing w:line="360" w:lineRule="auto"/>
        <w:jc w:val="both"/>
        <w:rPr>
          <w:rFonts w:ascii="Arial" w:hAnsi="Arial" w:cs="Arial"/>
          <w:sz w:val="22"/>
          <w:szCs w:val="22"/>
        </w:rPr>
      </w:pPr>
      <w:r>
        <w:rPr>
          <w:rFonts w:ascii="Arial" w:hAnsi="Arial" w:cs="Arial"/>
          <w:sz w:val="22"/>
          <w:szCs w:val="22"/>
        </w:rPr>
        <w:t>In parallel, cancer-related fatigue (CRF) emerges as another debilitating and poorly managed symptom. Described by survivors as a profound and unrelenting exhaustion that is unresponsive to rest, CRF significantly limits post-treatment recovery and reintegration into pre-illness roles (Macmillan Cancer Support, 2023). Unlike fatigue experienced in the general population, CRF is qualitatively different and often accompanied by emotional distress, yet remains inadequately addressed in routine care. The invisibility of fatigue and its fluctuating nature contribute to social misunderstanding, often leading survivors to internalize blame or frustration when support systems fail to recognize its severity.</w:t>
      </w:r>
    </w:p>
    <w:p w14:paraId="14FDD62C">
      <w:pPr>
        <w:pStyle w:val="85"/>
        <w:spacing w:line="360" w:lineRule="auto"/>
        <w:jc w:val="both"/>
        <w:rPr>
          <w:rFonts w:ascii="Arial" w:hAnsi="Arial" w:cs="Arial"/>
          <w:sz w:val="22"/>
          <w:szCs w:val="22"/>
        </w:rPr>
      </w:pPr>
      <w:r>
        <w:rPr>
          <w:rFonts w:ascii="Arial" w:hAnsi="Arial" w:cs="Arial"/>
          <w:sz w:val="22"/>
          <w:szCs w:val="22"/>
        </w:rPr>
        <w:t>Chronic pain—particularly in those who undergo mastectomy or lymph node dissection—further compounds the symptom burden. Graham (2024) links persistent post-surgical pain with heightened levels of anxiety and depression, suggesting a bidirectional relationship between physical and psychological distress. Despite being highly prevalent, chronic pain in breast cancer survivors is frequently normalized or minimized within the medical context, reflecting a systemic undervaluing of survivorship concerns that are not immediately life-threatening.</w:t>
      </w:r>
    </w:p>
    <w:p w14:paraId="138A9410">
      <w:pPr>
        <w:pStyle w:val="85"/>
        <w:spacing w:line="360" w:lineRule="auto"/>
        <w:jc w:val="both"/>
        <w:rPr>
          <w:rFonts w:ascii="Arial" w:hAnsi="Arial" w:cs="Arial"/>
          <w:sz w:val="22"/>
          <w:szCs w:val="22"/>
        </w:rPr>
      </w:pPr>
      <w:r>
        <w:rPr>
          <w:rFonts w:ascii="Arial" w:hAnsi="Arial" w:cs="Arial"/>
          <w:sz w:val="22"/>
          <w:szCs w:val="22"/>
        </w:rPr>
        <w:t>Critically, these three symptoms—cognitive impairment, fatigue, and chronic pain—do not occur in isolation. Instead, they frequently interact in complex, synergistic ways that exacerbate each other and create a cumulative toll on wellbeing. For instance, fatigue can impair cognitive performance, while persistent pain can disrupt sleep and concentration, contributing to both physical and mental deterioration</w:t>
      </w:r>
      <w:r>
        <w:rPr>
          <w:rFonts w:hint="default" w:ascii="Arial" w:hAnsi="Arial" w:eastAsia="SimSun" w:cs="Arial"/>
          <w:sz w:val="22"/>
          <w:szCs w:val="22"/>
        </w:rPr>
        <w:t>(Van Dyk et al., 2018)</w:t>
      </w:r>
      <w:r>
        <w:rPr>
          <w:rFonts w:ascii="Arial" w:hAnsi="Arial" w:cs="Arial"/>
          <w:sz w:val="22"/>
          <w:szCs w:val="22"/>
        </w:rPr>
        <w:t>. The interdependence of these symptoms calls into question the efficacy of siloed approaches to survivorship care. Current models of follow-up often fail to capture the nuanced and evolving nature of post-treatment challenges, leaving survivors underserved and unsupported.</w:t>
      </w:r>
      <w:r>
        <w:rPr>
          <w:rFonts w:ascii="Arial" w:hAnsi="Arial" w:cs="Arial"/>
          <w:sz w:val="22"/>
          <w:szCs w:val="22"/>
          <w:lang w:val="en-IN"/>
        </w:rPr>
        <w:t xml:space="preserve"> </w:t>
      </w:r>
      <w:r>
        <w:rPr>
          <w:rFonts w:ascii="Arial" w:hAnsi="Arial" w:cs="Arial"/>
          <w:sz w:val="22"/>
          <w:szCs w:val="22"/>
        </w:rPr>
        <w:t>What is needed is a shift toward integrated, multidisciplinary care frameworks that account for the intersecting biopsychosocial dimensions of survivorship. This includes not only improved clinical screening and management strategies but also policy-level recognition of the long-term impacts of cancer treatment. Without such a shift, breast cancer survivorship will continue to be marked by fragmented care, where persistent, quality-of-life-limiting symptoms are under-treated and survivors are left navigating complex health needs in relative isolation.</w:t>
      </w:r>
    </w:p>
    <w:p w14:paraId="02D72039">
      <w:pPr>
        <w:pStyle w:val="3"/>
        <w:spacing w:line="360" w:lineRule="auto"/>
        <w:jc w:val="both"/>
        <w:rPr>
          <w:rFonts w:hint="default" w:ascii="Arial" w:hAnsi="Arial" w:cs="Arial"/>
          <w:sz w:val="22"/>
          <w:szCs w:val="22"/>
        </w:rPr>
      </w:pPr>
      <w:bookmarkStart w:id="40" w:name="_Toc31342"/>
      <w:bookmarkStart w:id="41" w:name="_Toc31327"/>
      <w:r>
        <w:rPr>
          <w:rFonts w:hint="default" w:ascii="Arial" w:hAnsi="Arial" w:cs="Arial"/>
          <w:sz w:val="22"/>
          <w:szCs w:val="22"/>
        </w:rPr>
        <w:t>Sexual Health and Intimacy</w:t>
      </w:r>
      <w:bookmarkEnd w:id="40"/>
      <w:bookmarkEnd w:id="41"/>
    </w:p>
    <w:p w14:paraId="23CA0AC8">
      <w:pPr>
        <w:spacing w:line="360" w:lineRule="auto"/>
        <w:jc w:val="both"/>
        <w:rPr>
          <w:rFonts w:ascii="Arial" w:hAnsi="Arial" w:cs="Arial"/>
          <w:sz w:val="22"/>
          <w:szCs w:val="22"/>
        </w:rPr>
      </w:pPr>
      <w:r>
        <w:rPr>
          <w:rFonts w:ascii="Arial" w:hAnsi="Arial" w:eastAsia="SimSun" w:cs="Arial"/>
          <w:sz w:val="22"/>
          <w:szCs w:val="22"/>
        </w:rPr>
        <w:t>Sexual dysfunction is highly prevalent among breast cancer survivors, with up to 70% reporting difficulties such as reduced libido, vaginal dryness, pain during intercourse, and problems with emotional and physical intimacy. These challenges are not only physiological—often stemming from the effects of surgery, chemotherapy, radiation, and hormone therapy—but also psychological, as women navigate changes in body image, self-esteem, and identity after treatment. Stabile et al. (2017) and Gil‐Olarte et al. (2022) document that these issues are frequently neglected in routine clinical care, with healthcare providers often lacking the time, training, or comfort to initiate conversations about sexual health. As a result, many women are left without appropriate support, resources, or referrals to specialists such as sex therapists, gynecologists, or counselors. The stigma and embarrassment associated with sexual concerns further impede open communication, both in medical settings and within personal relationships, leading many women to suffer in silence. This lack of dialogue intensifies emotional distress, feelings of isolation, and strain on intimate partnerships, which can significantly impact overall quality of life and long-term psychosocial well-being. Addressing sexual dysfunction in survivorship care is therefore essential—not only to improve physical health outcomes but to support holistic recovery and empower women to reclaim their sense of self and intimacy after cancer.</w:t>
      </w:r>
    </w:p>
    <w:p w14:paraId="121639E5">
      <w:pPr>
        <w:pStyle w:val="256"/>
        <w:bidi w:val="0"/>
        <w:rPr>
          <w:rFonts w:hint="default"/>
        </w:rPr>
      </w:pPr>
      <w:bookmarkStart w:id="42" w:name="_Toc671"/>
      <w:bookmarkStart w:id="43" w:name="_Toc17568"/>
      <w:r>
        <w:rPr>
          <w:rFonts w:hint="default"/>
          <w:lang w:val="en-IN"/>
        </w:rPr>
        <w:t xml:space="preserve">2.7 </w:t>
      </w:r>
      <w:r>
        <w:rPr>
          <w:rFonts w:hint="default"/>
        </w:rPr>
        <w:t>Access to Psychosocial Interventions and NHS Support</w:t>
      </w:r>
      <w:bookmarkEnd w:id="42"/>
      <w:bookmarkEnd w:id="43"/>
    </w:p>
    <w:p w14:paraId="426F9106">
      <w:pPr>
        <w:spacing w:line="360" w:lineRule="auto"/>
        <w:jc w:val="both"/>
        <w:rPr>
          <w:rFonts w:ascii="Arial" w:hAnsi="Arial" w:cs="Arial"/>
          <w:sz w:val="22"/>
          <w:szCs w:val="22"/>
        </w:rPr>
      </w:pPr>
      <w:r>
        <w:rPr>
          <w:rFonts w:ascii="Arial" w:hAnsi="Arial" w:eastAsia="SimSun" w:cs="Arial"/>
          <w:sz w:val="22"/>
          <w:szCs w:val="22"/>
          <w:lang w:bidi="ar"/>
        </w:rPr>
        <w:t xml:space="preserve">Psychological therapy, including cognitive-behavioral therapy (CBT), psycho-educational interventions, and supportive-expressive group therapy, alongside support groups and exercise programmes, has demonstrated consistent efficacy in reducing distress, anxiety, and depression among breast cancer survivors. These interventions contribute not only to improvements in mood but also to enhanced overall quality of life and psychological resilience during and after treatment </w:t>
      </w:r>
      <w:r>
        <w:rPr>
          <w:rFonts w:ascii="Arial" w:hAnsi="Arial" w:eastAsia="SimSun" w:cs="Arial"/>
          <w:sz w:val="22"/>
          <w:szCs w:val="22"/>
        </w:rPr>
        <w:t>(Bellver-Pérez</w:t>
      </w:r>
      <w:r>
        <w:rPr>
          <w:rFonts w:ascii="Arial" w:hAnsi="Arial" w:eastAsia="SimSun" w:cs="Arial"/>
          <w:sz w:val="22"/>
          <w:szCs w:val="22"/>
          <w:lang w:val="en-IN"/>
        </w:rPr>
        <w:t xml:space="preserve"> A. et al</w:t>
      </w:r>
      <w:r>
        <w:rPr>
          <w:rFonts w:ascii="Arial" w:hAnsi="Arial" w:eastAsia="SimSun" w:cs="Arial"/>
          <w:sz w:val="22"/>
          <w:szCs w:val="22"/>
        </w:rPr>
        <w:t>, 2019)</w:t>
      </w:r>
      <w:r>
        <w:rPr>
          <w:rFonts w:ascii="Arial" w:hAnsi="Arial" w:eastAsia="SimSun" w:cs="Arial"/>
          <w:sz w:val="22"/>
          <w:szCs w:val="22"/>
          <w:lang w:bidi="ar"/>
        </w:rPr>
        <w:t xml:space="preserve">. Psychological group therapies help survivors develop coping skills, reduce fear of recurrence, and foster personal growth and emotional well-being </w:t>
      </w:r>
      <w:r>
        <w:rPr>
          <w:rFonts w:ascii="Arial" w:hAnsi="Arial" w:eastAsia="SimSun" w:cs="Arial"/>
          <w:sz w:val="22"/>
          <w:szCs w:val="22"/>
        </w:rPr>
        <w:t>(Guarino et al., 2020)</w:t>
      </w:r>
      <w:r>
        <w:rPr>
          <w:rFonts w:ascii="Arial" w:hAnsi="Arial" w:eastAsia="SimSun" w:cs="Arial"/>
          <w:sz w:val="22"/>
          <w:szCs w:val="22"/>
          <w:lang w:bidi="ar"/>
        </w:rPr>
        <w:t xml:space="preserve">. Exercise programmes complement psychological support by alleviating fatigue, reducing anxiety, and improving physical functioning, thereby enhancing mental health outcomes </w:t>
      </w:r>
      <w:r>
        <w:rPr>
          <w:rFonts w:ascii="Arial" w:hAnsi="Arial" w:eastAsia="SimSun" w:cs="Arial"/>
          <w:sz w:val="22"/>
          <w:szCs w:val="22"/>
        </w:rPr>
        <w:t>(Sweegers et al., 2017)</w:t>
      </w:r>
      <w:r>
        <w:rPr>
          <w:rFonts w:ascii="Arial" w:hAnsi="Arial" w:eastAsia="SimSun" w:cs="Arial"/>
          <w:sz w:val="22"/>
          <w:szCs w:val="22"/>
          <w:lang w:bidi="ar"/>
        </w:rPr>
        <w:t>.</w:t>
      </w:r>
      <w:r>
        <w:fldChar w:fldCharType="begin"/>
      </w:r>
      <w:r>
        <w:instrText xml:space="preserve"> HYPERLINK "https://www.sciencedirect.com/science/article/pii/S0960977624001863" \t "https://www.perplexity.ai/search/_blank" </w:instrText>
      </w:r>
      <w:r>
        <w:fldChar w:fldCharType="separate"/>
      </w:r>
      <w:r>
        <w:fldChar w:fldCharType="end"/>
      </w:r>
      <w:r>
        <w:rPr>
          <w:rFonts w:ascii="Arial" w:hAnsi="Arial" w:eastAsia="SimSun" w:cs="Arial"/>
          <w:sz w:val="22"/>
          <w:szCs w:val="22"/>
          <w:lang w:bidi="ar"/>
        </w:rPr>
        <w:t xml:space="preserve"> </w:t>
      </w:r>
    </w:p>
    <w:p w14:paraId="7AB6A293">
      <w:pPr>
        <w:pStyle w:val="85"/>
        <w:spacing w:line="360" w:lineRule="auto"/>
        <w:jc w:val="both"/>
        <w:rPr>
          <w:rFonts w:ascii="Arial" w:hAnsi="Arial" w:cs="Arial"/>
          <w:sz w:val="22"/>
          <w:szCs w:val="22"/>
        </w:rPr>
      </w:pPr>
      <w:r>
        <w:rPr>
          <w:rFonts w:ascii="Arial" w:hAnsi="Arial" w:cs="Arial"/>
          <w:sz w:val="22"/>
          <w:szCs w:val="22"/>
        </w:rPr>
        <w:t>However, disparities in access to these essential services persist. Gudenkauf and Ehlers</w:t>
      </w:r>
      <w:r>
        <w:rPr>
          <w:rFonts w:ascii="Arial" w:hAnsi="Arial" w:cs="Arial"/>
          <w:sz w:val="22"/>
          <w:szCs w:val="22"/>
          <w:lang w:val="en-IN"/>
        </w:rPr>
        <w:t>, (</w:t>
      </w:r>
      <w:r>
        <w:rPr>
          <w:rFonts w:ascii="Arial" w:hAnsi="Arial" w:cs="Arial"/>
          <w:sz w:val="22"/>
          <w:szCs w:val="22"/>
        </w:rPr>
        <w:t xml:space="preserve">2018) highlight significant inequalities in NHS service provision, noting that many survivors outside major urban centers have limited access to psychological therapies and supportive care resources. Parliament.uk, </w:t>
      </w:r>
      <w:r>
        <w:rPr>
          <w:rFonts w:ascii="Arial" w:hAnsi="Arial" w:cs="Arial"/>
          <w:sz w:val="22"/>
          <w:szCs w:val="22"/>
          <w:lang w:val="en-IN"/>
        </w:rPr>
        <w:t>(</w:t>
      </w:r>
      <w:r>
        <w:rPr>
          <w:rFonts w:ascii="Arial" w:hAnsi="Arial" w:cs="Arial"/>
          <w:sz w:val="22"/>
          <w:szCs w:val="22"/>
        </w:rPr>
        <w:t>2021) audits reveal that almost 50% of breast cancer survivors report inadequate assistance for emotional or psychological problems during and after treatment. These gaps contribute to unaddressed psychological morbidity and limit survivors’ recovery potential.</w:t>
      </w:r>
      <w:r>
        <w:fldChar w:fldCharType="begin"/>
      </w:r>
      <w:r>
        <w:instrText xml:space="preserve"> HYPERLINK "https://www.sciencedirect.com/science/article/pii/S1462388922000916" \t "https://www.perplexity.ai/search/_blank" </w:instrText>
      </w:r>
      <w:r>
        <w:fldChar w:fldCharType="separate"/>
      </w:r>
      <w:r>
        <w:fldChar w:fldCharType="end"/>
      </w:r>
    </w:p>
    <w:p w14:paraId="2C591CA5">
      <w:pPr>
        <w:pStyle w:val="85"/>
        <w:spacing w:line="360" w:lineRule="auto"/>
        <w:jc w:val="both"/>
        <w:rPr>
          <w:rFonts w:ascii="Arial" w:hAnsi="Arial" w:cs="Arial"/>
          <w:sz w:val="22"/>
          <w:szCs w:val="22"/>
        </w:rPr>
      </w:pPr>
      <w:r>
        <w:rPr>
          <w:rFonts w:ascii="Arial" w:hAnsi="Arial" w:cs="Arial"/>
          <w:sz w:val="22"/>
          <w:szCs w:val="22"/>
        </w:rPr>
        <w:t>To address these challenges, there is an urgent need to improve signposting and widen the availability of evidence-based psychological interventions across the cancer care pathway. Integrating mental health support proactively within oncology and survivorship services—and tailoring interventions to meet diverse survivor needs—will be critical to optimizing outcomes for the growing breast cancer survivor population (Cancer Research UK, 2017).</w:t>
      </w:r>
      <w:r>
        <w:fldChar w:fldCharType="begin"/>
      </w:r>
      <w:r>
        <w:instrText xml:space="preserve"> HYPERLINK "https://academic.oup.com/jnci/article/110/12/1311/5164282" \t "https://www.perplexity.ai/search/_blank" </w:instrText>
      </w:r>
      <w:r>
        <w:fldChar w:fldCharType="separate"/>
      </w:r>
      <w:r>
        <w:fldChar w:fldCharType="end"/>
      </w:r>
    </w:p>
    <w:p w14:paraId="2ED6BEB1">
      <w:pPr>
        <w:pStyle w:val="3"/>
        <w:spacing w:line="360" w:lineRule="auto"/>
        <w:jc w:val="both"/>
        <w:rPr>
          <w:rFonts w:hint="default" w:ascii="Arial" w:hAnsi="Arial" w:cs="Arial"/>
          <w:sz w:val="22"/>
          <w:szCs w:val="22"/>
        </w:rPr>
      </w:pPr>
      <w:bookmarkStart w:id="44" w:name="_Toc15477"/>
      <w:bookmarkStart w:id="45" w:name="_Toc15472"/>
      <w:r>
        <w:rPr>
          <w:rFonts w:hint="default" w:ascii="Arial" w:hAnsi="Arial" w:cs="Arial"/>
          <w:sz w:val="22"/>
          <w:szCs w:val="22"/>
        </w:rPr>
        <w:t>Barriers to Mental Health Support and Service Gaps</w:t>
      </w:r>
      <w:bookmarkEnd w:id="44"/>
      <w:bookmarkEnd w:id="45"/>
    </w:p>
    <w:p w14:paraId="78D1479B">
      <w:pPr>
        <w:spacing w:line="360" w:lineRule="auto"/>
        <w:jc w:val="both"/>
        <w:rPr>
          <w:rFonts w:ascii="Arial" w:hAnsi="Arial" w:cs="Arial"/>
          <w:sz w:val="22"/>
          <w:szCs w:val="22"/>
        </w:rPr>
      </w:pPr>
      <w:r>
        <w:rPr>
          <w:rFonts w:ascii="Arial" w:hAnsi="Arial" w:eastAsia="SimSun" w:cs="Arial"/>
          <w:sz w:val="22"/>
          <w:szCs w:val="22"/>
        </w:rPr>
        <w:t>Stigma, lack of awareness, and cultural obstacles all act to limit access to mental health care for vulnerable populations (Joulaei et al., 2024). NHS England acknowledges continued gaps in mental health assessments and supports for breast cancer survivors, especially in deprived regions and among individuals from minority backgrounds (NHS England, 2024). Women consistently call for earlier intervention, routine screening, and greater education about psychological risks associated with breast cancer, reflecting a critical unmet need (Von Ah et al., 2023).</w:t>
      </w:r>
    </w:p>
    <w:p w14:paraId="2CD330E6">
      <w:pPr>
        <w:pStyle w:val="3"/>
        <w:spacing w:line="360" w:lineRule="auto"/>
        <w:jc w:val="both"/>
        <w:rPr>
          <w:rFonts w:hint="default" w:ascii="Arial" w:hAnsi="Arial" w:cs="Arial"/>
          <w:sz w:val="22"/>
          <w:szCs w:val="22"/>
        </w:rPr>
      </w:pPr>
      <w:bookmarkStart w:id="46" w:name="_Toc5604"/>
      <w:bookmarkStart w:id="47" w:name="_Toc14962"/>
      <w:r>
        <w:rPr>
          <w:rFonts w:hint="default" w:ascii="Arial" w:hAnsi="Arial" w:cs="Arial"/>
          <w:sz w:val="22"/>
          <w:szCs w:val="22"/>
        </w:rPr>
        <w:t>Protective Factors and Post-Traumatic Growth</w:t>
      </w:r>
      <w:bookmarkEnd w:id="46"/>
      <w:bookmarkEnd w:id="47"/>
    </w:p>
    <w:p w14:paraId="41CF0623">
      <w:pPr>
        <w:spacing w:line="360" w:lineRule="auto"/>
        <w:jc w:val="both"/>
        <w:rPr>
          <w:rFonts w:ascii="Arial" w:hAnsi="Arial" w:cs="Arial"/>
          <w:sz w:val="22"/>
          <w:szCs w:val="22"/>
        </w:rPr>
      </w:pPr>
      <w:r>
        <w:rPr>
          <w:rFonts w:ascii="Arial" w:hAnsi="Arial" w:eastAsia="SimSun" w:cs="Arial"/>
          <w:sz w:val="22"/>
          <w:szCs w:val="22"/>
        </w:rPr>
        <w:t>Strong social support, meaningful relationships, and opportunities for post-traumatic growth serve as significant protective factors against poor mental health outcomes among breast cancer survivors (Lavoie et al., 2017). Research demonstrates that older survivors and those with strong support networks—whether through family, friends, peer groups, or community resources—have enhanced resilience and psychological adaptation, often developing a deeper appreciation for life and personal wellbeing after their cancer experience (Ruiz-Rodríguez et al., 2022). These positive changes reflect how post-traumatic growth can emerge even amid adversity, with survivors finding new sources of motivation, meaning, and connectedness in their lives (Groarke et al., 2016).</w:t>
      </w:r>
    </w:p>
    <w:p w14:paraId="3CE6AF26">
      <w:pPr>
        <w:pStyle w:val="3"/>
        <w:spacing w:line="360" w:lineRule="auto"/>
        <w:jc w:val="both"/>
        <w:rPr>
          <w:rFonts w:hint="default" w:ascii="Arial" w:hAnsi="Arial" w:cs="Arial"/>
          <w:sz w:val="22"/>
          <w:szCs w:val="22"/>
        </w:rPr>
      </w:pPr>
      <w:bookmarkStart w:id="48" w:name="_Toc14895"/>
      <w:bookmarkStart w:id="49" w:name="_Toc26985"/>
      <w:r>
        <w:rPr>
          <w:rFonts w:hint="default" w:ascii="Arial" w:hAnsi="Arial" w:cs="Arial"/>
          <w:sz w:val="22"/>
          <w:szCs w:val="22"/>
        </w:rPr>
        <w:t>Innovations and Future Directions</w:t>
      </w:r>
      <w:bookmarkEnd w:id="48"/>
      <w:bookmarkEnd w:id="49"/>
    </w:p>
    <w:p w14:paraId="4E751384">
      <w:pPr>
        <w:spacing w:line="360" w:lineRule="auto"/>
        <w:jc w:val="both"/>
        <w:rPr>
          <w:rFonts w:ascii="Arial" w:hAnsi="Arial" w:cs="Arial"/>
          <w:sz w:val="22"/>
          <w:szCs w:val="22"/>
        </w:rPr>
      </w:pPr>
      <w:r>
        <w:rPr>
          <w:rFonts w:ascii="Arial" w:hAnsi="Arial" w:eastAsia="SimSun" w:cs="Arial"/>
          <w:sz w:val="22"/>
          <w:szCs w:val="22"/>
        </w:rPr>
        <w:t>Current trends in breast cancer mental health care highlight the growing value of personalised, culturally sensitive interventions, digital health solutions, and remote support options (NHS Confederation, 2023</w:t>
      </w:r>
      <w:r>
        <w:rPr>
          <w:rFonts w:ascii="Arial" w:hAnsi="Arial" w:eastAsia="SimSun" w:cs="Arial"/>
          <w:sz w:val="22"/>
          <w:szCs w:val="22"/>
          <w:lang w:val="en-IN"/>
        </w:rPr>
        <w:t>)</w:t>
      </w:r>
      <w:r>
        <w:rPr>
          <w:rFonts w:ascii="Arial" w:hAnsi="Arial" w:eastAsia="SimSun" w:cs="Arial"/>
          <w:sz w:val="22"/>
          <w:szCs w:val="22"/>
        </w:rPr>
        <w:t>. NHS Improvement and recent research advocate for comprehensive mental health screening and support to be seamlessly integrated into the cancer care pathway, ensuring that all patients receive holistic psychosocial care (NHS England, 2024). Innovations such as social prescribing, telemedicine, and survivor peer networks have demonstrated promise in addressing persistent gaps, enhancing accessibility, and improving outcomes for diverse survivor populations (NHS Confederation, 2023</w:t>
      </w:r>
      <w:r>
        <w:rPr>
          <w:rFonts w:ascii="Arial" w:hAnsi="Arial" w:eastAsia="SimSun" w:cs="Arial"/>
          <w:sz w:val="22"/>
          <w:szCs w:val="22"/>
          <w:lang w:val="en-IN"/>
        </w:rPr>
        <w:t>).</w:t>
      </w:r>
    </w:p>
    <w:p w14:paraId="087CD9B0">
      <w:pPr>
        <w:pStyle w:val="3"/>
        <w:spacing w:line="360" w:lineRule="auto"/>
        <w:jc w:val="both"/>
        <w:rPr>
          <w:rFonts w:hint="default" w:ascii="Arial" w:hAnsi="Arial" w:cs="Arial"/>
          <w:sz w:val="22"/>
          <w:szCs w:val="22"/>
        </w:rPr>
      </w:pPr>
      <w:bookmarkStart w:id="50" w:name="_Toc11062"/>
      <w:bookmarkStart w:id="51" w:name="_Toc10176"/>
      <w:r>
        <w:rPr>
          <w:rFonts w:hint="default" w:ascii="Arial" w:hAnsi="Arial" w:cs="Arial"/>
          <w:sz w:val="22"/>
          <w:szCs w:val="22"/>
        </w:rPr>
        <w:t>Conclusion</w:t>
      </w:r>
      <w:bookmarkEnd w:id="50"/>
      <w:bookmarkEnd w:id="51"/>
    </w:p>
    <w:p w14:paraId="4FBDBAA4">
      <w:pPr>
        <w:pStyle w:val="85"/>
        <w:spacing w:line="360" w:lineRule="auto"/>
        <w:jc w:val="both"/>
        <w:rPr>
          <w:rFonts w:hint="default" w:ascii="Arial" w:hAnsi="Arial" w:eastAsia="SimSun" w:cs="Arial"/>
          <w:sz w:val="22"/>
          <w:szCs w:val="22"/>
        </w:rPr>
      </w:pPr>
      <w:r>
        <w:rPr>
          <w:rFonts w:ascii="Arial" w:hAnsi="Arial" w:cs="Arial"/>
          <w:sz w:val="22"/>
          <w:szCs w:val="22"/>
        </w:rPr>
        <w:t>Breast cancer’s psychological impact on UK women is substantial and multifaceted. Survivors often carry elevated risks of anxiety, depression, sleep disturbances, pain, sexual dysfunction, cognitive impairment and body image issues long after treatment, with social disparities further compounding these challenges. More integrated, patient-focused care models—combining clinical interventions, psycho</w:t>
      </w:r>
      <w:r>
        <w:rPr>
          <w:rFonts w:ascii="Arial" w:hAnsi="Arial" w:cs="Arial"/>
          <w:sz w:val="22"/>
          <w:szCs w:val="22"/>
          <w:lang w:val="en-IN"/>
        </w:rPr>
        <w:t>-</w:t>
      </w:r>
      <w:r>
        <w:rPr>
          <w:rFonts w:ascii="Arial" w:hAnsi="Arial" w:cs="Arial"/>
          <w:sz w:val="22"/>
          <w:szCs w:val="22"/>
        </w:rPr>
        <w:t>social support, education, and peer groups—are urgently needed to improve survivorship experience and quality of life.</w:t>
      </w:r>
      <w:r>
        <w:rPr>
          <w:rFonts w:hint="default" w:ascii="Arial" w:hAnsi="Arial" w:eastAsia="SimSun" w:cs="Arial"/>
          <w:sz w:val="22"/>
          <w:szCs w:val="22"/>
        </w:rPr>
        <w:t>(Marzorati, Masiero and Pravettoni, 2024)</w:t>
      </w:r>
    </w:p>
    <w:p w14:paraId="4E0B292A">
      <w:pPr>
        <w:pStyle w:val="85"/>
        <w:spacing w:line="360" w:lineRule="auto"/>
        <w:jc w:val="both"/>
        <w:rPr>
          <w:rFonts w:hint="default" w:ascii="Arial" w:hAnsi="Arial" w:eastAsia="SimSun" w:cs="Arial"/>
          <w:sz w:val="22"/>
          <w:szCs w:val="22"/>
        </w:rPr>
      </w:pPr>
    </w:p>
    <w:p w14:paraId="223AF9C3">
      <w:pPr>
        <w:pStyle w:val="85"/>
        <w:spacing w:line="360" w:lineRule="auto"/>
        <w:jc w:val="both"/>
        <w:rPr>
          <w:rFonts w:hint="default" w:ascii="Arial" w:hAnsi="Arial" w:eastAsia="SimSun" w:cs="Arial"/>
          <w:sz w:val="22"/>
          <w:szCs w:val="22"/>
        </w:rPr>
      </w:pPr>
    </w:p>
    <w:p w14:paraId="5A9780B4">
      <w:pPr>
        <w:pStyle w:val="85"/>
        <w:spacing w:line="360" w:lineRule="auto"/>
        <w:jc w:val="both"/>
        <w:rPr>
          <w:rFonts w:hint="default" w:ascii="Arial" w:hAnsi="Arial" w:eastAsia="SimSun" w:cs="Arial"/>
          <w:sz w:val="22"/>
          <w:szCs w:val="22"/>
        </w:rPr>
      </w:pPr>
    </w:p>
    <w:p w14:paraId="5FA7A6B8">
      <w:pPr>
        <w:pStyle w:val="85"/>
        <w:spacing w:line="360" w:lineRule="auto"/>
        <w:jc w:val="both"/>
        <w:rPr>
          <w:rFonts w:hint="default" w:ascii="Arial" w:hAnsi="Arial" w:eastAsia="SimSun" w:cs="Arial"/>
          <w:sz w:val="22"/>
          <w:szCs w:val="22"/>
        </w:rPr>
      </w:pPr>
    </w:p>
    <w:p w14:paraId="235DF009">
      <w:pPr>
        <w:pStyle w:val="85"/>
        <w:spacing w:line="360" w:lineRule="auto"/>
        <w:jc w:val="both"/>
        <w:rPr>
          <w:rFonts w:hint="default" w:ascii="Arial" w:hAnsi="Arial" w:eastAsia="SimSun" w:cs="Arial"/>
          <w:sz w:val="22"/>
          <w:szCs w:val="22"/>
        </w:rPr>
      </w:pPr>
    </w:p>
    <w:p w14:paraId="6079A52E">
      <w:pPr>
        <w:pStyle w:val="85"/>
        <w:spacing w:line="360" w:lineRule="auto"/>
        <w:jc w:val="both"/>
        <w:rPr>
          <w:rFonts w:hint="default" w:ascii="Arial" w:hAnsi="Arial" w:eastAsia="SimSun" w:cs="Arial"/>
          <w:sz w:val="22"/>
          <w:szCs w:val="22"/>
        </w:rPr>
      </w:pPr>
    </w:p>
    <w:p w14:paraId="34900BF3">
      <w:pPr>
        <w:pStyle w:val="85"/>
        <w:spacing w:line="360" w:lineRule="auto"/>
        <w:jc w:val="both"/>
        <w:rPr>
          <w:rFonts w:hint="default" w:ascii="Arial" w:hAnsi="Arial" w:eastAsia="SimSun" w:cs="Arial"/>
          <w:sz w:val="22"/>
          <w:szCs w:val="22"/>
        </w:rPr>
      </w:pPr>
    </w:p>
    <w:p w14:paraId="33CC859A">
      <w:pPr>
        <w:pStyle w:val="85"/>
        <w:spacing w:line="360" w:lineRule="auto"/>
        <w:jc w:val="both"/>
        <w:rPr>
          <w:rFonts w:hint="default" w:ascii="Arial" w:hAnsi="Arial" w:eastAsia="SimSun" w:cs="Arial"/>
          <w:sz w:val="22"/>
          <w:szCs w:val="22"/>
        </w:rPr>
      </w:pPr>
    </w:p>
    <w:p w14:paraId="2B6E832E">
      <w:pPr>
        <w:pStyle w:val="85"/>
        <w:spacing w:line="360" w:lineRule="auto"/>
        <w:jc w:val="both"/>
        <w:rPr>
          <w:rFonts w:hint="default" w:ascii="Arial" w:hAnsi="Arial" w:eastAsia="SimSun" w:cs="Arial"/>
          <w:sz w:val="22"/>
          <w:szCs w:val="22"/>
        </w:rPr>
      </w:pPr>
    </w:p>
    <w:p w14:paraId="1BF6960F">
      <w:pPr>
        <w:pStyle w:val="85"/>
        <w:spacing w:line="360" w:lineRule="auto"/>
        <w:jc w:val="both"/>
        <w:rPr>
          <w:rFonts w:hint="default" w:ascii="Arial" w:hAnsi="Arial" w:eastAsia="SimSun" w:cs="Arial"/>
          <w:sz w:val="22"/>
          <w:szCs w:val="22"/>
        </w:rPr>
      </w:pPr>
    </w:p>
    <w:p w14:paraId="4E4E488B">
      <w:pPr>
        <w:pStyle w:val="85"/>
        <w:spacing w:line="360" w:lineRule="auto"/>
        <w:jc w:val="both"/>
        <w:rPr>
          <w:rFonts w:hint="default" w:ascii="Arial" w:hAnsi="Arial" w:eastAsia="SimSun" w:cs="Arial"/>
          <w:sz w:val="22"/>
          <w:szCs w:val="22"/>
        </w:rPr>
      </w:pPr>
    </w:p>
    <w:p w14:paraId="3FFDFDDD">
      <w:pPr>
        <w:pStyle w:val="85"/>
        <w:spacing w:line="360" w:lineRule="auto"/>
        <w:jc w:val="both"/>
        <w:rPr>
          <w:rFonts w:hint="default" w:ascii="Arial" w:hAnsi="Arial" w:eastAsia="SimSun" w:cs="Arial"/>
          <w:sz w:val="22"/>
          <w:szCs w:val="22"/>
        </w:rPr>
      </w:pPr>
    </w:p>
    <w:p w14:paraId="22A8689D">
      <w:pPr>
        <w:pStyle w:val="85"/>
        <w:spacing w:line="360" w:lineRule="auto"/>
        <w:jc w:val="both"/>
        <w:rPr>
          <w:rFonts w:hint="default" w:ascii="Arial" w:hAnsi="Arial" w:eastAsia="SimSun" w:cs="Arial"/>
          <w:sz w:val="22"/>
          <w:szCs w:val="22"/>
        </w:rPr>
      </w:pPr>
    </w:p>
    <w:p w14:paraId="2237D99B">
      <w:pPr>
        <w:pStyle w:val="85"/>
        <w:spacing w:line="360" w:lineRule="auto"/>
        <w:jc w:val="both"/>
        <w:rPr>
          <w:rFonts w:hint="default" w:ascii="Arial" w:hAnsi="Arial" w:eastAsia="SimSun" w:cs="Arial"/>
          <w:sz w:val="22"/>
          <w:szCs w:val="22"/>
        </w:rPr>
      </w:pPr>
    </w:p>
    <w:p w14:paraId="3901AD3C">
      <w:pPr>
        <w:pStyle w:val="85"/>
        <w:spacing w:line="360" w:lineRule="auto"/>
        <w:jc w:val="both"/>
        <w:rPr>
          <w:rFonts w:hint="default" w:ascii="Arial" w:hAnsi="Arial" w:eastAsia="SimSun" w:cs="Arial"/>
          <w:sz w:val="22"/>
          <w:szCs w:val="22"/>
        </w:rPr>
      </w:pPr>
    </w:p>
    <w:p w14:paraId="712B429A">
      <w:pPr>
        <w:pStyle w:val="85"/>
        <w:spacing w:line="360" w:lineRule="auto"/>
        <w:jc w:val="both"/>
        <w:rPr>
          <w:rFonts w:hint="default" w:ascii="Arial" w:hAnsi="Arial" w:eastAsia="SimSun" w:cs="Arial"/>
          <w:sz w:val="22"/>
          <w:szCs w:val="22"/>
        </w:rPr>
      </w:pPr>
    </w:p>
    <w:p w14:paraId="512A1935">
      <w:pPr>
        <w:pStyle w:val="85"/>
        <w:spacing w:line="360" w:lineRule="auto"/>
        <w:jc w:val="both"/>
        <w:rPr>
          <w:rFonts w:hint="default" w:ascii="Arial" w:hAnsi="Arial" w:eastAsia="SimSun" w:cs="Arial"/>
          <w:sz w:val="22"/>
          <w:szCs w:val="22"/>
        </w:rPr>
      </w:pPr>
    </w:p>
    <w:p w14:paraId="3F188FFD">
      <w:pPr>
        <w:pStyle w:val="85"/>
        <w:spacing w:line="360" w:lineRule="auto"/>
        <w:jc w:val="both"/>
        <w:rPr>
          <w:rFonts w:hint="default" w:ascii="Arial" w:hAnsi="Arial" w:eastAsia="SimSun" w:cs="Arial"/>
          <w:sz w:val="22"/>
          <w:szCs w:val="22"/>
        </w:rPr>
      </w:pPr>
    </w:p>
    <w:p w14:paraId="6CB45D7D">
      <w:pPr>
        <w:pStyle w:val="85"/>
        <w:spacing w:line="360" w:lineRule="auto"/>
        <w:jc w:val="both"/>
        <w:rPr>
          <w:rFonts w:hint="default" w:ascii="Arial" w:hAnsi="Arial" w:cs="Arial"/>
          <w:sz w:val="22"/>
          <w:szCs w:val="22"/>
        </w:rPr>
      </w:pPr>
      <w:r>
        <w:rPr>
          <w:rFonts w:hint="default" w:ascii="Arial" w:hAnsi="Arial" w:cs="Arial"/>
          <w:color w:val="000000"/>
          <w:sz w:val="22"/>
          <w:szCs w:val="22"/>
          <w:shd w:val="clear" w:color="auto" w:fill="FFFFFF"/>
        </w:rPr>
        <w:t>‌</w:t>
      </w:r>
    </w:p>
    <w:p w14:paraId="16C6B4CF">
      <w:pPr>
        <w:pStyle w:val="255"/>
        <w:bidi w:val="0"/>
        <w:rPr>
          <w:rFonts w:ascii="Arial" w:hAnsi="Arial" w:cs="Arial"/>
          <w:szCs w:val="22"/>
        </w:rPr>
      </w:pPr>
      <w:bookmarkStart w:id="52" w:name="_Toc12124"/>
      <w:bookmarkStart w:id="53" w:name="_Toc30836"/>
      <w:r>
        <w:t>Chapter 3: Methodology</w:t>
      </w:r>
      <w:bookmarkEnd w:id="52"/>
      <w:bookmarkEnd w:id="53"/>
    </w:p>
    <w:p w14:paraId="6943D111">
      <w:pPr>
        <w:pStyle w:val="256"/>
        <w:bidi w:val="0"/>
        <w:rPr>
          <w:rFonts w:hint="default"/>
        </w:rPr>
      </w:pPr>
      <w:bookmarkStart w:id="54" w:name="_Toc2669"/>
      <w:bookmarkStart w:id="55" w:name="_Toc23258"/>
      <w:r>
        <w:rPr>
          <w:rFonts w:hint="default"/>
        </w:rPr>
        <w:t>3.1 Introduction</w:t>
      </w:r>
      <w:bookmarkEnd w:id="54"/>
      <w:bookmarkEnd w:id="55"/>
    </w:p>
    <w:p w14:paraId="46ECC2AF">
      <w:pPr>
        <w:pStyle w:val="85"/>
        <w:spacing w:line="360" w:lineRule="auto"/>
        <w:jc w:val="both"/>
        <w:rPr>
          <w:rFonts w:ascii="Arial" w:hAnsi="Arial" w:cs="Arial"/>
          <w:sz w:val="22"/>
          <w:szCs w:val="22"/>
        </w:rPr>
      </w:pPr>
      <w:r>
        <w:rPr>
          <w:rFonts w:ascii="Arial" w:hAnsi="Arial" w:cs="Arial"/>
          <w:sz w:val="22"/>
          <w:szCs w:val="22"/>
        </w:rPr>
        <w:t>The methodology chapter details the rigorous, transparent, and systematic approach used to conduct this review on the psychological impact of breast cancer in the United Kingdom. The study employed a systematic review framework, following the Preferred Reporting Items for Systematic Reviews and Meta-Analyses (PRISMA) 2020 guidelines. Critical Appraisal Skills Programme (CASP) tools guided quality assessment and risk of bias appraisal. This chapter outlines the research design, protocol registration, eligibility criteria, search strategy, study selection, data extraction, quality appraisal, synthesis methods, and ethical considerations central to the integrity and reproducibility of this research.</w:t>
      </w:r>
      <w:r>
        <w:fldChar w:fldCharType="begin"/>
      </w:r>
      <w:r>
        <w:instrText xml:space="preserve"> HYPERLINK "https://www.bmj.com/content/372/bmj.n71" \t "https://www.perplexity.ai/search/_blank" </w:instrText>
      </w:r>
      <w:r>
        <w:fldChar w:fldCharType="separate"/>
      </w:r>
      <w:r>
        <w:fldChar w:fldCharType="begin"/>
      </w:r>
      <w:r>
        <w:instrText xml:space="preserve"> HYPERLINK "https://www.bmj.com/content/372/bmj.n71" \t "https://www.perplexity.ai/search/_blank" </w:instrText>
      </w:r>
      <w:r>
        <w:fldChar w:fldCharType="separate"/>
      </w:r>
      <w:r>
        <w:fldChar w:fldCharType="end"/>
      </w:r>
      <w:r>
        <w:fldChar w:fldCharType="end"/>
      </w:r>
    </w:p>
    <w:p w14:paraId="55410B71">
      <w:pPr>
        <w:pStyle w:val="256"/>
        <w:bidi w:val="0"/>
        <w:rPr>
          <w:rFonts w:hint="default"/>
        </w:rPr>
      </w:pPr>
      <w:bookmarkStart w:id="56" w:name="_Toc15135"/>
      <w:bookmarkStart w:id="57" w:name="_Toc3860"/>
      <w:r>
        <w:rPr>
          <w:rFonts w:hint="default"/>
        </w:rPr>
        <w:t>3.</w:t>
      </w:r>
      <w:r>
        <w:rPr>
          <w:rFonts w:hint="default"/>
          <w:lang w:val="en-IN"/>
        </w:rPr>
        <w:t>2</w:t>
      </w:r>
      <w:r>
        <w:rPr>
          <w:rFonts w:hint="default"/>
        </w:rPr>
        <w:t xml:space="preserve"> PRISMA Framework Explanation</w:t>
      </w:r>
      <w:bookmarkEnd w:id="56"/>
      <w:bookmarkEnd w:id="57"/>
    </w:p>
    <w:p w14:paraId="1CE3AD25">
      <w:pPr>
        <w:pStyle w:val="257"/>
        <w:bidi w:val="0"/>
        <w:rPr>
          <w:rFonts w:hint="default"/>
        </w:rPr>
      </w:pPr>
      <w:bookmarkStart w:id="58" w:name="_Toc14857"/>
      <w:bookmarkStart w:id="59" w:name="_Toc5460"/>
      <w:r>
        <w:rPr>
          <w:rFonts w:hint="default"/>
        </w:rPr>
        <w:t>3.</w:t>
      </w:r>
      <w:r>
        <w:rPr>
          <w:rFonts w:hint="default"/>
          <w:lang w:val="en-IN"/>
        </w:rPr>
        <w:t>2</w:t>
      </w:r>
      <w:r>
        <w:rPr>
          <w:rFonts w:hint="default"/>
        </w:rPr>
        <w:t>.1 Rationale for PRISMA</w:t>
      </w:r>
      <w:bookmarkEnd w:id="58"/>
      <w:bookmarkEnd w:id="59"/>
    </w:p>
    <w:p w14:paraId="619C1C9B">
      <w:pPr>
        <w:pStyle w:val="85"/>
        <w:spacing w:line="360" w:lineRule="auto"/>
        <w:jc w:val="both"/>
        <w:rPr>
          <w:rFonts w:ascii="Arial" w:hAnsi="Arial" w:cs="Arial"/>
          <w:sz w:val="22"/>
          <w:szCs w:val="22"/>
        </w:rPr>
      </w:pPr>
      <w:r>
        <w:rPr>
          <w:rFonts w:ascii="Arial" w:hAnsi="Arial" w:cs="Arial"/>
          <w:sz w:val="22"/>
          <w:szCs w:val="22"/>
        </w:rPr>
        <w:t>The PRISMA (Preferred Reporting Items for Systematic Reviews and Meta-Analyses) statement is an internationally recognized guideline for transparent and thorough reporting of systematic reviews and meta-analyses. PRISMA's 27-item checklist and flow diagram standardize the reporting of literature identification, screening, study eligibility, and inclusion/exclusion justifications, thus enhancing review transparency, completeness, and reproducibility. By following PRISMA, this review ensures full and accurate documentation of the review process, facilitating critical appraisal by readers.</w:t>
      </w:r>
      <w:r>
        <w:fldChar w:fldCharType="begin"/>
      </w:r>
      <w:r>
        <w:instrText xml:space="preserve"> HYPERLINK "https://www.prisma-statement.org" \t "https://www.perplexity.ai/search/_blank" </w:instrText>
      </w:r>
      <w:r>
        <w:fldChar w:fldCharType="separate"/>
      </w:r>
      <w:r>
        <w:fldChar w:fldCharType="begin"/>
      </w:r>
      <w:r>
        <w:instrText xml:space="preserve"> HYPERLINK "https://www.prisma-statement.org" \t "https://www.perplexity.ai/search/_blank" </w:instrText>
      </w:r>
      <w:r>
        <w:fldChar w:fldCharType="separate"/>
      </w:r>
      <w:r>
        <w:fldChar w:fldCharType="end"/>
      </w:r>
      <w:r>
        <w:fldChar w:fldCharType="end"/>
      </w:r>
    </w:p>
    <w:p w14:paraId="431FB245">
      <w:pPr>
        <w:pStyle w:val="257"/>
        <w:bidi w:val="0"/>
        <w:rPr>
          <w:rFonts w:hint="default"/>
        </w:rPr>
      </w:pPr>
      <w:bookmarkStart w:id="60" w:name="_Toc17983"/>
      <w:bookmarkStart w:id="61" w:name="_Toc14908"/>
      <w:r>
        <w:rPr>
          <w:rFonts w:hint="default"/>
        </w:rPr>
        <w:t>3.</w:t>
      </w:r>
      <w:r>
        <w:rPr>
          <w:rFonts w:hint="default"/>
          <w:lang w:val="en-IN"/>
        </w:rPr>
        <w:t>2</w:t>
      </w:r>
      <w:r>
        <w:rPr>
          <w:rFonts w:hint="default"/>
        </w:rPr>
        <w:t>.2 PRISMA Checklist and Flow Diagram</w:t>
      </w:r>
      <w:bookmarkEnd w:id="60"/>
      <w:bookmarkEnd w:id="61"/>
    </w:p>
    <w:p w14:paraId="58A660A1">
      <w:pPr>
        <w:spacing w:line="360" w:lineRule="auto"/>
        <w:jc w:val="both"/>
        <w:rPr>
          <w:rFonts w:ascii="Arial" w:hAnsi="Arial" w:cs="Arial"/>
          <w:sz w:val="22"/>
          <w:szCs w:val="22"/>
        </w:rPr>
      </w:pPr>
      <w:r>
        <w:rPr>
          <w:rFonts w:ascii="Arial" w:hAnsi="Arial" w:eastAsia="SimSun" w:cs="Arial"/>
          <w:sz w:val="22"/>
          <w:szCs w:val="22"/>
          <w:lang w:bidi="ar"/>
        </w:rPr>
        <w:t>All components of the systematic review</w:t>
      </w:r>
      <w:r>
        <w:rPr>
          <w:rFonts w:ascii="Arial" w:hAnsi="Arial" w:eastAsia="SimSun" w:cs="Arial"/>
          <w:sz w:val="22"/>
          <w:szCs w:val="22"/>
          <w:lang w:val="en-IN" w:bidi="ar"/>
        </w:rPr>
        <w:t xml:space="preserve">- </w:t>
      </w:r>
      <w:r>
        <w:rPr>
          <w:rFonts w:ascii="Arial" w:hAnsi="Arial" w:eastAsia="SimSun" w:cs="Arial"/>
          <w:sz w:val="22"/>
          <w:szCs w:val="22"/>
          <w:lang w:bidi="ar"/>
        </w:rPr>
        <w:t xml:space="preserve">from title, abstract, and methodology through results, discussion, and funding—were meticulously structured to align with the PRISMA 2020 checklist, which is comprised of 27 key items designed to promote transparency, completeness, and reproducibility in reporting systematic reviews (PRISMA, 2020). Each manuscript section integrated reporting recommendations specific to its purpose: for instance, the abstract followed PRISMA’s dedicated abstract checklist to present clear goals, methods, results, and conclusions, while the methods section described systematic search strategies, eligibility criteria, and study selection processes in detail, as recommended by PRISMA and supporting best practice guides </w:t>
      </w:r>
      <w:r>
        <w:rPr>
          <w:rFonts w:ascii="Arial" w:hAnsi="Arial" w:eastAsia="SimSun" w:cs="Arial"/>
          <w:sz w:val="22"/>
          <w:szCs w:val="22"/>
        </w:rPr>
        <w:t>(PRISMA, 2020)</w:t>
      </w:r>
      <w:r>
        <w:rPr>
          <w:rFonts w:ascii="Arial" w:hAnsi="Arial" w:eastAsia="SimSun" w:cs="Arial"/>
          <w:sz w:val="22"/>
          <w:szCs w:val="22"/>
          <w:lang w:bidi="ar"/>
        </w:rPr>
        <w:t>.</w:t>
      </w:r>
      <w:r>
        <w:fldChar w:fldCharType="begin"/>
      </w:r>
      <w:r>
        <w:instrText xml:space="preserve"> HYPERLINK "https://www.prisma-statement.org/prisma-2020" \t "https://www.perplexity.ai/search/_blank" </w:instrText>
      </w:r>
      <w:r>
        <w:fldChar w:fldCharType="separate"/>
      </w:r>
      <w:r>
        <w:fldChar w:fldCharType="begin"/>
      </w:r>
      <w:r>
        <w:instrText xml:space="preserve"> HYPERLINK "https://www.prisma-statement.org/prisma-2020" \t "https://www.perplexity.ai/search/_blank" </w:instrText>
      </w:r>
      <w:r>
        <w:fldChar w:fldCharType="separate"/>
      </w:r>
      <w:r>
        <w:fldChar w:fldCharType="end"/>
      </w:r>
      <w:r>
        <w:fldChar w:fldCharType="end"/>
      </w:r>
      <w:r>
        <w:rPr>
          <w:rFonts w:ascii="Arial" w:hAnsi="Arial" w:eastAsia="SimSun" w:cs="Arial"/>
          <w:sz w:val="22"/>
          <w:szCs w:val="22"/>
          <w:lang w:bidi="ar"/>
        </w:rPr>
        <w:t xml:space="preserve"> </w:t>
      </w:r>
    </w:p>
    <w:p w14:paraId="5EA4D97A">
      <w:pPr>
        <w:pStyle w:val="85"/>
        <w:spacing w:line="360" w:lineRule="auto"/>
        <w:jc w:val="both"/>
        <w:rPr>
          <w:rFonts w:ascii="Arial" w:hAnsi="Arial" w:cs="Arial"/>
          <w:sz w:val="22"/>
          <w:szCs w:val="22"/>
        </w:rPr>
      </w:pPr>
      <w:r>
        <w:rPr>
          <w:rFonts w:ascii="Arial" w:hAnsi="Arial" w:cs="Arial"/>
          <w:sz w:val="22"/>
          <w:szCs w:val="22"/>
        </w:rPr>
        <w:t>A core element of PRISMA is the use of a flow diagram that visually records every step of the literature search and study inclusion process. The diagram provides a succinct summary of records identified through various databases and additional sources, progress through screening by eligibility and inclusion criteria, and reasons for excluding studies at each stage. This visual tool is especially useful for illustrating the pathway from the initial, wide-ranging literature search to the final body of evidence upon which conclusions are drawn. For each major decision point—such as de</w:t>
      </w:r>
      <w:r>
        <w:rPr>
          <w:rFonts w:ascii="Arial" w:hAnsi="Arial" w:cs="Arial"/>
          <w:sz w:val="22"/>
          <w:szCs w:val="22"/>
          <w:lang w:val="en-IN"/>
        </w:rPr>
        <w:t>-</w:t>
      </w:r>
      <w:r>
        <w:rPr>
          <w:rFonts w:ascii="Arial" w:hAnsi="Arial" w:cs="Arial"/>
          <w:sz w:val="22"/>
          <w:szCs w:val="22"/>
        </w:rPr>
        <w:t>duplication, abstract screening, full-text eligibility, and reasons for exclusion—the diagram annotates the corresponding numbers, helping readers to interpret where and why records were lost or retained, and ensuring that reviewer decisions are fully traceable (Page et al., 2021; PRISMA, 2020).</w:t>
      </w:r>
      <w:r>
        <w:fldChar w:fldCharType="begin"/>
      </w:r>
      <w:r>
        <w:instrText xml:space="preserve"> HYPERLINK "https://www.bmj.com/content/372/bmj.n71" \t "https://www.perplexity.ai/search/_blank" </w:instrText>
      </w:r>
      <w:r>
        <w:fldChar w:fldCharType="separate"/>
      </w:r>
      <w:r>
        <w:fldChar w:fldCharType="begin"/>
      </w:r>
      <w:r>
        <w:instrText xml:space="preserve"> HYPERLINK "https://www.bmj.com/content/372/bmj.n71" \t "https://www.perplexity.ai/search/_blank" </w:instrText>
      </w:r>
      <w:r>
        <w:fldChar w:fldCharType="separate"/>
      </w:r>
      <w:r>
        <w:fldChar w:fldCharType="end"/>
      </w:r>
      <w:r>
        <w:fldChar w:fldCharType="end"/>
      </w:r>
    </w:p>
    <w:p w14:paraId="26DD0B00">
      <w:pPr>
        <w:pStyle w:val="85"/>
        <w:spacing w:line="360" w:lineRule="auto"/>
        <w:jc w:val="both"/>
        <w:rPr>
          <w:rFonts w:ascii="Arial" w:hAnsi="Arial" w:cs="Arial"/>
          <w:sz w:val="22"/>
          <w:szCs w:val="22"/>
        </w:rPr>
      </w:pPr>
      <w:r>
        <w:rPr>
          <w:rFonts w:ascii="Arial" w:hAnsi="Arial" w:cs="Arial"/>
          <w:sz w:val="22"/>
          <w:szCs w:val="22"/>
        </w:rPr>
        <w:t>Detailed reporting was further supported by the expanded PRISMA checklist, which documents procedural elements such as reviewer roles, use of automation tools for screening, protocols and registration, search strategies for all databases, and synthesis methods. The checklist was routinely completed and reviewed throughout the writing and documentation process, facilitating consistent adherence to high-quality reporting standards. By combining both the checklist and the flow diagram, the review offers an explicit audit trail of all study identification, selection, exclusion, and inclusion steps, thereby allowing peer reviewers, editors, and other stakeholders to critically appraise the reliability and validity of the review. Such comprehensive documentation was integral to the credibility and academic rigor demanded of systematic reviews published in leading journals and recommended by leading methodological bodies (PRISMA, 2020; Page et al., 2021).</w:t>
      </w:r>
    </w:p>
    <w:p w14:paraId="4D936FB9">
      <w:pPr>
        <w:pStyle w:val="256"/>
        <w:bidi w:val="0"/>
        <w:rPr>
          <w:rFonts w:hint="default"/>
        </w:rPr>
      </w:pPr>
      <w:bookmarkStart w:id="62" w:name="_Toc4844"/>
      <w:bookmarkStart w:id="63" w:name="_Toc829"/>
      <w:r>
        <w:rPr>
          <w:rFonts w:hint="default"/>
        </w:rPr>
        <w:t>3.</w:t>
      </w:r>
      <w:r>
        <w:rPr>
          <w:rFonts w:hint="default"/>
          <w:lang w:val="en-IN"/>
        </w:rPr>
        <w:t>3</w:t>
      </w:r>
      <w:r>
        <w:rPr>
          <w:rFonts w:hint="default"/>
        </w:rPr>
        <w:t xml:space="preserve"> Protocol and Registration</w:t>
      </w:r>
      <w:bookmarkEnd w:id="62"/>
      <w:bookmarkEnd w:id="63"/>
    </w:p>
    <w:p w14:paraId="2F2C5288">
      <w:pPr>
        <w:pStyle w:val="85"/>
        <w:spacing w:line="360" w:lineRule="auto"/>
        <w:jc w:val="both"/>
        <w:rPr>
          <w:rFonts w:ascii="Arial" w:hAnsi="Arial" w:cs="Arial"/>
          <w:sz w:val="22"/>
          <w:szCs w:val="22"/>
        </w:rPr>
      </w:pPr>
      <w:r>
        <w:rPr>
          <w:rFonts w:ascii="Arial" w:hAnsi="Arial" w:cs="Arial"/>
          <w:sz w:val="22"/>
          <w:szCs w:val="22"/>
        </w:rPr>
        <w:t>Prior to commencing the review, a comprehensive protocol was meticulously developed, incorporating the research objectives, eligibility criteria, databases to be searched, detailed search strategy, and planned methods for data synthesis and analysis. This protocol followed internationally recognized guidance for systematic reviews, including both the Preferred Reporting Items for Systematic Reviews and Meta-Analyses (PRISMA) standards and the Critical Appraisal Skills Programme (CASP) approach to ensure methodological rigor and transparency.</w:t>
      </w:r>
      <w:r>
        <w:fldChar w:fldCharType="begin"/>
      </w:r>
      <w:r>
        <w:instrText xml:space="preserve"> HYPERLINK "https://uscmed.sc.libguides.com/SystematicReviews/registerprotocol" \t "https://www.perplexity.ai/search/_blank" </w:instrText>
      </w:r>
      <w:r>
        <w:fldChar w:fldCharType="separate"/>
      </w:r>
      <w:r>
        <w:fldChar w:fldCharType="begin"/>
      </w:r>
      <w:r>
        <w:instrText xml:space="preserve"> HYPERLINK "https://uscmed.sc.libguides.com/SystematicReviews/registerprotocol" \t "https://www.perplexity.ai/search/_blank" </w:instrText>
      </w:r>
      <w:r>
        <w:fldChar w:fldCharType="separate"/>
      </w:r>
      <w:r>
        <w:fldChar w:fldCharType="end"/>
      </w:r>
      <w:r>
        <w:fldChar w:fldCharType="end"/>
      </w:r>
    </w:p>
    <w:p w14:paraId="59D0B707">
      <w:pPr>
        <w:pStyle w:val="85"/>
        <w:spacing w:line="360" w:lineRule="auto"/>
        <w:jc w:val="both"/>
        <w:rPr>
          <w:rFonts w:ascii="Arial" w:hAnsi="Arial" w:cs="Arial"/>
          <w:sz w:val="22"/>
          <w:szCs w:val="22"/>
        </w:rPr>
      </w:pPr>
      <w:r>
        <w:rPr>
          <w:rFonts w:ascii="Arial" w:hAnsi="Arial" w:cs="Arial"/>
          <w:sz w:val="22"/>
          <w:szCs w:val="22"/>
        </w:rPr>
        <w:t>Adherence to the protocol was routinely monitored during the review process as recommended by CASP best practice. Any deviations—such as the incorporation of additional eligible sources, expansion of databases, or modification of data extraction items—were systematically logged and fully justified in the review documentation. All protocol changes were considered with potential bias and methodological integrity in mind, using the CASP tool to continually assess the clarity and appropriateness of the study design, recruitment, and methods (CASP, 2018).</w:t>
      </w:r>
    </w:p>
    <w:p w14:paraId="09F291D5">
      <w:pPr>
        <w:pStyle w:val="85"/>
        <w:spacing w:line="360" w:lineRule="auto"/>
        <w:jc w:val="both"/>
        <w:rPr>
          <w:rFonts w:ascii="Arial" w:hAnsi="Arial" w:cs="Arial"/>
          <w:sz w:val="22"/>
          <w:szCs w:val="22"/>
        </w:rPr>
      </w:pPr>
      <w:r>
        <w:rPr>
          <w:rFonts w:ascii="Arial" w:hAnsi="Arial" w:cs="Arial"/>
          <w:sz w:val="22"/>
          <w:szCs w:val="22"/>
        </w:rPr>
        <w:t>By following these steps, this review upholds high scientific standards, supporting the credibility of findings and ensuring replicability for future research.</w:t>
      </w:r>
    </w:p>
    <w:p w14:paraId="09B52E24">
      <w:pPr>
        <w:pStyle w:val="256"/>
        <w:bidi w:val="0"/>
        <w:rPr>
          <w:rFonts w:hint="default"/>
        </w:rPr>
      </w:pPr>
      <w:bookmarkStart w:id="64" w:name="_Toc29798"/>
      <w:bookmarkStart w:id="65" w:name="_Toc9473"/>
      <w:r>
        <w:rPr>
          <w:rFonts w:hint="default"/>
        </w:rPr>
        <w:t>3.</w:t>
      </w:r>
      <w:r>
        <w:rPr>
          <w:rFonts w:hint="default"/>
          <w:lang w:val="en-IN"/>
        </w:rPr>
        <w:t>4</w:t>
      </w:r>
      <w:r>
        <w:rPr>
          <w:rFonts w:hint="default"/>
        </w:rPr>
        <w:t xml:space="preserve"> Study Design and Rationale</w:t>
      </w:r>
      <w:bookmarkEnd w:id="64"/>
      <w:bookmarkEnd w:id="65"/>
    </w:p>
    <w:p w14:paraId="2DF61C93">
      <w:pPr>
        <w:spacing w:line="360" w:lineRule="auto"/>
        <w:jc w:val="both"/>
        <w:rPr>
          <w:rFonts w:ascii="Arial" w:hAnsi="Arial" w:cs="Arial"/>
          <w:sz w:val="22"/>
          <w:szCs w:val="22"/>
        </w:rPr>
      </w:pPr>
      <w:r>
        <w:rPr>
          <w:rFonts w:ascii="Arial" w:hAnsi="Arial" w:eastAsia="SimSun" w:cs="Arial"/>
          <w:sz w:val="22"/>
          <w:szCs w:val="22"/>
          <w:lang w:bidi="ar"/>
        </w:rPr>
        <w:t>A systematic review was selected as the methodological foundation for this study in order to offer the most comprehensive, evidence-based synthesis possible of psychological challenges, interventions, and outcomes experienced by breast cancer survivors in the UK. Unlike traditional narrative reviews, systematic reviews utilize explicit and replicable procedures, including standardized literature searches, rigorous eligibility criteria, structured data extraction, and transparent synthesis methods, all of which are designed to minimize bias and enhance reproducibility of findings (PRISMA, 2020). By adhering to these rigorous steps, the review not only answers well-defined research questions but also facilitates the integration of evidence from diverse primary studies—spanning randomized trials, cohort studies, and qualitative research—thereby generating nuanced insights that can shape clinical practice, influence policy development, and inform future research agendas (Kemp et al., 2022).</w:t>
      </w:r>
      <w:r>
        <w:fldChar w:fldCharType="begin"/>
      </w:r>
      <w:r>
        <w:instrText xml:space="preserve"> HYPERLINK "https://pmc.ncbi.nlm.nih.gov/articles/PMC9242404/" \t "https://www.perplexity.ai/search/_blank" </w:instrText>
      </w:r>
      <w:r>
        <w:fldChar w:fldCharType="separate"/>
      </w:r>
      <w:r>
        <w:fldChar w:fldCharType="begin"/>
      </w:r>
      <w:r>
        <w:instrText xml:space="preserve"> HYPERLINK "https://pmc.ncbi.nlm.nih.gov/articles/PMC9242404/" \t "https://www.perplexity.ai/search/_blank" </w:instrText>
      </w:r>
      <w:r>
        <w:fldChar w:fldCharType="separate"/>
      </w:r>
      <w:r>
        <w:fldChar w:fldCharType="end"/>
      </w:r>
      <w:r>
        <w:fldChar w:fldCharType="end"/>
      </w:r>
      <w:r>
        <w:rPr>
          <w:rFonts w:ascii="Arial" w:hAnsi="Arial" w:eastAsia="SimSun" w:cs="Arial"/>
          <w:sz w:val="22"/>
          <w:szCs w:val="22"/>
          <w:lang w:bidi="ar"/>
        </w:rPr>
        <w:t xml:space="preserve"> </w:t>
      </w:r>
    </w:p>
    <w:p w14:paraId="41914304">
      <w:pPr>
        <w:pStyle w:val="85"/>
        <w:spacing w:line="360" w:lineRule="auto"/>
        <w:jc w:val="both"/>
        <w:rPr>
          <w:rFonts w:ascii="Arial" w:hAnsi="Arial" w:cs="Arial"/>
          <w:sz w:val="22"/>
          <w:szCs w:val="22"/>
        </w:rPr>
      </w:pPr>
      <w:r>
        <w:rPr>
          <w:rFonts w:ascii="Arial" w:hAnsi="Arial" w:cs="Arial"/>
          <w:sz w:val="22"/>
          <w:szCs w:val="22"/>
        </w:rPr>
        <w:t>This approach enabled a multi-dimensional mapping of survivorship issues, revealing patterns in psychological symptoms and the effectiveness of available interventions, while also highlighting significant gaps such as underrepresentation of domains like chronic pain, sexual dysfunction, and financial hardship (Khajoei et al., 2023). By applying a systematic review framework, the study systematically tracked the entire literature landscape, documented all reviewer decisions and rationale, and mapped outcomes using established frameworks for survivorship care quality. Not only did this methodology identify where interventions succeed or fail, it also spotlighted areas in need of further research and improved clinical guidelines, supporting the ongoing evolution of UK breast cancer survivorship care. Ultimately, such structured, evidence-based reviews ensure the findings are credible, impactful, and actionable for healthcare providers, policy-makers, and the broader research community (PRISMA, 2020).</w:t>
      </w:r>
    </w:p>
    <w:p w14:paraId="4C69CD1F">
      <w:pPr>
        <w:pStyle w:val="5"/>
        <w:keepNext w:val="0"/>
        <w:keepLines w:val="0"/>
        <w:spacing w:line="360" w:lineRule="auto"/>
        <w:jc w:val="both"/>
        <w:rPr>
          <w:rFonts w:ascii="Arial" w:hAnsi="Arial" w:cs="Arial"/>
          <w:sz w:val="22"/>
          <w:szCs w:val="22"/>
        </w:rPr>
      </w:pPr>
      <w:r>
        <w:rPr>
          <w:rFonts w:ascii="Arial" w:hAnsi="Arial" w:cs="Arial"/>
          <w:sz w:val="22"/>
          <w:szCs w:val="22"/>
        </w:rPr>
        <w:t>Research Question</w:t>
      </w:r>
    </w:p>
    <w:p w14:paraId="5A1D48D9">
      <w:pPr>
        <w:pStyle w:val="85"/>
        <w:spacing w:line="360" w:lineRule="auto"/>
        <w:jc w:val="both"/>
        <w:rPr>
          <w:rFonts w:ascii="Arial" w:hAnsi="Arial" w:eastAsia="Times New Roman" w:cs="Arial"/>
          <w:b/>
          <w:bCs/>
          <w:sz w:val="22"/>
          <w:szCs w:val="22"/>
          <w:lang w:eastAsia="en-IN"/>
        </w:rPr>
      </w:pPr>
      <w:r>
        <w:rPr>
          <w:rFonts w:ascii="Arial" w:hAnsi="Arial" w:cs="Arial"/>
          <w:sz w:val="22"/>
          <w:szCs w:val="22"/>
        </w:rPr>
        <w:t>What is the impact of breast cancer diagnosis and treatment on the mental health of women in the United Kingdom?</w:t>
      </w:r>
    </w:p>
    <w:p w14:paraId="356A7FAB">
      <w:pPr>
        <w:spacing w:before="100" w:beforeAutospacing="1" w:after="100" w:afterAutospacing="1" w:line="360" w:lineRule="auto"/>
        <w:jc w:val="both"/>
        <w:outlineLvl w:val="2"/>
        <w:rPr>
          <w:rFonts w:ascii="Arial" w:hAnsi="Arial" w:eastAsia="Times New Roman" w:cs="Arial"/>
          <w:b/>
          <w:bCs/>
          <w:sz w:val="22"/>
          <w:szCs w:val="22"/>
          <w:lang w:eastAsia="en-IN" w:bidi="gu-IN"/>
        </w:rPr>
      </w:pPr>
      <w:bookmarkStart w:id="66" w:name="_Toc7567"/>
      <w:r>
        <w:rPr>
          <w:rFonts w:ascii="Arial" w:hAnsi="Arial" w:eastAsia="Times New Roman" w:cs="Arial"/>
          <w:b/>
          <w:bCs/>
          <w:sz w:val="22"/>
          <w:szCs w:val="22"/>
          <w:lang w:eastAsia="en-IN" w:bidi="gu-IN"/>
        </w:rPr>
        <w:t>Research Aim and Objectives</w:t>
      </w:r>
      <w:bookmarkEnd w:id="66"/>
    </w:p>
    <w:p w14:paraId="43740CBB">
      <w:pPr>
        <w:spacing w:before="100" w:beforeAutospacing="1" w:after="100" w:afterAutospacing="1" w:line="360" w:lineRule="auto"/>
        <w:jc w:val="both"/>
        <w:outlineLvl w:val="2"/>
        <w:rPr>
          <w:rFonts w:ascii="Arial" w:hAnsi="Arial" w:eastAsia="Times New Roman" w:cs="Arial"/>
          <w:b/>
          <w:bCs/>
          <w:sz w:val="22"/>
          <w:szCs w:val="22"/>
          <w:lang w:eastAsia="en-IN" w:bidi="gu-IN"/>
        </w:rPr>
      </w:pPr>
      <w:bookmarkStart w:id="67" w:name="_Toc24007"/>
      <w:r>
        <w:rPr>
          <w:rFonts w:ascii="Arial" w:hAnsi="Arial" w:eastAsia="Times New Roman" w:cs="Arial"/>
          <w:b/>
          <w:bCs/>
          <w:sz w:val="22"/>
          <w:szCs w:val="22"/>
          <w:lang w:eastAsia="en-IN" w:bidi="gu-IN"/>
        </w:rPr>
        <w:t>Aim</w:t>
      </w:r>
      <w:bookmarkEnd w:id="67"/>
    </w:p>
    <w:p w14:paraId="5C9D8D4C">
      <w:pPr>
        <w:spacing w:line="360" w:lineRule="auto"/>
        <w:jc w:val="both"/>
        <w:rPr>
          <w:rFonts w:ascii="Arial" w:hAnsi="Arial" w:eastAsia="Times New Roman" w:cs="Arial"/>
          <w:sz w:val="22"/>
          <w:szCs w:val="22"/>
          <w:lang w:eastAsia="en-IN" w:bidi="gu-IN"/>
        </w:rPr>
      </w:pPr>
      <w:r>
        <w:rPr>
          <w:rFonts w:ascii="Arial" w:hAnsi="Arial" w:eastAsia="Times New Roman" w:cs="Arial"/>
          <w:sz w:val="22"/>
          <w:szCs w:val="22"/>
          <w:lang w:eastAsia="en-IN" w:bidi="gu-IN"/>
        </w:rPr>
        <w:t>This research aims to study the impacts of breast cancer diagnosis and treatment on women's mental health in the United Kingdom, with a focus on quality of life, emotional distress, anxiety, and depression.</w:t>
      </w:r>
    </w:p>
    <w:p w14:paraId="23C30DD3">
      <w:pPr>
        <w:spacing w:before="100" w:beforeAutospacing="1" w:after="100" w:afterAutospacing="1" w:line="360" w:lineRule="auto"/>
        <w:jc w:val="both"/>
        <w:outlineLvl w:val="2"/>
        <w:rPr>
          <w:rFonts w:ascii="Arial" w:hAnsi="Arial" w:eastAsia="Times New Roman" w:cs="Arial"/>
          <w:b/>
          <w:bCs/>
          <w:sz w:val="22"/>
          <w:szCs w:val="22"/>
          <w:lang w:eastAsia="en-IN" w:bidi="gu-IN"/>
        </w:rPr>
      </w:pPr>
      <w:r>
        <w:rPr>
          <w:rFonts w:ascii="Arial" w:hAnsi="Arial" w:eastAsia="Times New Roman" w:cs="Arial"/>
          <w:b/>
          <w:bCs/>
          <w:sz w:val="22"/>
          <w:szCs w:val="22"/>
          <w:lang w:eastAsia="en-IN" w:bidi="gu-IN"/>
        </w:rPr>
        <w:t xml:space="preserve"> </w:t>
      </w:r>
      <w:bookmarkStart w:id="68" w:name="_Toc5417"/>
      <w:r>
        <w:rPr>
          <w:rFonts w:ascii="Arial" w:hAnsi="Arial" w:eastAsia="Times New Roman" w:cs="Arial"/>
          <w:b/>
          <w:bCs/>
          <w:sz w:val="22"/>
          <w:szCs w:val="22"/>
          <w:lang w:eastAsia="en-IN" w:bidi="gu-IN"/>
        </w:rPr>
        <w:t>Objectives</w:t>
      </w:r>
      <w:bookmarkEnd w:id="68"/>
    </w:p>
    <w:p w14:paraId="56FC9299">
      <w:pPr>
        <w:spacing w:line="360" w:lineRule="auto"/>
        <w:jc w:val="both"/>
        <w:rPr>
          <w:rFonts w:ascii="Arial" w:hAnsi="Arial" w:eastAsia="Times New Roman" w:cs="Arial"/>
          <w:sz w:val="22"/>
          <w:szCs w:val="22"/>
          <w:lang w:eastAsia="en-IN" w:bidi="gu-IN"/>
        </w:rPr>
      </w:pPr>
      <w:r>
        <w:rPr>
          <w:rFonts w:ascii="Arial" w:hAnsi="Arial" w:eastAsia="Times New Roman" w:cs="Arial"/>
          <w:sz w:val="22"/>
          <w:szCs w:val="22"/>
          <w:lang w:eastAsia="en-IN" w:bidi="gu-IN"/>
        </w:rPr>
        <w:t>The research identified the below three objectives:</w:t>
      </w:r>
    </w:p>
    <w:p w14:paraId="7B54F7A4">
      <w:pPr>
        <w:spacing w:line="360" w:lineRule="auto"/>
        <w:jc w:val="both"/>
        <w:rPr>
          <w:rFonts w:ascii="Arial" w:hAnsi="Arial" w:cs="Arial"/>
          <w:sz w:val="22"/>
          <w:szCs w:val="22"/>
        </w:rPr>
      </w:pPr>
      <w:r>
        <w:rPr>
          <w:rFonts w:ascii="Arial" w:hAnsi="Arial" w:eastAsia="Times New Roman" w:cs="Arial"/>
          <w:sz w:val="22"/>
          <w:szCs w:val="22"/>
          <w:lang w:eastAsia="en-IN" w:bidi="gu-IN"/>
        </w:rPr>
        <w:t>1. To investigate the psychological disturbance in UK women who have been diagnosed with breast cancer.</w:t>
      </w:r>
      <w:r>
        <w:rPr>
          <w:rFonts w:ascii="Arial" w:hAnsi="Arial" w:eastAsia="Times New Roman" w:cs="Arial"/>
          <w:sz w:val="22"/>
          <w:szCs w:val="22"/>
          <w:lang w:eastAsia="en-IN" w:bidi="gu-IN"/>
        </w:rPr>
        <w:br w:type="textWrapping"/>
      </w:r>
      <w:r>
        <w:rPr>
          <w:rFonts w:ascii="Arial" w:hAnsi="Arial" w:eastAsia="Times New Roman" w:cs="Arial"/>
          <w:sz w:val="22"/>
          <w:szCs w:val="22"/>
          <w:lang w:eastAsia="en-IN" w:bidi="gu-IN"/>
        </w:rPr>
        <w:t>2. To evaluate the different forms of treatment (for example radiotherapy, chemotherapy, and mastectomy) affect mental health.</w:t>
      </w:r>
      <w:r>
        <w:rPr>
          <w:rFonts w:ascii="Arial" w:hAnsi="Arial" w:eastAsia="Times New Roman" w:cs="Arial"/>
          <w:sz w:val="22"/>
          <w:szCs w:val="22"/>
          <w:lang w:eastAsia="en-IN" w:bidi="gu-IN"/>
        </w:rPr>
        <w:br w:type="textWrapping"/>
      </w:r>
      <w:r>
        <w:rPr>
          <w:rFonts w:ascii="Arial" w:hAnsi="Arial" w:eastAsia="Times New Roman" w:cs="Arial"/>
          <w:sz w:val="22"/>
          <w:szCs w:val="22"/>
          <w:lang w:eastAsia="en-IN" w:bidi="gu-IN"/>
        </w:rPr>
        <w:t>3. To determine the elements—such as treatment results, socioeconomic condition, and social support and image which can trigger psychological discomfort.</w:t>
      </w:r>
    </w:p>
    <w:p w14:paraId="3ECB7245">
      <w:pPr>
        <w:pStyle w:val="256"/>
        <w:bidi w:val="0"/>
        <w:rPr>
          <w:rFonts w:hint="default"/>
        </w:rPr>
      </w:pPr>
      <w:bookmarkStart w:id="69" w:name="_Toc26409"/>
      <w:bookmarkStart w:id="70" w:name="_Toc26065"/>
      <w:r>
        <w:rPr>
          <w:rFonts w:hint="default"/>
        </w:rPr>
        <w:t>3.5 Eligibility Criteria</w:t>
      </w:r>
      <w:bookmarkEnd w:id="69"/>
      <w:bookmarkEnd w:id="70"/>
    </w:p>
    <w:p w14:paraId="53BB3C53">
      <w:pPr>
        <w:pStyle w:val="85"/>
        <w:spacing w:line="360" w:lineRule="auto"/>
        <w:jc w:val="both"/>
        <w:rPr>
          <w:rFonts w:ascii="Arial" w:hAnsi="Arial" w:cs="Arial"/>
          <w:sz w:val="22"/>
          <w:szCs w:val="22"/>
        </w:rPr>
      </w:pPr>
      <w:r>
        <w:rPr>
          <w:rFonts w:ascii="Arial" w:hAnsi="Arial" w:cs="Arial"/>
          <w:sz w:val="22"/>
          <w:szCs w:val="22"/>
        </w:rPr>
        <w:t>Clear inclusion and exclusion criteria were developed to ensure relevant and high-quality evidence was reviewed:</w:t>
      </w:r>
    </w:p>
    <w:p w14:paraId="7F92D168">
      <w:pPr>
        <w:pStyle w:val="85"/>
        <w:spacing w:line="360" w:lineRule="auto"/>
        <w:jc w:val="both"/>
        <w:rPr>
          <w:rFonts w:ascii="Arial" w:hAnsi="Arial" w:cs="Arial"/>
          <w:sz w:val="22"/>
          <w:szCs w:val="22"/>
        </w:rPr>
      </w:pPr>
      <w:r>
        <w:rPr>
          <w:rStyle w:val="92"/>
          <w:rFonts w:ascii="Arial" w:hAnsi="Arial" w:cs="Arial"/>
          <w:sz w:val="22"/>
          <w:szCs w:val="22"/>
        </w:rPr>
        <w:t>Population:</w:t>
      </w:r>
      <w:r>
        <w:rPr>
          <w:rFonts w:ascii="Arial" w:hAnsi="Arial" w:cs="Arial"/>
          <w:sz w:val="22"/>
          <w:szCs w:val="22"/>
        </w:rPr>
        <w:t xml:space="preserve"> The review focused on women aged 18 years or older who had been diagnosed with primary breast cancer and were residents of the United Kingdom. This inclusion criterion ensured that the population studied was representative of adult breast cancer survivors within the UK, where healthcare systems, cultural factors, and survivorship needs might differ from other countries. To broaden the evidence base while maintaining relevance, studies that included </w:t>
      </w:r>
      <w:r>
        <w:rPr>
          <w:rFonts w:ascii="Arial" w:hAnsi="Arial" w:cs="Arial"/>
          <w:sz w:val="22"/>
          <w:szCs w:val="22"/>
          <w:lang w:val="en-IN"/>
        </w:rPr>
        <w:t xml:space="preserve">only </w:t>
      </w:r>
      <w:r>
        <w:rPr>
          <w:rFonts w:ascii="Arial" w:hAnsi="Arial" w:cs="Arial"/>
          <w:sz w:val="22"/>
          <w:szCs w:val="22"/>
        </w:rPr>
        <w:t>women or other cancer types—were eligible only if the data specific to breast cancer survivors could be extracted separately. This approach ensured that findings would accurately reflect the targeted survivor group without confounding from other populations, thereby increasing the applicability of results to UK breast cancer survivors.</w:t>
      </w:r>
    </w:p>
    <w:p w14:paraId="5BA53071">
      <w:pPr>
        <w:pStyle w:val="85"/>
        <w:spacing w:line="360" w:lineRule="auto"/>
        <w:jc w:val="both"/>
        <w:rPr>
          <w:rFonts w:ascii="Arial" w:hAnsi="Arial" w:cs="Arial"/>
          <w:sz w:val="22"/>
          <w:szCs w:val="22"/>
        </w:rPr>
      </w:pPr>
      <w:r>
        <w:rPr>
          <w:rStyle w:val="92"/>
          <w:rFonts w:ascii="Arial" w:hAnsi="Arial" w:cs="Arial"/>
          <w:sz w:val="22"/>
          <w:szCs w:val="22"/>
        </w:rPr>
        <w:t>Interventions:</w:t>
      </w:r>
      <w:r>
        <w:rPr>
          <w:rFonts w:ascii="Arial" w:hAnsi="Arial" w:cs="Arial"/>
          <w:sz w:val="22"/>
          <w:szCs w:val="22"/>
        </w:rPr>
        <w:t xml:space="preserve"> Studies were included if they investigated psychological, supportive, or psychosocial interventions intended to address the mental health and well-being of breast cancer survivors. This encompassed a wide spectrum of interventions, ranging from formal therapy modalities like cognitive-behavioral therapy and counseling to supportive care measures such as peer support groups and educational programs. Observational studies examining the psychological impacts of breast cancer, without an active intervention, were also considered. Including such studies allowed for a comprehensive understanding of the psychological challenges faced by survivors as well as the effectiveness of various supportive approaches.</w:t>
      </w:r>
    </w:p>
    <w:p w14:paraId="3CC28238">
      <w:pPr>
        <w:pStyle w:val="85"/>
        <w:spacing w:line="360" w:lineRule="auto"/>
        <w:jc w:val="both"/>
        <w:rPr>
          <w:rFonts w:ascii="Arial" w:hAnsi="Arial" w:cs="Arial"/>
          <w:sz w:val="22"/>
          <w:szCs w:val="22"/>
        </w:rPr>
      </w:pPr>
      <w:r>
        <w:rPr>
          <w:rStyle w:val="92"/>
          <w:rFonts w:ascii="Arial" w:hAnsi="Arial" w:cs="Arial"/>
          <w:sz w:val="22"/>
          <w:szCs w:val="22"/>
        </w:rPr>
        <w:t>Outcomes:</w:t>
      </w:r>
      <w:r>
        <w:rPr>
          <w:rFonts w:ascii="Arial" w:hAnsi="Arial" w:cs="Arial"/>
          <w:sz w:val="22"/>
          <w:szCs w:val="22"/>
        </w:rPr>
        <w:t xml:space="preserve"> The review considered a variety of psychological and quality of life outcomes known to affect breast cancer survivors. These included clinical and subclinical symptoms of depression, anxiety, post-traumatic stress disorder (PTSD), and adjustment disorders. Additionally, patient-reported outcomes relating to quality of life—such as fatigue, body image issues, sexual dysfunction, and cognitive symptoms often grouped under "chemo brain"—were also included. This broad outcome scope enabled a holistic examination of both mental health disorders and related psychosocial sequelae that impact daily functioning and overall well-being in survivorship.</w:t>
      </w:r>
    </w:p>
    <w:p w14:paraId="28B75B8F">
      <w:pPr>
        <w:pStyle w:val="85"/>
        <w:spacing w:line="360" w:lineRule="auto"/>
        <w:jc w:val="both"/>
        <w:rPr>
          <w:rFonts w:ascii="Arial" w:hAnsi="Arial" w:cs="Arial"/>
          <w:sz w:val="22"/>
          <w:szCs w:val="22"/>
        </w:rPr>
      </w:pPr>
      <w:r>
        <w:rPr>
          <w:rStyle w:val="92"/>
          <w:rFonts w:ascii="Arial" w:hAnsi="Arial" w:cs="Arial"/>
          <w:sz w:val="22"/>
          <w:szCs w:val="22"/>
        </w:rPr>
        <w:t>Study Design:</w:t>
      </w:r>
      <w:r>
        <w:rPr>
          <w:rFonts w:ascii="Arial" w:hAnsi="Arial" w:cs="Arial"/>
          <w:sz w:val="22"/>
          <w:szCs w:val="22"/>
        </w:rPr>
        <w:t xml:space="preserve"> To capture the full range of evidence, a broad range of study designs was eligible. This included qualitative research that provides rich, in-depth insights into survivor experiences; quantitative studies such as randomized controlled trials (RCTs) that test intervention effects; cohort and case-control observational studies that explore associations and risk factors; cross-sectional studies that capture prevalence and correlates; and mixed-methods research that combines qualitative and quantitative approaches. Adopting this inclusive design criterion enhanced the capacity to triangulate findings, strengthen evidence synthesis, and provide actionable recommendations.</w:t>
      </w:r>
    </w:p>
    <w:p w14:paraId="23D357D3">
      <w:pPr>
        <w:pStyle w:val="85"/>
        <w:spacing w:line="360" w:lineRule="auto"/>
        <w:jc w:val="both"/>
        <w:rPr>
          <w:rFonts w:ascii="Arial" w:hAnsi="Arial" w:cs="Arial"/>
          <w:sz w:val="22"/>
          <w:szCs w:val="22"/>
        </w:rPr>
      </w:pPr>
      <w:r>
        <w:rPr>
          <w:rStyle w:val="92"/>
          <w:rFonts w:ascii="Arial" w:hAnsi="Arial" w:cs="Arial"/>
          <w:sz w:val="22"/>
          <w:szCs w:val="22"/>
        </w:rPr>
        <w:t>Language and Date:</w:t>
      </w:r>
      <w:r>
        <w:rPr>
          <w:rFonts w:ascii="Arial" w:hAnsi="Arial" w:cs="Arial"/>
          <w:sz w:val="22"/>
          <w:szCs w:val="22"/>
        </w:rPr>
        <w:t xml:space="preserve"> Only peer-reviewed articles published in English were included to ensure accessibility and consistency in quality appraisal. The publication date range was restricted to studies published between January 2015 and 2025. This time frame was chosen to reflect contemporary breast cancer treatment modalities, psychosocial care advancements, and healthcare contexts relevant to current UK practice. Limiting to recent literature helped ensure the review findings would be applicable to modern survivorship care.</w:t>
      </w:r>
    </w:p>
    <w:p w14:paraId="3CBE19E3">
      <w:pPr>
        <w:pStyle w:val="85"/>
        <w:spacing w:line="360" w:lineRule="auto"/>
        <w:jc w:val="both"/>
        <w:rPr>
          <w:rFonts w:ascii="Arial" w:hAnsi="Arial" w:cs="Arial"/>
          <w:sz w:val="22"/>
          <w:szCs w:val="22"/>
        </w:rPr>
      </w:pPr>
      <w:r>
        <w:rPr>
          <w:rStyle w:val="92"/>
          <w:rFonts w:ascii="Arial" w:hAnsi="Arial" w:cs="Arial"/>
          <w:sz w:val="22"/>
          <w:szCs w:val="22"/>
        </w:rPr>
        <w:t>Setting:</w:t>
      </w:r>
      <w:r>
        <w:rPr>
          <w:rFonts w:ascii="Arial" w:hAnsi="Arial" w:cs="Arial"/>
          <w:sz w:val="22"/>
          <w:szCs w:val="22"/>
        </w:rPr>
        <w:t xml:space="preserve"> Included studies were required to be conducted within the UK or to present subgroup data that distinctly represented the UK population. This geographical focus was critical to ensure contextual relevance, given the variations in healthcare systems, social determinants, and survivor support frameworks that differ worldwide. Restricting to UK-specific data strengthens the applicability of the findings for informing local clinical guidelines, policy, and service development.</w:t>
      </w:r>
    </w:p>
    <w:p w14:paraId="40D05199">
      <w:pPr>
        <w:pStyle w:val="85"/>
        <w:spacing w:line="360" w:lineRule="auto"/>
        <w:jc w:val="both"/>
        <w:rPr>
          <w:rFonts w:ascii="Arial" w:hAnsi="Arial" w:cs="Arial"/>
          <w:sz w:val="22"/>
          <w:szCs w:val="22"/>
        </w:rPr>
      </w:pPr>
      <w:r>
        <w:rPr>
          <w:rStyle w:val="92"/>
          <w:rFonts w:ascii="Arial" w:hAnsi="Arial" w:cs="Arial"/>
          <w:sz w:val="22"/>
          <w:szCs w:val="22"/>
        </w:rPr>
        <w:t>Exclusion Criteria:</w:t>
      </w:r>
      <w:r>
        <w:rPr>
          <w:rFonts w:ascii="Arial" w:hAnsi="Arial" w:cs="Arial"/>
          <w:sz w:val="22"/>
          <w:szCs w:val="22"/>
        </w:rPr>
        <w:t xml:space="preserve"> Studies were excluded if their focus fell solely on cancers other than breast cancer, reflecting the need for a targeted investigation of survivorship issues unique to breast cancer patients. Research involving male breast cancer survivors and paediatric populations was also excluded to maintain homogeneity in the adult female survivor population under study. Grey literature, such as theses, reports, or unpublished data, was excluded to prioritize peer-reviewed, scientifically vetted evidence that meets higher methodological standards. Conference abstracts without full peer-reviewed manuscripts were omitted due to insufficient detail and review rigor. Similarly, non-peer-reviewed sources—such as opinion pieces, editorials, or narrative reviews—were excluded as they do not provide original empirical data or robust evidence for synthesis.</w:t>
      </w:r>
    </w:p>
    <w:p w14:paraId="3D261CBA">
      <w:pPr>
        <w:pStyle w:val="85"/>
        <w:spacing w:line="360" w:lineRule="auto"/>
        <w:jc w:val="both"/>
        <w:rPr>
          <w:rFonts w:ascii="Arial" w:hAnsi="Arial" w:cs="Arial"/>
          <w:sz w:val="22"/>
          <w:szCs w:val="22"/>
        </w:rPr>
      </w:pPr>
      <w:r>
        <w:rPr>
          <w:rFonts w:ascii="Arial" w:hAnsi="Arial" w:cs="Arial"/>
          <w:sz w:val="22"/>
          <w:szCs w:val="22"/>
        </w:rPr>
        <w:t>These detailed inclusion and exclusion criteria closely align with best practices recommended in the PRISMA 2020 statement to minimize bias, improve reproducibility, and enhance the relevance and credibility of systematic reviews. Explicitly defining these criteria also facilitates clear and consistent study screening and selection, providing a transparent methodological foundation for the review process. This rigor ultimately supports the validity of the review’s conclusions and the potential impact of its recommendations on breast cancer survivorship care in the UK.</w:t>
      </w:r>
    </w:p>
    <w:p w14:paraId="2DA99D24">
      <w:pPr>
        <w:pStyle w:val="256"/>
        <w:bidi w:val="0"/>
        <w:rPr>
          <w:rFonts w:hint="default"/>
        </w:rPr>
      </w:pPr>
      <w:bookmarkStart w:id="71" w:name="_Toc16443"/>
      <w:bookmarkStart w:id="72" w:name="_Toc12957"/>
      <w:r>
        <w:rPr>
          <w:rFonts w:hint="default"/>
        </w:rPr>
        <w:t>3.6 Information Sources and Search Strategy</w:t>
      </w:r>
      <w:bookmarkEnd w:id="71"/>
      <w:bookmarkEnd w:id="72"/>
    </w:p>
    <w:p w14:paraId="59CDF4E3">
      <w:pPr>
        <w:pStyle w:val="85"/>
        <w:spacing w:line="360" w:lineRule="auto"/>
        <w:jc w:val="both"/>
        <w:rPr>
          <w:rFonts w:ascii="Arial" w:hAnsi="Arial" w:cs="Arial"/>
          <w:sz w:val="22"/>
          <w:szCs w:val="22"/>
        </w:rPr>
      </w:pPr>
      <w:r>
        <w:rPr>
          <w:rFonts w:ascii="Arial" w:hAnsi="Arial" w:cs="Arial"/>
          <w:sz w:val="22"/>
          <w:szCs w:val="22"/>
        </w:rPr>
        <w:t>A comprehensive, librarian-verified electronic search was conducted in the following databases: MEDLINE/PubMed, EMBASE, PsycINFO, CINAHL, Web of Science, Scopus, and Cochrane Library. Supplementary hand-searching included key journals, reference lists, and relevant UK cancer and health services websites.</w:t>
      </w:r>
    </w:p>
    <w:p w14:paraId="1B4E065E">
      <w:pPr>
        <w:pStyle w:val="257"/>
        <w:bidi w:val="0"/>
        <w:rPr>
          <w:rFonts w:hint="default"/>
        </w:rPr>
      </w:pPr>
      <w:bookmarkStart w:id="73" w:name="_Toc31775"/>
      <w:bookmarkStart w:id="74" w:name="_Toc26209"/>
      <w:r>
        <w:rPr>
          <w:rFonts w:hint="default"/>
        </w:rPr>
        <w:t>3.6.1 Search Terms</w:t>
      </w:r>
      <w:bookmarkEnd w:id="73"/>
      <w:bookmarkEnd w:id="74"/>
    </w:p>
    <w:p w14:paraId="13F497F1">
      <w:pPr>
        <w:pStyle w:val="85"/>
        <w:spacing w:line="360" w:lineRule="auto"/>
        <w:jc w:val="both"/>
        <w:rPr>
          <w:rFonts w:ascii="Arial" w:hAnsi="Arial" w:cs="Arial"/>
          <w:sz w:val="22"/>
          <w:szCs w:val="22"/>
        </w:rPr>
      </w:pPr>
      <w:r>
        <w:rPr>
          <w:rFonts w:ascii="Arial" w:hAnsi="Arial" w:cs="Arial"/>
          <w:sz w:val="22"/>
          <w:szCs w:val="22"/>
        </w:rPr>
        <w:t>Searches utilized controlled vocabulary (e.g., MeSH) and free-text terms for "breast cancer", "psychological", "mental health", "depression", "anxiety", "quality of life", "suicide", "fatigue", "sexual function", "cognition", "United Kingdom", and "survivorship". Boolean operators combined terms to capture the widest set of relevant studies. Example search strategy (MEDLINE):</w:t>
      </w:r>
    </w:p>
    <w:p w14:paraId="524C015C">
      <w:pPr>
        <w:spacing w:line="360" w:lineRule="auto"/>
        <w:jc w:val="both"/>
        <w:rPr>
          <w:rFonts w:ascii="Arial" w:hAnsi="Arial" w:cs="Arial"/>
          <w:b/>
          <w:bCs/>
          <w:sz w:val="22"/>
          <w:szCs w:val="22"/>
        </w:rPr>
      </w:pPr>
      <w:r>
        <w:rPr>
          <w:rFonts w:ascii="Arial" w:hAnsi="Arial" w:eastAsia="SimSun" w:cs="Arial"/>
          <w:b/>
          <w:bCs/>
          <w:sz w:val="22"/>
          <w:szCs w:val="22"/>
          <w:lang w:bidi="ar"/>
        </w:rPr>
        <w:t>text</w:t>
      </w:r>
    </w:p>
    <w:p w14:paraId="6F5B15C9">
      <w:pPr>
        <w:spacing w:line="360" w:lineRule="auto"/>
        <w:jc w:val="both"/>
        <w:rPr>
          <w:rFonts w:ascii="Arial" w:hAnsi="Arial" w:cs="Arial"/>
          <w:color w:val="181717" w:themeColor="background2" w:themeShade="1A"/>
          <w:sz w:val="22"/>
          <w:szCs w:val="22"/>
        </w:rPr>
      </w:pPr>
      <w:r>
        <w:rPr>
          <w:rStyle w:val="44"/>
          <w:rFonts w:ascii="Arial" w:hAnsi="Arial" w:eastAsia="SimSun" w:cs="Arial"/>
          <w:color w:val="181717" w:themeColor="background2" w:themeShade="1A"/>
          <w:sz w:val="22"/>
          <w:szCs w:val="22"/>
          <w:lang w:bidi="ar"/>
        </w:rPr>
        <w:t>(breast neoplasms[MeSH Terms] OR "breast cancer" OR "mammary carcinoma") AND(mental health OR psychological OR depression OR anxiety OR suicide OR quality of life OR fatigue OR cognition OR "sexual dysfunction") AND("United Kingdom" OR UK OR England OR Scotland OR Wales OR "Northern Ireland")</w:t>
      </w:r>
    </w:p>
    <w:p w14:paraId="39024863">
      <w:pPr>
        <w:pStyle w:val="85"/>
        <w:spacing w:line="360" w:lineRule="auto"/>
        <w:jc w:val="both"/>
        <w:rPr>
          <w:rFonts w:ascii="Arial" w:hAnsi="Arial" w:cs="Arial"/>
          <w:sz w:val="22"/>
          <w:szCs w:val="22"/>
        </w:rPr>
      </w:pPr>
      <w:r>
        <w:rPr>
          <w:rFonts w:ascii="Arial" w:hAnsi="Arial" w:cs="Arial"/>
          <w:sz w:val="22"/>
          <w:szCs w:val="22"/>
        </w:rPr>
        <w:t>Grey literature was intentionally excluded to focus on peer-reviewed empirical work relevant for clinical and policy contexts.</w:t>
      </w:r>
    </w:p>
    <w:p w14:paraId="1EDEDFF0">
      <w:pPr>
        <w:pStyle w:val="256"/>
        <w:bidi w:val="0"/>
        <w:rPr>
          <w:rFonts w:hint="default"/>
        </w:rPr>
      </w:pPr>
      <w:bookmarkStart w:id="75" w:name="_Toc8602"/>
      <w:bookmarkStart w:id="76" w:name="_Toc14670"/>
      <w:r>
        <w:rPr>
          <w:rFonts w:hint="default"/>
        </w:rPr>
        <w:t>3.7 Study Selection Process</w:t>
      </w:r>
      <w:bookmarkEnd w:id="75"/>
      <w:bookmarkEnd w:id="76"/>
    </w:p>
    <w:p w14:paraId="54CFADB9">
      <w:pPr>
        <w:pStyle w:val="85"/>
        <w:spacing w:line="360" w:lineRule="auto"/>
        <w:jc w:val="both"/>
        <w:rPr>
          <w:rFonts w:ascii="Arial" w:hAnsi="Arial" w:cs="Arial"/>
          <w:sz w:val="22"/>
          <w:szCs w:val="22"/>
        </w:rPr>
      </w:pPr>
      <w:r>
        <w:rPr>
          <w:rFonts w:ascii="Arial" w:hAnsi="Arial" w:cs="Arial"/>
          <w:sz w:val="22"/>
          <w:szCs w:val="22"/>
        </w:rPr>
        <w:t>The study selection process was carefully structured into two distinct phases to ensure a thorough and systematic assessment of eligible studies.</w:t>
      </w:r>
    </w:p>
    <w:p w14:paraId="4D36C4D2">
      <w:pPr>
        <w:pStyle w:val="85"/>
        <w:spacing w:line="360" w:lineRule="auto"/>
        <w:jc w:val="both"/>
        <w:rPr>
          <w:rFonts w:ascii="Arial" w:hAnsi="Arial" w:cs="Arial"/>
          <w:sz w:val="22"/>
          <w:szCs w:val="22"/>
        </w:rPr>
      </w:pPr>
      <w:r>
        <w:rPr>
          <w:rFonts w:ascii="Arial" w:hAnsi="Arial" w:cs="Arial"/>
          <w:sz w:val="22"/>
          <w:szCs w:val="22"/>
        </w:rPr>
        <w:t xml:space="preserve">In the </w:t>
      </w:r>
      <w:r>
        <w:rPr>
          <w:rStyle w:val="92"/>
          <w:rFonts w:ascii="Arial" w:hAnsi="Arial" w:cs="Arial"/>
          <w:sz w:val="22"/>
          <w:szCs w:val="22"/>
        </w:rPr>
        <w:t>first phase</w:t>
      </w:r>
      <w:r>
        <w:rPr>
          <w:rFonts w:ascii="Arial" w:hAnsi="Arial" w:cs="Arial"/>
          <w:sz w:val="22"/>
          <w:szCs w:val="22"/>
        </w:rPr>
        <w:t>, an initial screening of titles and abstracts was performed. This step involved independently reviewing the title and abstract of every record retrieved from the database searches to assess whether the study appeared to meet the pre-defined eligibility criteria. The goal during this phase was to rapidly exclude clearly irrelevant studies, such as those unrelated to breast cancer, studies focused on different populations, or studies that did not address psychological outcomes or interventions. This screening was conducted systematically to maximize efficiency while maintaining sensitivity, ensuring that potentially relevant papers were not prematurely excluded. Multiple reviewers independently screened the titles and abstracts to reduce subjective bias and increase reliability. Records were classified as “include,” “exclude,” or “unsure,” with those marked as “include” or “unsure” moving to the next phase. This primary filtering step is critical because the vast majority of initial search results are typically excluded here due to topic mismatch or not meeting basic inclusion criteria.</w:t>
      </w:r>
    </w:p>
    <w:p w14:paraId="4A9D5C3E">
      <w:pPr>
        <w:pStyle w:val="85"/>
        <w:spacing w:line="360" w:lineRule="auto"/>
        <w:jc w:val="both"/>
        <w:rPr>
          <w:rFonts w:ascii="Arial" w:hAnsi="Arial" w:cs="Arial"/>
          <w:sz w:val="22"/>
          <w:szCs w:val="22"/>
        </w:rPr>
      </w:pPr>
      <w:r>
        <w:rPr>
          <w:rFonts w:ascii="Arial" w:hAnsi="Arial" w:cs="Arial"/>
          <w:sz w:val="22"/>
          <w:szCs w:val="22"/>
        </w:rPr>
        <w:t xml:space="preserve">The </w:t>
      </w:r>
      <w:r>
        <w:rPr>
          <w:rStyle w:val="92"/>
          <w:rFonts w:ascii="Arial" w:hAnsi="Arial" w:cs="Arial"/>
          <w:sz w:val="22"/>
          <w:szCs w:val="22"/>
        </w:rPr>
        <w:t>second phase</w:t>
      </w:r>
      <w:r>
        <w:rPr>
          <w:rFonts w:ascii="Arial" w:hAnsi="Arial" w:cs="Arial"/>
          <w:sz w:val="22"/>
          <w:szCs w:val="22"/>
        </w:rPr>
        <w:t xml:space="preserve"> comprised a full-text review of all studies that passed the initial screening. During this more detailed examination, reviewers obtained the complete articles and evaluated them against the eligibility criteria with greater depth and precision. This included verification of population characteristics, intervention details, study design, outcomes reported, and setting to confirm suitability.</w:t>
      </w:r>
    </w:p>
    <w:p w14:paraId="62B775F9">
      <w:pPr>
        <w:pStyle w:val="85"/>
        <w:spacing w:line="360" w:lineRule="auto"/>
        <w:jc w:val="both"/>
        <w:rPr>
          <w:rFonts w:ascii="Arial" w:hAnsi="Arial" w:cs="Arial"/>
          <w:sz w:val="22"/>
          <w:szCs w:val="22"/>
        </w:rPr>
      </w:pPr>
      <w:r>
        <w:rPr>
          <w:rFonts w:ascii="Arial" w:hAnsi="Arial" w:cs="Arial"/>
          <w:sz w:val="22"/>
          <w:szCs w:val="22"/>
        </w:rPr>
        <w:t xml:space="preserve">Reviewers applied rigorous judgment following the systematic review protocol, resolving ambiguities by consensus or consultation with a supervisor in cases of disagreement. </w:t>
      </w:r>
    </w:p>
    <w:p w14:paraId="0EFDEEF7">
      <w:pPr>
        <w:pStyle w:val="85"/>
        <w:spacing w:line="360" w:lineRule="auto"/>
        <w:jc w:val="both"/>
        <w:rPr>
          <w:rFonts w:ascii="Arial" w:hAnsi="Arial" w:cs="Arial"/>
          <w:sz w:val="22"/>
          <w:szCs w:val="22"/>
        </w:rPr>
      </w:pPr>
      <w:r>
        <w:rPr>
          <w:sz w:val="22"/>
        </w:rPr>
        <mc:AlternateContent>
          <mc:Choice Requires="wps">
            <w:drawing>
              <wp:anchor distT="0" distB="0" distL="114300" distR="114300" simplePos="0" relativeHeight="251675648" behindDoc="0" locked="0" layoutInCell="1" allowOverlap="1">
                <wp:simplePos x="0" y="0"/>
                <wp:positionH relativeFrom="column">
                  <wp:posOffset>41275</wp:posOffset>
                </wp:positionH>
                <wp:positionV relativeFrom="paragraph">
                  <wp:posOffset>151765</wp:posOffset>
                </wp:positionV>
                <wp:extent cx="5412105" cy="6677025"/>
                <wp:effectExtent l="6350" t="6350" r="6985" b="6985"/>
                <wp:wrapNone/>
                <wp:docPr id="3" name="Rectangles 3"/>
                <wp:cNvGraphicFramePr/>
                <a:graphic xmlns:a="http://schemas.openxmlformats.org/drawingml/2006/main">
                  <a:graphicData uri="http://schemas.microsoft.com/office/word/2010/wordprocessingShape">
                    <wps:wsp>
                      <wps:cNvSpPr/>
                      <wps:spPr>
                        <a:xfrm>
                          <a:off x="1184275" y="2626360"/>
                          <a:ext cx="5412105" cy="6677025"/>
                        </a:xfrm>
                        <a:prstGeom prst="rect">
                          <a:avLst/>
                        </a:prstGeom>
                      </wps:spPr>
                      <wps:style>
                        <a:lnRef idx="2">
                          <a:schemeClr val="accent1"/>
                        </a:lnRef>
                        <a:fillRef idx="0">
                          <a:srgbClr val="FFFFFF"/>
                        </a:fillRef>
                        <a:effectRef idx="0">
                          <a:srgbClr val="FFFFFF"/>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25pt;margin-top:11.95pt;height:525.75pt;width:426.15pt;z-index:251675648;v-text-anchor:middle;mso-width-relative:page;mso-height-relative:page;" filled="f" stroked="t" coordsize="21600,21600" o:gfxdata="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">
                <v:fill on="f" focussize="0,0"/>
                <v:stroke weight="1pt" color="#5B9BD5 [3204]" miterlimit="8" joinstyle="miter"/>
                <v:imagedata o:title=""/>
                <o:lock v:ext="edit" aspectratio="f"/>
              </v:rect>
            </w:pict>
          </mc:Fallback>
        </mc:AlternateContent>
      </w:r>
      <w:r>
        <w:rPr>
          <w:rFonts w:ascii="Arial" w:hAnsi="Arial" w:cs="Arial"/>
          <w:sz w:val="22"/>
          <w:szCs w:val="22"/>
        </w:rPr>
        <mc:AlternateContent>
          <mc:Choice Requires="wps">
            <w:drawing>
              <wp:anchor distT="0" distB="0" distL="114300" distR="114300" simplePos="0" relativeHeight="251659264" behindDoc="0" locked="0" layoutInCell="1" allowOverlap="1">
                <wp:simplePos x="0" y="0"/>
                <wp:positionH relativeFrom="page">
                  <wp:posOffset>2241550</wp:posOffset>
                </wp:positionH>
                <wp:positionV relativeFrom="page">
                  <wp:posOffset>2818130</wp:posOffset>
                </wp:positionV>
                <wp:extent cx="3311525" cy="228600"/>
                <wp:effectExtent l="0" t="0" r="22860" b="19050"/>
                <wp:wrapNone/>
                <wp:docPr id="21" name="Rectangle 21"/>
                <wp:cNvGraphicFramePr/>
                <a:graphic xmlns:a="http://schemas.openxmlformats.org/drawingml/2006/main">
                  <a:graphicData uri="http://schemas.microsoft.com/office/word/2010/wordprocessingShape">
                    <wps:wsp>
                      <wps:cNvSpPr/>
                      <wps:spPr>
                        <a:xfrm>
                          <a:off x="0" y="0"/>
                          <a:ext cx="3311236" cy="228600"/>
                        </a:xfrm>
                        <a:prstGeom prst="rect">
                          <a:avLst/>
                        </a:prstGeom>
                        <a:solidFill>
                          <a:schemeClr val="tx2">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DA52700">
                            <w:pPr>
                              <w:jc w:val="center"/>
                              <w:rPr>
                                <w:lang w:val="en-IN"/>
                              </w:rPr>
                            </w:pPr>
                            <w:r>
                              <w:rPr>
                                <w:lang w:val="en-IN"/>
                              </w:rPr>
                              <w:t>Identification of articles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1" o:spid="_x0000_s1026" o:spt="1" style="position:absolute;left:0pt;margin-left:176.5pt;margin-top:221.9pt;height:18pt;width:260.75pt;mso-position-horizontal-relative:page;mso-position-vertical-relative:page;z-index:251659264;v-text-anchor:middle;mso-width-relative:page;mso-height-relative:page;" fillcolor="#D6DCE5 [671]" filled="t" stroked="t" coordsize="21600,21600" o:gfxdata="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">
                <v:fill on="t" focussize="0,0"/>
                <v:stroke weight="1pt" color="#000000 [3213]" miterlimit="8" joinstyle="miter"/>
                <v:imagedata o:title=""/>
                <o:lock v:ext="edit" aspectratio="f"/>
                <v:textbox>
                  <w:txbxContent>
                    <w:p w14:paraId="3DA52700">
                      <w:pPr>
                        <w:jc w:val="center"/>
                        <w:rPr>
                          <w:lang w:val="en-IN"/>
                        </w:rPr>
                      </w:pPr>
                      <w:r>
                        <w:rPr>
                          <w:lang w:val="en-IN"/>
                        </w:rPr>
                        <w:t>Identification of articles</w:t>
                      </w:r>
                    </w:p>
                  </w:txbxContent>
                </v:textbox>
              </v:rect>
            </w:pict>
          </mc:Fallback>
        </mc:AlternateContent>
      </w:r>
    </w:p>
    <w:p w14:paraId="5565686B">
      <w:pPr>
        <w:pStyle w:val="85"/>
        <w:spacing w:line="360" w:lineRule="auto"/>
        <w:jc w:val="both"/>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61312" behindDoc="0" locked="0" layoutInCell="1" allowOverlap="1">
                <wp:simplePos x="0" y="0"/>
                <wp:positionH relativeFrom="page">
                  <wp:posOffset>3867785</wp:posOffset>
                </wp:positionH>
                <wp:positionV relativeFrom="page">
                  <wp:posOffset>3383280</wp:posOffset>
                </wp:positionV>
                <wp:extent cx="2292985" cy="713105"/>
                <wp:effectExtent l="0" t="0" r="12700" b="10795"/>
                <wp:wrapNone/>
                <wp:docPr id="23" name="Rectangle 23"/>
                <wp:cNvGraphicFramePr/>
                <a:graphic xmlns:a="http://schemas.openxmlformats.org/drawingml/2006/main">
                  <a:graphicData uri="http://schemas.microsoft.com/office/word/2010/wordprocessingShape">
                    <wps:wsp>
                      <wps:cNvSpPr/>
                      <wps:spPr>
                        <a:xfrm>
                          <a:off x="0" y="0"/>
                          <a:ext cx="2292928" cy="713105"/>
                        </a:xfrm>
                        <a:prstGeom prst="rect">
                          <a:avLst/>
                        </a:prstGeom>
                      </wps:spPr>
                      <wps:style>
                        <a:lnRef idx="2">
                          <a:schemeClr val="accent3"/>
                        </a:lnRef>
                        <a:fillRef idx="1">
                          <a:schemeClr val="lt1"/>
                        </a:fillRef>
                        <a:effectRef idx="0">
                          <a:schemeClr val="accent3"/>
                        </a:effectRef>
                        <a:fontRef idx="minor">
                          <a:schemeClr val="dk1"/>
                        </a:fontRef>
                      </wps:style>
                      <wps:txbx>
                        <w:txbxContent>
                          <w:p w14:paraId="04D294CB">
                            <w:pPr>
                              <w:rPr>
                                <w:rFonts w:ascii="Arial" w:hAnsi="Arial" w:eastAsia="DengXian" w:cs="Arial"/>
                                <w:color w:val="000000"/>
                                <w:sz w:val="18"/>
                                <w:szCs w:val="18"/>
                                <w:lang w:val="en-IN" w:eastAsia="en-IN" w:bidi="gu-IN"/>
                              </w:rPr>
                            </w:pPr>
                            <w:r>
                              <w:rPr>
                                <w:rFonts w:ascii="Arial" w:hAnsi="Arial" w:cs="Arial"/>
                                <w:color w:val="000000"/>
                                <w:sz w:val="18"/>
                                <w:szCs w:val="18"/>
                              </w:rPr>
                              <w:t xml:space="preserve">Records removed </w:t>
                            </w:r>
                            <w:r>
                              <w:rPr>
                                <w:rFonts w:ascii="Arial" w:hAnsi="Arial" w:cs="Arial"/>
                                <w:i/>
                                <w:iCs/>
                                <w:color w:val="000000"/>
                                <w:sz w:val="18"/>
                                <w:szCs w:val="18"/>
                              </w:rPr>
                              <w:t>before screening</w:t>
                            </w:r>
                            <w:r>
                              <w:rPr>
                                <w:rFonts w:ascii="Arial" w:hAnsi="Arial" w:cs="Arial"/>
                                <w:color w:val="000000"/>
                                <w:sz w:val="18"/>
                                <w:szCs w:val="18"/>
                              </w:rPr>
                              <w:t>:</w:t>
                            </w:r>
                          </w:p>
                          <w:p w14:paraId="1DA2E9AB">
                            <w:pPr>
                              <w:ind w:left="284"/>
                              <w:rPr>
                                <w:rFonts w:ascii="Arial" w:hAnsi="Arial" w:cs="Arial"/>
                                <w:color w:val="000000"/>
                                <w:sz w:val="18"/>
                                <w:szCs w:val="18"/>
                              </w:rPr>
                            </w:pPr>
                            <w:r>
                              <w:rPr>
                                <w:rFonts w:ascii="Arial" w:hAnsi="Arial" w:cs="Arial"/>
                                <w:color w:val="000000"/>
                                <w:sz w:val="18"/>
                                <w:szCs w:val="18"/>
                              </w:rPr>
                              <w:t>Duplicate records removed (n = 289)</w:t>
                            </w:r>
                          </w:p>
                          <w:p w14:paraId="0DEB0843">
                            <w:pPr>
                              <w:ind w:left="284"/>
                              <w:rPr>
                                <w:rFonts w:ascii="Arial" w:hAnsi="Arial" w:cs="Arial"/>
                                <w:color w:val="000000"/>
                                <w:sz w:val="18"/>
                                <w:szCs w:val="18"/>
                              </w:rPr>
                            </w:pPr>
                            <w:r>
                              <w:rPr>
                                <w:rFonts w:ascii="Arial" w:hAnsi="Arial" w:cs="Arial"/>
                                <w:color w:val="000000"/>
                                <w:sz w:val="18"/>
                                <w:szCs w:val="18"/>
                              </w:rPr>
                              <w:t>Records removed for other reasons (n = 2780)</w:t>
                            </w:r>
                          </w:p>
                          <w:p w14:paraId="0ED9A1EA">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3" o:spid="_x0000_s1026" o:spt="1" style="position:absolute;left:0pt;margin-left:304.55pt;margin-top:266.4pt;height:56.15pt;width:180.55pt;mso-position-horizontal-relative:page;mso-position-vertical-relative:page;z-index:251661312;v-text-anchor:middle;mso-width-relative:page;mso-height-relative:page;" fillcolor="#FFFFFF [3201]" filled="t" stroked="t" coordsize="21600,21600" o:gfxdata="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">
                <v:fill on="t" focussize="0,0"/>
                <v:stroke weight="1pt" color="#A5A5A5 [3206]" miterlimit="8" joinstyle="miter"/>
                <v:imagedata o:title=""/>
                <o:lock v:ext="edit" aspectratio="f"/>
                <v:textbox>
                  <w:txbxContent>
                    <w:p w14:paraId="04D294CB">
                      <w:pPr>
                        <w:rPr>
                          <w:rFonts w:ascii="Arial" w:hAnsi="Arial" w:eastAsia="DengXian" w:cs="Arial"/>
                          <w:color w:val="000000"/>
                          <w:sz w:val="18"/>
                          <w:szCs w:val="18"/>
                          <w:lang w:val="en-IN" w:eastAsia="en-IN" w:bidi="gu-IN"/>
                        </w:rPr>
                      </w:pPr>
                      <w:r>
                        <w:rPr>
                          <w:rFonts w:ascii="Arial" w:hAnsi="Arial" w:cs="Arial"/>
                          <w:color w:val="000000"/>
                          <w:sz w:val="18"/>
                          <w:szCs w:val="18"/>
                        </w:rPr>
                        <w:t xml:space="preserve">Records removed </w:t>
                      </w:r>
                      <w:r>
                        <w:rPr>
                          <w:rFonts w:ascii="Arial" w:hAnsi="Arial" w:cs="Arial"/>
                          <w:i/>
                          <w:iCs/>
                          <w:color w:val="000000"/>
                          <w:sz w:val="18"/>
                          <w:szCs w:val="18"/>
                        </w:rPr>
                        <w:t>before screening</w:t>
                      </w:r>
                      <w:r>
                        <w:rPr>
                          <w:rFonts w:ascii="Arial" w:hAnsi="Arial" w:cs="Arial"/>
                          <w:color w:val="000000"/>
                          <w:sz w:val="18"/>
                          <w:szCs w:val="18"/>
                        </w:rPr>
                        <w:t>:</w:t>
                      </w:r>
                    </w:p>
                    <w:p w14:paraId="1DA2E9AB">
                      <w:pPr>
                        <w:ind w:left="284"/>
                        <w:rPr>
                          <w:rFonts w:ascii="Arial" w:hAnsi="Arial" w:cs="Arial"/>
                          <w:color w:val="000000"/>
                          <w:sz w:val="18"/>
                          <w:szCs w:val="18"/>
                        </w:rPr>
                      </w:pPr>
                      <w:r>
                        <w:rPr>
                          <w:rFonts w:ascii="Arial" w:hAnsi="Arial" w:cs="Arial"/>
                          <w:color w:val="000000"/>
                          <w:sz w:val="18"/>
                          <w:szCs w:val="18"/>
                        </w:rPr>
                        <w:t>Duplicate records removed (n = 289)</w:t>
                      </w:r>
                    </w:p>
                    <w:p w14:paraId="0DEB0843">
                      <w:pPr>
                        <w:ind w:left="284"/>
                        <w:rPr>
                          <w:rFonts w:ascii="Arial" w:hAnsi="Arial" w:cs="Arial"/>
                          <w:color w:val="000000"/>
                          <w:sz w:val="18"/>
                          <w:szCs w:val="18"/>
                        </w:rPr>
                      </w:pPr>
                      <w:r>
                        <w:rPr>
                          <w:rFonts w:ascii="Arial" w:hAnsi="Arial" w:cs="Arial"/>
                          <w:color w:val="000000"/>
                          <w:sz w:val="18"/>
                          <w:szCs w:val="18"/>
                        </w:rPr>
                        <w:t>Records removed for other reasons (n = 2780)</w:t>
                      </w:r>
                    </w:p>
                    <w:p w14:paraId="0ED9A1EA">
                      <w:pPr>
                        <w:jc w:val="center"/>
                      </w:pPr>
                    </w:p>
                  </w:txbxContent>
                </v:textbox>
              </v:rect>
            </w:pict>
          </mc:Fallback>
        </mc:AlternateContent>
      </w:r>
      <w:r>
        <w:rPr>
          <w:rFonts w:ascii="Arial" w:hAnsi="Arial" w:cs="Arial"/>
          <w:sz w:val="22"/>
          <w:szCs w:val="22"/>
        </w:rPr>
        <mc:AlternateContent>
          <mc:Choice Requires="wps">
            <w:drawing>
              <wp:anchor distT="0" distB="0" distL="114300" distR="114300" simplePos="0" relativeHeight="251660288" behindDoc="0" locked="0" layoutInCell="1" allowOverlap="1">
                <wp:simplePos x="0" y="0"/>
                <wp:positionH relativeFrom="page">
                  <wp:posOffset>1912620</wp:posOffset>
                </wp:positionH>
                <wp:positionV relativeFrom="page">
                  <wp:posOffset>3347085</wp:posOffset>
                </wp:positionV>
                <wp:extent cx="1696720" cy="838200"/>
                <wp:effectExtent l="0" t="0" r="17780" b="19050"/>
                <wp:wrapNone/>
                <wp:docPr id="22" name="Rectangle 22"/>
                <wp:cNvGraphicFramePr/>
                <a:graphic xmlns:a="http://schemas.openxmlformats.org/drawingml/2006/main">
                  <a:graphicData uri="http://schemas.microsoft.com/office/word/2010/wordprocessingShape">
                    <wps:wsp>
                      <wps:cNvSpPr/>
                      <wps:spPr>
                        <a:xfrm>
                          <a:off x="0" y="0"/>
                          <a:ext cx="1696720" cy="838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F91F07">
                            <w:pPr>
                              <w:rPr>
                                <w:rFonts w:ascii="Arial" w:hAnsi="Arial" w:eastAsia="DengXian" w:cs="Arial"/>
                                <w:color w:val="000000"/>
                                <w:sz w:val="18"/>
                                <w:szCs w:val="18"/>
                                <w:lang w:val="en-IN" w:eastAsia="en-IN" w:bidi="gu-IN"/>
                              </w:rPr>
                            </w:pPr>
                            <w:r>
                              <w:rPr>
                                <w:rFonts w:ascii="Arial" w:hAnsi="Arial" w:cs="Arial"/>
                                <w:color w:val="000000"/>
                                <w:sz w:val="18"/>
                                <w:szCs w:val="18"/>
                              </w:rPr>
                              <w:t>Records identified from:</w:t>
                            </w:r>
                          </w:p>
                          <w:p w14:paraId="47282BDB">
                            <w:pPr>
                              <w:ind w:left="284"/>
                              <w:rPr>
                                <w:rFonts w:ascii="Arial" w:hAnsi="Arial" w:cs="Arial"/>
                                <w:color w:val="000000"/>
                                <w:sz w:val="18"/>
                                <w:szCs w:val="18"/>
                              </w:rPr>
                            </w:pPr>
                            <w:r>
                              <w:rPr>
                                <w:rFonts w:ascii="Arial" w:hAnsi="Arial" w:cs="Arial"/>
                                <w:color w:val="000000"/>
                                <w:sz w:val="18"/>
                                <w:szCs w:val="18"/>
                              </w:rPr>
                              <w:t>Databases (n =4500)</w:t>
                            </w:r>
                          </w:p>
                          <w:p w14:paraId="5816EB43">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2" o:spid="_x0000_s1026" o:spt="1" style="position:absolute;left:0pt;margin-left:150.6pt;margin-top:263.55pt;height:66pt;width:133.6pt;mso-position-horizontal-relative:page;mso-position-vertical-relative:page;z-index:251660288;v-text-anchor:middle;mso-width-relative:page;mso-height-relative:page;" fillcolor="#FFFFFF [3201]" filled="t" stroked="t" coordsize="21600,21600" o:gfxdata="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h4TFK9oAAAALAQAADwAAAAAAAAABACAAAAAiAAAAZHJzL2Rvd25y&#10;ZXYueG1sUEsBAhQAFAAAAAgAh07iQOljBTZuAgAABAUAAA4AAAAAAAAAAQAgAAAAKQEAAGRycy9l&#10;Mm9Eb2MueG1sUEsFBgAAAAAGAAYAWQEAAAkGAAAAAA==&#10;">
                <v:fill on="t" focussize="0,0"/>
                <v:stroke weight="1pt" color="#70AD47 [3209]" miterlimit="8" joinstyle="miter"/>
                <v:imagedata o:title=""/>
                <o:lock v:ext="edit" aspectratio="f"/>
                <v:textbox>
                  <w:txbxContent>
                    <w:p w14:paraId="43F91F07">
                      <w:pPr>
                        <w:rPr>
                          <w:rFonts w:ascii="Arial" w:hAnsi="Arial" w:eastAsia="DengXian" w:cs="Arial"/>
                          <w:color w:val="000000"/>
                          <w:sz w:val="18"/>
                          <w:szCs w:val="18"/>
                          <w:lang w:val="en-IN" w:eastAsia="en-IN" w:bidi="gu-IN"/>
                        </w:rPr>
                      </w:pPr>
                      <w:r>
                        <w:rPr>
                          <w:rFonts w:ascii="Arial" w:hAnsi="Arial" w:cs="Arial"/>
                          <w:color w:val="000000"/>
                          <w:sz w:val="18"/>
                          <w:szCs w:val="18"/>
                        </w:rPr>
                        <w:t>Records identified from:</w:t>
                      </w:r>
                    </w:p>
                    <w:p w14:paraId="47282BDB">
                      <w:pPr>
                        <w:ind w:left="284"/>
                        <w:rPr>
                          <w:rFonts w:ascii="Arial" w:hAnsi="Arial" w:cs="Arial"/>
                          <w:color w:val="000000"/>
                          <w:sz w:val="18"/>
                          <w:szCs w:val="18"/>
                        </w:rPr>
                      </w:pPr>
                      <w:r>
                        <w:rPr>
                          <w:rFonts w:ascii="Arial" w:hAnsi="Arial" w:cs="Arial"/>
                          <w:color w:val="000000"/>
                          <w:sz w:val="18"/>
                          <w:szCs w:val="18"/>
                        </w:rPr>
                        <w:t>Databases (n =4500)</w:t>
                      </w:r>
                    </w:p>
                    <w:p w14:paraId="5816EB43">
                      <w:pPr>
                        <w:jc w:val="center"/>
                      </w:pPr>
                    </w:p>
                  </w:txbxContent>
                </v:textbox>
              </v:rect>
            </w:pict>
          </mc:Fallback>
        </mc:AlternateContent>
      </w:r>
      <w:r>
        <w:rPr>
          <w:rFonts w:ascii="Arial" w:hAnsi="Arial" w:cs="Arial"/>
          <w:sz w:val="22"/>
          <w:szCs w:val="22"/>
        </w:rPr>
        <mc:AlternateContent>
          <mc:Choice Requires="wps">
            <w:drawing>
              <wp:anchor distT="0" distB="0" distL="114300" distR="114300" simplePos="0" relativeHeight="251670528" behindDoc="0" locked="0" layoutInCell="1" allowOverlap="1">
                <wp:simplePos x="0" y="0"/>
                <wp:positionH relativeFrom="page">
                  <wp:posOffset>891540</wp:posOffset>
                </wp:positionH>
                <wp:positionV relativeFrom="page">
                  <wp:posOffset>3786505</wp:posOffset>
                </wp:positionV>
                <wp:extent cx="1287145" cy="268605"/>
                <wp:effectExtent l="0" t="5398" r="22543" b="22542"/>
                <wp:wrapNone/>
                <wp:docPr id="32" name="Rectangle 32"/>
                <wp:cNvGraphicFramePr/>
                <a:graphic xmlns:a="http://schemas.openxmlformats.org/drawingml/2006/main">
                  <a:graphicData uri="http://schemas.microsoft.com/office/word/2010/wordprocessingShape">
                    <wps:wsp>
                      <wps:cNvSpPr/>
                      <wps:spPr>
                        <a:xfrm rot="16200000">
                          <a:off x="0" y="0"/>
                          <a:ext cx="1286913" cy="26860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23EA6F3E">
                            <w:pPr>
                              <w:jc w:val="center"/>
                              <w:rPr>
                                <w:lang w:val="en-IN"/>
                              </w:rPr>
                            </w:pPr>
                            <w:r>
                              <w:rPr>
                                <w:lang w:val="en-IN"/>
                              </w:rPr>
                              <w:t>Identification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32" o:spid="_x0000_s1026" o:spt="1" style="position:absolute;left:0pt;margin-left:70.2pt;margin-top:298.15pt;height:21.15pt;width:101.35pt;mso-position-horizontal-relative:page;mso-position-vertical-relative:page;rotation:-5898240f;z-index:251670528;v-text-anchor:middle;mso-width-relative:page;mso-height-relative:page;" fillcolor="#B5D5A7 [3536]" filled="t" stroked="t" coordsize="21600,21600" o:gfxdata="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">
                <v:fill type="gradient" on="t" color2="#9CCA86 [3376]" colors="0f #B5D5A7;32768f #AACE99;65536f #9CCA86" focus="100%" focussize="0,0" rotate="t">
                  <o:fill type="gradientUnscaled" v:ext="backwardCompatible"/>
                </v:fill>
                <v:stroke weight="0.5pt" color="#70AD47 [3209]" miterlimit="8" joinstyle="miter"/>
                <v:imagedata o:title=""/>
                <o:lock v:ext="edit" aspectratio="f"/>
                <v:textbox>
                  <w:txbxContent>
                    <w:p w14:paraId="23EA6F3E">
                      <w:pPr>
                        <w:jc w:val="center"/>
                        <w:rPr>
                          <w:lang w:val="en-IN"/>
                        </w:rPr>
                      </w:pPr>
                      <w:r>
                        <w:rPr>
                          <w:lang w:val="en-IN"/>
                        </w:rPr>
                        <w:t>Identification</w:t>
                      </w:r>
                    </w:p>
                  </w:txbxContent>
                </v:textbox>
              </v:rect>
            </w:pict>
          </mc:Fallback>
        </mc:AlternateContent>
      </w:r>
    </w:p>
    <w:p w14:paraId="658F2FE7">
      <w:pPr>
        <w:pStyle w:val="85"/>
        <w:spacing w:line="360" w:lineRule="auto"/>
        <w:jc w:val="both"/>
        <w:rPr>
          <w:rFonts w:ascii="Arial" w:hAnsi="Arial" w:cs="Arial"/>
          <w:sz w:val="22"/>
          <w:szCs w:val="22"/>
        </w:rPr>
      </w:pPr>
    </w:p>
    <w:p w14:paraId="24CF6546">
      <w:pPr>
        <w:pStyle w:val="85"/>
        <w:spacing w:line="360" w:lineRule="auto"/>
        <w:jc w:val="both"/>
        <w:rPr>
          <w:rFonts w:ascii="Arial" w:hAnsi="Arial" w:cs="Arial"/>
          <w:sz w:val="22"/>
          <w:szCs w:val="22"/>
        </w:rPr>
      </w:pPr>
    </w:p>
    <w:p w14:paraId="4D31F3B7">
      <w:pPr>
        <w:pStyle w:val="85"/>
        <w:spacing w:line="360" w:lineRule="auto"/>
        <w:jc w:val="both"/>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67456" behindDoc="0" locked="0" layoutInCell="1" allowOverlap="1">
                <wp:simplePos x="0" y="0"/>
                <wp:positionH relativeFrom="page">
                  <wp:posOffset>3896360</wp:posOffset>
                </wp:positionH>
                <wp:positionV relativeFrom="page">
                  <wp:posOffset>4446905</wp:posOffset>
                </wp:positionV>
                <wp:extent cx="2320290" cy="817245"/>
                <wp:effectExtent l="0" t="0" r="22860" b="20955"/>
                <wp:wrapNone/>
                <wp:docPr id="29" name="Rectangle 29"/>
                <wp:cNvGraphicFramePr/>
                <a:graphic xmlns:a="http://schemas.openxmlformats.org/drawingml/2006/main">
                  <a:graphicData uri="http://schemas.microsoft.com/office/word/2010/wordprocessingShape">
                    <wps:wsp>
                      <wps:cNvSpPr/>
                      <wps:spPr>
                        <a:xfrm>
                          <a:off x="0" y="0"/>
                          <a:ext cx="2320290" cy="817418"/>
                        </a:xfrm>
                        <a:prstGeom prst="rect">
                          <a:avLst/>
                        </a:prstGeom>
                      </wps:spPr>
                      <wps:style>
                        <a:lnRef idx="2">
                          <a:schemeClr val="accent3"/>
                        </a:lnRef>
                        <a:fillRef idx="1">
                          <a:schemeClr val="lt1"/>
                        </a:fillRef>
                        <a:effectRef idx="0">
                          <a:schemeClr val="accent3"/>
                        </a:effectRef>
                        <a:fontRef idx="minor">
                          <a:schemeClr val="dk1"/>
                        </a:fontRef>
                      </wps:style>
                      <wps:txbx>
                        <w:txbxContent>
                          <w:p w14:paraId="39A0EBA4">
                            <w:pPr>
                              <w:rPr>
                                <w:rFonts w:ascii="Arial" w:hAnsi="Arial" w:eastAsia="DengXian" w:cs="Arial"/>
                                <w:color w:val="000000"/>
                                <w:sz w:val="18"/>
                                <w:szCs w:val="18"/>
                                <w:lang w:val="en-IN" w:eastAsia="en-IN" w:bidi="gu-IN"/>
                              </w:rPr>
                            </w:pPr>
                            <w:r>
                              <w:rPr>
                                <w:rFonts w:ascii="Arial" w:hAnsi="Arial" w:cs="Arial"/>
                                <w:color w:val="000000"/>
                                <w:sz w:val="18"/>
                                <w:szCs w:val="18"/>
                              </w:rPr>
                              <w:t>Records excluded**</w:t>
                            </w:r>
                          </w:p>
                          <w:p w14:paraId="6D7CB470">
                            <w:pPr>
                              <w:rPr>
                                <w:rFonts w:ascii="Arial" w:hAnsi="Arial" w:cs="Arial"/>
                                <w:color w:val="000000"/>
                                <w:sz w:val="18"/>
                                <w:szCs w:val="18"/>
                              </w:rPr>
                            </w:pPr>
                            <w:r>
                              <w:rPr>
                                <w:rFonts w:ascii="Arial" w:hAnsi="Arial" w:cs="Arial"/>
                                <w:color w:val="000000"/>
                                <w:sz w:val="18"/>
                                <w:szCs w:val="18"/>
                              </w:rPr>
                              <w:t>(n =1132)</w:t>
                            </w:r>
                          </w:p>
                          <w:p w14:paraId="25EC3283">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9" o:spid="_x0000_s1026" o:spt="1" style="position:absolute;left:0pt;margin-left:306.8pt;margin-top:350.15pt;height:64.35pt;width:182.7pt;mso-position-horizontal-relative:page;mso-position-vertical-relative:page;z-index:251667456;v-text-anchor:middle;mso-width-relative:page;mso-height-relative:page;" fillcolor="#FFFFFF [3201]" filled="t" stroked="t" coordsize="21600,21600" o:gfxdata="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Ame5Y90AAAAMAQAADwAAAAAAAAABACAAAAAiAAAAZHJzL2Rv&#10;d25yZXYueG1sUEsBAhQAFAAAAAgAh07iQMSQQZtuAgAABAUAAA4AAAAAAAAAAQAgAAAALAEAAGRy&#10;cy9lMm9Eb2MueG1sUEsFBgAAAAAGAAYAWQEAAAwGAAAAAA==&#10;">
                <v:fill on="t" focussize="0,0"/>
                <v:stroke weight="1pt" color="#A5A5A5 [3206]" miterlimit="8" joinstyle="miter"/>
                <v:imagedata o:title=""/>
                <o:lock v:ext="edit" aspectratio="f"/>
                <v:textbox>
                  <w:txbxContent>
                    <w:p w14:paraId="39A0EBA4">
                      <w:pPr>
                        <w:rPr>
                          <w:rFonts w:ascii="Arial" w:hAnsi="Arial" w:eastAsia="DengXian" w:cs="Arial"/>
                          <w:color w:val="000000"/>
                          <w:sz w:val="18"/>
                          <w:szCs w:val="18"/>
                          <w:lang w:val="en-IN" w:eastAsia="en-IN" w:bidi="gu-IN"/>
                        </w:rPr>
                      </w:pPr>
                      <w:r>
                        <w:rPr>
                          <w:rFonts w:ascii="Arial" w:hAnsi="Arial" w:cs="Arial"/>
                          <w:color w:val="000000"/>
                          <w:sz w:val="18"/>
                          <w:szCs w:val="18"/>
                        </w:rPr>
                        <w:t>Records excluded**</w:t>
                      </w:r>
                    </w:p>
                    <w:p w14:paraId="6D7CB470">
                      <w:pPr>
                        <w:rPr>
                          <w:rFonts w:ascii="Arial" w:hAnsi="Arial" w:cs="Arial"/>
                          <w:color w:val="000000"/>
                          <w:sz w:val="18"/>
                          <w:szCs w:val="18"/>
                        </w:rPr>
                      </w:pPr>
                      <w:r>
                        <w:rPr>
                          <w:rFonts w:ascii="Arial" w:hAnsi="Arial" w:cs="Arial"/>
                          <w:color w:val="000000"/>
                          <w:sz w:val="18"/>
                          <w:szCs w:val="18"/>
                        </w:rPr>
                        <w:t>(n =1132)</w:t>
                      </w:r>
                    </w:p>
                    <w:p w14:paraId="25EC3283">
                      <w:pPr>
                        <w:jc w:val="center"/>
                      </w:pPr>
                    </w:p>
                  </w:txbxContent>
                </v:textbox>
              </v:rect>
            </w:pict>
          </mc:Fallback>
        </mc:AlternateContent>
      </w:r>
      <w:r>
        <w:rPr>
          <w:rFonts w:ascii="Arial" w:hAnsi="Arial" w:cs="Arial"/>
          <w:sz w:val="22"/>
          <w:szCs w:val="22"/>
        </w:rPr>
        <mc:AlternateContent>
          <mc:Choice Requires="wps">
            <w:drawing>
              <wp:anchor distT="0" distB="0" distL="114300" distR="114300" simplePos="0" relativeHeight="251662336" behindDoc="0" locked="0" layoutInCell="1" allowOverlap="1">
                <wp:simplePos x="0" y="0"/>
                <wp:positionH relativeFrom="page">
                  <wp:posOffset>1898015</wp:posOffset>
                </wp:positionH>
                <wp:positionV relativeFrom="page">
                  <wp:posOffset>4638675</wp:posOffset>
                </wp:positionV>
                <wp:extent cx="1800860" cy="574675"/>
                <wp:effectExtent l="0" t="0" r="27940" b="15875"/>
                <wp:wrapNone/>
                <wp:docPr id="24" name="Rectangle 24"/>
                <wp:cNvGraphicFramePr/>
                <a:graphic xmlns:a="http://schemas.openxmlformats.org/drawingml/2006/main">
                  <a:graphicData uri="http://schemas.microsoft.com/office/word/2010/wordprocessingShape">
                    <wps:wsp>
                      <wps:cNvSpPr/>
                      <wps:spPr>
                        <a:xfrm>
                          <a:off x="0" y="0"/>
                          <a:ext cx="1801091" cy="574964"/>
                        </a:xfrm>
                        <a:prstGeom prst="rect">
                          <a:avLst/>
                        </a:prstGeom>
                      </wps:spPr>
                      <wps:style>
                        <a:lnRef idx="2">
                          <a:schemeClr val="accent6"/>
                        </a:lnRef>
                        <a:fillRef idx="1">
                          <a:schemeClr val="lt1"/>
                        </a:fillRef>
                        <a:effectRef idx="0">
                          <a:schemeClr val="accent6"/>
                        </a:effectRef>
                        <a:fontRef idx="minor">
                          <a:schemeClr val="dk1"/>
                        </a:fontRef>
                      </wps:style>
                      <wps:txbx>
                        <w:txbxContent>
                          <w:p w14:paraId="76EA17C5">
                            <w:pPr>
                              <w:rPr>
                                <w:rFonts w:ascii="Arial" w:hAnsi="Arial" w:eastAsia="DengXian" w:cs="Arial"/>
                                <w:color w:val="000000"/>
                                <w:sz w:val="18"/>
                                <w:szCs w:val="18"/>
                                <w:lang w:val="en-IN" w:eastAsia="en-IN" w:bidi="gu-IN"/>
                              </w:rPr>
                            </w:pPr>
                            <w:r>
                              <w:rPr>
                                <w:rFonts w:ascii="Arial" w:hAnsi="Arial" w:cs="Arial"/>
                                <w:color w:val="000000"/>
                                <w:sz w:val="18"/>
                                <w:szCs w:val="18"/>
                              </w:rPr>
                              <w:t>Records screened</w:t>
                            </w:r>
                          </w:p>
                          <w:p w14:paraId="0D9ECCC4">
                            <w:pPr>
                              <w:rPr>
                                <w:rFonts w:ascii="Arial" w:hAnsi="Arial" w:cs="Arial"/>
                                <w:color w:val="000000"/>
                                <w:sz w:val="18"/>
                                <w:szCs w:val="18"/>
                              </w:rPr>
                            </w:pPr>
                            <w:r>
                              <w:rPr>
                                <w:rFonts w:ascii="Arial" w:hAnsi="Arial" w:cs="Arial"/>
                                <w:color w:val="000000"/>
                                <w:sz w:val="18"/>
                                <w:szCs w:val="18"/>
                              </w:rPr>
                              <w:t>(n = 1431)</w:t>
                            </w:r>
                          </w:p>
                          <w:p w14:paraId="3908CAFC">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4" o:spid="_x0000_s1026" o:spt="1" style="position:absolute;left:0pt;margin-left:149.45pt;margin-top:365.25pt;height:45.25pt;width:141.8pt;mso-position-horizontal-relative:page;mso-position-vertical-relative:page;z-index:251662336;v-text-anchor:middle;mso-width-relative:page;mso-height-relative:page;" fillcolor="#FFFFFF [3201]" filled="t" stroked="t" coordsize="21600,21600" o:gfxdata="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DIJ+BrbAAAADAEAAA8AAAAAAAAAAQAgAAAAIgAAAGRycy9k&#10;b3ducmV2LnhtbFBLAQIUABQAAAAIAIdO4kDG4lkrcQIAAAQFAAAOAAAAAAAAAAEAIAAAACoBAABk&#10;cnMvZTJvRG9jLnhtbFBLBQYAAAAABgAGAFkBAAANBgAAAAA=&#10;">
                <v:fill on="t" focussize="0,0"/>
                <v:stroke weight="1pt" color="#70AD47 [3209]" miterlimit="8" joinstyle="miter"/>
                <v:imagedata o:title=""/>
                <o:lock v:ext="edit" aspectratio="f"/>
                <v:textbox>
                  <w:txbxContent>
                    <w:p w14:paraId="76EA17C5">
                      <w:pPr>
                        <w:rPr>
                          <w:rFonts w:ascii="Arial" w:hAnsi="Arial" w:eastAsia="DengXian" w:cs="Arial"/>
                          <w:color w:val="000000"/>
                          <w:sz w:val="18"/>
                          <w:szCs w:val="18"/>
                          <w:lang w:val="en-IN" w:eastAsia="en-IN" w:bidi="gu-IN"/>
                        </w:rPr>
                      </w:pPr>
                      <w:r>
                        <w:rPr>
                          <w:rFonts w:ascii="Arial" w:hAnsi="Arial" w:cs="Arial"/>
                          <w:color w:val="000000"/>
                          <w:sz w:val="18"/>
                          <w:szCs w:val="18"/>
                        </w:rPr>
                        <w:t>Records screened</w:t>
                      </w:r>
                    </w:p>
                    <w:p w14:paraId="0D9ECCC4">
                      <w:pPr>
                        <w:rPr>
                          <w:rFonts w:ascii="Arial" w:hAnsi="Arial" w:cs="Arial"/>
                          <w:color w:val="000000"/>
                          <w:sz w:val="18"/>
                          <w:szCs w:val="18"/>
                        </w:rPr>
                      </w:pPr>
                      <w:r>
                        <w:rPr>
                          <w:rFonts w:ascii="Arial" w:hAnsi="Arial" w:cs="Arial"/>
                          <w:color w:val="000000"/>
                          <w:sz w:val="18"/>
                          <w:szCs w:val="18"/>
                        </w:rPr>
                        <w:t>(n = 1431)</w:t>
                      </w:r>
                    </w:p>
                    <w:p w14:paraId="3908CAFC">
                      <w:pPr>
                        <w:jc w:val="center"/>
                      </w:pPr>
                    </w:p>
                  </w:txbxContent>
                </v:textbox>
              </v:rect>
            </w:pict>
          </mc:Fallback>
        </mc:AlternateContent>
      </w:r>
      <w:r>
        <w:rPr>
          <w:rFonts w:ascii="Arial" w:hAnsi="Arial" w:cs="Arial"/>
          <w:sz w:val="22"/>
          <w:szCs w:val="22"/>
        </w:rPr>
        <mc:AlternateContent>
          <mc:Choice Requires="wps">
            <w:drawing>
              <wp:anchor distT="0" distB="0" distL="114300" distR="114300" simplePos="0" relativeHeight="251671552" behindDoc="0" locked="0" layoutInCell="1" allowOverlap="1">
                <wp:simplePos x="0" y="0"/>
                <wp:positionH relativeFrom="page">
                  <wp:posOffset>768350</wp:posOffset>
                </wp:positionH>
                <wp:positionV relativeFrom="page">
                  <wp:posOffset>5404485</wp:posOffset>
                </wp:positionV>
                <wp:extent cx="1507490" cy="242570"/>
                <wp:effectExtent l="3493" t="0" r="20637" b="20638"/>
                <wp:wrapNone/>
                <wp:docPr id="33" name="Rectangle 33"/>
                <wp:cNvGraphicFramePr/>
                <a:graphic xmlns:a="http://schemas.openxmlformats.org/drawingml/2006/main">
                  <a:graphicData uri="http://schemas.microsoft.com/office/word/2010/wordprocessingShape">
                    <wps:wsp>
                      <wps:cNvSpPr/>
                      <wps:spPr>
                        <a:xfrm rot="16200000">
                          <a:off x="0" y="0"/>
                          <a:ext cx="1507489" cy="24257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ACD75A3">
                            <w:pPr>
                              <w:jc w:val="center"/>
                              <w:rPr>
                                <w:lang w:val="en-IN"/>
                              </w:rPr>
                            </w:pPr>
                            <w:r>
                              <w:rPr>
                                <w:lang w:val="en-IN"/>
                              </w:rPr>
                              <w:t>Screening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33" o:spid="_x0000_s1026" o:spt="1" style="position:absolute;left:0pt;margin-left:60.5pt;margin-top:425.55pt;height:19.1pt;width:118.7pt;mso-position-horizontal-relative:page;mso-position-vertical-relative:page;rotation:-5898240f;z-index:251671552;v-text-anchor:middle;mso-width-relative:page;mso-height-relative:page;" fillcolor="#B1CBE9 [3536]" filled="t" stroked="t" coordsize="21600,21600" o:gfxdata="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">
                <v:fill type="gradient" on="t" color2="#92B9E4 [3376]" colors="0f #B1CBE9;32768f #A3C1E5;65536f #92B9E4" focus="100%" focussize="0,0" rotate="t">
                  <o:fill type="gradientUnscaled" v:ext="backwardCompatible"/>
                </v:fill>
                <v:stroke weight="0.5pt" color="#5B9BD5 [3204]" miterlimit="8" joinstyle="miter"/>
                <v:imagedata o:title=""/>
                <o:lock v:ext="edit" aspectratio="f"/>
                <v:textbox>
                  <w:txbxContent>
                    <w:p w14:paraId="1ACD75A3">
                      <w:pPr>
                        <w:jc w:val="center"/>
                        <w:rPr>
                          <w:lang w:val="en-IN"/>
                        </w:rPr>
                      </w:pPr>
                      <w:r>
                        <w:rPr>
                          <w:lang w:val="en-IN"/>
                        </w:rPr>
                        <w:t>Screening</w:t>
                      </w:r>
                    </w:p>
                  </w:txbxContent>
                </v:textbox>
              </v:rect>
            </w:pict>
          </mc:Fallback>
        </mc:AlternateContent>
      </w:r>
    </w:p>
    <w:p w14:paraId="509B6965">
      <w:pPr>
        <w:pStyle w:val="85"/>
        <w:spacing w:line="360" w:lineRule="auto"/>
        <w:jc w:val="both"/>
        <w:rPr>
          <w:rFonts w:ascii="Arial" w:hAnsi="Arial" w:cs="Arial"/>
          <w:sz w:val="22"/>
          <w:szCs w:val="22"/>
        </w:rPr>
      </w:pPr>
    </w:p>
    <w:p w14:paraId="18796310">
      <w:pPr>
        <w:pStyle w:val="85"/>
        <w:spacing w:line="360" w:lineRule="auto"/>
        <w:jc w:val="both"/>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68480" behindDoc="0" locked="0" layoutInCell="1" allowOverlap="1">
                <wp:simplePos x="0" y="0"/>
                <wp:positionH relativeFrom="page">
                  <wp:posOffset>3916680</wp:posOffset>
                </wp:positionH>
                <wp:positionV relativeFrom="page">
                  <wp:posOffset>5627370</wp:posOffset>
                </wp:positionV>
                <wp:extent cx="2313940" cy="949325"/>
                <wp:effectExtent l="0" t="0" r="10795" b="22860"/>
                <wp:wrapNone/>
                <wp:docPr id="30" name="Rectangle 30"/>
                <wp:cNvGraphicFramePr/>
                <a:graphic xmlns:a="http://schemas.openxmlformats.org/drawingml/2006/main">
                  <a:graphicData uri="http://schemas.microsoft.com/office/word/2010/wordprocessingShape">
                    <wps:wsp>
                      <wps:cNvSpPr/>
                      <wps:spPr>
                        <a:xfrm>
                          <a:off x="0" y="0"/>
                          <a:ext cx="2313709" cy="949037"/>
                        </a:xfrm>
                        <a:prstGeom prst="rect">
                          <a:avLst/>
                        </a:prstGeom>
                      </wps:spPr>
                      <wps:style>
                        <a:lnRef idx="2">
                          <a:schemeClr val="accent3"/>
                        </a:lnRef>
                        <a:fillRef idx="1">
                          <a:schemeClr val="lt1"/>
                        </a:fillRef>
                        <a:effectRef idx="0">
                          <a:schemeClr val="accent3"/>
                        </a:effectRef>
                        <a:fontRef idx="minor">
                          <a:schemeClr val="dk1"/>
                        </a:fontRef>
                      </wps:style>
                      <wps:txbx>
                        <w:txbxContent>
                          <w:p w14:paraId="7A19E85B">
                            <w:pPr>
                              <w:rPr>
                                <w:rFonts w:ascii="Arial" w:hAnsi="Arial" w:eastAsia="DengXian" w:cs="Arial"/>
                                <w:color w:val="000000"/>
                                <w:sz w:val="18"/>
                                <w:szCs w:val="18"/>
                                <w:lang w:val="en-IN" w:eastAsia="en-IN" w:bidi="gu-IN"/>
                              </w:rPr>
                            </w:pPr>
                            <w:r>
                              <w:rPr>
                                <w:rFonts w:ascii="Arial" w:hAnsi="Arial" w:cs="Arial"/>
                                <w:color w:val="000000"/>
                                <w:sz w:val="18"/>
                                <w:szCs w:val="18"/>
                              </w:rPr>
                              <w:t>Reports not retrieved</w:t>
                            </w:r>
                          </w:p>
                          <w:p w14:paraId="4EF3D41C">
                            <w:pPr>
                              <w:rPr>
                                <w:rFonts w:ascii="Arial" w:hAnsi="Arial" w:cs="Arial"/>
                                <w:color w:val="000000"/>
                                <w:sz w:val="18"/>
                                <w:szCs w:val="18"/>
                              </w:rPr>
                            </w:pPr>
                            <w:r>
                              <w:rPr>
                                <w:rFonts w:ascii="Arial" w:hAnsi="Arial" w:cs="Arial"/>
                                <w:color w:val="000000"/>
                                <w:sz w:val="18"/>
                                <w:szCs w:val="18"/>
                              </w:rPr>
                              <w:t>(n =157)</w:t>
                            </w:r>
                          </w:p>
                          <w:p w14:paraId="74A9838C">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30" o:spid="_x0000_s1026" o:spt="1" style="position:absolute;left:0pt;margin-left:308.4pt;margin-top:443.1pt;height:74.75pt;width:182.2pt;mso-position-horizontal-relative:page;mso-position-vertical-relative:page;z-index:251668480;v-text-anchor:middle;mso-width-relative:page;mso-height-relative:page;" fillcolor="#FFFFFF [3201]" filled="t" stroked="t" coordsize="21600,21600" o:gfxdata="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">
                <v:fill on="t" focussize="0,0"/>
                <v:stroke weight="1pt" color="#A5A5A5 [3206]" miterlimit="8" joinstyle="miter"/>
                <v:imagedata o:title=""/>
                <o:lock v:ext="edit" aspectratio="f"/>
                <v:textbox>
                  <w:txbxContent>
                    <w:p w14:paraId="7A19E85B">
                      <w:pPr>
                        <w:rPr>
                          <w:rFonts w:ascii="Arial" w:hAnsi="Arial" w:eastAsia="DengXian" w:cs="Arial"/>
                          <w:color w:val="000000"/>
                          <w:sz w:val="18"/>
                          <w:szCs w:val="18"/>
                          <w:lang w:val="en-IN" w:eastAsia="en-IN" w:bidi="gu-IN"/>
                        </w:rPr>
                      </w:pPr>
                      <w:r>
                        <w:rPr>
                          <w:rFonts w:ascii="Arial" w:hAnsi="Arial" w:cs="Arial"/>
                          <w:color w:val="000000"/>
                          <w:sz w:val="18"/>
                          <w:szCs w:val="18"/>
                        </w:rPr>
                        <w:t>Reports not retrieved</w:t>
                      </w:r>
                    </w:p>
                    <w:p w14:paraId="4EF3D41C">
                      <w:pPr>
                        <w:rPr>
                          <w:rFonts w:ascii="Arial" w:hAnsi="Arial" w:cs="Arial"/>
                          <w:color w:val="000000"/>
                          <w:sz w:val="18"/>
                          <w:szCs w:val="18"/>
                        </w:rPr>
                      </w:pPr>
                      <w:r>
                        <w:rPr>
                          <w:rFonts w:ascii="Arial" w:hAnsi="Arial" w:cs="Arial"/>
                          <w:color w:val="000000"/>
                          <w:sz w:val="18"/>
                          <w:szCs w:val="18"/>
                        </w:rPr>
                        <w:t>(n =157)</w:t>
                      </w:r>
                    </w:p>
                    <w:p w14:paraId="74A9838C">
                      <w:pPr>
                        <w:jc w:val="center"/>
                      </w:pPr>
                    </w:p>
                  </w:txbxContent>
                </v:textbox>
              </v:rect>
            </w:pict>
          </mc:Fallback>
        </mc:AlternateContent>
      </w:r>
      <w:r>
        <w:rPr>
          <w:rFonts w:ascii="Arial" w:hAnsi="Arial" w:cs="Arial"/>
          <w:sz w:val="22"/>
          <w:szCs w:val="22"/>
        </w:rPr>
        <mc:AlternateContent>
          <mc:Choice Requires="wps">
            <w:drawing>
              <wp:anchor distT="0" distB="0" distL="114300" distR="114300" simplePos="0" relativeHeight="251663360" behindDoc="0" locked="0" layoutInCell="1" allowOverlap="1">
                <wp:simplePos x="0" y="0"/>
                <wp:positionH relativeFrom="page">
                  <wp:posOffset>1884045</wp:posOffset>
                </wp:positionH>
                <wp:positionV relativeFrom="page">
                  <wp:posOffset>5640705</wp:posOffset>
                </wp:positionV>
                <wp:extent cx="1800860" cy="602615"/>
                <wp:effectExtent l="0" t="0" r="27940" b="26035"/>
                <wp:wrapNone/>
                <wp:docPr id="25" name="Rectangle 25"/>
                <wp:cNvGraphicFramePr/>
                <a:graphic xmlns:a="http://schemas.openxmlformats.org/drawingml/2006/main">
                  <a:graphicData uri="http://schemas.microsoft.com/office/word/2010/wordprocessingShape">
                    <wps:wsp>
                      <wps:cNvSpPr/>
                      <wps:spPr>
                        <a:xfrm>
                          <a:off x="0" y="0"/>
                          <a:ext cx="1801090" cy="602672"/>
                        </a:xfrm>
                        <a:prstGeom prst="rect">
                          <a:avLst/>
                        </a:prstGeom>
                      </wps:spPr>
                      <wps:style>
                        <a:lnRef idx="2">
                          <a:schemeClr val="accent6"/>
                        </a:lnRef>
                        <a:fillRef idx="1">
                          <a:schemeClr val="lt1"/>
                        </a:fillRef>
                        <a:effectRef idx="0">
                          <a:schemeClr val="accent6"/>
                        </a:effectRef>
                        <a:fontRef idx="minor">
                          <a:schemeClr val="dk1"/>
                        </a:fontRef>
                      </wps:style>
                      <wps:txbx>
                        <w:txbxContent>
                          <w:p w14:paraId="682AB1E3">
                            <w:pPr>
                              <w:rPr>
                                <w:rFonts w:ascii="Arial" w:hAnsi="Arial" w:eastAsia="DengXian" w:cs="Arial"/>
                                <w:color w:val="000000"/>
                                <w:sz w:val="18"/>
                                <w:szCs w:val="18"/>
                                <w:lang w:val="en-IN" w:eastAsia="en-IN" w:bidi="gu-IN"/>
                              </w:rPr>
                            </w:pPr>
                            <w:r>
                              <w:rPr>
                                <w:rFonts w:ascii="Arial" w:hAnsi="Arial" w:cs="Arial"/>
                                <w:color w:val="000000"/>
                                <w:sz w:val="18"/>
                                <w:szCs w:val="18"/>
                              </w:rPr>
                              <w:t>Reports sought for retrieval</w:t>
                            </w:r>
                          </w:p>
                          <w:p w14:paraId="48F72EFA">
                            <w:pPr>
                              <w:rPr>
                                <w:rFonts w:ascii="Arial" w:hAnsi="Arial" w:cs="Arial"/>
                                <w:color w:val="000000"/>
                                <w:sz w:val="18"/>
                                <w:szCs w:val="18"/>
                              </w:rPr>
                            </w:pPr>
                            <w:r>
                              <w:rPr>
                                <w:rFonts w:ascii="Arial" w:hAnsi="Arial" w:cs="Arial"/>
                                <w:color w:val="000000"/>
                                <w:sz w:val="18"/>
                                <w:szCs w:val="18"/>
                              </w:rPr>
                              <w:t>(n = 299)</w:t>
                            </w:r>
                          </w:p>
                          <w:p w14:paraId="1B78FCA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5" o:spid="_x0000_s1026" o:spt="1" style="position:absolute;left:0pt;margin-left:148.35pt;margin-top:444.15pt;height:47.45pt;width:141.8pt;mso-position-horizontal-relative:page;mso-position-vertical-relative:page;z-index:251663360;v-text-anchor:middle;mso-width-relative:page;mso-height-relative:page;" fillcolor="#FFFFFF [3201]" filled="t" stroked="t" coordsize="21600,21600" o:gfxdata="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">
                <v:fill on="t" focussize="0,0"/>
                <v:stroke weight="1pt" color="#70AD47 [3209]" miterlimit="8" joinstyle="miter"/>
                <v:imagedata o:title=""/>
                <o:lock v:ext="edit" aspectratio="f"/>
                <v:textbox>
                  <w:txbxContent>
                    <w:p w14:paraId="682AB1E3">
                      <w:pPr>
                        <w:rPr>
                          <w:rFonts w:ascii="Arial" w:hAnsi="Arial" w:eastAsia="DengXian" w:cs="Arial"/>
                          <w:color w:val="000000"/>
                          <w:sz w:val="18"/>
                          <w:szCs w:val="18"/>
                          <w:lang w:val="en-IN" w:eastAsia="en-IN" w:bidi="gu-IN"/>
                        </w:rPr>
                      </w:pPr>
                      <w:r>
                        <w:rPr>
                          <w:rFonts w:ascii="Arial" w:hAnsi="Arial" w:cs="Arial"/>
                          <w:color w:val="000000"/>
                          <w:sz w:val="18"/>
                          <w:szCs w:val="18"/>
                        </w:rPr>
                        <w:t>Reports sought for retrieval</w:t>
                      </w:r>
                    </w:p>
                    <w:p w14:paraId="48F72EFA">
                      <w:pPr>
                        <w:rPr>
                          <w:rFonts w:ascii="Arial" w:hAnsi="Arial" w:cs="Arial"/>
                          <w:color w:val="000000"/>
                          <w:sz w:val="18"/>
                          <w:szCs w:val="18"/>
                        </w:rPr>
                      </w:pPr>
                      <w:r>
                        <w:rPr>
                          <w:rFonts w:ascii="Arial" w:hAnsi="Arial" w:cs="Arial"/>
                          <w:color w:val="000000"/>
                          <w:sz w:val="18"/>
                          <w:szCs w:val="18"/>
                        </w:rPr>
                        <w:t>(n = 299)</w:t>
                      </w:r>
                    </w:p>
                    <w:p w14:paraId="1B78FCA4">
                      <w:pPr>
                        <w:jc w:val="center"/>
                      </w:pPr>
                    </w:p>
                  </w:txbxContent>
                </v:textbox>
              </v:rect>
            </w:pict>
          </mc:Fallback>
        </mc:AlternateContent>
      </w:r>
    </w:p>
    <w:p w14:paraId="61C0A0C2">
      <w:pPr>
        <w:pStyle w:val="85"/>
        <w:spacing w:line="360" w:lineRule="auto"/>
        <w:jc w:val="both"/>
        <w:rPr>
          <w:rFonts w:ascii="Arial" w:hAnsi="Arial" w:cs="Arial"/>
          <w:sz w:val="22"/>
          <w:szCs w:val="22"/>
        </w:rPr>
      </w:pPr>
    </w:p>
    <w:p w14:paraId="64BE413C">
      <w:pPr>
        <w:pStyle w:val="85"/>
        <w:spacing w:line="360" w:lineRule="auto"/>
        <w:jc w:val="both"/>
        <w:rPr>
          <w:rFonts w:ascii="Arial" w:hAnsi="Arial" w:cs="Arial"/>
          <w:sz w:val="22"/>
          <w:szCs w:val="22"/>
        </w:rPr>
      </w:pPr>
    </w:p>
    <w:p w14:paraId="42953243">
      <w:pPr>
        <w:pStyle w:val="85"/>
        <w:spacing w:line="360" w:lineRule="auto"/>
        <w:jc w:val="both"/>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69504" behindDoc="0" locked="0" layoutInCell="1" allowOverlap="1">
                <wp:simplePos x="0" y="0"/>
                <wp:positionH relativeFrom="page">
                  <wp:posOffset>3895090</wp:posOffset>
                </wp:positionH>
                <wp:positionV relativeFrom="page">
                  <wp:posOffset>6856095</wp:posOffset>
                </wp:positionV>
                <wp:extent cx="2279015" cy="1184275"/>
                <wp:effectExtent l="0" t="0" r="26670" b="15875"/>
                <wp:wrapNone/>
                <wp:docPr id="31" name="Rectangle 31"/>
                <wp:cNvGraphicFramePr/>
                <a:graphic xmlns:a="http://schemas.openxmlformats.org/drawingml/2006/main">
                  <a:graphicData uri="http://schemas.microsoft.com/office/word/2010/wordprocessingShape">
                    <wps:wsp>
                      <wps:cNvSpPr/>
                      <wps:spPr>
                        <a:xfrm>
                          <a:off x="0" y="0"/>
                          <a:ext cx="2278726" cy="1184564"/>
                        </a:xfrm>
                        <a:prstGeom prst="rect">
                          <a:avLst/>
                        </a:prstGeom>
                      </wps:spPr>
                      <wps:style>
                        <a:lnRef idx="2">
                          <a:schemeClr val="accent3"/>
                        </a:lnRef>
                        <a:fillRef idx="1">
                          <a:schemeClr val="lt1"/>
                        </a:fillRef>
                        <a:effectRef idx="0">
                          <a:schemeClr val="accent3"/>
                        </a:effectRef>
                        <a:fontRef idx="minor">
                          <a:schemeClr val="dk1"/>
                        </a:fontRef>
                      </wps:style>
                      <wps:txbx>
                        <w:txbxContent>
                          <w:p w14:paraId="367B78D8">
                            <w:pPr>
                              <w:rPr>
                                <w:rFonts w:ascii="Arial" w:hAnsi="Arial" w:eastAsia="DengXian" w:cs="Arial"/>
                                <w:color w:val="000000"/>
                                <w:sz w:val="18"/>
                                <w:szCs w:val="18"/>
                                <w:lang w:val="en-IN" w:eastAsia="en-IN" w:bidi="gu-IN"/>
                              </w:rPr>
                            </w:pPr>
                            <w:r>
                              <w:rPr>
                                <w:rFonts w:ascii="Arial" w:hAnsi="Arial" w:cs="Arial"/>
                                <w:color w:val="000000"/>
                                <w:sz w:val="18"/>
                                <w:szCs w:val="18"/>
                              </w:rPr>
                              <w:t>Reports excluded:</w:t>
                            </w:r>
                          </w:p>
                          <w:p w14:paraId="39D7C572">
                            <w:pPr>
                              <w:ind w:left="284"/>
                              <w:rPr>
                                <w:rFonts w:ascii="Arial" w:hAnsi="Arial" w:cs="Arial"/>
                                <w:color w:val="000000"/>
                                <w:sz w:val="18"/>
                                <w:szCs w:val="18"/>
                              </w:rPr>
                            </w:pPr>
                            <w:r>
                              <w:rPr>
                                <w:rFonts w:ascii="Arial" w:hAnsi="Arial" w:cs="Arial"/>
                                <w:color w:val="000000"/>
                                <w:sz w:val="18"/>
                                <w:szCs w:val="18"/>
                              </w:rPr>
                              <w:t>Age group (n =64)</w:t>
                            </w:r>
                          </w:p>
                          <w:p w14:paraId="25BE6B20">
                            <w:pPr>
                              <w:ind w:left="284"/>
                              <w:rPr>
                                <w:rFonts w:ascii="Arial" w:hAnsi="Arial" w:cs="Arial"/>
                                <w:color w:val="000000"/>
                                <w:sz w:val="18"/>
                                <w:szCs w:val="18"/>
                              </w:rPr>
                            </w:pPr>
                            <w:r>
                              <w:rPr>
                                <w:rStyle w:val="250"/>
                                <w:rFonts w:ascii="Arial" w:hAnsi="Arial" w:eastAsia="SimSun" w:cs="Arial"/>
                                <w:b w:val="0"/>
                                <w:bCs w:val="0"/>
                                <w:sz w:val="18"/>
                                <w:szCs w:val="18"/>
                              </w:rPr>
                              <w:t xml:space="preserve">Not focused on mental health </w:t>
                            </w:r>
                            <w:r>
                              <w:rPr>
                                <w:rFonts w:ascii="Arial" w:hAnsi="Arial" w:cs="Arial"/>
                                <w:color w:val="000000"/>
                                <w:sz w:val="18"/>
                                <w:szCs w:val="18"/>
                              </w:rPr>
                              <w:t>(n = 13)</w:t>
                            </w:r>
                          </w:p>
                          <w:p w14:paraId="152073C2">
                            <w:pPr>
                              <w:ind w:left="284"/>
                              <w:rPr>
                                <w:rFonts w:ascii="Arial" w:hAnsi="Arial" w:cs="Arial"/>
                                <w:color w:val="000000"/>
                                <w:sz w:val="18"/>
                                <w:szCs w:val="18"/>
                              </w:rPr>
                            </w:pPr>
                            <w:r>
                              <w:rPr>
                                <w:rFonts w:ascii="Arial" w:hAnsi="Arial" w:cs="Arial"/>
                                <w:color w:val="000000"/>
                                <w:sz w:val="18"/>
                                <w:szCs w:val="18"/>
                              </w:rPr>
                              <w:t>Not UK based studies (n =25)</w:t>
                            </w:r>
                          </w:p>
                          <w:p w14:paraId="190597BF">
                            <w:pPr>
                              <w:ind w:left="284"/>
                              <w:rPr>
                                <w:rFonts w:ascii="Arial" w:hAnsi="Arial" w:cs="Arial"/>
                                <w:color w:val="000000"/>
                                <w:sz w:val="18"/>
                                <w:szCs w:val="18"/>
                              </w:rPr>
                            </w:pPr>
                            <w:r>
                              <w:rPr>
                                <w:rStyle w:val="250"/>
                                <w:rFonts w:ascii="Arial" w:hAnsi="Arial" w:eastAsia="SimSun" w:cs="Arial"/>
                                <w:b w:val="0"/>
                                <w:bCs w:val="0"/>
                                <w:sz w:val="18"/>
                                <w:szCs w:val="18"/>
                              </w:rPr>
                              <w:t>Conference abstracts, protocols, or pilot studies and other reasons(n=28)</w:t>
                            </w:r>
                          </w:p>
                          <w:p w14:paraId="7D2DCCF7">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31" o:spid="_x0000_s1026" o:spt="1" style="position:absolute;left:0pt;margin-left:306.7pt;margin-top:539.85pt;height:93.25pt;width:179.45pt;mso-position-horizontal-relative:page;mso-position-vertical-relative:page;z-index:251669504;v-text-anchor:middle;mso-width-relative:page;mso-height-relative:page;" fillcolor="#FFFFFF [3201]" filled="t" stroked="t" coordsize="21600,21600" o:gfxdata="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">
                <v:fill on="t" focussize="0,0"/>
                <v:stroke weight="1pt" color="#A5A5A5 [3206]" miterlimit="8" joinstyle="miter"/>
                <v:imagedata o:title=""/>
                <o:lock v:ext="edit" aspectratio="f"/>
                <v:textbox>
                  <w:txbxContent>
                    <w:p w14:paraId="367B78D8">
                      <w:pPr>
                        <w:rPr>
                          <w:rFonts w:ascii="Arial" w:hAnsi="Arial" w:eastAsia="DengXian" w:cs="Arial"/>
                          <w:color w:val="000000"/>
                          <w:sz w:val="18"/>
                          <w:szCs w:val="18"/>
                          <w:lang w:val="en-IN" w:eastAsia="en-IN" w:bidi="gu-IN"/>
                        </w:rPr>
                      </w:pPr>
                      <w:r>
                        <w:rPr>
                          <w:rFonts w:ascii="Arial" w:hAnsi="Arial" w:cs="Arial"/>
                          <w:color w:val="000000"/>
                          <w:sz w:val="18"/>
                          <w:szCs w:val="18"/>
                        </w:rPr>
                        <w:t>Reports excluded:</w:t>
                      </w:r>
                    </w:p>
                    <w:p w14:paraId="39D7C572">
                      <w:pPr>
                        <w:ind w:left="284"/>
                        <w:rPr>
                          <w:rFonts w:ascii="Arial" w:hAnsi="Arial" w:cs="Arial"/>
                          <w:color w:val="000000"/>
                          <w:sz w:val="18"/>
                          <w:szCs w:val="18"/>
                        </w:rPr>
                      </w:pPr>
                      <w:r>
                        <w:rPr>
                          <w:rFonts w:ascii="Arial" w:hAnsi="Arial" w:cs="Arial"/>
                          <w:color w:val="000000"/>
                          <w:sz w:val="18"/>
                          <w:szCs w:val="18"/>
                        </w:rPr>
                        <w:t>Age group (n =64)</w:t>
                      </w:r>
                    </w:p>
                    <w:p w14:paraId="25BE6B20">
                      <w:pPr>
                        <w:ind w:left="284"/>
                        <w:rPr>
                          <w:rFonts w:ascii="Arial" w:hAnsi="Arial" w:cs="Arial"/>
                          <w:color w:val="000000"/>
                          <w:sz w:val="18"/>
                          <w:szCs w:val="18"/>
                        </w:rPr>
                      </w:pPr>
                      <w:r>
                        <w:rPr>
                          <w:rStyle w:val="250"/>
                          <w:rFonts w:ascii="Arial" w:hAnsi="Arial" w:eastAsia="SimSun" w:cs="Arial"/>
                          <w:b w:val="0"/>
                          <w:bCs w:val="0"/>
                          <w:sz w:val="18"/>
                          <w:szCs w:val="18"/>
                        </w:rPr>
                        <w:t xml:space="preserve">Not focused on mental health </w:t>
                      </w:r>
                      <w:r>
                        <w:rPr>
                          <w:rFonts w:ascii="Arial" w:hAnsi="Arial" w:cs="Arial"/>
                          <w:color w:val="000000"/>
                          <w:sz w:val="18"/>
                          <w:szCs w:val="18"/>
                        </w:rPr>
                        <w:t>(n = 13)</w:t>
                      </w:r>
                    </w:p>
                    <w:p w14:paraId="152073C2">
                      <w:pPr>
                        <w:ind w:left="284"/>
                        <w:rPr>
                          <w:rFonts w:ascii="Arial" w:hAnsi="Arial" w:cs="Arial"/>
                          <w:color w:val="000000"/>
                          <w:sz w:val="18"/>
                          <w:szCs w:val="18"/>
                        </w:rPr>
                      </w:pPr>
                      <w:r>
                        <w:rPr>
                          <w:rFonts w:ascii="Arial" w:hAnsi="Arial" w:cs="Arial"/>
                          <w:color w:val="000000"/>
                          <w:sz w:val="18"/>
                          <w:szCs w:val="18"/>
                        </w:rPr>
                        <w:t>Not UK based studies (n =25)</w:t>
                      </w:r>
                    </w:p>
                    <w:p w14:paraId="190597BF">
                      <w:pPr>
                        <w:ind w:left="284"/>
                        <w:rPr>
                          <w:rFonts w:ascii="Arial" w:hAnsi="Arial" w:cs="Arial"/>
                          <w:color w:val="000000"/>
                          <w:sz w:val="18"/>
                          <w:szCs w:val="18"/>
                        </w:rPr>
                      </w:pPr>
                      <w:r>
                        <w:rPr>
                          <w:rStyle w:val="250"/>
                          <w:rFonts w:ascii="Arial" w:hAnsi="Arial" w:eastAsia="SimSun" w:cs="Arial"/>
                          <w:b w:val="0"/>
                          <w:bCs w:val="0"/>
                          <w:sz w:val="18"/>
                          <w:szCs w:val="18"/>
                        </w:rPr>
                        <w:t>Conference abstracts, protocols, or pilot studies and other reasons(n=28)</w:t>
                      </w:r>
                    </w:p>
                    <w:p w14:paraId="7D2DCCF7">
                      <w:pPr>
                        <w:jc w:val="center"/>
                      </w:pPr>
                    </w:p>
                  </w:txbxContent>
                </v:textbox>
              </v:rect>
            </w:pict>
          </mc:Fallback>
        </mc:AlternateContent>
      </w:r>
      <w:r>
        <w:rPr>
          <w:rFonts w:ascii="Arial" w:hAnsi="Arial" w:cs="Arial"/>
          <w:sz w:val="22"/>
          <w:szCs w:val="22"/>
        </w:rPr>
        <mc:AlternateContent>
          <mc:Choice Requires="wps">
            <w:drawing>
              <wp:anchor distT="0" distB="0" distL="114300" distR="114300" simplePos="0" relativeHeight="251665408" behindDoc="0" locked="0" layoutInCell="1" allowOverlap="1">
                <wp:simplePos x="0" y="0"/>
                <wp:positionH relativeFrom="page">
                  <wp:posOffset>1912620</wp:posOffset>
                </wp:positionH>
                <wp:positionV relativeFrom="page">
                  <wp:posOffset>6569710</wp:posOffset>
                </wp:positionV>
                <wp:extent cx="1724660" cy="568325"/>
                <wp:effectExtent l="0" t="0" r="27940" b="22860"/>
                <wp:wrapNone/>
                <wp:docPr id="26" name="Rectangle 26"/>
                <wp:cNvGraphicFramePr/>
                <a:graphic xmlns:a="http://schemas.openxmlformats.org/drawingml/2006/main">
                  <a:graphicData uri="http://schemas.microsoft.com/office/word/2010/wordprocessingShape">
                    <wps:wsp>
                      <wps:cNvSpPr/>
                      <wps:spPr>
                        <a:xfrm>
                          <a:off x="0" y="0"/>
                          <a:ext cx="1724891" cy="56803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1CB7B9E">
                            <w:pPr>
                              <w:rPr>
                                <w:rFonts w:ascii="Arial" w:hAnsi="Arial" w:eastAsia="DengXian" w:cs="Arial"/>
                                <w:color w:val="000000"/>
                                <w:sz w:val="18"/>
                                <w:szCs w:val="18"/>
                                <w:lang w:val="en-IN" w:eastAsia="en-IN" w:bidi="gu-IN"/>
                              </w:rPr>
                            </w:pPr>
                            <w:r>
                              <w:rPr>
                                <w:rFonts w:ascii="Arial" w:hAnsi="Arial" w:cs="Arial"/>
                                <w:color w:val="000000"/>
                                <w:sz w:val="18"/>
                                <w:szCs w:val="18"/>
                              </w:rPr>
                              <w:t>Reports assessed for eligibility</w:t>
                            </w:r>
                          </w:p>
                          <w:p w14:paraId="765201EF">
                            <w:pPr>
                              <w:rPr>
                                <w:rFonts w:ascii="Arial" w:hAnsi="Arial" w:cs="Arial"/>
                                <w:color w:val="000000"/>
                                <w:sz w:val="18"/>
                                <w:szCs w:val="18"/>
                              </w:rPr>
                            </w:pPr>
                            <w:r>
                              <w:rPr>
                                <w:rFonts w:ascii="Arial" w:hAnsi="Arial" w:cs="Arial"/>
                                <w:color w:val="000000"/>
                                <w:sz w:val="18"/>
                                <w:szCs w:val="18"/>
                              </w:rPr>
                              <w:t>(n = 142)</w:t>
                            </w:r>
                          </w:p>
                          <w:p w14:paraId="21F0F20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6" o:spid="_x0000_s1026" o:spt="1" style="position:absolute;left:0pt;margin-left:150.6pt;margin-top:517.3pt;height:44.75pt;width:135.8pt;mso-position-horizontal-relative:page;mso-position-vertical-relative:page;z-index:251665408;v-text-anchor:middle;mso-width-relative:page;mso-height-relative:page;" fillcolor="#FFFFFF [3201]" filled="t" stroked="t" coordsize="21600,21600" o:gfxdata="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">
                <v:fill on="t" focussize="0,0"/>
                <v:stroke weight="1pt" color="#70AD47 [3209]" miterlimit="8" joinstyle="miter"/>
                <v:imagedata o:title=""/>
                <o:lock v:ext="edit" aspectratio="f"/>
                <v:textbox>
                  <w:txbxContent>
                    <w:p w14:paraId="01CB7B9E">
                      <w:pPr>
                        <w:rPr>
                          <w:rFonts w:ascii="Arial" w:hAnsi="Arial" w:eastAsia="DengXian" w:cs="Arial"/>
                          <w:color w:val="000000"/>
                          <w:sz w:val="18"/>
                          <w:szCs w:val="18"/>
                          <w:lang w:val="en-IN" w:eastAsia="en-IN" w:bidi="gu-IN"/>
                        </w:rPr>
                      </w:pPr>
                      <w:r>
                        <w:rPr>
                          <w:rFonts w:ascii="Arial" w:hAnsi="Arial" w:cs="Arial"/>
                          <w:color w:val="000000"/>
                          <w:sz w:val="18"/>
                          <w:szCs w:val="18"/>
                        </w:rPr>
                        <w:t>Reports assessed for eligibility</w:t>
                      </w:r>
                    </w:p>
                    <w:p w14:paraId="765201EF">
                      <w:pPr>
                        <w:rPr>
                          <w:rFonts w:ascii="Arial" w:hAnsi="Arial" w:cs="Arial"/>
                          <w:color w:val="000000"/>
                          <w:sz w:val="18"/>
                          <w:szCs w:val="18"/>
                        </w:rPr>
                      </w:pPr>
                      <w:r>
                        <w:rPr>
                          <w:rFonts w:ascii="Arial" w:hAnsi="Arial" w:cs="Arial"/>
                          <w:color w:val="000000"/>
                          <w:sz w:val="18"/>
                          <w:szCs w:val="18"/>
                        </w:rPr>
                        <w:t>(n = 142)</w:t>
                      </w:r>
                    </w:p>
                    <w:p w14:paraId="21F0F204">
                      <w:pPr>
                        <w:jc w:val="center"/>
                      </w:pPr>
                    </w:p>
                  </w:txbxContent>
                </v:textbox>
              </v:rect>
            </w:pict>
          </mc:Fallback>
        </mc:AlternateContent>
      </w:r>
      <w:r>
        <w:rPr>
          <w:rFonts w:ascii="Arial" w:hAnsi="Arial" w:cs="Arial"/>
          <w:sz w:val="22"/>
          <w:szCs w:val="22"/>
        </w:rPr>
        <mc:AlternateContent>
          <mc:Choice Requires="wps">
            <w:drawing>
              <wp:anchor distT="0" distB="0" distL="114300" distR="114300" simplePos="0" relativeHeight="251672576" behindDoc="0" locked="0" layoutInCell="1" allowOverlap="1">
                <wp:simplePos x="0" y="0"/>
                <wp:positionH relativeFrom="page">
                  <wp:posOffset>944245</wp:posOffset>
                </wp:positionH>
                <wp:positionV relativeFrom="page">
                  <wp:posOffset>7031990</wp:posOffset>
                </wp:positionV>
                <wp:extent cx="1184275" cy="249555"/>
                <wp:effectExtent l="0" t="8572" r="26352" b="26353"/>
                <wp:wrapNone/>
                <wp:docPr id="34" name="Rectangle 34"/>
                <wp:cNvGraphicFramePr/>
                <a:graphic xmlns:a="http://schemas.openxmlformats.org/drawingml/2006/main">
                  <a:graphicData uri="http://schemas.microsoft.com/office/word/2010/wordprocessingShape">
                    <wps:wsp>
                      <wps:cNvSpPr/>
                      <wps:spPr>
                        <a:xfrm rot="16200000">
                          <a:off x="0" y="0"/>
                          <a:ext cx="1184564" cy="249381"/>
                        </a:xfrm>
                        <a:prstGeom prst="rect">
                          <a:avLst/>
                        </a:prstGeom>
                      </wps:spPr>
                      <wps:style>
                        <a:lnRef idx="2">
                          <a:schemeClr val="accent3"/>
                        </a:lnRef>
                        <a:fillRef idx="1">
                          <a:schemeClr val="lt1"/>
                        </a:fillRef>
                        <a:effectRef idx="0">
                          <a:schemeClr val="accent3"/>
                        </a:effectRef>
                        <a:fontRef idx="minor">
                          <a:schemeClr val="dk1"/>
                        </a:fontRef>
                      </wps:style>
                      <wps:txbx>
                        <w:txbxContent>
                          <w:p w14:paraId="45CDF572">
                            <w:pPr>
                              <w:jc w:val="center"/>
                              <w:rPr>
                                <w:lang w:val="en-IN"/>
                              </w:rPr>
                            </w:pPr>
                            <w:r>
                              <w:rPr>
                                <w:lang w:val="en-IN"/>
                              </w:rPr>
                              <w:t>Selected articles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34" o:spid="_x0000_s1026" o:spt="1" style="position:absolute;left:0pt;margin-left:74.35pt;margin-top:553.7pt;height:19.65pt;width:93.25pt;mso-position-horizontal-relative:page;mso-position-vertical-relative:page;rotation:-5898240f;z-index:251672576;v-text-anchor:middle;mso-width-relative:page;mso-height-relative:page;" fillcolor="#FFFFFF [3201]" filled="t" stroked="t" coordsize="21600,21600" o:gfxdata="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&#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">
                <v:fill on="t" focussize="0,0"/>
                <v:stroke weight="1pt" color="#A5A5A5 [3206]" miterlimit="8" joinstyle="miter"/>
                <v:imagedata o:title=""/>
                <o:lock v:ext="edit" aspectratio="f"/>
                <v:textbox>
                  <w:txbxContent>
                    <w:p w14:paraId="45CDF572">
                      <w:pPr>
                        <w:jc w:val="center"/>
                        <w:rPr>
                          <w:lang w:val="en-IN"/>
                        </w:rPr>
                      </w:pPr>
                      <w:r>
                        <w:rPr>
                          <w:lang w:val="en-IN"/>
                        </w:rPr>
                        <w:t>Selected articles</w:t>
                      </w:r>
                    </w:p>
                  </w:txbxContent>
                </v:textbox>
              </v:rect>
            </w:pict>
          </mc:Fallback>
        </mc:AlternateContent>
      </w:r>
    </w:p>
    <w:p w14:paraId="110066C5">
      <w:pPr>
        <w:pStyle w:val="85"/>
        <w:spacing w:line="360" w:lineRule="auto"/>
        <w:jc w:val="both"/>
        <w:rPr>
          <w:rFonts w:ascii="Arial" w:hAnsi="Arial" w:cs="Arial"/>
          <w:sz w:val="22"/>
          <w:szCs w:val="22"/>
        </w:rPr>
      </w:pPr>
    </w:p>
    <w:p w14:paraId="7BEF48DF">
      <w:pPr>
        <w:pStyle w:val="85"/>
        <w:spacing w:line="360" w:lineRule="auto"/>
        <w:jc w:val="both"/>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66432" behindDoc="0" locked="0" layoutInCell="1" allowOverlap="1">
                <wp:simplePos x="0" y="0"/>
                <wp:positionH relativeFrom="page">
                  <wp:posOffset>1911350</wp:posOffset>
                </wp:positionH>
                <wp:positionV relativeFrom="page">
                  <wp:posOffset>7358380</wp:posOffset>
                </wp:positionV>
                <wp:extent cx="1780540" cy="810260"/>
                <wp:effectExtent l="0" t="0" r="10795" b="27940"/>
                <wp:wrapNone/>
                <wp:docPr id="27" name="Rectangle 27"/>
                <wp:cNvGraphicFramePr/>
                <a:graphic xmlns:a="http://schemas.openxmlformats.org/drawingml/2006/main">
                  <a:graphicData uri="http://schemas.microsoft.com/office/word/2010/wordprocessingShape">
                    <wps:wsp>
                      <wps:cNvSpPr/>
                      <wps:spPr>
                        <a:xfrm>
                          <a:off x="0" y="0"/>
                          <a:ext cx="1780309" cy="810491"/>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F5AE16">
                            <w:pPr>
                              <w:ind w:left="284"/>
                              <w:rPr>
                                <w:rFonts w:ascii="Arial" w:hAnsi="Arial" w:eastAsia="DengXian" w:cs="Arial"/>
                                <w:color w:val="000000"/>
                                <w:sz w:val="18"/>
                                <w:szCs w:val="18"/>
                                <w:lang w:val="en-IN" w:eastAsia="en-IN" w:bidi="gu-IN"/>
                              </w:rPr>
                            </w:pPr>
                            <w:r>
                              <w:rPr>
                                <w:rFonts w:ascii="Arial" w:hAnsi="Arial" w:cs="Arial"/>
                                <w:color w:val="000000"/>
                                <w:sz w:val="18"/>
                                <w:szCs w:val="18"/>
                              </w:rPr>
                              <w:t>Reports selected in Systematic review:</w:t>
                            </w:r>
                          </w:p>
                          <w:p w14:paraId="68245B28">
                            <w:pPr>
                              <w:ind w:left="284"/>
                              <w:rPr>
                                <w:rFonts w:ascii="Arial" w:hAnsi="Arial" w:cs="Arial"/>
                                <w:color w:val="000000"/>
                                <w:sz w:val="18"/>
                                <w:szCs w:val="18"/>
                              </w:rPr>
                            </w:pPr>
                            <w:r>
                              <w:rPr>
                                <w:rFonts w:ascii="Arial" w:hAnsi="Arial" w:cs="Arial"/>
                                <w:color w:val="000000"/>
                                <w:sz w:val="18"/>
                                <w:szCs w:val="18"/>
                              </w:rPr>
                              <w:t>(n=12)</w:t>
                            </w:r>
                          </w:p>
                          <w:p w14:paraId="7B8927F3">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7" o:spid="_x0000_s1026" o:spt="1" style="position:absolute;left:0pt;margin-left:150.5pt;margin-top:579.4pt;height:63.8pt;width:140.2pt;mso-position-horizontal-relative:page;mso-position-vertical-relative:page;z-index:251666432;v-text-anchor:middle;mso-width-relative:page;mso-height-relative:page;" fillcolor="#FFFFFF [3201]" filled="t" stroked="t" coordsize="21600,21600" o:gfxdata="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&#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gG7r8dwAAAANAQAADwAAAAAAAAABACAAAAAiAAAAZHJz&#10;L2Rvd25yZXYueG1sUEsBAhQAFAAAAAgAh07iQHa6hW1yAgAABAUAAA4AAAAAAAAAAQAgAAAAKwEA&#10;AGRycy9lMm9Eb2MueG1sUEsFBgAAAAAGAAYAWQEAAA8GAAAAAA==&#10;">
                <v:fill on="t" focussize="0,0"/>
                <v:stroke weight="1pt" color="#70AD47 [3209]" miterlimit="8" joinstyle="miter"/>
                <v:imagedata o:title=""/>
                <o:lock v:ext="edit" aspectratio="f"/>
                <v:textbox>
                  <w:txbxContent>
                    <w:p w14:paraId="2CF5AE16">
                      <w:pPr>
                        <w:ind w:left="284"/>
                        <w:rPr>
                          <w:rFonts w:ascii="Arial" w:hAnsi="Arial" w:eastAsia="DengXian" w:cs="Arial"/>
                          <w:color w:val="000000"/>
                          <w:sz w:val="18"/>
                          <w:szCs w:val="18"/>
                          <w:lang w:val="en-IN" w:eastAsia="en-IN" w:bidi="gu-IN"/>
                        </w:rPr>
                      </w:pPr>
                      <w:r>
                        <w:rPr>
                          <w:rFonts w:ascii="Arial" w:hAnsi="Arial" w:cs="Arial"/>
                          <w:color w:val="000000"/>
                          <w:sz w:val="18"/>
                          <w:szCs w:val="18"/>
                        </w:rPr>
                        <w:t>Reports selected in Systematic review:</w:t>
                      </w:r>
                    </w:p>
                    <w:p w14:paraId="68245B28">
                      <w:pPr>
                        <w:ind w:left="284"/>
                        <w:rPr>
                          <w:rFonts w:ascii="Arial" w:hAnsi="Arial" w:cs="Arial"/>
                          <w:color w:val="000000"/>
                          <w:sz w:val="18"/>
                          <w:szCs w:val="18"/>
                        </w:rPr>
                      </w:pPr>
                      <w:r>
                        <w:rPr>
                          <w:rFonts w:ascii="Arial" w:hAnsi="Arial" w:cs="Arial"/>
                          <w:color w:val="000000"/>
                          <w:sz w:val="18"/>
                          <w:szCs w:val="18"/>
                        </w:rPr>
                        <w:t>(n=12)</w:t>
                      </w:r>
                    </w:p>
                    <w:p w14:paraId="7B8927F3">
                      <w:pPr>
                        <w:jc w:val="center"/>
                      </w:pPr>
                    </w:p>
                  </w:txbxContent>
                </v:textbox>
              </v:rect>
            </w:pict>
          </mc:Fallback>
        </mc:AlternateContent>
      </w:r>
    </w:p>
    <w:p w14:paraId="33E28747">
      <w:pPr>
        <w:pStyle w:val="85"/>
        <w:spacing w:line="360" w:lineRule="auto"/>
        <w:jc w:val="both"/>
        <w:rPr>
          <w:rFonts w:ascii="Arial" w:hAnsi="Arial" w:cs="Arial"/>
          <w:sz w:val="22"/>
          <w:szCs w:val="22"/>
        </w:rPr>
      </w:pPr>
    </w:p>
    <w:p w14:paraId="493BF138">
      <w:pPr>
        <w:pStyle w:val="85"/>
        <w:spacing w:line="360" w:lineRule="auto"/>
        <w:jc w:val="both"/>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73600" behindDoc="0" locked="0" layoutInCell="1" allowOverlap="1">
                <wp:simplePos x="0" y="0"/>
                <wp:positionH relativeFrom="page">
                  <wp:posOffset>4621530</wp:posOffset>
                </wp:positionH>
                <wp:positionV relativeFrom="page">
                  <wp:posOffset>8250555</wp:posOffset>
                </wp:positionV>
                <wp:extent cx="1641475" cy="290830"/>
                <wp:effectExtent l="0" t="0" r="15875" b="13970"/>
                <wp:wrapNone/>
                <wp:docPr id="35" name="Rectangle 35"/>
                <wp:cNvGraphicFramePr/>
                <a:graphic xmlns:a="http://schemas.openxmlformats.org/drawingml/2006/main">
                  <a:graphicData uri="http://schemas.microsoft.com/office/word/2010/wordprocessingShape">
                    <wps:wsp>
                      <wps:cNvSpPr/>
                      <wps:spPr>
                        <a:xfrm>
                          <a:off x="0" y="0"/>
                          <a:ext cx="1641764" cy="290946"/>
                        </a:xfrm>
                        <a:prstGeom prst="rect">
                          <a:avLst/>
                        </a:prstGeom>
                        <a:solidFill>
                          <a:schemeClr val="accent1"/>
                        </a:solidFill>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29663DD1">
                            <w:pPr>
                              <w:jc w:val="center"/>
                            </w:pPr>
                            <w:r>
                              <w:t>(MacDonald, 2023)</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35" o:spid="_x0000_s1026" o:spt="1" style="position:absolute;left:0pt;margin-left:363.9pt;margin-top:649.65pt;height:22.9pt;width:129.25pt;mso-position-horizontal-relative:page;mso-position-vertical-relative:page;z-index:251673600;v-text-anchor:middle;mso-width-relative:page;mso-height-relative:page;" fillcolor="#5B9BD5 [3204]" filled="t" stroked="t" coordsize="21600,21600" o:gfxdata="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">
                <v:fill on="t" focussize="0,0"/>
                <v:stroke weight="1pt" color="#5B9BD5 [3204]" miterlimit="8" joinstyle="miter"/>
                <v:imagedata o:title=""/>
                <o:lock v:ext="edit" aspectratio="f"/>
                <v:textbox>
                  <w:txbxContent>
                    <w:p w14:paraId="29663DD1">
                      <w:pPr>
                        <w:jc w:val="center"/>
                      </w:pPr>
                      <w:r>
                        <w:t>(MacDonald, 2023)</w:t>
                      </w:r>
                    </w:p>
                  </w:txbxContent>
                </v:textbox>
              </v:rect>
            </w:pict>
          </mc:Fallback>
        </mc:AlternateContent>
      </w:r>
    </w:p>
    <w:p w14:paraId="1271E015">
      <w:pPr>
        <w:pStyle w:val="85"/>
        <w:spacing w:line="360" w:lineRule="auto"/>
        <w:jc w:val="both"/>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74624" behindDoc="0" locked="0" layoutInCell="1" allowOverlap="1">
                <wp:simplePos x="0" y="0"/>
                <wp:positionH relativeFrom="page">
                  <wp:posOffset>1581785</wp:posOffset>
                </wp:positionH>
                <wp:positionV relativeFrom="page">
                  <wp:posOffset>8945880</wp:posOffset>
                </wp:positionV>
                <wp:extent cx="4225925" cy="283845"/>
                <wp:effectExtent l="0" t="0" r="22860" b="20955"/>
                <wp:wrapNone/>
                <wp:docPr id="36" name="Rectangle 36"/>
                <wp:cNvGraphicFramePr/>
                <a:graphic xmlns:a="http://schemas.openxmlformats.org/drawingml/2006/main">
                  <a:graphicData uri="http://schemas.microsoft.com/office/word/2010/wordprocessingShape">
                    <wps:wsp>
                      <wps:cNvSpPr/>
                      <wps:spPr>
                        <a:xfrm>
                          <a:off x="0" y="0"/>
                          <a:ext cx="4225636" cy="284018"/>
                        </a:xfrm>
                        <a:prstGeom prst="rect">
                          <a:avLst/>
                        </a:prstGeom>
                        <a:ln>
                          <a:solidFill>
                            <a:schemeClr val="bg1"/>
                          </a:solidFill>
                        </a:ln>
                      </wps:spPr>
                      <wps:style>
                        <a:lnRef idx="2">
                          <a:schemeClr val="accent3"/>
                        </a:lnRef>
                        <a:fillRef idx="1">
                          <a:schemeClr val="lt1"/>
                        </a:fillRef>
                        <a:effectRef idx="0">
                          <a:schemeClr val="accent3"/>
                        </a:effectRef>
                        <a:fontRef idx="minor">
                          <a:schemeClr val="dk1"/>
                        </a:fontRef>
                      </wps:style>
                      <wps:txbx>
                        <w:txbxContent>
                          <w:p w14:paraId="0D0B2429">
                            <w:pPr>
                              <w:jc w:val="center"/>
                              <w:rPr>
                                <w:lang w:val="en-IN"/>
                              </w:rPr>
                            </w:pPr>
                            <w:r>
                              <w:rPr>
                                <w:lang w:val="en-IN"/>
                              </w:rPr>
                              <w:t>Figure 2: PRISMA Flow Chart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36" o:spid="_x0000_s1026" o:spt="1" style="position:absolute;left:0pt;margin-left:124.55pt;margin-top:704.4pt;height:22.35pt;width:332.75pt;mso-position-horizontal-relative:page;mso-position-vertical-relative:page;z-index:251674624;v-text-anchor:middle;mso-width-relative:page;mso-height-relative:page;" fillcolor="#FFFFFF [3201]" filled="t" stroked="t" coordsize="21600,21600" o:gfxdata="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wotaAtoAAAANAQAADwAAAAAAAAABACAAAAAiAAAAZHJzL2Rvd25yZXYueG1s&#10;UEsBAhQAFAAAAAgAh07iQP32YnZoAgAABAUAAA4AAAAAAAAAAQAgAAAAKQEAAGRycy9lMm9Eb2Mu&#10;eG1sUEsFBgAAAAAGAAYAWQEAAAMGAAAAAA==&#10;">
                <v:fill on="t" focussize="0,0"/>
                <v:stroke weight="1pt" color="#FFFFFF [3212]" miterlimit="8" joinstyle="miter"/>
                <v:imagedata o:title=""/>
                <o:lock v:ext="edit" aspectratio="f"/>
                <v:textbox>
                  <w:txbxContent>
                    <w:p w14:paraId="0D0B2429">
                      <w:pPr>
                        <w:jc w:val="center"/>
                        <w:rPr>
                          <w:lang w:val="en-IN"/>
                        </w:rPr>
                      </w:pPr>
                      <w:r>
                        <w:rPr>
                          <w:lang w:val="en-IN"/>
                        </w:rPr>
                        <w:t>Figure 2: PRISMA Flow Chart</w:t>
                      </w:r>
                    </w:p>
                  </w:txbxContent>
                </v:textbox>
              </v:rect>
            </w:pict>
          </mc:Fallback>
        </mc:AlternateContent>
      </w:r>
    </w:p>
    <w:p w14:paraId="688BC93B">
      <w:pPr>
        <w:pStyle w:val="85"/>
        <w:spacing w:line="360" w:lineRule="auto"/>
        <w:jc w:val="both"/>
        <w:rPr>
          <w:rFonts w:ascii="Arial" w:hAnsi="Arial" w:cs="Arial"/>
          <w:sz w:val="22"/>
          <w:szCs w:val="22"/>
        </w:rPr>
      </w:pPr>
    </w:p>
    <w:p w14:paraId="14C99FF4">
      <w:pPr>
        <w:pStyle w:val="85"/>
        <w:spacing w:line="360" w:lineRule="auto"/>
        <w:jc w:val="both"/>
        <w:rPr>
          <w:rFonts w:ascii="Arial" w:hAnsi="Arial" w:cs="Arial"/>
          <w:sz w:val="22"/>
          <w:szCs w:val="22"/>
        </w:rPr>
      </w:pPr>
    </w:p>
    <w:p w14:paraId="4CC97D52">
      <w:pPr>
        <w:pStyle w:val="85"/>
        <w:spacing w:line="360" w:lineRule="auto"/>
        <w:jc w:val="both"/>
        <w:rPr>
          <w:rFonts w:ascii="Arial" w:hAnsi="Arial" w:cs="Arial"/>
          <w:sz w:val="22"/>
          <w:szCs w:val="22"/>
        </w:rPr>
      </w:pPr>
      <w:bookmarkStart w:id="77" w:name="_Toc23143"/>
      <w:bookmarkStart w:id="78" w:name="_Toc32715"/>
      <w:r>
        <w:rPr>
          <w:rFonts w:ascii="Arial" w:hAnsi="Arial" w:cs="Arial"/>
          <w:sz w:val="22"/>
          <w:szCs w:val="22"/>
        </w:rPr>
        <w:t>At this stage, studies that failed to meet eligibility—for example, due to inadequate reporting of UK-specific data, inappropriate study design, or irrelevant outcomes—were excluded with the rationale documented. This phase ensures that only high-quality and relevant evidence is included for data extraction and synthesis.</w:t>
      </w:r>
    </w:p>
    <w:p w14:paraId="100F82D5">
      <w:pPr>
        <w:pStyle w:val="85"/>
        <w:spacing w:line="360" w:lineRule="auto"/>
        <w:jc w:val="both"/>
        <w:rPr>
          <w:rFonts w:ascii="Arial" w:hAnsi="Arial" w:cs="Arial"/>
          <w:sz w:val="22"/>
          <w:szCs w:val="22"/>
        </w:rPr>
      </w:pPr>
      <w:r>
        <w:rPr>
          <w:rFonts w:ascii="Arial" w:hAnsi="Arial" w:cs="Arial"/>
          <w:sz w:val="22"/>
          <w:szCs w:val="22"/>
        </w:rPr>
        <w:t>Throughout both phases, the dual review process and collaborative resolution of discrepancies aimed to maintain accuracy and objectivity, minimizing errors or bias in study selection. The numbers of records included and excluded at each phase, alongside reasons for exclusions during full-text review, were transparently recorded and effectively visualized using the PRISMA flow diagram. This diagram provides a clear, stepwise account of the study identification, screening, eligibility assessment, and final inclusion, reinforcing the reproducibility and transparency of the review process.</w:t>
      </w:r>
    </w:p>
    <w:p w14:paraId="146D453A">
      <w:pPr>
        <w:pStyle w:val="85"/>
        <w:spacing w:line="360" w:lineRule="auto"/>
        <w:jc w:val="both"/>
        <w:rPr>
          <w:rFonts w:ascii="Arial" w:hAnsi="Arial" w:cs="Arial"/>
          <w:sz w:val="22"/>
          <w:szCs w:val="22"/>
        </w:rPr>
      </w:pPr>
      <w:r>
        <w:rPr>
          <w:rFonts w:ascii="Arial" w:hAnsi="Arial" w:cs="Arial"/>
          <w:sz w:val="22"/>
          <w:szCs w:val="22"/>
        </w:rPr>
        <w:t>By adopting this two-phase selection methodology—initial rapid screening followed by in-depth full-text review—the review optimizes rigor and efficiency, ensuring that final conclusions are drawn from relevant, high-quality, and appropriately contextualised studies.</w:t>
      </w:r>
    </w:p>
    <w:p w14:paraId="4E292AFD">
      <w:pPr>
        <w:pStyle w:val="256"/>
        <w:bidi w:val="0"/>
        <w:rPr>
          <w:rFonts w:hint="default"/>
        </w:rPr>
      </w:pPr>
      <w:r>
        <w:rPr>
          <w:rFonts w:hint="default"/>
        </w:rPr>
        <w:t>3.8 Data</w:t>
      </w:r>
      <w:r>
        <w:rPr>
          <w:rFonts w:hint="default"/>
          <w:lang w:val="en-IN"/>
        </w:rPr>
        <w:t xml:space="preserve"> </w:t>
      </w:r>
      <w:r>
        <w:rPr>
          <w:rFonts w:hint="default"/>
        </w:rPr>
        <w:t>Extraction</w:t>
      </w:r>
      <w:bookmarkEnd w:id="77"/>
      <w:bookmarkEnd w:id="78"/>
    </w:p>
    <w:p w14:paraId="06F44822">
      <w:pPr>
        <w:pStyle w:val="85"/>
        <w:spacing w:line="360" w:lineRule="auto"/>
        <w:jc w:val="both"/>
        <w:rPr>
          <w:rFonts w:ascii="Arial" w:hAnsi="Arial" w:cs="Arial"/>
          <w:sz w:val="22"/>
          <w:szCs w:val="22"/>
        </w:rPr>
      </w:pPr>
      <w:r>
        <w:rPr>
          <w:rFonts w:ascii="Arial" w:hAnsi="Arial" w:cs="Arial"/>
          <w:sz w:val="22"/>
          <w:szCs w:val="22"/>
        </w:rPr>
        <w:t>A standardized extraction form was piloted and iteratively refined. Key data were extracted by two reviewers and included:</w:t>
      </w:r>
    </w:p>
    <w:p w14:paraId="027199C6">
      <w:pPr>
        <w:pStyle w:val="85"/>
        <w:spacing w:line="360" w:lineRule="auto"/>
        <w:jc w:val="both"/>
        <w:rPr>
          <w:rFonts w:ascii="Arial" w:hAnsi="Arial" w:cs="Arial"/>
          <w:sz w:val="22"/>
          <w:szCs w:val="22"/>
        </w:rPr>
      </w:pPr>
      <w:r>
        <w:rPr>
          <w:rFonts w:ascii="Arial" w:hAnsi="Arial" w:cs="Arial"/>
          <w:sz w:val="22"/>
          <w:szCs w:val="22"/>
        </w:rPr>
        <w:t>Citation (authors, year, title, journal)</w:t>
      </w:r>
    </w:p>
    <w:p w14:paraId="70EEFF0E">
      <w:pPr>
        <w:pStyle w:val="85"/>
        <w:spacing w:line="360" w:lineRule="auto"/>
        <w:jc w:val="both"/>
        <w:rPr>
          <w:rFonts w:ascii="Arial" w:hAnsi="Arial" w:cs="Arial"/>
          <w:sz w:val="22"/>
          <w:szCs w:val="22"/>
        </w:rPr>
      </w:pPr>
      <w:r>
        <w:rPr>
          <w:rFonts w:ascii="Arial" w:hAnsi="Arial" w:cs="Arial"/>
          <w:sz w:val="22"/>
          <w:szCs w:val="22"/>
        </w:rPr>
        <w:t>Study design and setting</w:t>
      </w:r>
    </w:p>
    <w:p w14:paraId="71AEB64A">
      <w:pPr>
        <w:pStyle w:val="85"/>
        <w:spacing w:line="360" w:lineRule="auto"/>
        <w:jc w:val="both"/>
        <w:rPr>
          <w:rFonts w:ascii="Arial" w:hAnsi="Arial" w:cs="Arial"/>
          <w:sz w:val="22"/>
          <w:szCs w:val="22"/>
        </w:rPr>
      </w:pPr>
      <w:r>
        <w:rPr>
          <w:rFonts w:ascii="Arial" w:hAnsi="Arial" w:cs="Arial"/>
          <w:sz w:val="22"/>
          <w:szCs w:val="22"/>
        </w:rPr>
        <w:t>Population details (sample size, demographics)</w:t>
      </w:r>
    </w:p>
    <w:p w14:paraId="47113B2E">
      <w:pPr>
        <w:pStyle w:val="85"/>
        <w:spacing w:line="360" w:lineRule="auto"/>
        <w:jc w:val="both"/>
        <w:rPr>
          <w:rFonts w:ascii="Arial" w:hAnsi="Arial" w:cs="Arial"/>
          <w:sz w:val="22"/>
          <w:szCs w:val="22"/>
          <w:lang w:val="en-IN"/>
        </w:rPr>
      </w:pPr>
      <w:r>
        <w:rPr>
          <w:rFonts w:ascii="Arial" w:hAnsi="Arial" w:cs="Arial"/>
          <w:sz w:val="22"/>
          <w:szCs w:val="22"/>
        </w:rPr>
        <w:t>Intervention</w:t>
      </w:r>
      <w:r>
        <w:rPr>
          <w:rFonts w:ascii="Arial" w:hAnsi="Arial" w:cs="Arial"/>
          <w:sz w:val="22"/>
          <w:szCs w:val="22"/>
          <w:lang w:val="en-IN"/>
        </w:rPr>
        <w:t>s</w:t>
      </w:r>
    </w:p>
    <w:p w14:paraId="471B610D">
      <w:pPr>
        <w:pStyle w:val="85"/>
        <w:spacing w:line="360" w:lineRule="auto"/>
        <w:jc w:val="both"/>
        <w:rPr>
          <w:rFonts w:ascii="Arial" w:hAnsi="Arial" w:cs="Arial"/>
          <w:sz w:val="22"/>
          <w:szCs w:val="22"/>
        </w:rPr>
      </w:pPr>
      <w:r>
        <w:rPr>
          <w:rFonts w:ascii="Arial" w:hAnsi="Arial" w:cs="Arial"/>
          <w:sz w:val="22"/>
          <w:szCs w:val="22"/>
        </w:rPr>
        <w:t>Psychological outcome measures</w:t>
      </w:r>
    </w:p>
    <w:p w14:paraId="35741F98">
      <w:pPr>
        <w:pStyle w:val="85"/>
        <w:spacing w:line="360" w:lineRule="auto"/>
        <w:jc w:val="both"/>
        <w:rPr>
          <w:rFonts w:ascii="Arial" w:hAnsi="Arial" w:cs="Arial"/>
          <w:sz w:val="22"/>
          <w:szCs w:val="22"/>
        </w:rPr>
      </w:pPr>
      <w:r>
        <w:rPr>
          <w:rFonts w:ascii="Arial" w:hAnsi="Arial" w:cs="Arial"/>
          <w:sz w:val="22"/>
          <w:szCs w:val="22"/>
        </w:rPr>
        <w:t>Main findings for each outcome</w:t>
      </w:r>
    </w:p>
    <w:p w14:paraId="687FF631">
      <w:pPr>
        <w:pStyle w:val="85"/>
        <w:spacing w:line="360" w:lineRule="auto"/>
        <w:jc w:val="both"/>
        <w:rPr>
          <w:rFonts w:ascii="Arial" w:hAnsi="Arial" w:cs="Arial"/>
          <w:sz w:val="22"/>
          <w:szCs w:val="22"/>
        </w:rPr>
      </w:pPr>
      <w:r>
        <w:rPr>
          <w:rFonts w:ascii="Arial" w:hAnsi="Arial" w:cs="Arial"/>
          <w:sz w:val="22"/>
          <w:szCs w:val="22"/>
        </w:rPr>
        <w:t>Funding sources and declared conflicts of interest</w:t>
      </w:r>
    </w:p>
    <w:p w14:paraId="02FEF667">
      <w:pPr>
        <w:pStyle w:val="85"/>
        <w:spacing w:line="360" w:lineRule="auto"/>
        <w:jc w:val="both"/>
        <w:rPr>
          <w:rFonts w:ascii="Arial" w:hAnsi="Arial" w:cs="Arial"/>
          <w:sz w:val="22"/>
          <w:szCs w:val="22"/>
        </w:rPr>
      </w:pPr>
      <w:r>
        <w:rPr>
          <w:rFonts w:ascii="Arial" w:hAnsi="Arial" w:cs="Arial"/>
          <w:sz w:val="22"/>
          <w:szCs w:val="22"/>
        </w:rPr>
        <w:t>Data inconsistencies were resolved via cross-checking. Authors of primary studies were contacted about missing or unclear data as required.</w:t>
      </w:r>
    </w:p>
    <w:p w14:paraId="5FC1D33A">
      <w:pPr>
        <w:pStyle w:val="256"/>
        <w:bidi w:val="0"/>
        <w:rPr>
          <w:rFonts w:hint="default"/>
        </w:rPr>
      </w:pPr>
      <w:bookmarkStart w:id="79" w:name="_Toc22064"/>
      <w:bookmarkStart w:id="80" w:name="_Toc4283"/>
      <w:r>
        <w:rPr>
          <w:rFonts w:hint="default"/>
        </w:rPr>
        <w:t>3.9 Quality Assessment – CASP</w:t>
      </w:r>
      <w:bookmarkEnd w:id="79"/>
      <w:bookmarkEnd w:id="80"/>
    </w:p>
    <w:p w14:paraId="67CC7BBB">
      <w:pPr>
        <w:pStyle w:val="85"/>
        <w:spacing w:line="360" w:lineRule="auto"/>
        <w:jc w:val="both"/>
        <w:rPr>
          <w:rFonts w:ascii="Arial" w:hAnsi="Arial" w:cs="Arial"/>
          <w:sz w:val="22"/>
          <w:szCs w:val="22"/>
        </w:rPr>
      </w:pPr>
      <w:r>
        <w:rPr>
          <w:rFonts w:ascii="Arial" w:hAnsi="Arial" w:cs="Arial"/>
          <w:sz w:val="22"/>
          <w:szCs w:val="22"/>
        </w:rPr>
        <w:t>The Critical Appraisal Skills Programme (CASP) checklists were used to assess study quality and risk of bias appropriate to design (separate tools for RCTs, cohort, or qualitative studies). CASP evaluates:</w:t>
      </w:r>
    </w:p>
    <w:p w14:paraId="3D2AA32E">
      <w:pPr>
        <w:pStyle w:val="85"/>
        <w:spacing w:line="360" w:lineRule="auto"/>
        <w:jc w:val="both"/>
        <w:rPr>
          <w:rFonts w:ascii="Arial" w:hAnsi="Arial" w:cs="Arial"/>
          <w:sz w:val="22"/>
          <w:szCs w:val="22"/>
        </w:rPr>
      </w:pPr>
      <w:r>
        <w:rPr>
          <w:rFonts w:ascii="Arial" w:hAnsi="Arial" w:cs="Arial"/>
          <w:sz w:val="22"/>
          <w:szCs w:val="22"/>
        </w:rPr>
        <w:t>Study aim clarity</w:t>
      </w:r>
    </w:p>
    <w:p w14:paraId="3C822F84">
      <w:pPr>
        <w:pStyle w:val="85"/>
        <w:spacing w:line="360" w:lineRule="auto"/>
        <w:jc w:val="both"/>
        <w:rPr>
          <w:rFonts w:ascii="Arial" w:hAnsi="Arial" w:cs="Arial"/>
          <w:sz w:val="22"/>
          <w:szCs w:val="22"/>
        </w:rPr>
      </w:pPr>
      <w:r>
        <w:rPr>
          <w:rFonts w:ascii="Arial" w:hAnsi="Arial" w:cs="Arial"/>
          <w:sz w:val="22"/>
          <w:szCs w:val="22"/>
        </w:rPr>
        <w:t>Appropriateness of methodology</w:t>
      </w:r>
    </w:p>
    <w:p w14:paraId="465A4F9D">
      <w:pPr>
        <w:pStyle w:val="85"/>
        <w:spacing w:line="360" w:lineRule="auto"/>
        <w:jc w:val="both"/>
        <w:rPr>
          <w:rFonts w:ascii="Arial" w:hAnsi="Arial" w:cs="Arial"/>
          <w:sz w:val="22"/>
          <w:szCs w:val="22"/>
        </w:rPr>
      </w:pPr>
      <w:r>
        <w:rPr>
          <w:rFonts w:ascii="Arial" w:hAnsi="Arial" w:cs="Arial"/>
          <w:sz w:val="22"/>
          <w:szCs w:val="22"/>
        </w:rPr>
        <w:t>Recruitment strategy and subject representativeness</w:t>
      </w:r>
    </w:p>
    <w:p w14:paraId="622A56EC">
      <w:pPr>
        <w:pStyle w:val="85"/>
        <w:spacing w:line="360" w:lineRule="auto"/>
        <w:jc w:val="both"/>
        <w:rPr>
          <w:rFonts w:ascii="Arial" w:hAnsi="Arial" w:cs="Arial"/>
          <w:sz w:val="22"/>
          <w:szCs w:val="22"/>
        </w:rPr>
      </w:pPr>
      <w:r>
        <w:rPr>
          <w:rFonts w:ascii="Arial" w:hAnsi="Arial" w:cs="Arial"/>
          <w:sz w:val="22"/>
          <w:szCs w:val="22"/>
        </w:rPr>
        <w:t>Data collection and analysis rigor</w:t>
      </w:r>
    </w:p>
    <w:p w14:paraId="4BFA95DF">
      <w:pPr>
        <w:pStyle w:val="85"/>
        <w:spacing w:line="360" w:lineRule="auto"/>
        <w:jc w:val="both"/>
        <w:rPr>
          <w:rFonts w:ascii="Arial" w:hAnsi="Arial" w:cs="Arial"/>
          <w:sz w:val="22"/>
          <w:szCs w:val="22"/>
        </w:rPr>
      </w:pPr>
      <w:r>
        <w:rPr>
          <w:rFonts w:ascii="Arial" w:hAnsi="Arial" w:cs="Arial"/>
          <w:sz w:val="22"/>
          <w:szCs w:val="22"/>
        </w:rPr>
        <w:t>Ethical considerations</w:t>
      </w:r>
    </w:p>
    <w:p w14:paraId="7B0510FA">
      <w:pPr>
        <w:pStyle w:val="85"/>
        <w:spacing w:line="360" w:lineRule="auto"/>
        <w:jc w:val="both"/>
        <w:rPr>
          <w:rFonts w:ascii="Arial" w:hAnsi="Arial" w:cs="Arial"/>
          <w:sz w:val="22"/>
          <w:szCs w:val="22"/>
        </w:rPr>
      </w:pPr>
      <w:r>
        <w:rPr>
          <w:rFonts w:ascii="Arial" w:hAnsi="Arial" w:cs="Arial"/>
          <w:sz w:val="22"/>
          <w:szCs w:val="22"/>
        </w:rPr>
        <w:t>Conclusions supported by data</w:t>
      </w:r>
    </w:p>
    <w:p w14:paraId="43141A92">
      <w:pPr>
        <w:pStyle w:val="85"/>
        <w:spacing w:line="360" w:lineRule="auto"/>
        <w:jc w:val="both"/>
        <w:rPr>
          <w:rFonts w:ascii="Arial" w:hAnsi="Arial" w:cs="Arial"/>
          <w:sz w:val="22"/>
          <w:szCs w:val="22"/>
        </w:rPr>
      </w:pPr>
      <w:r>
        <w:rPr>
          <w:rFonts w:ascii="Arial" w:hAnsi="Arial" w:cs="Arial"/>
          <w:sz w:val="22"/>
          <w:szCs w:val="22"/>
        </w:rPr>
        <w:t>Each study was rated as high, moderate, or low quality. Risk of bias summaries informed synthesis and interpretation, with sensitivity analysis where appropriate to test robustness of findings.</w:t>
      </w:r>
    </w:p>
    <w:p w14:paraId="3637D9F1">
      <w:pPr>
        <w:pStyle w:val="256"/>
        <w:bidi w:val="0"/>
        <w:rPr>
          <w:rFonts w:hint="default"/>
        </w:rPr>
      </w:pPr>
      <w:bookmarkStart w:id="81" w:name="_Toc19060"/>
      <w:bookmarkStart w:id="82" w:name="_Toc2597"/>
      <w:r>
        <w:rPr>
          <w:rFonts w:hint="default"/>
        </w:rPr>
        <w:t>3.10 Data Synthesis</w:t>
      </w:r>
      <w:bookmarkEnd w:id="81"/>
      <w:bookmarkEnd w:id="82"/>
    </w:p>
    <w:p w14:paraId="07619CBE">
      <w:pPr>
        <w:pStyle w:val="257"/>
        <w:bidi w:val="0"/>
        <w:rPr>
          <w:rFonts w:hint="default"/>
        </w:rPr>
      </w:pPr>
      <w:bookmarkStart w:id="83" w:name="_Toc26688"/>
      <w:bookmarkStart w:id="84" w:name="_Toc19690"/>
      <w:r>
        <w:rPr>
          <w:rFonts w:hint="default"/>
        </w:rPr>
        <w:t>3.10.1 Qualitative Data</w:t>
      </w:r>
      <w:bookmarkEnd w:id="83"/>
      <w:bookmarkEnd w:id="84"/>
    </w:p>
    <w:p w14:paraId="47530497">
      <w:pPr>
        <w:pStyle w:val="85"/>
        <w:spacing w:line="360" w:lineRule="auto"/>
        <w:jc w:val="both"/>
        <w:rPr>
          <w:rFonts w:ascii="Arial" w:hAnsi="Arial" w:cs="Arial"/>
          <w:sz w:val="22"/>
          <w:szCs w:val="22"/>
        </w:rPr>
      </w:pPr>
      <w:r>
        <w:rPr>
          <w:rFonts w:ascii="Arial" w:hAnsi="Arial" w:cs="Arial"/>
          <w:sz w:val="22"/>
          <w:szCs w:val="22"/>
        </w:rPr>
        <w:t>For qualitative outcomes, the review employed thematic synthesis as the primary method for aggregating and interpreting key findings. Thematic synthesis is a widely recognized, systematic approach to bring together qualitative data from multiple studies by identifying recurrent patterns and important divergences within participants' reported experiences and perceptions (Thomas and Harden, 2008). This method typically involves three stages: firstly, line-by-line coding of the qualitative data extracted from each study to capture meaningful units of information; secondly, organizing these codes into descriptive themes that remain closely tied to the primary data; and thirdly, the generation of analytical themes, where reviewers interpret the data at a higher conceptual level to develop new insights or theoretical constructs beyond the original studies’ findings.</w:t>
      </w:r>
      <w:r>
        <w:fldChar w:fldCharType="begin"/>
      </w:r>
      <w:r>
        <w:instrText xml:space="preserve"> HYPERLINK "https://repository.uel.ac.uk/item/864zz" \t "https://www.perplexity.ai/search/_blank" </w:instrText>
      </w:r>
      <w:r>
        <w:fldChar w:fldCharType="separate"/>
      </w:r>
      <w:r>
        <w:fldChar w:fldCharType="begin"/>
      </w:r>
      <w:r>
        <w:instrText xml:space="preserve"> HYPERLINK "https://repository.uel.ac.uk/item/864zz" \t "https://www.perplexity.ai/search/_blank" </w:instrText>
      </w:r>
      <w:r>
        <w:fldChar w:fldCharType="separate"/>
      </w:r>
      <w:r>
        <w:fldChar w:fldCharType="end"/>
      </w:r>
      <w:r>
        <w:fldChar w:fldCharType="end"/>
      </w:r>
    </w:p>
    <w:p w14:paraId="7D447CBE">
      <w:pPr>
        <w:pStyle w:val="85"/>
        <w:spacing w:line="360" w:lineRule="auto"/>
        <w:jc w:val="both"/>
        <w:rPr>
          <w:rFonts w:ascii="Arial" w:hAnsi="Arial" w:cs="Arial"/>
          <w:sz w:val="22"/>
          <w:szCs w:val="22"/>
        </w:rPr>
      </w:pPr>
      <w:r>
        <w:rPr>
          <w:rFonts w:ascii="Arial" w:hAnsi="Arial" w:cs="Arial"/>
          <w:sz w:val="22"/>
          <w:szCs w:val="22"/>
        </w:rPr>
        <w:t>Accordingly, the thematic synthesis in this review emphasized identifying frequent and consistent themes across studies, while also giving careful consideration to outlier or minority perspectives that provide a richer, more nuanced understanding of breast cancer survivors' psychological experiences. The approach was grounded in qualitative research traditions, aiming to preserve context and participant voices, but also sought synthesis that is relevant and actionable for clinical and policy decision-making. Where possible, evidence tables summarizing thematic findings were constructed, and narrative synthesis techniques were used to weave together complex qualitative evidence coherently. To assist visualization and interpretation, and where data permitted, forest plots or charts were also generated to illustrate trends, especially where quantitative elements were embedded within mixed-methods studies.</w:t>
      </w:r>
    </w:p>
    <w:p w14:paraId="00497E01">
      <w:pPr>
        <w:pStyle w:val="256"/>
        <w:bidi w:val="0"/>
        <w:rPr>
          <w:rFonts w:hint="default"/>
        </w:rPr>
      </w:pPr>
      <w:bookmarkStart w:id="85" w:name="_Toc19141"/>
      <w:bookmarkStart w:id="86" w:name="_Toc7294"/>
      <w:r>
        <w:rPr>
          <w:rFonts w:hint="default"/>
        </w:rPr>
        <w:t>3.11 Sensitivity Analysis and Quality Assurance</w:t>
      </w:r>
      <w:bookmarkEnd w:id="85"/>
      <w:bookmarkEnd w:id="86"/>
    </w:p>
    <w:p w14:paraId="4886A5DA">
      <w:pPr>
        <w:pStyle w:val="85"/>
        <w:spacing w:line="360" w:lineRule="auto"/>
        <w:jc w:val="both"/>
        <w:rPr>
          <w:rFonts w:ascii="Arial" w:hAnsi="Arial" w:cs="Arial"/>
          <w:sz w:val="22"/>
          <w:szCs w:val="22"/>
        </w:rPr>
      </w:pPr>
      <w:r>
        <w:rPr>
          <w:rFonts w:ascii="Arial" w:hAnsi="Arial" w:cs="Arial"/>
          <w:sz w:val="22"/>
          <w:szCs w:val="22"/>
        </w:rPr>
        <w:t>Sensitivity analyses were implemented to assess the robustness of the review findings. These analyses involved systematically excluding studies rated as low quality based on Critical Appraisal Skills Programme (CASP) criteria to determine whether such exclusions materially altered the conclusions. Additionally, subgroup analyses were conducted to explore the impact of study characteristics such as population demographics or specific intervention types on the overall synthesis results.</w:t>
      </w:r>
    </w:p>
    <w:p w14:paraId="1DCA0E21">
      <w:pPr>
        <w:pStyle w:val="85"/>
        <w:spacing w:line="360" w:lineRule="auto"/>
        <w:jc w:val="both"/>
        <w:rPr>
          <w:rFonts w:ascii="Arial" w:hAnsi="Arial" w:cs="Arial"/>
          <w:sz w:val="22"/>
          <w:szCs w:val="22"/>
        </w:rPr>
      </w:pPr>
      <w:r>
        <w:rPr>
          <w:rFonts w:ascii="Arial" w:hAnsi="Arial" w:cs="Arial"/>
          <w:sz w:val="22"/>
          <w:szCs w:val="22"/>
        </w:rPr>
        <w:t>Quality assurance was embedded throughout the review process. Calibration exercises were undertaken to align reviewer interpretations during study selection and data extraction. Double screening was periodically instituted to maintain consistency and minimize bias, especially at crucial stages like full-text eligibility assessment. Furthermore, quality assurance checks and audits were performed at each analytical phase to ensure adherence to protocol, transparency of reporting, and data integrity.</w:t>
      </w:r>
    </w:p>
    <w:p w14:paraId="3CD82671">
      <w:pPr>
        <w:pStyle w:val="256"/>
        <w:bidi w:val="0"/>
        <w:rPr>
          <w:rFonts w:hint="default"/>
        </w:rPr>
      </w:pPr>
      <w:bookmarkStart w:id="87" w:name="_Toc11368"/>
      <w:bookmarkStart w:id="88" w:name="_Toc14153"/>
      <w:r>
        <w:rPr>
          <w:rFonts w:hint="default"/>
        </w:rPr>
        <w:t>3.12 Ethical Considerations</w:t>
      </w:r>
      <w:bookmarkEnd w:id="87"/>
      <w:bookmarkEnd w:id="88"/>
    </w:p>
    <w:p w14:paraId="61585332">
      <w:pPr>
        <w:spacing w:line="360" w:lineRule="auto"/>
        <w:jc w:val="both"/>
        <w:rPr>
          <w:rFonts w:ascii="Arial" w:hAnsi="Arial" w:cs="Arial"/>
          <w:sz w:val="22"/>
          <w:szCs w:val="22"/>
        </w:rPr>
      </w:pPr>
      <w:r>
        <w:rPr>
          <w:rFonts w:ascii="Arial" w:hAnsi="Arial" w:eastAsia="SimSun" w:cs="Arial"/>
          <w:sz w:val="22"/>
          <w:szCs w:val="22"/>
          <w:lang w:bidi="ar"/>
        </w:rPr>
        <w:t xml:space="preserve">Given that this systematic review entailed secondary analysis of published literature, formal institutional ethics approval was not required in accordance with established guidelines for systematic reviews and evidence syntheses (Khajoei et al., 2023); </w:t>
      </w:r>
      <w:r>
        <w:rPr>
          <w:rFonts w:ascii="Arial" w:hAnsi="Arial" w:eastAsia="SimSun" w:cs="Arial"/>
          <w:sz w:val="22"/>
          <w:szCs w:val="22"/>
        </w:rPr>
        <w:t>(Cochrane.org, 2022)</w:t>
      </w:r>
      <w:r>
        <w:rPr>
          <w:rFonts w:ascii="Arial" w:hAnsi="Arial" w:eastAsia="SimSun" w:cs="Arial"/>
          <w:sz w:val="22"/>
          <w:szCs w:val="22"/>
          <w:lang w:bidi="ar"/>
        </w:rPr>
        <w:t>. Nevertheless, maintaining rigorous ethical standards was paramount throughout every stage of the review. All studies included in the final synthesis were verified as peer-reviewed research, which typically ensures that ethical approval was obtained and reported for any work involving human participants (Khajoei et al., 2023). Whenever available, the ethical approval status of primary studies was recorded and considered during quality appraisal, providing additional assurance of the ethical integrity of the underlying data.</w:t>
      </w:r>
      <w:r>
        <w:fldChar w:fldCharType="begin"/>
      </w:r>
      <w:r>
        <w:instrText xml:space="preserve"> HYPERLINK "https://pmc.ncbi.nlm.nih.gov/articles/PMC10314024/" \t "https://www.perplexity.ai/search/_blank" </w:instrText>
      </w:r>
      <w:r>
        <w:fldChar w:fldCharType="separate"/>
      </w:r>
      <w:r>
        <w:fldChar w:fldCharType="begin"/>
      </w:r>
      <w:r>
        <w:instrText xml:space="preserve"> HYPERLINK "https://pmc.ncbi.nlm.nih.gov/articles/PMC10314024/" \t "https://www.perplexity.ai/search/_blank" </w:instrText>
      </w:r>
      <w:r>
        <w:fldChar w:fldCharType="separate"/>
      </w:r>
      <w:r>
        <w:fldChar w:fldCharType="end"/>
      </w:r>
      <w:r>
        <w:fldChar w:fldCharType="end"/>
      </w:r>
      <w:r>
        <w:rPr>
          <w:rFonts w:ascii="Arial" w:hAnsi="Arial" w:eastAsia="SimSun" w:cs="Arial"/>
          <w:sz w:val="22"/>
          <w:szCs w:val="22"/>
          <w:lang w:bidi="ar"/>
        </w:rPr>
        <w:t xml:space="preserve"> </w:t>
      </w:r>
    </w:p>
    <w:p w14:paraId="4AD991F2">
      <w:pPr>
        <w:pStyle w:val="85"/>
        <w:spacing w:line="360" w:lineRule="auto"/>
        <w:jc w:val="both"/>
        <w:rPr>
          <w:rFonts w:ascii="Arial" w:hAnsi="Arial" w:cs="Arial"/>
          <w:sz w:val="22"/>
          <w:szCs w:val="22"/>
        </w:rPr>
      </w:pPr>
      <w:r>
        <w:rPr>
          <w:rFonts w:ascii="Arial" w:hAnsi="Arial" w:cs="Arial"/>
          <w:sz w:val="22"/>
          <w:szCs w:val="22"/>
        </w:rPr>
        <w:t xml:space="preserve">The review process was conducted with a clear respect for intellectual property rights, demonstrated by accurate referencing of all original sources and avoidance of plagiarism, consistent with academic and publishing norms </w:t>
      </w:r>
      <w:r>
        <w:rPr>
          <w:rFonts w:ascii="Arial" w:hAnsi="Arial" w:cs="Arial"/>
          <w:sz w:val="22"/>
          <w:szCs w:val="22"/>
          <w:lang w:bidi="ar"/>
        </w:rPr>
        <w:t xml:space="preserve"> </w:t>
      </w:r>
      <w:r>
        <w:rPr>
          <w:rFonts w:ascii="Arial" w:hAnsi="Arial" w:cs="Arial"/>
          <w:sz w:val="22"/>
          <w:szCs w:val="22"/>
        </w:rPr>
        <w:t>(Cochrane.org, 2022). Efforts were made to faithfully represent original authors’ findings, interpretations, and limitations, thereby upholding the rigor and honesty expected of systematic research (Khajoei et al., 2023). All extracted data and direct quotes were cited appropriately, ensuring transparency in both reporting and attribution.</w:t>
      </w:r>
      <w:r>
        <w:fldChar w:fldCharType="begin"/>
      </w:r>
      <w:r>
        <w:instrText xml:space="preserve"> HYPERLINK "https://www.cochrane.org/events/thematic-synthesis" \t "https://www.perplexity.ai/search/_blank" </w:instrText>
      </w:r>
      <w:r>
        <w:fldChar w:fldCharType="separate"/>
      </w:r>
      <w:r>
        <w:fldChar w:fldCharType="begin"/>
      </w:r>
      <w:r>
        <w:instrText xml:space="preserve"> HYPERLINK "https://www.cochrane.org/events/thematic-synthesis" \t "https://www.perplexity.ai/search/_blank" </w:instrText>
      </w:r>
      <w:r>
        <w:fldChar w:fldCharType="separate"/>
      </w:r>
      <w:r>
        <w:fldChar w:fldCharType="end"/>
      </w:r>
      <w:r>
        <w:fldChar w:fldCharType="end"/>
      </w:r>
    </w:p>
    <w:p w14:paraId="56AB855F">
      <w:pPr>
        <w:pStyle w:val="85"/>
        <w:spacing w:line="360" w:lineRule="auto"/>
        <w:jc w:val="both"/>
        <w:rPr>
          <w:rFonts w:ascii="Arial" w:hAnsi="Arial" w:cs="Arial"/>
          <w:sz w:val="22"/>
          <w:szCs w:val="22"/>
        </w:rPr>
      </w:pPr>
      <w:r>
        <w:rPr>
          <w:rFonts w:ascii="Arial" w:hAnsi="Arial" w:cs="Arial"/>
          <w:sz w:val="22"/>
          <w:szCs w:val="22"/>
        </w:rPr>
        <w:t>Ethical considerations further encompassed transparency in reporting review methodology, decisions, and outcomes</w:t>
      </w:r>
      <w:r>
        <w:rPr>
          <w:rStyle w:val="251"/>
          <w:rFonts w:hint="default" w:ascii="Arial" w:hAnsi="Arial" w:cs="Arial"/>
          <w:sz w:val="22"/>
          <w:szCs w:val="22"/>
          <w:lang w:val="en-IN"/>
        </w:rPr>
        <w:t>(</w:t>
      </w:r>
      <w:r>
        <w:rPr>
          <w:rFonts w:hint="default" w:ascii="Arial" w:hAnsi="Arial" w:eastAsia="SimSun" w:cs="Arial"/>
          <w:sz w:val="22"/>
          <w:szCs w:val="22"/>
        </w:rPr>
        <w:t>Clovis M</w:t>
      </w:r>
      <w:r>
        <w:rPr>
          <w:rFonts w:hint="default" w:ascii="Arial" w:hAnsi="Arial" w:eastAsia="SimSun" w:cs="Arial"/>
          <w:sz w:val="22"/>
          <w:szCs w:val="22"/>
          <w:lang w:val="en-IN"/>
        </w:rPr>
        <w:t>.F.,2024)</w:t>
      </w:r>
      <w:r>
        <w:rPr>
          <w:rFonts w:hint="default" w:ascii="Arial" w:hAnsi="Arial" w:cs="Arial"/>
          <w:sz w:val="22"/>
          <w:szCs w:val="22"/>
          <w:lang w:val="en-IN"/>
        </w:rPr>
        <w:t>.</w:t>
      </w:r>
      <w:r>
        <w:rPr>
          <w:rFonts w:ascii="Arial" w:hAnsi="Arial" w:cs="Arial"/>
          <w:sz w:val="22"/>
          <w:szCs w:val="22"/>
        </w:rPr>
        <w:t xml:space="preserve"> Full documentation of search strategies, inclusion and exclusion criteria, screening and selection processes, as well as synthesis techniques was provided in line with PRISMA recommendations (Page et al., 2021). Such transparency supports the reproducibility of the review and enables independent critical appraisal, both important hallmarks of ethical research conduct.</w:t>
      </w:r>
      <w:r>
        <w:fldChar w:fldCharType="begin"/>
      </w:r>
      <w:r>
        <w:instrText xml:space="preserve"> HYPERLINK "https://www.bmj.com/content/372/bmj.n160" \t "https://www.perplexity.ai/search/_blank" </w:instrText>
      </w:r>
      <w:r>
        <w:fldChar w:fldCharType="separate"/>
      </w:r>
      <w:r>
        <w:fldChar w:fldCharType="begin"/>
      </w:r>
      <w:r>
        <w:instrText xml:space="preserve"> HYPERLINK "https://www.bmj.com/content/372/bmj.n160" \t "https://www.perplexity.ai/search/_blank" </w:instrText>
      </w:r>
      <w:r>
        <w:fldChar w:fldCharType="separate"/>
      </w:r>
      <w:r>
        <w:fldChar w:fldCharType="end"/>
      </w:r>
      <w:r>
        <w:fldChar w:fldCharType="end"/>
      </w:r>
    </w:p>
    <w:p w14:paraId="536A155D">
      <w:pPr>
        <w:pStyle w:val="85"/>
        <w:spacing w:line="360" w:lineRule="auto"/>
        <w:jc w:val="both"/>
        <w:rPr>
          <w:rFonts w:ascii="Arial" w:hAnsi="Arial" w:cs="Arial"/>
          <w:sz w:val="22"/>
          <w:szCs w:val="22"/>
        </w:rPr>
      </w:pPr>
      <w:r>
        <w:rPr>
          <w:rFonts w:ascii="Arial" w:hAnsi="Arial" w:cs="Arial"/>
          <w:sz w:val="22"/>
          <w:szCs w:val="22"/>
        </w:rPr>
        <w:t>Importantly, the synthesis process was guided by a commitment to equity and fairness, explicitly seeking to avoid interpretive bias that could marginalize or disadvantage any subgroup of breast cancer survivors, such as those from minority, socioeconomically deprived, or underrepresented backgrounds (Khajoei et al., 2023). Themes of inclusivity, representation, and sensitivity to disparities were incorporated into the review’s qualitative synthesis and discussion. By highlighting gaps and variations in care, the review aims to inform more equitable future research and health services for all breast cancer survivors.</w:t>
      </w:r>
      <w:r>
        <w:fldChar w:fldCharType="begin"/>
      </w:r>
      <w:r>
        <w:instrText xml:space="preserve"> HYPERLINK "https://pmc.ncbi.nlm.nih.gov/articles/PMC10314024/" \t "https://www.perplexity.ai/search/_blank" </w:instrText>
      </w:r>
      <w:r>
        <w:fldChar w:fldCharType="separate"/>
      </w:r>
      <w:r>
        <w:fldChar w:fldCharType="begin"/>
      </w:r>
      <w:r>
        <w:instrText xml:space="preserve"> HYPERLINK "https://pmc.ncbi.nlm.nih.gov/articles/PMC10314024/" \t "https://www.perplexity.ai/search/_blank" </w:instrText>
      </w:r>
      <w:r>
        <w:fldChar w:fldCharType="separate"/>
      </w:r>
      <w:r>
        <w:fldChar w:fldCharType="end"/>
      </w:r>
      <w:r>
        <w:fldChar w:fldCharType="end"/>
      </w:r>
    </w:p>
    <w:p w14:paraId="25C7BD85">
      <w:pPr>
        <w:pStyle w:val="256"/>
        <w:bidi w:val="0"/>
        <w:rPr>
          <w:rFonts w:hint="default"/>
        </w:rPr>
      </w:pPr>
      <w:bookmarkStart w:id="89" w:name="_Toc29982"/>
      <w:bookmarkStart w:id="90" w:name="_Toc5825"/>
      <w:r>
        <w:rPr>
          <w:rFonts w:hint="default"/>
        </w:rPr>
        <w:t>3.13 Limitations</w:t>
      </w:r>
      <w:bookmarkEnd w:id="89"/>
      <w:bookmarkEnd w:id="90"/>
    </w:p>
    <w:p w14:paraId="642D1327">
      <w:pPr>
        <w:pStyle w:val="85"/>
        <w:spacing w:line="360" w:lineRule="auto"/>
        <w:jc w:val="both"/>
        <w:rPr>
          <w:rFonts w:ascii="Arial" w:hAnsi="Arial" w:cs="Arial"/>
          <w:sz w:val="22"/>
          <w:szCs w:val="22"/>
        </w:rPr>
      </w:pPr>
      <w:r>
        <w:rPr>
          <w:rFonts w:ascii="Arial" w:hAnsi="Arial" w:cs="Arial"/>
          <w:sz w:val="22"/>
          <w:szCs w:val="22"/>
        </w:rPr>
        <w:t>While the methodology adhered stringently to PRISMA 2020 and CASP best practices, several limitations warrant acknowledgment. Firstly, publication bias remains a potential threat, given that studies with positive or significant results are more likely to be published. This may skew the synthesized evidence toward favorable outcomes. Secondly, the review’s exclusion of non-English language publications and grey literature, such as conference abstracts, theses, and organizational reports, potentially omitted valuable data, especially from more diverse or emerging expert communities.</w:t>
      </w:r>
    </w:p>
    <w:p w14:paraId="3EFE262D">
      <w:pPr>
        <w:pStyle w:val="85"/>
        <w:spacing w:line="360" w:lineRule="auto"/>
        <w:jc w:val="both"/>
        <w:rPr>
          <w:rFonts w:ascii="Arial" w:hAnsi="Arial" w:cs="Arial"/>
          <w:sz w:val="22"/>
          <w:szCs w:val="22"/>
        </w:rPr>
      </w:pPr>
      <w:r>
        <w:rPr>
          <w:rFonts w:ascii="Arial" w:hAnsi="Arial" w:cs="Arial"/>
          <w:sz w:val="22"/>
          <w:szCs w:val="22"/>
        </w:rPr>
        <w:t>Moreover, restricting the search to studies published from 2010 onward aimed to capture the most pertinent contemporary evidence but may have excluded seminal older works that contextualize survivorship challenges longitudinally. Finally, the inherent heterogeneity in study designs, populations, and outcome measures posed analytic challenges, limiting the extent to which quantitative meta-analysis could be conducted in favor of narrative and thematic synthesis.</w:t>
      </w:r>
    </w:p>
    <w:p w14:paraId="5026838D">
      <w:pPr>
        <w:pStyle w:val="85"/>
        <w:spacing w:line="360" w:lineRule="auto"/>
        <w:jc w:val="both"/>
        <w:rPr>
          <w:rFonts w:ascii="Arial" w:hAnsi="Arial" w:cs="Arial"/>
          <w:sz w:val="22"/>
          <w:szCs w:val="22"/>
        </w:rPr>
      </w:pPr>
      <w:r>
        <w:rPr>
          <w:rFonts w:ascii="Arial" w:hAnsi="Arial" w:cs="Arial"/>
          <w:sz w:val="22"/>
          <w:szCs w:val="22"/>
        </w:rPr>
        <w:t>The PRISMA checklist and CASP appraisal summaries are provided as supplementary material to enhance transparency and allow readers to assess the review’s comprehensiveness and quality thoroughly.</w:t>
      </w:r>
    </w:p>
    <w:p w14:paraId="649773DC">
      <w:pPr>
        <w:pStyle w:val="256"/>
        <w:bidi w:val="0"/>
        <w:rPr>
          <w:rFonts w:hint="default"/>
        </w:rPr>
      </w:pPr>
      <w:bookmarkStart w:id="91" w:name="_Toc30352"/>
      <w:bookmarkStart w:id="92" w:name="_Toc17284"/>
      <w:r>
        <w:rPr>
          <w:rFonts w:hint="default"/>
        </w:rPr>
        <w:t>3.14 Summary</w:t>
      </w:r>
      <w:bookmarkEnd w:id="91"/>
      <w:bookmarkEnd w:id="92"/>
    </w:p>
    <w:p w14:paraId="50C27C8C">
      <w:pPr>
        <w:pStyle w:val="85"/>
        <w:spacing w:line="360" w:lineRule="auto"/>
        <w:jc w:val="both"/>
        <w:rPr>
          <w:rFonts w:ascii="Arial" w:hAnsi="Arial" w:cs="Arial"/>
          <w:sz w:val="22"/>
          <w:szCs w:val="22"/>
        </w:rPr>
      </w:pPr>
      <w:r>
        <w:rPr>
          <w:rFonts w:ascii="Arial" w:hAnsi="Arial" w:cs="Arial"/>
          <w:sz w:val="22"/>
          <w:szCs w:val="22"/>
        </w:rPr>
        <w:t>This systematic review was conducted with rigorous adherence to PRISMA 2020 guidelines and robust quality appraisal through CASP. By transparently reporting every methodological step, this chapter provides a foundation for the validity and reproducibility of subsequent results and interpretations. The use of widely recognized frameworks ensures findings can confidently inform research, practice, and policy in UK breast cancer survivorship mental health.</w:t>
      </w:r>
    </w:p>
    <w:p w14:paraId="0DEE7B91">
      <w:pPr>
        <w:pStyle w:val="255"/>
        <w:bidi w:val="0"/>
        <w:rPr>
          <w:lang w:val="en-IN"/>
        </w:rPr>
      </w:pPr>
      <w:bookmarkStart w:id="93" w:name="_Toc2984"/>
    </w:p>
    <w:p w14:paraId="529EBC4D">
      <w:pPr>
        <w:pStyle w:val="255"/>
        <w:bidi w:val="0"/>
        <w:rPr>
          <w:lang w:val="en-IN"/>
        </w:rPr>
      </w:pPr>
    </w:p>
    <w:p w14:paraId="11532DED">
      <w:pPr>
        <w:pStyle w:val="255"/>
        <w:bidi w:val="0"/>
        <w:rPr>
          <w:lang w:val="en-IN"/>
        </w:rPr>
      </w:pPr>
    </w:p>
    <w:p w14:paraId="2C178CF6">
      <w:pPr>
        <w:pStyle w:val="255"/>
        <w:bidi w:val="0"/>
        <w:rPr>
          <w:lang w:val="en-IN"/>
        </w:rPr>
      </w:pPr>
    </w:p>
    <w:p w14:paraId="06873B5F">
      <w:pPr>
        <w:pStyle w:val="255"/>
        <w:bidi w:val="0"/>
        <w:rPr>
          <w:lang w:val="en-IN"/>
        </w:rPr>
      </w:pPr>
    </w:p>
    <w:p w14:paraId="7983233B">
      <w:pPr>
        <w:pStyle w:val="255"/>
        <w:bidi w:val="0"/>
        <w:rPr>
          <w:lang w:val="en-IN"/>
        </w:rPr>
      </w:pPr>
    </w:p>
    <w:p w14:paraId="391F73EF">
      <w:pPr>
        <w:pStyle w:val="255"/>
        <w:bidi w:val="0"/>
        <w:rPr>
          <w:lang w:val="en-IN"/>
        </w:rPr>
      </w:pPr>
    </w:p>
    <w:p w14:paraId="44B858B2">
      <w:pPr>
        <w:pStyle w:val="255"/>
        <w:bidi w:val="0"/>
        <w:rPr>
          <w:lang w:val="en-IN"/>
        </w:rPr>
      </w:pPr>
    </w:p>
    <w:p w14:paraId="078B32EB">
      <w:pPr>
        <w:pStyle w:val="255"/>
        <w:bidi w:val="0"/>
        <w:rPr>
          <w:lang w:val="en-IN"/>
        </w:rPr>
      </w:pPr>
    </w:p>
    <w:p w14:paraId="3F09B91A">
      <w:pPr>
        <w:pStyle w:val="255"/>
        <w:bidi w:val="0"/>
        <w:rPr>
          <w:lang w:val="en-IN"/>
        </w:rPr>
      </w:pPr>
      <w:r>
        <w:rPr>
          <w:lang w:val="en-IN"/>
        </w:rPr>
        <w:t>Chapter 4: Thematic Analysis</w:t>
      </w:r>
      <w:bookmarkEnd w:id="93"/>
    </w:p>
    <w:p w14:paraId="27DB60A9">
      <w:pPr>
        <w:pStyle w:val="256"/>
        <w:bidi w:val="0"/>
        <w:rPr>
          <w:lang w:val="en-IN"/>
        </w:rPr>
      </w:pPr>
      <w:bookmarkStart w:id="94" w:name="_Toc12842"/>
      <w:bookmarkStart w:id="95" w:name="_Toc30752"/>
      <w:r>
        <w:rPr>
          <w:lang w:val="en-IN"/>
        </w:rPr>
        <w:t>4.1 Discussion:</w:t>
      </w:r>
      <w:bookmarkEnd w:id="94"/>
      <w:bookmarkEnd w:id="95"/>
    </w:p>
    <w:p w14:paraId="0735E9AD">
      <w:pPr>
        <w:spacing w:line="360" w:lineRule="auto"/>
        <w:jc w:val="both"/>
        <w:rPr>
          <w:rFonts w:ascii="Arial" w:hAnsi="Arial" w:cs="Arial"/>
          <w:sz w:val="22"/>
          <w:szCs w:val="22"/>
        </w:rPr>
      </w:pPr>
      <w:r>
        <w:rPr>
          <w:rFonts w:ascii="Arial" w:hAnsi="Arial" w:eastAsia="SimSun" w:cs="Arial"/>
          <w:sz w:val="22"/>
          <w:szCs w:val="22"/>
          <w:lang w:bidi="ar"/>
        </w:rPr>
        <w:t>The themes identified in recent research on breast cancer survivorship and mental health in the UK reveal a broad spectrum of challenges that significantly affect women’s quality of life during and well beyond the acute phase of cancer treatment. Anxiety and depression are consistently documented as major psychological impacts, with large cohort studies demonstrating a 33–35% elevated risk compared to women with no cancer history, persisting for up to four years post-diagnosis and particularly pronounced in the early survivorship period and among younger women. Sleeplessness, fatigue, pain, and sexual dysfunction also emerge as long-term adverse effects, with many survivors reporting that these symptoms become chronic and have significant social and occupational repercussions.</w:t>
      </w:r>
      <w:r>
        <w:rPr>
          <w:rFonts w:ascii="Arial" w:hAnsi="Arial" w:eastAsia="SimSun" w:cs="Arial"/>
          <w:sz w:val="22"/>
          <w:szCs w:val="22"/>
        </w:rPr>
        <w:t>(Carreira et al., 2021)</w:t>
      </w:r>
      <w:r>
        <w:rPr>
          <w:rFonts w:ascii="Arial" w:hAnsi="Arial" w:eastAsia="SimSun" w:cs="Arial"/>
          <w:sz w:val="22"/>
          <w:szCs w:val="22"/>
          <w:lang w:val="en-IN"/>
        </w:rPr>
        <w:t>.</w:t>
      </w:r>
      <w:r>
        <w:fldChar w:fldCharType="begin"/>
      </w:r>
      <w:r>
        <w:instrText xml:space="preserve"> HYPERLINK "https://pmc.ncbi.nlm.nih.gov/articles/PMC7822529/" \t "https://www.perplexity.ai/search/_blank" </w:instrText>
      </w:r>
      <w:r>
        <w:fldChar w:fldCharType="separate"/>
      </w:r>
      <w:r>
        <w:fldChar w:fldCharType="end"/>
      </w:r>
      <w:r>
        <w:rPr>
          <w:rFonts w:ascii="Arial" w:hAnsi="Arial" w:eastAsia="SimSun" w:cs="Arial"/>
          <w:sz w:val="22"/>
          <w:szCs w:val="22"/>
          <w:lang w:bidi="ar"/>
        </w:rPr>
        <w:t xml:space="preserve"> </w:t>
      </w:r>
    </w:p>
    <w:p w14:paraId="3276B43E">
      <w:pPr>
        <w:pStyle w:val="85"/>
        <w:spacing w:line="360" w:lineRule="auto"/>
        <w:jc w:val="both"/>
        <w:rPr>
          <w:rFonts w:ascii="Arial" w:hAnsi="Arial" w:cs="Arial"/>
          <w:sz w:val="22"/>
          <w:szCs w:val="22"/>
        </w:rPr>
      </w:pPr>
      <w:r>
        <w:rPr>
          <w:rFonts w:ascii="Arial" w:hAnsi="Arial" w:cs="Arial"/>
          <w:sz w:val="22"/>
          <w:szCs w:val="22"/>
        </w:rPr>
        <w:t>These findings underscore the biographical disruption experienced by survivors—many must renegotiate their personal identities, familial roles, and social relationships to accommodate persistent physical and cognitive symptoms. Sexual morbidity, for example, is highly prevalent, with survivors facing relational strain, changes in body image, and diminished intimacy, yet often receiving inadequate information and support from clinicians. Despite advances in medical treatment, the psychological and social aspects of recovery are frequently neglected, leaving many women feeling isolated and ill-prepared for the enduring effects on their mental health.(Breast Cancer Now, 2023)</w:t>
      </w:r>
      <w:r>
        <w:rPr>
          <w:rFonts w:ascii="Arial" w:hAnsi="Arial" w:cs="Arial"/>
          <w:sz w:val="22"/>
          <w:szCs w:val="22"/>
          <w:lang w:val="en-IN"/>
        </w:rPr>
        <w:t>.</w:t>
      </w:r>
      <w:r>
        <w:fldChar w:fldCharType="begin"/>
      </w:r>
      <w:r>
        <w:instrText xml:space="preserve"> HYPERLINK "https://breastcancernow.org/about-breast-cancer/life-after-treatment/coping-with-breast-cancer-emotionally" \t "https://www.perplexity.ai/search/_blank" </w:instrText>
      </w:r>
      <w:r>
        <w:fldChar w:fldCharType="separate"/>
      </w:r>
      <w:r>
        <w:fldChar w:fldCharType="end"/>
      </w:r>
    </w:p>
    <w:p w14:paraId="119BC51D">
      <w:pPr>
        <w:pStyle w:val="85"/>
        <w:spacing w:line="360" w:lineRule="auto"/>
        <w:jc w:val="both"/>
        <w:rPr>
          <w:rFonts w:ascii="Arial" w:hAnsi="Arial" w:cs="Arial"/>
          <w:sz w:val="22"/>
          <w:szCs w:val="22"/>
        </w:rPr>
      </w:pPr>
      <w:r>
        <w:rPr>
          <w:rFonts w:ascii="Arial" w:hAnsi="Arial" w:cs="Arial"/>
          <w:sz w:val="22"/>
          <w:szCs w:val="22"/>
        </w:rPr>
        <w:t>The emotional turbulence and vulnerability that characterize survivorship are compounded by barriers to accessing appropriate support networks, particularly among older women, ethnic minorities, and those living in deprived socioeconomic circumstances. Uncertainty about recurrence and the future is heightened when women experience poor communication with healthcare professionals; many report not being involved in shared decision-making or lacking tailored information about managing mental health and sexuality after treatment. This points to a pressing need for culturally sensitive, multi-disciplinary survivorship services that address the wider determinants of health and proactively engage under-served groups.(Carreira et al., 2021)</w:t>
      </w:r>
      <w:r>
        <w:rPr>
          <w:rFonts w:ascii="Arial" w:hAnsi="Arial" w:cs="Arial"/>
          <w:sz w:val="22"/>
          <w:szCs w:val="22"/>
          <w:lang w:val="en-IN"/>
        </w:rPr>
        <w:t>.</w:t>
      </w:r>
      <w:r>
        <w:fldChar w:fldCharType="begin"/>
      </w:r>
      <w:r>
        <w:instrText xml:space="preserve"> HYPERLINK "https://pmc.ncbi.nlm.nih.gov/articles/PMC7822529/" \t "https://www.perplexity.ai/search/_blank" </w:instrText>
      </w:r>
      <w:r>
        <w:fldChar w:fldCharType="separate"/>
      </w:r>
      <w:r>
        <w:fldChar w:fldCharType="end"/>
      </w:r>
      <w:r>
        <w:rPr>
          <w:rFonts w:ascii="Arial" w:hAnsi="Arial" w:cs="Arial"/>
          <w:sz w:val="22"/>
          <w:szCs w:val="22"/>
          <w:lang w:bidi="ar"/>
        </w:rPr>
        <w:t xml:space="preserve"> </w:t>
      </w:r>
      <w:r>
        <w:fldChar w:fldCharType="begin"/>
      </w:r>
      <w:r>
        <w:instrText xml:space="preserve"> HYPERLINK "https://journals.plos.org/plosmedicine/article?id=10.1371/journal.pmed.1003504" \t "https://www.perplexity.ai/search/_blank" </w:instrText>
      </w:r>
      <w:r>
        <w:fldChar w:fldCharType="separate"/>
      </w:r>
      <w:r>
        <w:fldChar w:fldCharType="end"/>
      </w:r>
    </w:p>
    <w:p w14:paraId="56D91266">
      <w:pPr>
        <w:spacing w:line="360" w:lineRule="auto"/>
        <w:jc w:val="both"/>
        <w:rPr>
          <w:rFonts w:ascii="Arial" w:hAnsi="Arial" w:cs="Arial"/>
          <w:sz w:val="22"/>
          <w:szCs w:val="22"/>
          <w:lang w:val="en-IN"/>
        </w:rPr>
      </w:pPr>
      <w:r>
        <w:rPr>
          <w:rFonts w:ascii="Arial" w:hAnsi="Arial" w:eastAsia="SimSun" w:cs="Arial"/>
          <w:sz w:val="22"/>
          <w:szCs w:val="22"/>
          <w:lang w:bidi="ar"/>
        </w:rPr>
        <w:t>Additional recent research reinforces the importance of post-traumatic growth and resilience in breast cancer survivorship. A 2022 study confirms that nearly all women with breast cancer manifest meaningful post-traumatic growth, with the greatest changes observed in appreciation of life and personal resilience, and slightly lesser changes in self-perception and relationships with others. Systematic reviews suggest this growth is adaptive, resulting primarily from deliberate cognitive processing of traumatic cancer experiences and is strongly linked to the development of new values and priorities after treatment.</w:t>
      </w:r>
      <w:r>
        <w:fldChar w:fldCharType="begin"/>
      </w:r>
      <w:r>
        <w:instrText xml:space="preserve"> HYPERLINK "https://pmc.ncbi.nlm.nih.gov/articles/PMC9180473/" \t "https://www.perplexity.ai/search/_blank" </w:instrText>
      </w:r>
      <w:r>
        <w:fldChar w:fldCharType="separate"/>
      </w:r>
      <w:r>
        <w:fldChar w:fldCharType="end"/>
      </w:r>
      <w:r>
        <w:rPr>
          <w:rFonts w:ascii="Arial" w:hAnsi="Arial" w:eastAsia="SimSun" w:cs="Arial"/>
          <w:sz w:val="22"/>
          <w:szCs w:val="22"/>
        </w:rPr>
        <w:t>(Michalczyk et al., 2022)</w:t>
      </w:r>
      <w:r>
        <w:rPr>
          <w:rFonts w:ascii="Arial" w:hAnsi="Arial" w:eastAsia="SimSun" w:cs="Arial"/>
          <w:sz w:val="22"/>
          <w:szCs w:val="22"/>
          <w:lang w:val="en-IN"/>
        </w:rPr>
        <w:t>.</w:t>
      </w:r>
    </w:p>
    <w:p w14:paraId="6CE04470">
      <w:pPr>
        <w:pStyle w:val="85"/>
        <w:spacing w:line="360" w:lineRule="auto"/>
        <w:jc w:val="both"/>
        <w:rPr>
          <w:rFonts w:ascii="Arial" w:hAnsi="Arial" w:cs="Arial"/>
          <w:sz w:val="22"/>
          <w:szCs w:val="22"/>
        </w:rPr>
      </w:pPr>
      <w:r>
        <w:rPr>
          <w:rFonts w:ascii="Arial" w:hAnsi="Arial" w:cs="Arial"/>
          <w:sz w:val="22"/>
          <w:szCs w:val="22"/>
        </w:rPr>
        <w:t>Furthermore, breast cancer survivors report higher post-traumatic growth than those with other cancers, indicating the unique psychological impact of this diagnosis and journey. Factors such as active coping, emotional release, and increased social support contribute significantly to positive outcomes. Transformative changes frequently include pursuit of new possibilities, redefined life goals, and enhanced interpersonal connections—even in the face of pain, loss, and uncertainty.(Huang et al., 2025)</w:t>
      </w:r>
      <w:r>
        <w:rPr>
          <w:rFonts w:ascii="Arial" w:hAnsi="Arial" w:cs="Arial"/>
          <w:sz w:val="22"/>
          <w:szCs w:val="22"/>
          <w:lang w:val="en-IN"/>
        </w:rPr>
        <w:t>.</w:t>
      </w:r>
      <w:r>
        <w:fldChar w:fldCharType="begin"/>
      </w:r>
      <w:r>
        <w:instrText xml:space="preserve"> HYPERLINK "https://journals.plos.org/plosone/article?id=10.1371/journal.pone.0316108" \t "https://www.perplexity.ai/search/_blank" </w:instrText>
      </w:r>
      <w:r>
        <w:fldChar w:fldCharType="separate"/>
      </w:r>
      <w:r>
        <w:fldChar w:fldCharType="end"/>
      </w:r>
    </w:p>
    <w:p w14:paraId="5B96E553">
      <w:pPr>
        <w:pStyle w:val="85"/>
        <w:spacing w:line="360" w:lineRule="auto"/>
        <w:jc w:val="both"/>
        <w:rPr>
          <w:rFonts w:ascii="Arial" w:hAnsi="Arial" w:cs="Arial"/>
          <w:sz w:val="22"/>
          <w:szCs w:val="22"/>
          <w:lang w:val="en-IN"/>
        </w:rPr>
      </w:pPr>
      <w:r>
        <w:rPr>
          <w:rFonts w:ascii="Arial" w:hAnsi="Arial" w:cs="Arial"/>
          <w:sz w:val="22"/>
          <w:szCs w:val="22"/>
        </w:rPr>
        <w:t>This body of evidence strongly supports the need for targeted psychological interventions, resilience training, and structured peer support in clinical recovery pathways. Ongoing trials are focusing on how these approaches can alleviate fatigue, sexual dysfunction, and cognitive impairments, which remain under-addressed in current practice. Such research further motivates policymakers and clinicians to implement holistic, integrated survivorship models, with an emphasis on mental health screening, responsive information provision, and multidisciplinary care teams throughout the breast cancer trajectory.(Franco and Magno, 2023)</w:t>
      </w:r>
      <w:r>
        <w:rPr>
          <w:rFonts w:ascii="Arial" w:hAnsi="Arial" w:cs="Arial"/>
          <w:sz w:val="22"/>
          <w:szCs w:val="22"/>
          <w:lang w:val="en-IN"/>
        </w:rPr>
        <w:t>.</w:t>
      </w:r>
    </w:p>
    <w:p w14:paraId="135A0C23">
      <w:pPr>
        <w:pStyle w:val="256"/>
        <w:bidi w:val="0"/>
        <w:rPr>
          <w:lang w:val="en-IN"/>
        </w:rPr>
      </w:pPr>
      <w:bookmarkStart w:id="96" w:name="_Toc1913"/>
      <w:bookmarkStart w:id="97" w:name="_Toc4985"/>
      <w:r>
        <w:rPr>
          <w:lang w:val="en-IN"/>
        </w:rPr>
        <w:t>4.2 Thematic Identification and Analysis:</w:t>
      </w:r>
      <w:bookmarkEnd w:id="96"/>
      <w:bookmarkEnd w:id="97"/>
    </w:p>
    <w:p w14:paraId="3291A15A">
      <w:pPr>
        <w:pStyle w:val="257"/>
        <w:bidi w:val="0"/>
        <w:rPr>
          <w:rFonts w:hint="default"/>
        </w:rPr>
      </w:pPr>
      <w:bookmarkStart w:id="98" w:name="_Toc22376"/>
      <w:bookmarkStart w:id="99" w:name="_Toc20701"/>
      <w:r>
        <w:rPr>
          <w:rFonts w:hint="default"/>
          <w:lang w:val="en-IN"/>
        </w:rPr>
        <w:t xml:space="preserve">4.2.1 </w:t>
      </w:r>
      <w:r>
        <w:rPr>
          <w:rFonts w:hint="default"/>
        </w:rPr>
        <w:t>Theme 1: Emotional Turbulence and Vulnerability</w:t>
      </w:r>
      <w:bookmarkEnd w:id="98"/>
      <w:bookmarkEnd w:id="99"/>
    </w:p>
    <w:p w14:paraId="11447C06">
      <w:pPr>
        <w:pStyle w:val="3"/>
        <w:spacing w:line="360" w:lineRule="auto"/>
        <w:jc w:val="both"/>
        <w:rPr>
          <w:rFonts w:hint="default" w:ascii="Arial" w:hAnsi="Arial" w:cs="Arial"/>
          <w:sz w:val="22"/>
          <w:szCs w:val="22"/>
        </w:rPr>
      </w:pPr>
      <w:bookmarkStart w:id="100" w:name="_Toc32633"/>
      <w:bookmarkStart w:id="101" w:name="_Toc5463"/>
      <w:r>
        <w:rPr>
          <w:rFonts w:hint="default" w:ascii="Arial" w:hAnsi="Arial" w:cs="Arial"/>
          <w:sz w:val="22"/>
          <w:szCs w:val="22"/>
        </w:rPr>
        <w:t>Emotional Impact and Onset</w:t>
      </w:r>
      <w:bookmarkEnd w:id="100"/>
      <w:bookmarkEnd w:id="101"/>
    </w:p>
    <w:p w14:paraId="65280B36">
      <w:pPr>
        <w:pStyle w:val="85"/>
        <w:spacing w:line="360" w:lineRule="auto"/>
        <w:jc w:val="both"/>
        <w:rPr>
          <w:rFonts w:ascii="Arial" w:hAnsi="Arial" w:cs="Arial"/>
          <w:sz w:val="22"/>
          <w:szCs w:val="22"/>
        </w:rPr>
      </w:pPr>
      <w:r>
        <w:rPr>
          <w:rFonts w:ascii="Arial" w:hAnsi="Arial" w:cs="Arial"/>
          <w:sz w:val="22"/>
          <w:szCs w:val="22"/>
        </w:rPr>
        <w:t>For many women, the diagnosis of breast cancer sets in motion a cascade of intense emotional upheaval, often destabilising their sense of self and disrupting everyday life. The discovery of cancer is frequently described as an existential shock, producing acute psychological responses including denial, fear of death, anxiety, hopelessness, and prolonged sadness (Rees, 2015; Trusson et al., 2016). These emotions are especially heightened during the initial stages of diagnosis and acute treatments such as surgery, chemotherapy, or radiotherapy, when women must rapidly adapt to new and often invasive routines. However, research consistently demonstrates that these forms of distress do not necessarily resolve when treatment ends; rather, they often continue into the survivorship period, manifesting as chronic anxiety, depressive symptoms, or ongoing preoccupation with the possibility of recurrence (McWilliams et al., 2023; Ring et al., 2021).</w:t>
      </w:r>
    </w:p>
    <w:p w14:paraId="482CB266">
      <w:pPr>
        <w:pStyle w:val="85"/>
        <w:spacing w:line="360" w:lineRule="auto"/>
        <w:jc w:val="both"/>
        <w:rPr>
          <w:rFonts w:ascii="Arial" w:hAnsi="Arial" w:cs="Arial"/>
          <w:sz w:val="22"/>
          <w:szCs w:val="22"/>
        </w:rPr>
      </w:pPr>
      <w:r>
        <w:rPr>
          <w:rFonts w:ascii="Arial" w:hAnsi="Arial" w:cs="Arial"/>
          <w:sz w:val="22"/>
          <w:szCs w:val="22"/>
        </w:rPr>
        <w:t>Survivors often emphasise that they feel profoundly unprepared for the psychological and emotional consequences of finishing active treatment. While the healthcare system is highly structured during medical interventions, there is often a notable decrease in professional contact and psychosocial support once cancer is deemed to be in remission. This transitional period commonly leaves women with a sense of abandonment, described by Rees (2015) and others as “falling off a cliff,” where they are suddenly left alone to cope with the emotional legacy of breast cancer without adequate guidance. Indeed, as Rees (2015) found in her UK cohort of young female survivors, approximately four-fifths of participants reported that they had not anticipated the emotional fallout of breast cancer and had not been provided with adequate preparation for the mental health consequences of survivorship.</w:t>
      </w:r>
    </w:p>
    <w:p w14:paraId="0B343E7A">
      <w:pPr>
        <w:pStyle w:val="85"/>
        <w:spacing w:line="360" w:lineRule="auto"/>
        <w:jc w:val="both"/>
        <w:rPr>
          <w:rFonts w:ascii="Arial" w:hAnsi="Arial" w:cs="Arial"/>
          <w:sz w:val="22"/>
          <w:szCs w:val="22"/>
        </w:rPr>
      </w:pPr>
      <w:r>
        <w:rPr>
          <w:rFonts w:ascii="Arial" w:hAnsi="Arial" w:cs="Arial"/>
          <w:sz w:val="22"/>
          <w:szCs w:val="22"/>
        </w:rPr>
        <w:t>Moreover, the emotional turbulence often extends beyond the psychological into physical reminders that inhibit recovery. Side effects such as fatigue, reduced mobility, and pain—particularly shoulder problems resulting from surgery or radiotherapy—can serve as persistent reminders of illness that prolong anxiety and prevent psychological closure (Bruce et al., 2018). In addition, age plays an influential role in determining both the emotional impact and coping strategies. For instance, older women have described decisions around adjuvant therapy as especially fraught, with choices about chemotherapy or targeted therapies carrying significant implications for quality of life and increasing feelings of vulnerability (Wyld et al., 2022; Ring et al., 2021). Meanwhile, younger survivors frequently experience breast cancer as a form of “biographical disruption,” where the illness interrupts life trajectories relating to education, family planning, career progression, and social belonging (Trusson et al., 2016).</w:t>
      </w:r>
    </w:p>
    <w:p w14:paraId="12028286">
      <w:pPr>
        <w:pStyle w:val="3"/>
        <w:spacing w:line="360" w:lineRule="auto"/>
        <w:jc w:val="both"/>
        <w:rPr>
          <w:rFonts w:hint="default" w:ascii="Arial" w:hAnsi="Arial" w:cs="Arial"/>
          <w:sz w:val="22"/>
          <w:szCs w:val="22"/>
        </w:rPr>
      </w:pPr>
      <w:bookmarkStart w:id="102" w:name="_Toc26970"/>
      <w:bookmarkStart w:id="103" w:name="_Toc4391"/>
      <w:r>
        <w:rPr>
          <w:rFonts w:hint="default" w:ascii="Arial" w:hAnsi="Arial" w:cs="Arial"/>
          <w:sz w:val="22"/>
          <w:szCs w:val="22"/>
        </w:rPr>
        <w:t>Uncertainty and Isolation</w:t>
      </w:r>
      <w:bookmarkEnd w:id="102"/>
      <w:bookmarkEnd w:id="103"/>
    </w:p>
    <w:p w14:paraId="74AF5626">
      <w:pPr>
        <w:pStyle w:val="85"/>
        <w:spacing w:line="360" w:lineRule="auto"/>
        <w:jc w:val="both"/>
        <w:rPr>
          <w:rFonts w:ascii="Arial" w:hAnsi="Arial" w:cs="Arial"/>
          <w:sz w:val="22"/>
          <w:szCs w:val="22"/>
        </w:rPr>
      </w:pPr>
      <w:r>
        <w:rPr>
          <w:rFonts w:ascii="Arial" w:hAnsi="Arial" w:cs="Arial"/>
          <w:sz w:val="22"/>
          <w:szCs w:val="22"/>
        </w:rPr>
        <w:t>Uncertainty emerges as one of the most debilitating long-term challenges associated with breast cancer. Survivors often live with the unending fear of recurrence, even years after being declared cancer-free. This uncertainty undermines confidence in imagining or planning for the future, generating a prolonged state of anticipatory anxiety (McWilliams et al., 2023). Such fears are often exacerbated by the periodic surveillance and screening processes, where each medical consultation reignites anxiety about potential bad news. For some women in stratified breast cancer screening programmes, gaining personalised risk estimates has been reported to alleviate uncertainty; however, others have found these new forms of information distressing, as they highlight the lingering possibility of illness (McWilliams et al., 2023).</w:t>
      </w:r>
    </w:p>
    <w:p w14:paraId="1C357C26">
      <w:pPr>
        <w:pStyle w:val="85"/>
        <w:spacing w:line="360" w:lineRule="auto"/>
        <w:jc w:val="both"/>
        <w:rPr>
          <w:rFonts w:ascii="Arial" w:hAnsi="Arial" w:cs="Arial"/>
          <w:sz w:val="22"/>
          <w:szCs w:val="22"/>
        </w:rPr>
      </w:pPr>
      <w:r>
        <w:rPr>
          <w:rFonts w:ascii="Arial" w:hAnsi="Arial" w:cs="Arial"/>
          <w:sz w:val="22"/>
          <w:szCs w:val="22"/>
        </w:rPr>
        <w:t>Equally pervasive is the feeling of isolation. Survivors describe difficulties articulating their experiences to family and friends, who may either lack the capacity or willingness to understand the depth of vulnerability cancer introduces (Rees, 2015). In many cases, friends and relatives expect a rapid return to “normal life” once active therapy ends, which can perpetuate feelings of marginalisation and invisibility for women who continue to grapple with fatigue, depression, or body image concerns (Trusson et al., 2016). Qualitative investigations highlight that this isolation is often amplified by healthcare interactions. Survivors sometimes perceive healthcare professionals as primarily concerned with clinical markers of disease rather than ongoing psychosocial issues, leaving women feeling dismissed or unsupported in addressing their mental health (Halkett et al., 2018).</w:t>
      </w:r>
    </w:p>
    <w:p w14:paraId="21783B2A">
      <w:pPr>
        <w:pStyle w:val="85"/>
        <w:spacing w:line="360" w:lineRule="auto"/>
        <w:jc w:val="both"/>
        <w:rPr>
          <w:rFonts w:ascii="Arial" w:hAnsi="Arial" w:cs="Arial"/>
          <w:sz w:val="22"/>
          <w:szCs w:val="22"/>
        </w:rPr>
      </w:pPr>
      <w:r>
        <w:rPr>
          <w:rFonts w:ascii="Arial" w:hAnsi="Arial" w:cs="Arial"/>
          <w:sz w:val="22"/>
          <w:szCs w:val="22"/>
        </w:rPr>
        <w:t>Age-related differences in isolation are also pronounced. Younger women frequently describe a profound sense of being “different” from their peers, particularly during a life stage when many of their friends are pursuing education, building families, or advancing their careers (Rees, 2015). The visible and invisible scars of cancer, such as hair loss, mastectomy, or sexual dysfunction, add to this sense of disconnection from normative social milestones. For older survivors, isolation may stem from assumptions embedded in clinical care—such as an underestimation of their desire for aggressive therapy or insufficient treatment personalisation—which can diminish their sense of agency and self-worth (Wyld et al., 2022).</w:t>
      </w:r>
    </w:p>
    <w:p w14:paraId="36780D96">
      <w:pPr>
        <w:pStyle w:val="85"/>
        <w:spacing w:line="360" w:lineRule="auto"/>
        <w:jc w:val="both"/>
        <w:rPr>
          <w:rFonts w:ascii="Arial" w:hAnsi="Arial" w:cs="Arial"/>
          <w:sz w:val="22"/>
          <w:szCs w:val="22"/>
        </w:rPr>
      </w:pPr>
      <w:r>
        <w:rPr>
          <w:rFonts w:ascii="Arial" w:hAnsi="Arial" w:cs="Arial"/>
          <w:sz w:val="22"/>
          <w:szCs w:val="22"/>
        </w:rPr>
        <w:t>Nonetheless, research has also identified interventions that help mitigate these challenges. Peer counselling, for instance, has been shown to reduce psychological distress by creating communal spaces for women to share their stories with others who truly understand (Giese-Davis et al., 2016). Similarly, structured psychosocial interventions such as radiation therapist-led preparatory sessions or cognitive-behavioural stress management (Tang et al., 2020; Halkett et al., 2018) have been effective in reducing psychological vulnerability by addressing anticipatory anxiety, providing coping strategies, and fostering opportunities for empowerment. Additionally, mobile health interventions—such as text message support or mental health applications—suggest that technology can provide sustainable, accessible channels through which women may access psychosocial resources and feel less isolated (Singleton et al., 2019; BorjAlilu et al., 2023).</w:t>
      </w:r>
    </w:p>
    <w:p w14:paraId="021553FD">
      <w:pPr>
        <w:pStyle w:val="85"/>
        <w:spacing w:line="360" w:lineRule="auto"/>
        <w:jc w:val="both"/>
        <w:rPr>
          <w:rFonts w:ascii="Arial" w:hAnsi="Arial" w:cs="Arial"/>
          <w:sz w:val="22"/>
          <w:szCs w:val="22"/>
        </w:rPr>
      </w:pPr>
      <w:r>
        <w:rPr>
          <w:rFonts w:ascii="Arial" w:hAnsi="Arial" w:cs="Arial"/>
          <w:sz w:val="22"/>
          <w:szCs w:val="22"/>
        </w:rPr>
        <w:t>Taken together, the evidence highlights that emotional turbulence and vulnerability following breast cancer are multifaceted, shaped by age, social context, and structural healthcare practices. Survivorship is rarely a straightforward transition into recovery. Instead, it is characterised by ongoing uncertainty, biographical disruption, and profound isolation—challenging women at once emotionally, socially, and existentially. Without tailored emotional and psychosocial support, many remain at risk of enduring psychological vulnerability that extends far beyond the medical parameters of the disease.</w:t>
      </w:r>
    </w:p>
    <w:p w14:paraId="685D32C5">
      <w:pPr>
        <w:pStyle w:val="257"/>
        <w:bidi w:val="0"/>
        <w:rPr>
          <w:rFonts w:hint="default"/>
        </w:rPr>
      </w:pPr>
      <w:bookmarkStart w:id="104" w:name="_Toc18540"/>
      <w:bookmarkStart w:id="105" w:name="_Toc17519"/>
      <w:r>
        <w:rPr>
          <w:rFonts w:hint="default"/>
          <w:lang w:val="en-IN"/>
        </w:rPr>
        <w:t xml:space="preserve">4.2.2 </w:t>
      </w:r>
      <w:r>
        <w:rPr>
          <w:rFonts w:hint="default"/>
        </w:rPr>
        <w:t>Theme 2: Search for Normalcy and Biographical Disruption</w:t>
      </w:r>
      <w:bookmarkEnd w:id="104"/>
      <w:bookmarkEnd w:id="105"/>
    </w:p>
    <w:p w14:paraId="7D850997">
      <w:pPr>
        <w:pStyle w:val="3"/>
        <w:spacing w:line="360" w:lineRule="auto"/>
        <w:jc w:val="both"/>
        <w:rPr>
          <w:rFonts w:hint="default" w:ascii="Arial" w:hAnsi="Arial" w:cs="Arial"/>
          <w:sz w:val="22"/>
          <w:szCs w:val="22"/>
        </w:rPr>
      </w:pPr>
      <w:bookmarkStart w:id="106" w:name="_Toc19529"/>
      <w:bookmarkStart w:id="107" w:name="_Toc28452"/>
      <w:r>
        <w:rPr>
          <w:rFonts w:hint="default" w:ascii="Arial" w:hAnsi="Arial" w:cs="Arial"/>
          <w:sz w:val="22"/>
          <w:szCs w:val="22"/>
        </w:rPr>
        <w:t>Altered Identity and Loss</w:t>
      </w:r>
      <w:bookmarkEnd w:id="106"/>
      <w:bookmarkEnd w:id="107"/>
    </w:p>
    <w:p w14:paraId="6C41B515">
      <w:pPr>
        <w:pStyle w:val="85"/>
        <w:spacing w:line="360" w:lineRule="auto"/>
        <w:jc w:val="both"/>
        <w:rPr>
          <w:rFonts w:ascii="Arial" w:hAnsi="Arial" w:cs="Arial"/>
          <w:sz w:val="22"/>
          <w:szCs w:val="22"/>
        </w:rPr>
      </w:pPr>
      <w:r>
        <w:rPr>
          <w:rFonts w:ascii="Arial" w:hAnsi="Arial" w:cs="Arial"/>
          <w:sz w:val="22"/>
          <w:szCs w:val="22"/>
        </w:rPr>
        <w:t xml:space="preserve">The experience of breast cancer is often conceptualised within UK qualitative research as a profound </w:t>
      </w:r>
      <w:r>
        <w:rPr>
          <w:rStyle w:val="31"/>
          <w:rFonts w:ascii="Arial" w:hAnsi="Arial" w:cs="Arial"/>
          <w:sz w:val="22"/>
          <w:szCs w:val="22"/>
        </w:rPr>
        <w:t>biographical disruption</w:t>
      </w:r>
      <w:r>
        <w:rPr>
          <w:rFonts w:ascii="Arial" w:hAnsi="Arial" w:cs="Arial"/>
          <w:sz w:val="22"/>
          <w:szCs w:val="22"/>
        </w:rPr>
        <w:t>, where illness interrupts expected life trajectories and challenges deeply ingrained aspects of identity (Trusson et al., 2016). For many women, survivorship does not represent a simple return to their “old normal” but rather the beginning of a long and complex process of reconstructing the self in response to both physical and psychological changes. Alterations in body image following mastectomy, lumpectomy, hair loss, or weight fluctuations caused by treatments often result in a fractured sense of bodily integrity, which in turn destabilises self-confidence and perceptions of femininity (Rees, 2015).</w:t>
      </w:r>
    </w:p>
    <w:p w14:paraId="46EF34E5">
      <w:pPr>
        <w:pStyle w:val="85"/>
        <w:spacing w:line="360" w:lineRule="auto"/>
        <w:jc w:val="both"/>
        <w:rPr>
          <w:rFonts w:ascii="Arial" w:hAnsi="Arial" w:cs="Arial"/>
          <w:sz w:val="22"/>
          <w:szCs w:val="22"/>
        </w:rPr>
      </w:pPr>
      <w:r>
        <w:rPr>
          <w:rFonts w:ascii="Arial" w:hAnsi="Arial" w:cs="Arial"/>
          <w:sz w:val="22"/>
          <w:szCs w:val="22"/>
        </w:rPr>
        <w:t>This shift in bodily identity is compounded by ongoing treatment side effects such as fatigue, cognitive difficulties, or shoulder dysfunction after surgery, which serve as persistent reminders of illness (Bruce et al., 2018). The unpredictability of these long-term effects means that women frequently find themselves unable to resume previous roles, routines, or social identities with ease. Trusson et al. (2016) describe this transition as living within a state of liminality, where survivors are “betwixt and between” the categories of healthy and unwell. This instability often magnifies distress during milestones such as birthdays, family events, or follow-up medical appointments, where the confrontation with mortality resurfaces and heightens vulnerability.</w:t>
      </w:r>
    </w:p>
    <w:p w14:paraId="4EE77868">
      <w:pPr>
        <w:pStyle w:val="85"/>
        <w:spacing w:line="360" w:lineRule="auto"/>
        <w:jc w:val="both"/>
        <w:rPr>
          <w:rFonts w:ascii="Arial" w:hAnsi="Arial" w:cs="Arial"/>
          <w:sz w:val="22"/>
          <w:szCs w:val="22"/>
        </w:rPr>
      </w:pPr>
      <w:r>
        <w:rPr>
          <w:rFonts w:ascii="Arial" w:hAnsi="Arial" w:cs="Arial"/>
          <w:sz w:val="22"/>
          <w:szCs w:val="22"/>
        </w:rPr>
        <w:t>Young women, in particular, identify this disruption as profoundly alienating, as cancer interrupts key life-course expectations including education, careers, or family building (Rees, 2015). This generates a feeling of being “out of step” with peers, reinforcing the perception of difference already established by the visible and invisible scars of illness. For older women, meanwhile, identity disruption may stem from challenges navigating treatment decisions and negotiating quality of life with survival outcomes (Ring et al., 2021; Wyld et al., 2022). Collectively, these experiences suggest that the search for normalcy after breast cancer remains elusive for many, with distress resurfacing in cycles long after remission.</w:t>
      </w:r>
    </w:p>
    <w:p w14:paraId="60FDF5DB">
      <w:pPr>
        <w:pStyle w:val="3"/>
        <w:spacing w:line="360" w:lineRule="auto"/>
        <w:jc w:val="both"/>
        <w:rPr>
          <w:rFonts w:hint="default" w:ascii="Arial" w:hAnsi="Arial" w:cs="Arial"/>
          <w:sz w:val="22"/>
          <w:szCs w:val="22"/>
        </w:rPr>
      </w:pPr>
      <w:bookmarkStart w:id="108" w:name="_Toc14309"/>
      <w:bookmarkStart w:id="109" w:name="_Toc14158"/>
      <w:r>
        <w:rPr>
          <w:rFonts w:hint="default" w:ascii="Arial" w:hAnsi="Arial" w:cs="Arial"/>
          <w:sz w:val="22"/>
          <w:szCs w:val="22"/>
        </w:rPr>
        <w:t>Adaptation and Post-Traumatic Growth</w:t>
      </w:r>
      <w:bookmarkEnd w:id="108"/>
      <w:bookmarkEnd w:id="109"/>
    </w:p>
    <w:p w14:paraId="73179FAD">
      <w:pPr>
        <w:pStyle w:val="85"/>
        <w:spacing w:line="360" w:lineRule="auto"/>
        <w:jc w:val="both"/>
        <w:rPr>
          <w:rFonts w:ascii="Arial" w:hAnsi="Arial" w:cs="Arial"/>
          <w:sz w:val="22"/>
          <w:szCs w:val="22"/>
        </w:rPr>
      </w:pPr>
      <w:r>
        <w:rPr>
          <w:rFonts w:ascii="Arial" w:hAnsi="Arial" w:cs="Arial"/>
          <w:sz w:val="22"/>
          <w:szCs w:val="22"/>
        </w:rPr>
        <w:t xml:space="preserve">Despite the profound challenges posed by breast cancer, research also highlights the capacity for adaptation and redefinition of identity that often emerges in survivorship. Women commonly describe a dual process in which the illness simultaneously erodes aspects of the self while opening opportunities for constructive reimagining of life. This phenomenon, sometimes referred to as </w:t>
      </w:r>
      <w:r>
        <w:rPr>
          <w:rStyle w:val="31"/>
          <w:rFonts w:ascii="Arial" w:hAnsi="Arial" w:cs="Arial"/>
          <w:sz w:val="22"/>
          <w:szCs w:val="22"/>
        </w:rPr>
        <w:t>post-traumatic growth</w:t>
      </w:r>
      <w:r>
        <w:rPr>
          <w:rFonts w:ascii="Arial" w:hAnsi="Arial" w:cs="Arial"/>
          <w:sz w:val="22"/>
          <w:szCs w:val="22"/>
        </w:rPr>
        <w:t>, involves finding resilience and renewed meaning from the adversity of illness (Singleton et al., 2019; Tang et al., 2020).</w:t>
      </w:r>
    </w:p>
    <w:p w14:paraId="193CA51E">
      <w:pPr>
        <w:pStyle w:val="85"/>
        <w:spacing w:line="360" w:lineRule="auto"/>
        <w:jc w:val="both"/>
        <w:rPr>
          <w:rFonts w:ascii="Arial" w:hAnsi="Arial" w:cs="Arial"/>
          <w:sz w:val="22"/>
          <w:szCs w:val="22"/>
        </w:rPr>
      </w:pPr>
      <w:r>
        <w:rPr>
          <w:rFonts w:ascii="Arial" w:hAnsi="Arial" w:cs="Arial"/>
          <w:sz w:val="22"/>
          <w:szCs w:val="22"/>
        </w:rPr>
        <w:t>The trajectories of adaptation vary among individuals, but protective factors have been consistently identified in the literature. Access to robust social support, including family, peers, and dedicated counselling, strengthens emotional resilience and helps women regain a sense of belonging (Giese-Davis et al., 2016). Peer support interventions have been particularly effective, offering a space where survivors can share narratives of disruption and recovery, normalise their altered identities, and develop collective strategies for coping (Rees, 2015; Giese-Davis et al., 2016). Likewise, structured interventions such as cognitive-behavioural stress management programmes and preparatory sessions with healthcare providers have been shown to reduce psychological distress, encourage adaptive coping strategies, and foster empowerment in managing uncertainty (Tang et al., 2020; Halkett et al., 2018).</w:t>
      </w:r>
    </w:p>
    <w:p w14:paraId="191B7FF0">
      <w:pPr>
        <w:pStyle w:val="85"/>
        <w:spacing w:line="360" w:lineRule="auto"/>
        <w:jc w:val="both"/>
        <w:rPr>
          <w:rFonts w:ascii="Arial" w:hAnsi="Arial" w:cs="Arial"/>
          <w:sz w:val="22"/>
          <w:szCs w:val="22"/>
        </w:rPr>
      </w:pPr>
      <w:r>
        <w:rPr>
          <w:rFonts w:ascii="Arial" w:hAnsi="Arial" w:cs="Arial"/>
          <w:sz w:val="22"/>
          <w:szCs w:val="22"/>
        </w:rPr>
        <w:t>Technology-mediated support also represents a growing avenue for adaptation. Text-message based interventions such as EMPOWER-SMS have demonstrated value in supporting women’s mental health, self-management behaviours, and confidence after treatment by reinforcing encouragement and connection outside the clinical setting (Singleton et al., 2019). Mobile mental health applications similarly provide tools for self-expression, reflection, and psychological monitoring, expanding the reach of supportive care resources (BorjAlilu et al., 2023).</w:t>
      </w:r>
    </w:p>
    <w:p w14:paraId="24931DF1">
      <w:pPr>
        <w:pStyle w:val="85"/>
        <w:spacing w:line="360" w:lineRule="auto"/>
        <w:jc w:val="both"/>
        <w:rPr>
          <w:rFonts w:ascii="Arial" w:hAnsi="Arial" w:cs="Arial"/>
          <w:sz w:val="22"/>
          <w:szCs w:val="22"/>
        </w:rPr>
      </w:pPr>
      <w:r>
        <w:rPr>
          <w:rFonts w:ascii="Arial" w:hAnsi="Arial" w:cs="Arial"/>
          <w:sz w:val="22"/>
          <w:szCs w:val="22"/>
        </w:rPr>
        <w:t>For many women, adaptation is also facilitated through advocacy and engagement with their broader communities. Survivors often express that involvement in campaigns, awareness initiatives, or support groups enables them to transform personal suffering into collective empowerment, reinforcing a renewed sense of purpose and agency (Rees, 2015; Trusson et al., 2016). Others report developing an enhanced appreciation of life, improved relationships, and spiritual or existential growth as they reconstruct their new identities (Singleton et al., 2019).</w:t>
      </w:r>
    </w:p>
    <w:p w14:paraId="5241E7CD">
      <w:pPr>
        <w:pStyle w:val="85"/>
        <w:spacing w:line="360" w:lineRule="auto"/>
        <w:jc w:val="both"/>
        <w:rPr>
          <w:rFonts w:ascii="Arial" w:hAnsi="Arial" w:cs="Arial"/>
          <w:sz w:val="22"/>
          <w:szCs w:val="22"/>
        </w:rPr>
      </w:pPr>
      <w:r>
        <w:rPr>
          <w:rFonts w:ascii="Arial" w:hAnsi="Arial" w:cs="Arial"/>
          <w:sz w:val="22"/>
          <w:szCs w:val="22"/>
        </w:rPr>
        <w:t>Ultimately, the process of adjusting to a “new normal” following breast cancer is not linear but ongoing. While some women continue to experience recurrent distress triggered by medical surveillance or bodily reminders, many also find ways to adopt adaptive strategies, foster resilience, and reconstruct positive meaning from their disrupted biographies. The complexities of this trajectory underscore the importance of healthcare systems recognising and supporting the dual realities of vulnerability and growth in survivorship care planning.</w:t>
      </w:r>
    </w:p>
    <w:p w14:paraId="6A7CBCFD">
      <w:pPr>
        <w:pStyle w:val="257"/>
        <w:bidi w:val="0"/>
        <w:rPr>
          <w:rFonts w:hint="default"/>
        </w:rPr>
      </w:pPr>
      <w:bookmarkStart w:id="110" w:name="_Toc16420"/>
      <w:bookmarkStart w:id="111" w:name="_Toc1057"/>
      <w:r>
        <w:rPr>
          <w:rFonts w:hint="default"/>
          <w:lang w:val="en-IN"/>
        </w:rPr>
        <w:t xml:space="preserve">4.2.3 </w:t>
      </w:r>
      <w:r>
        <w:rPr>
          <w:rFonts w:hint="default"/>
        </w:rPr>
        <w:t>Theme 3: Sexual Dysfunction, Intimacy, and Femininity</w:t>
      </w:r>
      <w:bookmarkEnd w:id="110"/>
      <w:bookmarkEnd w:id="111"/>
    </w:p>
    <w:p w14:paraId="3415D598">
      <w:pPr>
        <w:pStyle w:val="3"/>
        <w:spacing w:line="360" w:lineRule="auto"/>
        <w:jc w:val="both"/>
        <w:rPr>
          <w:rFonts w:hint="default" w:ascii="Arial" w:hAnsi="Arial" w:cs="Arial"/>
          <w:sz w:val="22"/>
          <w:szCs w:val="22"/>
        </w:rPr>
      </w:pPr>
      <w:bookmarkStart w:id="112" w:name="_Toc29726"/>
      <w:bookmarkStart w:id="113" w:name="_Toc29473"/>
      <w:r>
        <w:rPr>
          <w:rFonts w:hint="default" w:ascii="Arial" w:hAnsi="Arial" w:cs="Arial"/>
          <w:sz w:val="22"/>
          <w:szCs w:val="22"/>
        </w:rPr>
        <w:t>High Prevalence of Sexual Morbidity</w:t>
      </w:r>
      <w:bookmarkEnd w:id="112"/>
      <w:bookmarkEnd w:id="113"/>
    </w:p>
    <w:p w14:paraId="5C0D1688">
      <w:pPr>
        <w:pStyle w:val="85"/>
        <w:spacing w:line="360" w:lineRule="auto"/>
        <w:jc w:val="both"/>
        <w:rPr>
          <w:rFonts w:ascii="Arial" w:hAnsi="Arial" w:cs="Arial"/>
          <w:sz w:val="22"/>
          <w:szCs w:val="22"/>
        </w:rPr>
      </w:pPr>
      <w:r>
        <w:rPr>
          <w:rFonts w:ascii="Arial" w:hAnsi="Arial" w:cs="Arial"/>
          <w:sz w:val="22"/>
          <w:szCs w:val="22"/>
        </w:rPr>
        <w:t>Sexual dysfunction emerges as a highly prevalent and persistent issue among breast cancer survivors in the UK, frequently affecting upwards of 75% of women post-treatment (Rees, 2015; Trusson et al., 2016). These challenges are wide-ranging, encompassing decreased libido, difficulties with arousal, vaginal dryness, pain during intercourse, and a profound reduction in sexual satisfaction. Such symptoms often persist for years beyond the completion of medical interventions, and are associated not only with the physiological side effects of cancer treatments like chemotherapy and hormone therapy, but also with surgical procedures that alter the body and self-concept (Bruce et al., 2018; Ring et al., 2021).</w:t>
      </w:r>
    </w:p>
    <w:p w14:paraId="30F4EFA7">
      <w:pPr>
        <w:pStyle w:val="85"/>
        <w:spacing w:line="360" w:lineRule="auto"/>
        <w:jc w:val="both"/>
        <w:rPr>
          <w:rFonts w:ascii="Arial" w:hAnsi="Arial" w:cs="Arial"/>
          <w:sz w:val="22"/>
          <w:szCs w:val="22"/>
        </w:rPr>
      </w:pPr>
      <w:r>
        <w:rPr>
          <w:rFonts w:ascii="Arial" w:hAnsi="Arial" w:cs="Arial"/>
          <w:sz w:val="22"/>
          <w:szCs w:val="22"/>
        </w:rPr>
        <w:t>What compounds this distress is the prevailing silence and lack of support in clinical encounters. Sexual wellbeing is under-discussed by healthcare professionals, leaving women without adequate information or guidance to manage these intimate changes (Rees, 2015; Trusson et al., 2016). Many survivors report that genitourinary symptoms such as dryness and pain go unaddressed, even when raised, and note that the long-term impact on sexual confidence and functioning is not sufficiently integrated into survivorship care plans (Rees, 2015). The sense of isolation and discomfort around the topic is further intensified by societal taboos, making it challenging for women to seek help, particularly when navigating new or existing relationships (Trusson et al., 2016).</w:t>
      </w:r>
    </w:p>
    <w:p w14:paraId="1145073C">
      <w:pPr>
        <w:pStyle w:val="3"/>
        <w:spacing w:line="360" w:lineRule="auto"/>
        <w:jc w:val="both"/>
        <w:rPr>
          <w:rFonts w:hint="default" w:ascii="Arial" w:hAnsi="Arial" w:cs="Arial"/>
          <w:sz w:val="22"/>
          <w:szCs w:val="22"/>
        </w:rPr>
      </w:pPr>
      <w:bookmarkStart w:id="114" w:name="_Toc10297"/>
      <w:bookmarkStart w:id="115" w:name="_Toc5481"/>
      <w:r>
        <w:rPr>
          <w:rFonts w:hint="default" w:ascii="Arial" w:hAnsi="Arial" w:cs="Arial"/>
          <w:sz w:val="22"/>
          <w:szCs w:val="22"/>
        </w:rPr>
        <w:t>Relationships and Relational Dynamics</w:t>
      </w:r>
      <w:bookmarkEnd w:id="114"/>
      <w:bookmarkEnd w:id="115"/>
    </w:p>
    <w:p w14:paraId="02C40980">
      <w:pPr>
        <w:pStyle w:val="85"/>
        <w:spacing w:line="360" w:lineRule="auto"/>
        <w:jc w:val="both"/>
        <w:rPr>
          <w:rFonts w:ascii="Arial" w:hAnsi="Arial" w:cs="Arial"/>
          <w:sz w:val="22"/>
          <w:szCs w:val="22"/>
        </w:rPr>
      </w:pPr>
      <w:r>
        <w:rPr>
          <w:rFonts w:ascii="Arial" w:hAnsi="Arial" w:cs="Arial"/>
          <w:sz w:val="22"/>
          <w:szCs w:val="22"/>
        </w:rPr>
        <w:t>The physiological changes resulting from breast cancer and its treatments have profound knock-on effects on self-image, femininity, and interpersonal relationships. Alterations in appearance—such as breast scarring, hair loss, or weight changes—can undermine survivors' perceptions of themselves as sexual and desirable beings (Rees, 2015). This often manifests as a deep-seated sense of “otherness,” wherein women feel physically and emotionally distanced from their previous identities and from their intimate partners (Trusson et al., 2016). The persistent fatigue and psychological burden co-occurring with physical symptoms can place additional strain on partnerships, affecting communication, sexual activity, and emotional closeness (Ring et al., 2021).</w:t>
      </w:r>
    </w:p>
    <w:p w14:paraId="3DEAE0AC">
      <w:pPr>
        <w:pStyle w:val="85"/>
        <w:spacing w:line="360" w:lineRule="auto"/>
        <w:jc w:val="both"/>
        <w:rPr>
          <w:rFonts w:ascii="Arial" w:hAnsi="Arial" w:cs="Arial"/>
          <w:sz w:val="22"/>
          <w:szCs w:val="22"/>
        </w:rPr>
      </w:pPr>
      <w:r>
        <w:rPr>
          <w:rFonts w:ascii="Arial" w:hAnsi="Arial" w:cs="Arial"/>
          <w:sz w:val="22"/>
          <w:szCs w:val="22"/>
        </w:rPr>
        <w:t>Relational challenges are commonly exacerbated by poor communication with healthcare professionals and with partners. Survivors express the need for open discussions about sexuality and recovery, yet many experience embarrassment or a lack of knowledge about how to initiate these conversations (Rees, 2015). The resultant emotional disconnect can amplify feelings of inadequacy and affect attachment, with partners sometimes unsure of how to offer support or adapt to the survivor’s evolving needs (Trusson et al., 2016).</w:t>
      </w:r>
    </w:p>
    <w:p w14:paraId="05EE4ABC">
      <w:pPr>
        <w:pStyle w:val="85"/>
        <w:spacing w:line="360" w:lineRule="auto"/>
        <w:jc w:val="both"/>
        <w:rPr>
          <w:rFonts w:ascii="Arial" w:hAnsi="Arial" w:cs="Arial"/>
          <w:sz w:val="22"/>
          <w:szCs w:val="22"/>
        </w:rPr>
      </w:pPr>
      <w:r>
        <w:rPr>
          <w:rFonts w:ascii="Arial" w:hAnsi="Arial" w:cs="Arial"/>
          <w:sz w:val="22"/>
          <w:szCs w:val="22"/>
        </w:rPr>
        <w:t>Younger breast cancer survivors encounter unique difficulties, as disruptions to sexual function intersect with concerns about fertility, family planning, and dating (Rees, 2015). Many describe anxiety around future prospects for pregnancy and the impacts of sexual morbidity on establishing romantic relationships. This adds further emotional complexity, accentuating vulnerability and the reconstruction of identity throughout survivorship (Trusson et al., 2016). Peer support groups and targeted interventions have shown promise in fostering resilience and rebuilding confidence, but wider implementation and routine clinical integration remain limited (Giese-Davis et al., 2016).</w:t>
      </w:r>
    </w:p>
    <w:p w14:paraId="25BE25B5">
      <w:pPr>
        <w:pStyle w:val="85"/>
        <w:spacing w:line="360" w:lineRule="auto"/>
        <w:jc w:val="both"/>
        <w:rPr>
          <w:rFonts w:ascii="Arial" w:hAnsi="Arial" w:cs="Arial"/>
          <w:sz w:val="22"/>
          <w:szCs w:val="22"/>
        </w:rPr>
      </w:pPr>
      <w:r>
        <w:rPr>
          <w:rFonts w:ascii="Arial" w:hAnsi="Arial" w:cs="Arial"/>
          <w:sz w:val="22"/>
          <w:szCs w:val="22"/>
        </w:rPr>
        <w:t>In all cases, improved recognition and support from healthcare providers—including proactive inquiry, psychosocial counselling, and accessible resources—are urgently needed to address sexual health disparities and to restore quality of life for survivors (Rees, 2015; Ring et al., 2021; Giese-Davis et al., 2016).</w:t>
      </w:r>
    </w:p>
    <w:p w14:paraId="4A0D8F88">
      <w:pPr>
        <w:pStyle w:val="257"/>
        <w:bidi w:val="0"/>
        <w:rPr>
          <w:rFonts w:hint="default"/>
        </w:rPr>
      </w:pPr>
      <w:bookmarkStart w:id="116" w:name="_Toc14654"/>
      <w:bookmarkStart w:id="117" w:name="_Toc20906"/>
      <w:r>
        <w:rPr>
          <w:rFonts w:hint="default"/>
          <w:lang w:val="en-IN"/>
        </w:rPr>
        <w:t xml:space="preserve">4.2.4 </w:t>
      </w:r>
      <w:r>
        <w:rPr>
          <w:rFonts w:hint="default"/>
        </w:rPr>
        <w:t>Theme 4: Cognitive Dysfunction, Fatigue, and Pain</w:t>
      </w:r>
      <w:bookmarkEnd w:id="116"/>
      <w:bookmarkEnd w:id="117"/>
    </w:p>
    <w:p w14:paraId="587135F9">
      <w:pPr>
        <w:pStyle w:val="3"/>
        <w:spacing w:line="360" w:lineRule="auto"/>
        <w:jc w:val="both"/>
        <w:rPr>
          <w:rFonts w:hint="default" w:ascii="Arial" w:hAnsi="Arial" w:cs="Arial"/>
          <w:sz w:val="22"/>
          <w:szCs w:val="22"/>
        </w:rPr>
      </w:pPr>
      <w:bookmarkStart w:id="118" w:name="_Toc26078"/>
      <w:bookmarkStart w:id="119" w:name="_Toc8393"/>
      <w:r>
        <w:rPr>
          <w:rFonts w:hint="default" w:ascii="Arial" w:hAnsi="Arial" w:cs="Arial"/>
          <w:sz w:val="22"/>
          <w:szCs w:val="22"/>
        </w:rPr>
        <w:t>Persistent Physical and Mental Burden</w:t>
      </w:r>
      <w:bookmarkEnd w:id="118"/>
      <w:bookmarkEnd w:id="119"/>
    </w:p>
    <w:p w14:paraId="0625D207">
      <w:pPr>
        <w:pStyle w:val="85"/>
        <w:spacing w:line="360" w:lineRule="auto"/>
        <w:jc w:val="both"/>
        <w:rPr>
          <w:rFonts w:ascii="Arial" w:hAnsi="Arial" w:cs="Arial"/>
          <w:sz w:val="22"/>
          <w:szCs w:val="22"/>
        </w:rPr>
      </w:pPr>
      <w:r>
        <w:rPr>
          <w:rFonts w:ascii="Arial" w:hAnsi="Arial" w:cs="Arial"/>
          <w:sz w:val="22"/>
          <w:szCs w:val="22"/>
        </w:rPr>
        <w:t>Breast cancer survivors in the UK frequently report sustained cognitive, physical, and psychological challenges that persist for many years beyond initial diagnosis and treatment. Cognitive impairment—commonly described as “chemo brain”—encompasses difficulties with memory, attention, information processing, and executive function. These deficits are not only immediate treatment side-effects but may last for up to a decade post-diagnosis, with women describing ongoing struggles to recall information, concentrate on tasks, and manage complex routines (Rees, 2015; Trusson et al., 2016). The continuous presence of cognitive dysfunction is a significant source of distress, affecting confidence and self-efficacy in both professional and social spheres.</w:t>
      </w:r>
    </w:p>
    <w:p w14:paraId="7461EB17">
      <w:pPr>
        <w:pStyle w:val="85"/>
        <w:spacing w:line="360" w:lineRule="auto"/>
        <w:jc w:val="both"/>
        <w:rPr>
          <w:rFonts w:ascii="Arial" w:hAnsi="Arial" w:cs="Arial"/>
          <w:sz w:val="22"/>
          <w:szCs w:val="22"/>
        </w:rPr>
      </w:pPr>
      <w:r>
        <w:rPr>
          <w:rFonts w:ascii="Arial" w:hAnsi="Arial" w:cs="Arial"/>
          <w:sz w:val="22"/>
          <w:szCs w:val="22"/>
        </w:rPr>
        <w:t>Chronic fatigue represents another highly prevalent and debilitating symptom among survivors, frequently persisting despite remission and negatively impacting quality of life (Bruce et al., 2018). This physical exhaustion, often accompanied by sleep disturbances and persistent pain (including musculoskeletal, neuropathic, and post-surgical discomfort), impedes daily functioning and heightens vulnerability to anxiety and depression (Ring et al., 2021). Many women struggle to distinguish between normal tiredness and cancer-related fatigue, which can be isolating and difficult to communicate to others (Rees, 2015). Sleep disruptions further exacerbate cognitive issues and emotional instability, forming a complex interplay of symptoms that reinforce feelings of helplessness. Survivors often describe the cumulative burden of these symptoms as ongoing reminders of their illness, sometimes more challenging to manage than the initial treatment phase itself (Trusson et al., 2016; Bruce et al., 2018).</w:t>
      </w:r>
    </w:p>
    <w:p w14:paraId="7B4DD4AD">
      <w:pPr>
        <w:pStyle w:val="85"/>
        <w:spacing w:line="360" w:lineRule="auto"/>
        <w:jc w:val="both"/>
        <w:rPr>
          <w:rFonts w:ascii="Arial" w:hAnsi="Arial" w:cs="Arial"/>
          <w:sz w:val="22"/>
          <w:szCs w:val="22"/>
        </w:rPr>
      </w:pPr>
      <w:r>
        <w:rPr>
          <w:rFonts w:ascii="Arial" w:hAnsi="Arial" w:cs="Arial"/>
          <w:sz w:val="22"/>
          <w:szCs w:val="22"/>
        </w:rPr>
        <w:t>The persistent pain, ranging from phantom breast sensations and joint stiffness to neuropathy, compounds physical and mental suffering. Despite recognition of these sequelae in qualitative studies and clinical trials, many women express frustration at the limited options for effective relief and a lack of sustained support from healthcare professionals (Ring et al., 2021). The invisibility of pain and cognitive difficulties within routine follow-ups often leads to under-treatment, reluctance to discuss symptoms, and further isolation (Rees, 2015). As a result, some survivors experience feelings of helplessness, resignation, or anger, with the view that their post-cancer struggles remain misunderstood and inadequately addressed in survivorship care planning (Trusson et al., 2016).</w:t>
      </w:r>
    </w:p>
    <w:p w14:paraId="25E21950">
      <w:pPr>
        <w:pStyle w:val="3"/>
        <w:spacing w:line="360" w:lineRule="auto"/>
        <w:jc w:val="both"/>
        <w:rPr>
          <w:rFonts w:hint="default" w:ascii="Arial" w:hAnsi="Arial" w:cs="Arial"/>
          <w:sz w:val="22"/>
          <w:szCs w:val="22"/>
        </w:rPr>
      </w:pPr>
      <w:bookmarkStart w:id="120" w:name="_Toc18919"/>
      <w:bookmarkStart w:id="121" w:name="_Toc8243"/>
      <w:r>
        <w:rPr>
          <w:rFonts w:hint="default" w:ascii="Arial" w:hAnsi="Arial" w:cs="Arial"/>
          <w:sz w:val="22"/>
          <w:szCs w:val="22"/>
        </w:rPr>
        <w:t>Employment and Social Function</w:t>
      </w:r>
      <w:bookmarkEnd w:id="120"/>
      <w:bookmarkEnd w:id="121"/>
    </w:p>
    <w:p w14:paraId="392AD7F0">
      <w:pPr>
        <w:pStyle w:val="85"/>
        <w:spacing w:line="360" w:lineRule="auto"/>
        <w:jc w:val="both"/>
        <w:rPr>
          <w:rFonts w:ascii="Arial" w:hAnsi="Arial" w:cs="Arial"/>
          <w:sz w:val="22"/>
          <w:szCs w:val="22"/>
        </w:rPr>
      </w:pPr>
      <w:r>
        <w:rPr>
          <w:rFonts w:ascii="Arial" w:hAnsi="Arial" w:cs="Arial"/>
          <w:sz w:val="22"/>
          <w:szCs w:val="22"/>
        </w:rPr>
        <w:t>Cognitive dysfunction and chronic fatigue have strong implications for employment and social participation. Many survivors encounter challenges with returning to work or sustaining pre-illness productivity levels due to ongoing cognitive limitations, reduced stamina, and psychological distress (Rees, 2015; Ring et al., 2021). Women have reported difficulties in managing complex tasks, multitasking, or engaging in professions that require substantial concentration and decision-making. This has led to diminished work capacity, forced career changes, or reductions in working hours, with some experiencing direct employment discrimination or lack of reasonable adjustments (Rees, 2015). These workplace challenges reinforce feelings of loss, social exclusion, and frustration at being unable to fully reintegrate into their chosen professions.</w:t>
      </w:r>
    </w:p>
    <w:p w14:paraId="5716A61F">
      <w:pPr>
        <w:pStyle w:val="85"/>
        <w:spacing w:line="360" w:lineRule="auto"/>
        <w:jc w:val="both"/>
        <w:rPr>
          <w:rFonts w:ascii="Arial" w:hAnsi="Arial" w:cs="Arial"/>
          <w:sz w:val="22"/>
          <w:szCs w:val="22"/>
        </w:rPr>
      </w:pPr>
      <w:r>
        <w:rPr>
          <w:rFonts w:ascii="Arial" w:hAnsi="Arial" w:cs="Arial"/>
          <w:sz w:val="22"/>
          <w:szCs w:val="22"/>
        </w:rPr>
        <w:t>Social relationships can also be disrupted by these persistent symptoms. Cognitive difficulties and fatigue may undermine social confidence and participation, with women avoiding gatherings or community engagement due to fears of mental lapses or physical exhaustion (Trusson et al., 2016). The unpredictability and invisibility of these symptoms make it difficult for friends and family members to understand the survivor’s ongoing struggles, further contributing to emotional isolation. Some survivors turn to peer support or advocacy groups to seek validation and shared coping strategies, although access and awareness of these resources remain uneven (Giese-Davis et al., 2016).</w:t>
      </w:r>
    </w:p>
    <w:p w14:paraId="5714EC74">
      <w:pPr>
        <w:pStyle w:val="85"/>
        <w:spacing w:line="360" w:lineRule="auto"/>
        <w:jc w:val="both"/>
        <w:rPr>
          <w:rFonts w:ascii="Arial" w:hAnsi="Arial" w:cs="Arial"/>
          <w:sz w:val="22"/>
          <w:szCs w:val="22"/>
        </w:rPr>
      </w:pPr>
      <w:r>
        <w:rPr>
          <w:rFonts w:ascii="Arial" w:hAnsi="Arial" w:cs="Arial"/>
          <w:sz w:val="22"/>
          <w:szCs w:val="22"/>
        </w:rPr>
        <w:t>Overall, the persistent burden of cognitive dysfunction, fatigue, sleep problems, and pain highlights the need for more robust, long-term support structures. Tailored interventions, workplace accommodations, and improved clinical recognition could help mitigate the profound impact of these symptoms on employment, daily life, and mental health, supporting a more inclusive model of survivorship care (Bruce et al., 2018; Ring et al., 2021).</w:t>
      </w:r>
    </w:p>
    <w:p w14:paraId="0616ED2E">
      <w:pPr>
        <w:pStyle w:val="257"/>
        <w:bidi w:val="0"/>
        <w:rPr>
          <w:rFonts w:hint="default"/>
        </w:rPr>
      </w:pPr>
      <w:bookmarkStart w:id="122" w:name="_Toc1348"/>
      <w:bookmarkStart w:id="123" w:name="_Toc12884"/>
      <w:r>
        <w:rPr>
          <w:rFonts w:hint="default"/>
          <w:lang w:val="en-IN"/>
        </w:rPr>
        <w:t xml:space="preserve">4.2.5 </w:t>
      </w:r>
      <w:r>
        <w:rPr>
          <w:rFonts w:hint="default"/>
        </w:rPr>
        <w:t>Theme</w:t>
      </w:r>
      <w:r>
        <w:rPr>
          <w:rFonts w:hint="default"/>
          <w:lang w:val="en-IN"/>
        </w:rPr>
        <w:t xml:space="preserve"> 5</w:t>
      </w:r>
      <w:r>
        <w:rPr>
          <w:rFonts w:hint="default"/>
        </w:rPr>
        <w:t>: Social Marginali</w:t>
      </w:r>
      <w:r>
        <w:rPr>
          <w:rFonts w:hint="default"/>
          <w:lang w:val="en-IN"/>
        </w:rPr>
        <w:t>z</w:t>
      </w:r>
      <w:r>
        <w:rPr>
          <w:rFonts w:hint="default"/>
        </w:rPr>
        <w:t>ation, Healthcare Communication, and Health Equity</w:t>
      </w:r>
      <w:bookmarkEnd w:id="122"/>
      <w:bookmarkEnd w:id="123"/>
    </w:p>
    <w:p w14:paraId="7B64D114">
      <w:pPr>
        <w:pStyle w:val="3"/>
        <w:spacing w:line="360" w:lineRule="auto"/>
        <w:jc w:val="both"/>
        <w:rPr>
          <w:rFonts w:hint="default" w:ascii="Arial" w:hAnsi="Arial" w:cs="Arial"/>
          <w:sz w:val="22"/>
          <w:szCs w:val="22"/>
        </w:rPr>
      </w:pPr>
      <w:bookmarkStart w:id="124" w:name="_Toc27953"/>
      <w:bookmarkStart w:id="125" w:name="_Toc1734"/>
      <w:r>
        <w:rPr>
          <w:rFonts w:hint="default" w:ascii="Arial" w:hAnsi="Arial" w:cs="Arial"/>
          <w:sz w:val="22"/>
          <w:szCs w:val="22"/>
        </w:rPr>
        <w:t>Social Isolation, Marginali</w:t>
      </w:r>
      <w:r>
        <w:rPr>
          <w:rFonts w:hint="default" w:ascii="Arial" w:hAnsi="Arial" w:cs="Arial"/>
          <w:sz w:val="22"/>
          <w:szCs w:val="22"/>
          <w:lang w:val="en-IN"/>
        </w:rPr>
        <w:t>z</w:t>
      </w:r>
      <w:r>
        <w:rPr>
          <w:rFonts w:hint="default" w:ascii="Arial" w:hAnsi="Arial" w:cs="Arial"/>
          <w:sz w:val="22"/>
          <w:szCs w:val="22"/>
        </w:rPr>
        <w:t>ation, and Disparities</w:t>
      </w:r>
      <w:bookmarkEnd w:id="124"/>
      <w:bookmarkEnd w:id="125"/>
    </w:p>
    <w:p w14:paraId="52C346C6">
      <w:pPr>
        <w:pStyle w:val="85"/>
        <w:spacing w:line="360" w:lineRule="auto"/>
        <w:jc w:val="both"/>
        <w:rPr>
          <w:rFonts w:ascii="Arial" w:hAnsi="Arial" w:cs="Arial"/>
          <w:sz w:val="22"/>
          <w:szCs w:val="22"/>
        </w:rPr>
      </w:pPr>
      <w:r>
        <w:rPr>
          <w:rFonts w:ascii="Arial" w:hAnsi="Arial" w:cs="Arial"/>
          <w:sz w:val="22"/>
          <w:szCs w:val="22"/>
        </w:rPr>
        <w:t xml:space="preserve">Social </w:t>
      </w:r>
      <w:r>
        <w:rPr>
          <w:rFonts w:ascii="Arial" w:hAnsi="Arial" w:cs="Arial"/>
          <w:sz w:val="22"/>
          <w:szCs w:val="22"/>
          <w:lang w:val="en-IN"/>
        </w:rPr>
        <w:t>marginalization</w:t>
      </w:r>
      <w:r>
        <w:rPr>
          <w:rFonts w:ascii="Arial" w:hAnsi="Arial" w:cs="Arial"/>
          <w:sz w:val="22"/>
          <w:szCs w:val="22"/>
        </w:rPr>
        <w:t xml:space="preserve"> remains a pervasive issue for breast cancer survivors in the UK, particularly affecting women from minority ethnic backgrounds and those in socioeconomically deprived communities. Qualitative studies and cohort evidence highlight that stigma is often layered for these populations, compounding distress and vulnerability over the course of treatment and recovery (Rees, 2015; Wyld et al., 2022). </w:t>
      </w:r>
      <w:r>
        <w:rPr>
          <w:rFonts w:ascii="Arial" w:hAnsi="Arial" w:cs="Arial"/>
          <w:sz w:val="22"/>
          <w:szCs w:val="22"/>
          <w:lang w:val="en-IN"/>
        </w:rPr>
        <w:t>Marginalized</w:t>
      </w:r>
      <w:r>
        <w:rPr>
          <w:rFonts w:ascii="Arial" w:hAnsi="Arial" w:cs="Arial"/>
          <w:sz w:val="22"/>
          <w:szCs w:val="22"/>
        </w:rPr>
        <w:t xml:space="preserve"> women frequently encounter additional barriers to accessing mental health services, survivorship care, and follow-up support—challenges that are exacerbated by geographic disparities, lower health literacy, and language obstacles within the UK health system (Wyld et al., 2022). This exclusion leads to increased alienation, emotional burden, and poorer health outcomes compared to more privileged groups (Rees, 2015).</w:t>
      </w:r>
    </w:p>
    <w:p w14:paraId="4838DC7A">
      <w:pPr>
        <w:pStyle w:val="85"/>
        <w:spacing w:line="360" w:lineRule="auto"/>
        <w:jc w:val="both"/>
        <w:rPr>
          <w:rFonts w:ascii="Arial" w:hAnsi="Arial" w:cs="Arial"/>
          <w:sz w:val="22"/>
          <w:szCs w:val="22"/>
        </w:rPr>
      </w:pPr>
      <w:r>
        <w:rPr>
          <w:rFonts w:ascii="Arial" w:hAnsi="Arial" w:cs="Arial"/>
          <w:sz w:val="22"/>
          <w:szCs w:val="22"/>
        </w:rPr>
        <w:t xml:space="preserve">Intersectionality plays a critical role, as minority ethnic women confront not only cultural stigma around cancer but also systemic inequities in care provision. Evidence suggests higher levels of mistrust, perceived neglect, and direct discrimination among minority patients, who often feel overlooked or misunderstood within mainstream clinical pathways (Wyld et al., 2022). Cultural sensitivity, interpreter availability, and outreach initiatives remain inconsistently integrated into UK survivorship programmes. This lack of targeted accommodation further entrenches disparities, undermining both mental health recovery and quality of life (Wyld et al., 2022). Women from </w:t>
      </w:r>
      <w:r>
        <w:rPr>
          <w:rFonts w:ascii="Arial" w:hAnsi="Arial" w:cs="Arial"/>
          <w:sz w:val="22"/>
          <w:szCs w:val="22"/>
          <w:lang w:val="en-IN"/>
        </w:rPr>
        <w:t>marginalized</w:t>
      </w:r>
      <w:r>
        <w:rPr>
          <w:rFonts w:ascii="Arial" w:hAnsi="Arial" w:cs="Arial"/>
          <w:sz w:val="22"/>
          <w:szCs w:val="22"/>
        </w:rPr>
        <w:t xml:space="preserve"> groups may also struggle with cultural taboos that discourage open discussion about mental health or cancer-related challenges, reinforcing isolation and limiting opportunities for peer support (Rees, 2015).</w:t>
      </w:r>
    </w:p>
    <w:p w14:paraId="156363F8">
      <w:pPr>
        <w:pStyle w:val="3"/>
        <w:spacing w:line="360" w:lineRule="auto"/>
        <w:jc w:val="both"/>
        <w:rPr>
          <w:rFonts w:hint="default" w:ascii="Arial" w:hAnsi="Arial" w:cs="Arial"/>
          <w:sz w:val="22"/>
          <w:szCs w:val="22"/>
        </w:rPr>
      </w:pPr>
      <w:bookmarkStart w:id="126" w:name="_Toc13838"/>
      <w:bookmarkStart w:id="127" w:name="_Toc29985"/>
      <w:r>
        <w:rPr>
          <w:rFonts w:hint="default" w:ascii="Arial" w:hAnsi="Arial" w:cs="Arial"/>
          <w:sz w:val="22"/>
          <w:szCs w:val="22"/>
        </w:rPr>
        <w:t>Communication, Information, and Shared Decision Making</w:t>
      </w:r>
      <w:bookmarkEnd w:id="126"/>
      <w:bookmarkEnd w:id="127"/>
    </w:p>
    <w:p w14:paraId="190F5300">
      <w:pPr>
        <w:pStyle w:val="85"/>
        <w:spacing w:line="360" w:lineRule="auto"/>
        <w:jc w:val="both"/>
        <w:rPr>
          <w:rFonts w:ascii="Arial" w:hAnsi="Arial" w:cs="Arial"/>
          <w:sz w:val="22"/>
          <w:szCs w:val="22"/>
        </w:rPr>
      </w:pPr>
      <w:r>
        <w:rPr>
          <w:rFonts w:ascii="Arial" w:hAnsi="Arial" w:cs="Arial"/>
          <w:sz w:val="22"/>
          <w:szCs w:val="22"/>
        </w:rPr>
        <w:t>Gaps in information provision and poor communication are persistent sources of frustration and distress among breast cancer survivors. UK-based surveys reveal that more than half of women (53%) reported not being involved in decisions related to menopause care after breast cancer, and almost a third (29%) had difficulties accessing relevant resources (Rees, 2015). Qualitative interviews and cohort studies also document a substantial unmet need for clear and tailored communication regarding long-term side effects, mental health risks, and post-treatment survivorship planning (Trusson et al., 2016; McWilliams et al., 2023).</w:t>
      </w:r>
    </w:p>
    <w:p w14:paraId="0C1680B6">
      <w:pPr>
        <w:pStyle w:val="85"/>
        <w:spacing w:line="360" w:lineRule="auto"/>
        <w:jc w:val="both"/>
        <w:rPr>
          <w:rFonts w:ascii="Arial" w:hAnsi="Arial" w:cs="Arial"/>
          <w:sz w:val="22"/>
          <w:szCs w:val="22"/>
        </w:rPr>
      </w:pPr>
      <w:r>
        <w:rPr>
          <w:rFonts w:ascii="Arial" w:hAnsi="Arial" w:cs="Arial"/>
          <w:sz w:val="22"/>
          <w:szCs w:val="22"/>
        </w:rPr>
        <w:t>Insufficient involvement in shared decision making leaves many women feeling unsupported, uninformed, and unprepared for the challenges ahead. Survivors describe how poor information and superficial clinical encounters contribute to disempowerment, especially around complex issues such as menopause, fertility, pain management, and psychosocial distress (Rees, 2015). Positive experiences of care are strongly linked to receiving honest, empathetic, and personalised communication from clinicians, which helps foster emotional safety and build trust (Trusson et al., 2016). By contrast, negative encounters—such as lack of courtesy, limited respect, or dismissive attitudes from healthcare staff—can seriously undermine mental health recovery, reinforce feelings of vulnerability, and discourage engagement with support services.</w:t>
      </w:r>
    </w:p>
    <w:p w14:paraId="62D898F0">
      <w:pPr>
        <w:pStyle w:val="85"/>
        <w:spacing w:line="360" w:lineRule="auto"/>
        <w:jc w:val="both"/>
        <w:rPr>
          <w:rFonts w:ascii="Arial" w:hAnsi="Arial" w:cs="Arial"/>
          <w:sz w:val="22"/>
          <w:szCs w:val="22"/>
        </w:rPr>
      </w:pPr>
      <w:r>
        <w:rPr>
          <w:rFonts w:ascii="Arial" w:hAnsi="Arial" w:cs="Arial"/>
          <w:sz w:val="22"/>
          <w:szCs w:val="22"/>
        </w:rPr>
        <w:t>Women value being listened to, respected, and actively included in healthcare decisions. Relationships of trust with health professionals, featuring timely and comprehensible information, are associated with better coping, improved management of anxiety and depression, and greater satisfaction with care pathways (McWilliams et al., 2023; Trusson et al., 2016). The absence of such relationships may aggravate social isolation, increase risk of miscommunication, and deepen inequities—particularly for women already disadvantaged by ethnicity, language, or socioeconomic status (Wyld et al., 2022). Peer counselling and tailored interventions have demonstrated benefits in bridging these gaps, offering culturally competent support and fostering collective resilience (Giese-Davis et al., 2016). Accessible, technology-driven resources—such as targeted mobile apps and telehealth contact—are additionally promising for overcoming barriers and reaching marginalised groups (BorjAlilu et al., 2023).</w:t>
      </w:r>
    </w:p>
    <w:p w14:paraId="7B24C64B">
      <w:pPr>
        <w:pStyle w:val="257"/>
        <w:bidi w:val="0"/>
        <w:rPr>
          <w:rFonts w:hint="default"/>
        </w:rPr>
      </w:pPr>
      <w:bookmarkStart w:id="128" w:name="_Toc11642"/>
      <w:bookmarkStart w:id="129" w:name="_Toc623"/>
      <w:r>
        <w:rPr>
          <w:rFonts w:hint="default"/>
          <w:lang w:val="en-IN"/>
        </w:rPr>
        <w:t xml:space="preserve">4.2.6 </w:t>
      </w:r>
      <w:r>
        <w:rPr>
          <w:rFonts w:hint="default"/>
        </w:rPr>
        <w:t xml:space="preserve">Theme </w:t>
      </w:r>
      <w:r>
        <w:rPr>
          <w:rFonts w:hint="default"/>
          <w:lang w:val="en-IN"/>
        </w:rPr>
        <w:t>6</w:t>
      </w:r>
      <w:r>
        <w:rPr>
          <w:rFonts w:hint="default"/>
        </w:rPr>
        <w:t>: Coping Strategies and Support Networks</w:t>
      </w:r>
      <w:bookmarkEnd w:id="128"/>
      <w:bookmarkEnd w:id="129"/>
    </w:p>
    <w:p w14:paraId="3718003D">
      <w:pPr>
        <w:pStyle w:val="3"/>
        <w:spacing w:line="360" w:lineRule="auto"/>
        <w:jc w:val="both"/>
        <w:rPr>
          <w:rFonts w:hint="default" w:ascii="Arial" w:hAnsi="Arial" w:cs="Arial"/>
          <w:sz w:val="22"/>
          <w:szCs w:val="22"/>
        </w:rPr>
      </w:pPr>
      <w:bookmarkStart w:id="130" w:name="_Toc5469"/>
      <w:bookmarkStart w:id="131" w:name="_Toc16151"/>
      <w:r>
        <w:rPr>
          <w:rFonts w:hint="default" w:ascii="Arial" w:hAnsi="Arial" w:cs="Arial"/>
          <w:sz w:val="22"/>
          <w:szCs w:val="22"/>
        </w:rPr>
        <w:t>Adaptive and Maladaptive Coping</w:t>
      </w:r>
      <w:bookmarkEnd w:id="130"/>
      <w:bookmarkEnd w:id="131"/>
    </w:p>
    <w:p w14:paraId="5B36E057">
      <w:pPr>
        <w:pStyle w:val="85"/>
        <w:spacing w:line="360" w:lineRule="auto"/>
        <w:jc w:val="both"/>
        <w:rPr>
          <w:rFonts w:ascii="Arial" w:hAnsi="Arial" w:cs="Arial"/>
          <w:sz w:val="22"/>
          <w:szCs w:val="22"/>
        </w:rPr>
      </w:pPr>
      <w:r>
        <w:rPr>
          <w:rFonts w:ascii="Arial" w:hAnsi="Arial" w:cs="Arial"/>
          <w:sz w:val="22"/>
          <w:szCs w:val="22"/>
        </w:rPr>
        <w:t>Coping strategies are central determinants of mental health outcomes for breast cancer survivors in the UK, with the quality and accessibility of support structures shaping the holistic recovery experience. Many women benefit substantially from connections to peer-support groups, which provide validation, shared experience, and direct emotional support from others who have undergone similar journeys (Giese-Davis et al., 2016; Rees, 2015). These networks, whether facilitated in community, hospital, or voluntary sector settings, help survivors reframe their experiences, foster collective resilience, and navigate uncertainty through story-sharing and practical advice (Trusson et al., 2016).</w:t>
      </w:r>
    </w:p>
    <w:p w14:paraId="61CE06E9">
      <w:pPr>
        <w:pStyle w:val="85"/>
        <w:spacing w:line="360" w:lineRule="auto"/>
        <w:jc w:val="both"/>
        <w:rPr>
          <w:rFonts w:ascii="Arial" w:hAnsi="Arial" w:cs="Arial"/>
          <w:sz w:val="22"/>
          <w:szCs w:val="22"/>
        </w:rPr>
      </w:pPr>
      <w:r>
        <w:rPr>
          <w:rFonts w:ascii="Arial" w:hAnsi="Arial" w:cs="Arial"/>
          <w:sz w:val="22"/>
          <w:szCs w:val="22"/>
        </w:rPr>
        <w:t>Professional therapy—including cognitive-behavioural stress management and guided psychosocial interventions—also demonstrates notable benefits, such as reducing anxiety, depression, and trauma-related symptoms, and improving adaptive coping mechanisms (Tang et al., 2020; Halkett et al., 2018). When survivors have opportunities for structured therapeutic engagement, they are better equipped to accommodate new physical or cognitive limitations, actively seek help, and reconstruct their sense of self, even in the face of ongoing health anxieties and identity disruption (Rees, 2015). Family involvement and strong social support also promote better psychological adaptation and protect against chronic distress.</w:t>
      </w:r>
    </w:p>
    <w:p w14:paraId="47EAD055">
      <w:pPr>
        <w:pStyle w:val="85"/>
        <w:spacing w:line="360" w:lineRule="auto"/>
        <w:jc w:val="both"/>
        <w:rPr>
          <w:rFonts w:ascii="Arial" w:hAnsi="Arial" w:cs="Arial"/>
          <w:sz w:val="22"/>
          <w:szCs w:val="22"/>
        </w:rPr>
      </w:pPr>
      <w:r>
        <w:rPr>
          <w:rFonts w:ascii="Arial" w:hAnsi="Arial" w:cs="Arial"/>
          <w:sz w:val="22"/>
          <w:szCs w:val="22"/>
        </w:rPr>
        <w:t>By contrast, survivors who lack access to adequate support—whether due to geographic, cultural, or socioeconomic barriers—or who rely heavily on maladaptive coping mechanisms, such as emotional avoidance, social withdrawal, or denial, are at increased risk of persistent psychological morbidity (Rees, 2015; Wyld et al., 2022). These coping styles may lead to greater isolation, poorer quality of life, and prolonged engagement with distress, particularly for those navigating ongoing pain, sexual dysfunction, or cognitive impairment without an empathic community or professional guidance (Trusson et al., 2016).</w:t>
      </w:r>
    </w:p>
    <w:p w14:paraId="63216E4D">
      <w:pPr>
        <w:pStyle w:val="85"/>
        <w:spacing w:line="360" w:lineRule="auto"/>
        <w:jc w:val="both"/>
        <w:rPr>
          <w:rFonts w:ascii="Arial" w:hAnsi="Arial" w:cs="Arial"/>
          <w:sz w:val="22"/>
          <w:szCs w:val="22"/>
        </w:rPr>
      </w:pPr>
      <w:r>
        <w:rPr>
          <w:rFonts w:ascii="Arial" w:hAnsi="Arial" w:cs="Arial"/>
          <w:sz w:val="22"/>
          <w:szCs w:val="22"/>
        </w:rPr>
        <w:t>Adaptive coping among breast cancer survivors frequently encompasses the accommodation of new health realities, reframing or finding meaning in loss, and developing new goals or self-concepts aligned with the "new normal" (Trusson et al., 2016; Tang et al., 2020). Active strategies—including help-seeking, learning to communicate openly about challenges, and incremental rebuilding of self-confidence—can transform experiences of vulnerability into opportunities for resilience and post-traumatic growth (Rees, 2015).</w:t>
      </w:r>
    </w:p>
    <w:p w14:paraId="0A973A55">
      <w:pPr>
        <w:pStyle w:val="3"/>
        <w:spacing w:line="360" w:lineRule="auto"/>
        <w:jc w:val="both"/>
        <w:rPr>
          <w:rFonts w:hint="default" w:ascii="Arial" w:hAnsi="Arial" w:cs="Arial"/>
          <w:sz w:val="22"/>
          <w:szCs w:val="22"/>
        </w:rPr>
      </w:pPr>
      <w:bookmarkStart w:id="132" w:name="_Toc26290"/>
      <w:bookmarkStart w:id="133" w:name="_Toc21083"/>
      <w:r>
        <w:rPr>
          <w:rFonts w:hint="default" w:ascii="Arial" w:hAnsi="Arial" w:cs="Arial"/>
          <w:sz w:val="22"/>
          <w:szCs w:val="22"/>
        </w:rPr>
        <w:t>Technology and Online Support</w:t>
      </w:r>
      <w:bookmarkEnd w:id="132"/>
      <w:bookmarkEnd w:id="133"/>
    </w:p>
    <w:p w14:paraId="0C43A249">
      <w:pPr>
        <w:pStyle w:val="85"/>
        <w:spacing w:line="360" w:lineRule="auto"/>
        <w:jc w:val="both"/>
        <w:rPr>
          <w:rFonts w:ascii="Arial" w:hAnsi="Arial" w:cs="Arial"/>
          <w:sz w:val="22"/>
          <w:szCs w:val="22"/>
        </w:rPr>
      </w:pPr>
      <w:r>
        <w:rPr>
          <w:rFonts w:ascii="Arial" w:hAnsi="Arial" w:cs="Arial"/>
          <w:sz w:val="22"/>
          <w:szCs w:val="22"/>
        </w:rPr>
        <w:t>The emergence of digital platforms and online support networks is reshaping the landscape of survivorship care, offering new avenues for connection, emotional support, and self-management regardless of geographical or social constraints. Mobile health applications, online peer forums, and text-message interventions have proven effective in bridging traditional access gaps, empowering survivors to seek guidance, track wellbeing, and maintain social contact beyond face-to-face environments (Singleton et al., 2019; BorjAlilu et al., 2023).</w:t>
      </w:r>
    </w:p>
    <w:p w14:paraId="296F7EAF">
      <w:pPr>
        <w:pStyle w:val="85"/>
        <w:spacing w:line="360" w:lineRule="auto"/>
        <w:jc w:val="both"/>
        <w:rPr>
          <w:rFonts w:ascii="Arial" w:hAnsi="Arial" w:cs="Arial"/>
          <w:sz w:val="22"/>
          <w:szCs w:val="22"/>
        </w:rPr>
      </w:pPr>
      <w:r>
        <w:rPr>
          <w:rFonts w:ascii="Arial" w:hAnsi="Arial" w:cs="Arial"/>
          <w:sz w:val="22"/>
          <w:szCs w:val="22"/>
        </w:rPr>
        <w:t>For many survivors, technology-enhanced support delivers immediacy and anonymity that are valued during vulnerable times, facilitates ongoing engagement with groups and therapists, and provides educational resources tailored to the unique needs of the breast cancer community (BorjAlilu et al., 2023). Such platforms also foster peer-led communities, where survivors share experiences and advice, normalise difficulties, and exchange practical solutions for challenges like fatigue, cognitive dysfunction, or relationship issues (Singleton et al., 2019; Giese-Davis et al., 2016).</w:t>
      </w:r>
    </w:p>
    <w:p w14:paraId="287F4AB3">
      <w:pPr>
        <w:pStyle w:val="85"/>
        <w:spacing w:line="360" w:lineRule="auto"/>
        <w:jc w:val="both"/>
        <w:rPr>
          <w:rFonts w:ascii="Arial" w:hAnsi="Arial" w:cs="Arial"/>
          <w:sz w:val="22"/>
          <w:szCs w:val="22"/>
        </w:rPr>
      </w:pPr>
      <w:r>
        <w:rPr>
          <w:rFonts w:ascii="Arial" w:hAnsi="Arial" w:cs="Arial"/>
          <w:sz w:val="22"/>
          <w:szCs w:val="22"/>
        </w:rPr>
        <w:t>Despite the promise of digital and online resources, significant disparities remain. Survivors in rural areas, those with lower digital literacy, older women, and those from deprived backgrounds may struggle to access or meaningfully use technology-driven support (Wyld et al., 2022). This digital divide can reinforce existing inequities, leaving the most vulnerable at risk of further isolation and unmet psychosocial needs. Policy initiatives aimed at improving infrastructure, outreach, and digital education are therefore vital, ensuring equitable access and relevance of resources for all women regardless of background, age, or location (Wyld et al., 2022; BorjAlilu et al., 2023).</w:t>
      </w:r>
    </w:p>
    <w:p w14:paraId="5456608A">
      <w:pPr>
        <w:pStyle w:val="85"/>
        <w:spacing w:line="360" w:lineRule="auto"/>
        <w:jc w:val="both"/>
        <w:rPr>
          <w:rFonts w:ascii="Arial" w:hAnsi="Arial" w:cs="Arial"/>
          <w:sz w:val="22"/>
          <w:szCs w:val="22"/>
        </w:rPr>
      </w:pPr>
      <w:r>
        <w:rPr>
          <w:rFonts w:ascii="Arial" w:hAnsi="Arial" w:cs="Arial"/>
          <w:sz w:val="22"/>
          <w:szCs w:val="22"/>
        </w:rPr>
        <w:t>Overall, the evidence highlights the centrality of both formal and informal support networks in mitigating distress and facilitating adaptation for breast cancer survivors. A multifaceted approach—combining in-person, technological, and community-based support, underpinned by targeted policy interventions—remains essential to improving outcomes and reducing disparities in survivorship care.</w:t>
      </w:r>
    </w:p>
    <w:p w14:paraId="20B8D591">
      <w:pPr>
        <w:pStyle w:val="257"/>
        <w:bidi w:val="0"/>
        <w:rPr>
          <w:rFonts w:hint="default"/>
        </w:rPr>
      </w:pPr>
      <w:bookmarkStart w:id="134" w:name="_Toc15722"/>
      <w:bookmarkStart w:id="135" w:name="_Toc6151"/>
      <w:r>
        <w:rPr>
          <w:rFonts w:hint="default"/>
          <w:lang w:val="en-IN"/>
        </w:rPr>
        <w:t xml:space="preserve">4.2.7 </w:t>
      </w:r>
      <w:r>
        <w:rPr>
          <w:rFonts w:hint="default"/>
        </w:rPr>
        <w:t xml:space="preserve">Theme </w:t>
      </w:r>
      <w:r>
        <w:rPr>
          <w:rFonts w:hint="default"/>
          <w:lang w:val="en-IN"/>
        </w:rPr>
        <w:t>7</w:t>
      </w:r>
      <w:r>
        <w:rPr>
          <w:rFonts w:hint="default"/>
        </w:rPr>
        <w:t>: Quality of Care and Service Provision</w:t>
      </w:r>
      <w:bookmarkEnd w:id="134"/>
      <w:bookmarkEnd w:id="135"/>
    </w:p>
    <w:p w14:paraId="2E1D6303">
      <w:pPr>
        <w:pStyle w:val="3"/>
        <w:spacing w:line="360" w:lineRule="auto"/>
        <w:jc w:val="both"/>
        <w:rPr>
          <w:rFonts w:hint="default" w:ascii="Arial" w:hAnsi="Arial" w:cs="Arial"/>
          <w:sz w:val="22"/>
          <w:szCs w:val="22"/>
        </w:rPr>
      </w:pPr>
      <w:bookmarkStart w:id="136" w:name="_Toc26636"/>
      <w:bookmarkStart w:id="137" w:name="_Toc30474"/>
      <w:r>
        <w:rPr>
          <w:rFonts w:hint="default" w:ascii="Arial" w:hAnsi="Arial" w:cs="Arial"/>
          <w:sz w:val="22"/>
          <w:szCs w:val="22"/>
        </w:rPr>
        <w:t>Variation and Barriers</w:t>
      </w:r>
      <w:bookmarkEnd w:id="136"/>
      <w:bookmarkEnd w:id="137"/>
    </w:p>
    <w:p w14:paraId="6BB383C5">
      <w:pPr>
        <w:pStyle w:val="85"/>
        <w:spacing w:line="360" w:lineRule="auto"/>
        <w:jc w:val="both"/>
        <w:rPr>
          <w:rFonts w:ascii="Arial" w:hAnsi="Arial" w:cs="Arial"/>
          <w:sz w:val="22"/>
          <w:szCs w:val="22"/>
        </w:rPr>
      </w:pPr>
      <w:r>
        <w:rPr>
          <w:rFonts w:ascii="Arial" w:hAnsi="Arial" w:cs="Arial"/>
          <w:sz w:val="22"/>
          <w:szCs w:val="22"/>
        </w:rPr>
        <w:t>Significant variation in the availability and quality of survivorship and mental health services for breast cancer survivors is a persistent issue across the UK healthcare system. Studies underscore that women’s access to comprehensive post-treatment support varies markedly depending on geographic location, with urban areas tending to offer more specialised survivorship clinics and psychosocial services compared to more rural or deprived regions (Wyld et al., 2022; Ring et al., 2021). This uneven distribution of services is compounded by funding constraints that limit capacity, resulting in long waiting times, sporadic follow-up, and variability in the kinds of support offered. Many survivors report experiencing fragmented care with insufficient coordination between oncology, primary care, and mental health services, creating barriers to identification and management of ongoing physical and psychological sequelae (Trusson et al., 2016; Bruce et al., 2018).</w:t>
      </w:r>
    </w:p>
    <w:p w14:paraId="55013C4A">
      <w:pPr>
        <w:pStyle w:val="85"/>
        <w:spacing w:line="360" w:lineRule="auto"/>
        <w:jc w:val="both"/>
        <w:rPr>
          <w:rFonts w:ascii="Arial" w:hAnsi="Arial" w:cs="Arial"/>
          <w:sz w:val="22"/>
          <w:szCs w:val="22"/>
        </w:rPr>
      </w:pPr>
      <w:r>
        <w:rPr>
          <w:rFonts w:ascii="Arial" w:hAnsi="Arial" w:cs="Arial"/>
          <w:sz w:val="22"/>
          <w:szCs w:val="22"/>
        </w:rPr>
        <w:t>Referral pathways for post-treatment support are often inconsistent and may lack systematic mental health screening, leading to underrecognition of depression, anxiety, and cognitive dysfunction among survivors (Rees, 2015; Halkett et al., 2018). Older women and ethnic minority groups are particularly vulnerable to these systemic gaps. Research indicates that older survivors face implicit ageism, with a tendency toward lower referral rates for psychological services and rehabilitation programmes despite complex survivorship needs (Wyld et al., 2022; Ring et al., 2021). Similarly, ethnic minority women often report cultural and linguistic barriers, mistrust of health services, and reduced engagement with survivorship care due to inadequate culturally sensitive provision and insufficient interpreter access (Rees, 2015; Wyld et al., 2022). These disparities contribute to poorer health outcomes, increased symptom burden, and heightened emotional distress in groups already at risk of marginalisation.</w:t>
      </w:r>
    </w:p>
    <w:p w14:paraId="4ACF44C3">
      <w:pPr>
        <w:pStyle w:val="85"/>
        <w:spacing w:line="360" w:lineRule="auto"/>
        <w:jc w:val="both"/>
        <w:rPr>
          <w:rFonts w:ascii="Arial" w:hAnsi="Arial" w:cs="Arial"/>
          <w:sz w:val="22"/>
          <w:szCs w:val="22"/>
        </w:rPr>
      </w:pPr>
      <w:r>
        <w:rPr>
          <w:rFonts w:ascii="Arial" w:hAnsi="Arial" w:cs="Arial"/>
          <w:sz w:val="22"/>
          <w:szCs w:val="22"/>
        </w:rPr>
        <w:t>Such inequities are further entrenched by a lack of standardised guidelines mandating uniform survivorship care pathways across UK NHS trusts. The absence of integrated multidisciplinary approaches means that many survivors must navigate complex and disjointed systems independently, increasing the likelihood of unmet needs, delayed intervention, and reduced quality of life (Trusson et al., 2016; Ring et al., 2021). Survivors frequently describe a sense of abandonment as active oncology treatment ends, with insufficient professional contact or psychosocial support to address long-term side effects such as fatigue, “chemo brain,” sexual dysfunction, and anxiety (Rees, 2015; Bruce et al., 2018).</w:t>
      </w:r>
    </w:p>
    <w:p w14:paraId="39BC428C">
      <w:pPr>
        <w:pStyle w:val="3"/>
        <w:spacing w:line="360" w:lineRule="auto"/>
        <w:jc w:val="both"/>
        <w:rPr>
          <w:rFonts w:hint="default" w:ascii="Arial" w:hAnsi="Arial" w:cs="Arial"/>
          <w:sz w:val="22"/>
          <w:szCs w:val="22"/>
        </w:rPr>
      </w:pPr>
      <w:bookmarkStart w:id="138" w:name="_Toc28404"/>
      <w:bookmarkStart w:id="139" w:name="_Toc32417"/>
      <w:r>
        <w:rPr>
          <w:rFonts w:hint="default" w:ascii="Arial" w:hAnsi="Arial" w:cs="Arial"/>
          <w:sz w:val="22"/>
          <w:szCs w:val="22"/>
        </w:rPr>
        <w:t>Policy and Future Directions</w:t>
      </w:r>
      <w:bookmarkEnd w:id="138"/>
      <w:bookmarkEnd w:id="139"/>
    </w:p>
    <w:p w14:paraId="646EC8F2">
      <w:pPr>
        <w:pStyle w:val="85"/>
        <w:spacing w:line="360" w:lineRule="auto"/>
        <w:jc w:val="both"/>
        <w:rPr>
          <w:rFonts w:ascii="Arial" w:hAnsi="Arial" w:cs="Arial"/>
          <w:sz w:val="22"/>
          <w:szCs w:val="22"/>
        </w:rPr>
      </w:pPr>
      <w:r>
        <w:rPr>
          <w:rFonts w:ascii="Arial" w:hAnsi="Arial" w:cs="Arial"/>
          <w:sz w:val="22"/>
          <w:szCs w:val="22"/>
        </w:rPr>
        <w:t xml:space="preserve">To address these persistent inequities and improve survivorship outcomes, there is a growing consensus on the need for </w:t>
      </w:r>
      <w:r>
        <w:rPr>
          <w:rStyle w:val="92"/>
          <w:rFonts w:ascii="Arial" w:hAnsi="Arial" w:cs="Arial"/>
          <w:sz w:val="22"/>
          <w:szCs w:val="22"/>
        </w:rPr>
        <w:t>integrated, person-centred care models</w:t>
      </w:r>
      <w:r>
        <w:rPr>
          <w:rFonts w:ascii="Arial" w:hAnsi="Arial" w:cs="Arial"/>
          <w:sz w:val="22"/>
          <w:szCs w:val="22"/>
        </w:rPr>
        <w:t xml:space="preserve"> that comprehensively address physical, emotional, and social dimensions of breast cancer recovery. Such models emphasise multidisciplinary collaboration between oncologists, primary care physicians, mental health specialists, physiotherapists, and social workers to coordinate seamless transitions from active treatment to long-term follow-up (Wyld et al., 2022; Ring et al., 2021). The adoption of digital health tools—including symptom monitoring apps, telehealth consultations, and electronic decision aids—can enhance accessibility, facilitate proactive symptom management, and empower survivors to engage actively in their care regardless of geographic or socio-economic constraints (BorjAlilu et al., 2023; Singleton et al., 2019).</w:t>
      </w:r>
    </w:p>
    <w:p w14:paraId="2CD4B7F5">
      <w:pPr>
        <w:pStyle w:val="85"/>
        <w:spacing w:line="360" w:lineRule="auto"/>
        <w:jc w:val="both"/>
        <w:rPr>
          <w:rFonts w:ascii="Arial" w:hAnsi="Arial" w:cs="Arial"/>
          <w:sz w:val="22"/>
          <w:szCs w:val="22"/>
        </w:rPr>
      </w:pPr>
      <w:r>
        <w:rPr>
          <w:rFonts w:ascii="Arial" w:hAnsi="Arial" w:cs="Arial"/>
          <w:sz w:val="22"/>
          <w:szCs w:val="22"/>
        </w:rPr>
        <w:t xml:space="preserve">Survivorship-focused reform urgently requires the </w:t>
      </w:r>
      <w:r>
        <w:rPr>
          <w:rStyle w:val="92"/>
          <w:rFonts w:ascii="Arial" w:hAnsi="Arial" w:cs="Arial"/>
          <w:sz w:val="22"/>
          <w:szCs w:val="22"/>
        </w:rPr>
        <w:t>standardisation of mental health screening protocols</w:t>
      </w:r>
      <w:r>
        <w:rPr>
          <w:rFonts w:ascii="Arial" w:hAnsi="Arial" w:cs="Arial"/>
          <w:sz w:val="22"/>
          <w:szCs w:val="22"/>
        </w:rPr>
        <w:t xml:space="preserve"> within cancer follow-up clinics to ensure routine identification and management of psychological distress (Halkett et al., 2018). Systematic risk stratification, supported by tools such as the Tyrer-Cuzick breast cancer risk model and clinical algorithms, can help target high-risk groups for intensified psychosocial support and rehabilitation services (Brentnall et al., 2015; McWilliams et al., 2023). Targeted outreach is essential to engage minority ethnic and deprived populations, with culturally competent care delivery that incorporates interpreter services and community engagement to reduce barriers to access and improve trust in healthcare (Wyld et al., 2022; Rees, 2015).</w:t>
      </w:r>
    </w:p>
    <w:p w14:paraId="4538DFA1">
      <w:pPr>
        <w:pStyle w:val="85"/>
        <w:spacing w:line="360" w:lineRule="auto"/>
        <w:jc w:val="both"/>
        <w:rPr>
          <w:rFonts w:ascii="Arial" w:hAnsi="Arial" w:cs="Arial"/>
          <w:sz w:val="22"/>
          <w:szCs w:val="22"/>
        </w:rPr>
      </w:pPr>
      <w:r>
        <w:rPr>
          <w:rFonts w:ascii="Arial" w:hAnsi="Arial" w:cs="Arial"/>
          <w:sz w:val="22"/>
          <w:szCs w:val="22"/>
        </w:rPr>
        <w:t>Policy initiatives should prioritise equitable funding allocation to expand multidisciplinary survivorship clinics and ensure consistency in service provision across regions, reducing postcode lotteries in care quality (Ring et al., 2021; Wyld et al., 2022). Training healthcare professionals in shared decision making and communication skills, particularly in discussing long-term physical and mental health effects, is also critical to foster emotional safety and patient empowerment (McWilliams et al., 2023; Trusson et al., 2016). Such person-centred approaches can improve adherence to follow-up care, reduce anxiety, and promote resilience among survivors.</w:t>
      </w:r>
    </w:p>
    <w:p w14:paraId="1BE678B9">
      <w:pPr>
        <w:pStyle w:val="85"/>
        <w:spacing w:line="360" w:lineRule="auto"/>
        <w:jc w:val="both"/>
        <w:rPr>
          <w:rFonts w:ascii="Arial" w:hAnsi="Arial" w:cs="Arial"/>
          <w:sz w:val="22"/>
          <w:szCs w:val="22"/>
        </w:rPr>
      </w:pPr>
      <w:r>
        <w:rPr>
          <w:rFonts w:ascii="Arial" w:hAnsi="Arial" w:cs="Arial"/>
          <w:sz w:val="22"/>
          <w:szCs w:val="22"/>
        </w:rPr>
        <w:t xml:space="preserve">Ultimately, future healthcare policy in the UK must recognise survivorship as a distinct phase of cancer care requiring dedicated resources, integrated service models, and a commitment to reducing systemic inequities. Investing in </w:t>
      </w:r>
      <w:r>
        <w:rPr>
          <w:rStyle w:val="92"/>
          <w:rFonts w:ascii="Arial" w:hAnsi="Arial" w:cs="Arial"/>
          <w:sz w:val="22"/>
          <w:szCs w:val="22"/>
        </w:rPr>
        <w:t>multidisciplinary, holistic care pathways</w:t>
      </w:r>
      <w:r>
        <w:rPr>
          <w:rFonts w:ascii="Arial" w:hAnsi="Arial" w:cs="Arial"/>
          <w:sz w:val="22"/>
          <w:szCs w:val="22"/>
        </w:rPr>
        <w:t>, supported by technology and tailored to the diverse needs of breast cancer survivors, holds promise for improving quality of life and mental health outcomes—particularly for vulnerable and underserved groups.</w:t>
      </w:r>
    </w:p>
    <w:p w14:paraId="57912BCD">
      <w:pPr>
        <w:pStyle w:val="256"/>
        <w:bidi w:val="0"/>
        <w:rPr>
          <w:lang w:val="en-IN"/>
        </w:rPr>
      </w:pPr>
      <w:bookmarkStart w:id="140" w:name="_Toc7148"/>
      <w:r>
        <w:rPr>
          <w:lang w:val="en-IN"/>
        </w:rPr>
        <w:t>4.3 Conclusion</w:t>
      </w:r>
      <w:bookmarkEnd w:id="140"/>
    </w:p>
    <w:p w14:paraId="5A63B2B0">
      <w:pPr>
        <w:pStyle w:val="85"/>
        <w:spacing w:line="360" w:lineRule="auto"/>
        <w:jc w:val="both"/>
        <w:rPr>
          <w:rFonts w:ascii="Arial" w:hAnsi="Arial" w:cs="Arial"/>
          <w:sz w:val="22"/>
          <w:szCs w:val="22"/>
        </w:rPr>
      </w:pPr>
      <w:r>
        <w:rPr>
          <w:rFonts w:ascii="Arial" w:hAnsi="Arial" w:cs="Arial"/>
          <w:sz w:val="22"/>
          <w:szCs w:val="22"/>
        </w:rPr>
        <w:t>The experience of breast cancer survivorship in the UK is complex and multifaceted, marked by enduring emotional turbulence, persistent physical and cognitive symptoms, challenges in sexual function, and disruptions in intimate and social relationships. These difficulties are not experienced uniformly but are deeply influenced by intersectional factors such as ethnicity, age, and socioeconomic status, which disproportionately affect certain groups, exacerbating inequities in access to care and long-term outcomes (Rees, 2015; Wyld et al., 2022). The pervasive uncertainty about recurrence, fluctuating health status, and ongoing symptom management contribute to sustained psychological distress, framing survivorship as a prolonged state of vulnerability and adjustment rather than a discrete post-treatment phase (Trusson et al., 2016).</w:t>
      </w:r>
    </w:p>
    <w:p w14:paraId="48F0B96A">
      <w:pPr>
        <w:pStyle w:val="85"/>
        <w:spacing w:line="360" w:lineRule="auto"/>
        <w:jc w:val="both"/>
        <w:rPr>
          <w:rFonts w:ascii="Arial" w:hAnsi="Arial" w:cs="Arial"/>
          <w:sz w:val="22"/>
          <w:szCs w:val="22"/>
        </w:rPr>
      </w:pPr>
      <w:r>
        <w:rPr>
          <w:rFonts w:ascii="Arial" w:hAnsi="Arial" w:cs="Arial"/>
          <w:sz w:val="22"/>
          <w:szCs w:val="22"/>
        </w:rPr>
        <w:t>Core themes repeatedly emerge from UK research on breast cancer survivors’ lived experiences. The concept of biographical disruption highlights how cancer interrupts life trajectories and self-identity, necessitating a renegotiation of what constitutes “normal” (Trusson et al., 2016). Added to this are the powerful influences of social stigma and marginalisation, especially for women from ethnic minorities and economically disadvantaged backgrounds who face barriers to culturally competent, accessible care and adequate psychosocial support (Wyld et al., 2022; Rees, 2015). Poor communication and lack of shared decision making within healthcare settings further undermine emotional safety and trust, limiting survivors’ involvement in their own care decisions and diminishing opportunities for effective management of physical and mental health challenges (McWilliams et al., 2023; Trusson et al., 2016).</w:t>
      </w:r>
    </w:p>
    <w:p w14:paraId="12CA6947">
      <w:pPr>
        <w:pStyle w:val="85"/>
        <w:spacing w:line="360" w:lineRule="auto"/>
        <w:jc w:val="both"/>
        <w:rPr>
          <w:rFonts w:ascii="Arial" w:hAnsi="Arial" w:cs="Arial"/>
          <w:sz w:val="22"/>
          <w:szCs w:val="22"/>
        </w:rPr>
      </w:pPr>
      <w:r>
        <w:rPr>
          <w:rFonts w:ascii="Arial" w:hAnsi="Arial" w:cs="Arial"/>
          <w:sz w:val="22"/>
          <w:szCs w:val="22"/>
        </w:rPr>
        <w:t>Persistent symptoms such as cognitive dysfunction (“chemo brain”), chronic fatigue, sexual morbidity, and pain compound these psychosocial stressors and create significant barriers to quality of life and social participation (Bruce et al., 2018; Ring et al., 2021). These physical and psychological burdens often contribute to strained intimate relationships and social isolation, which in turn amplify distress, complicating the recovery and adaptation processes (Rees, 2015; Trusson et al., 2016). The ways in which survivors cope—ranging from adaptive strategies involving active help-seeking, reframing, and social engagement, to maladaptive behaviours such as avoidance and withdrawal—also heavily influence mental health trajectories (Giese-Davis et al., 2016; Tang et al., 2020).</w:t>
      </w:r>
    </w:p>
    <w:p w14:paraId="4DDCC44F">
      <w:pPr>
        <w:pStyle w:val="85"/>
        <w:spacing w:line="360" w:lineRule="auto"/>
        <w:jc w:val="both"/>
        <w:rPr>
          <w:rFonts w:ascii="Arial" w:hAnsi="Arial" w:cs="Arial"/>
          <w:sz w:val="22"/>
          <w:szCs w:val="22"/>
        </w:rPr>
      </w:pPr>
      <w:r>
        <w:rPr>
          <w:rFonts w:ascii="Arial" w:hAnsi="Arial" w:cs="Arial"/>
          <w:sz w:val="22"/>
          <w:szCs w:val="22"/>
        </w:rPr>
        <w:t>Despite these challenges, survivorship also presents an opportunity for resilience and positive growth. Many women demonstrate remarkable capacity for adaptation, often facilitated by supportive networks that include peer groups, family, professional therapy, and increasingly, digital interventions that bridge access gaps (BorjAlilu et al., 2023; Singleton et al., 2019). These support systems play a pivotal role in fostering emotional resilience, helping survivors to reconstruct their identities, and enabling meaningful engagement with life beyond cancer (Rees, 2015; Giese-Davis et al., 2016).</w:t>
      </w:r>
    </w:p>
    <w:p w14:paraId="26572EBB">
      <w:pPr>
        <w:pStyle w:val="85"/>
        <w:spacing w:line="360" w:lineRule="auto"/>
        <w:jc w:val="both"/>
        <w:rPr>
          <w:rFonts w:ascii="Arial" w:hAnsi="Arial" w:cs="Arial"/>
          <w:sz w:val="22"/>
          <w:szCs w:val="22"/>
        </w:rPr>
      </w:pPr>
      <w:r>
        <w:rPr>
          <w:rFonts w:ascii="Arial" w:hAnsi="Arial" w:cs="Arial"/>
          <w:sz w:val="22"/>
          <w:szCs w:val="22"/>
        </w:rPr>
        <w:t>However, the benefits of such support and care are currently unevenly distributed across the population. Significant variation persists in the quality and availability of survivorship resources, with systemic service barriers disproportionately impacting older women and those from minority ethnic communities (Wyld et al., 2022; Ring et al., 2021). This underscores an urgent need for healthcare policy reform focused on standardising care pathways, embedding routine mental health screening, prioritising culturally sensitive outreach, and supporting integrated, person-centred models of care that address the full spectrum of survivors’ needs (Rees, 2015; Wyld et al., 2022). Increasing incorporation of multidisciplinary clinics, digital health tools, and shared-decision-making frameworks are promising approaches to closing existing gaps and improving outcomes for all survivor groups (BorjAlilu et al., 2023; McWilliams et al., 2023).</w:t>
      </w:r>
    </w:p>
    <w:p w14:paraId="19FC7876">
      <w:pPr>
        <w:pStyle w:val="85"/>
        <w:spacing w:line="360" w:lineRule="auto"/>
        <w:jc w:val="both"/>
        <w:rPr>
          <w:rFonts w:ascii="Arial" w:hAnsi="Arial" w:cs="Arial"/>
          <w:sz w:val="22"/>
          <w:szCs w:val="22"/>
        </w:rPr>
      </w:pPr>
      <w:r>
        <w:rPr>
          <w:rFonts w:ascii="Arial" w:hAnsi="Arial" w:cs="Arial"/>
          <w:sz w:val="22"/>
          <w:szCs w:val="22"/>
        </w:rPr>
        <w:t>Ultimately, breast cancer survivorship in the UK is an evolving journey shaped by the interplay of emotional, physical, social, and systemic factors. Recognition of this complexity is crucial to developing comprehensive, equitable care models that not only mitigate vulnerability but also empower survivors toward recovery, growth, and a redefined sense of normalcy. The potential for resilience and positive transformation highlights survivorship as a dynamic and hopeful phase—a process that can be optimised through compassionate, informed, and accessible healthcare delivery coupled with robust community and digital support networks.</w:t>
      </w:r>
    </w:p>
    <w:p w14:paraId="49BEB422">
      <w:pPr>
        <w:pStyle w:val="255"/>
        <w:bidi w:val="0"/>
        <w:rPr>
          <w:lang w:val="en-IN"/>
        </w:rPr>
      </w:pPr>
      <w:bookmarkStart w:id="141" w:name="_Toc521"/>
    </w:p>
    <w:p w14:paraId="732648BC">
      <w:pPr>
        <w:pStyle w:val="255"/>
        <w:bidi w:val="0"/>
        <w:rPr>
          <w:lang w:val="en-IN"/>
        </w:rPr>
      </w:pPr>
    </w:p>
    <w:p w14:paraId="71F3327B">
      <w:pPr>
        <w:pStyle w:val="255"/>
        <w:bidi w:val="0"/>
        <w:rPr>
          <w:lang w:val="en-IN"/>
        </w:rPr>
      </w:pPr>
    </w:p>
    <w:p w14:paraId="58A1C69F">
      <w:pPr>
        <w:pStyle w:val="255"/>
        <w:bidi w:val="0"/>
        <w:rPr>
          <w:lang w:val="en-IN"/>
        </w:rPr>
      </w:pPr>
    </w:p>
    <w:p w14:paraId="3EE53B8D">
      <w:pPr>
        <w:pStyle w:val="255"/>
        <w:bidi w:val="0"/>
        <w:rPr>
          <w:lang w:val="en-IN"/>
        </w:rPr>
      </w:pPr>
    </w:p>
    <w:p w14:paraId="18150311">
      <w:pPr>
        <w:pStyle w:val="255"/>
        <w:bidi w:val="0"/>
        <w:rPr>
          <w:lang w:val="en-IN"/>
        </w:rPr>
      </w:pPr>
      <w:r>
        <w:rPr>
          <w:lang w:val="en-IN"/>
        </w:rPr>
        <w:t>Chapter 5: Conclusion and Recommendations</w:t>
      </w:r>
      <w:bookmarkEnd w:id="141"/>
    </w:p>
    <w:p w14:paraId="63C6DE3A">
      <w:pPr>
        <w:pStyle w:val="256"/>
        <w:bidi w:val="0"/>
        <w:rPr>
          <w:lang w:val="en-IN"/>
        </w:rPr>
      </w:pPr>
      <w:bookmarkStart w:id="142" w:name="_Toc19520"/>
      <w:bookmarkStart w:id="143" w:name="_Toc18216"/>
      <w:r>
        <w:rPr>
          <w:lang w:val="en-IN"/>
        </w:rPr>
        <w:t>5.1 Conclusion</w:t>
      </w:r>
      <w:bookmarkEnd w:id="142"/>
      <w:bookmarkEnd w:id="143"/>
    </w:p>
    <w:p w14:paraId="6002C585">
      <w:pPr>
        <w:pStyle w:val="85"/>
        <w:spacing w:line="360" w:lineRule="auto"/>
        <w:jc w:val="both"/>
        <w:rPr>
          <w:rFonts w:ascii="Arial" w:hAnsi="Arial" w:cs="Arial"/>
          <w:sz w:val="22"/>
          <w:szCs w:val="22"/>
        </w:rPr>
      </w:pPr>
      <w:r>
        <w:rPr>
          <w:rFonts w:ascii="Arial" w:hAnsi="Arial" w:cs="Arial"/>
          <w:sz w:val="22"/>
          <w:szCs w:val="22"/>
        </w:rPr>
        <w:t>Breast cancer profoundly and enduringly impacts the mental health of women in the United Kingdom, manifesting as elevated risks of anxiety, depression, fatigue, sleep disorders, sexual dysfunction, cognitive impairment, and body image challenges. These psychological and physical sequelae often persist for years after diagnosis and treatment, disproportionately affecting younger women, those with advanced disease, and socially or economically disadvantaged groups. Survivorship is characterized not simply by recovery but by ongoing emotional turbulence, biographical disruption, and sustained vulnerability compounded by systemic service gaps and social inequities.</w:t>
      </w:r>
    </w:p>
    <w:p w14:paraId="16E3C270">
      <w:pPr>
        <w:pStyle w:val="85"/>
        <w:spacing w:line="360" w:lineRule="auto"/>
        <w:jc w:val="both"/>
        <w:rPr>
          <w:rFonts w:ascii="Arial" w:hAnsi="Arial" w:cs="Arial"/>
          <w:sz w:val="22"/>
          <w:szCs w:val="22"/>
        </w:rPr>
      </w:pPr>
      <w:r>
        <w:rPr>
          <w:rFonts w:ascii="Arial" w:hAnsi="Arial" w:cs="Arial"/>
          <w:sz w:val="22"/>
          <w:szCs w:val="22"/>
        </w:rPr>
        <w:t>Despite advances in medical treatments that have improved survival, the psychosocial aspects of breast cancer remain inadequately addressed. Many women experience unmet mental health needs due to inconsistent integration of psychological care within oncology services, stigma, poor communication, and limited access to tailored interventions—especially among ethnic minorities and those in deprived areas. Persistent symptoms such as “chemo brain,” chronic fatigue, pain, and sexual dysfunction further diminish quality of life and social participation, underscoring the necessity for comprehensive, multidisciplinary survivorship care.</w:t>
      </w:r>
    </w:p>
    <w:p w14:paraId="64F7FBEC">
      <w:pPr>
        <w:pStyle w:val="85"/>
        <w:spacing w:line="360" w:lineRule="auto"/>
        <w:jc w:val="both"/>
        <w:rPr>
          <w:rFonts w:ascii="Arial" w:hAnsi="Arial" w:cs="Arial"/>
          <w:sz w:val="22"/>
          <w:szCs w:val="22"/>
        </w:rPr>
      </w:pPr>
      <w:r>
        <w:rPr>
          <w:rFonts w:ascii="Arial" w:hAnsi="Arial" w:cs="Arial"/>
          <w:sz w:val="22"/>
          <w:szCs w:val="22"/>
        </w:rPr>
        <w:t>The evidence highlights the critical importance of embedding routine mental health screening, culturally sensitive support, and proactive communication into cancer care pathways. Supportive networks including peer counselling, digital health innovations, and family involvement play key roles in fostering resilience and post-traumatic growth, offering hope for positive adaptation amid adversity. However, inequities in service availability and quality remain a pressing challenge.</w:t>
      </w:r>
    </w:p>
    <w:p w14:paraId="6154B241">
      <w:pPr>
        <w:pStyle w:val="85"/>
        <w:spacing w:line="360" w:lineRule="auto"/>
        <w:jc w:val="both"/>
        <w:rPr>
          <w:rFonts w:ascii="Arial" w:hAnsi="Arial" w:cs="Arial"/>
          <w:b/>
          <w:bCs/>
          <w:sz w:val="22"/>
          <w:szCs w:val="22"/>
          <w:lang w:val="en-IN"/>
        </w:rPr>
      </w:pPr>
      <w:r>
        <w:rPr>
          <w:rFonts w:ascii="Arial" w:hAnsi="Arial" w:cs="Arial"/>
          <w:sz w:val="22"/>
          <w:szCs w:val="22"/>
        </w:rPr>
        <w:t>Future healthcare policy and research must prioritize integrated, person-centred models that address the full spectrum of survivors’ physical, emotional, and social needs. This includes standardizing mental health protocols, enhancing access and equity, advancing longitudinal studies on long-term psychological trajectories, and developing effective interventions for under-recognized challenges such as sexual dysfunction and cognitive impairment. By recognizing the complexity and heterogeneity of breast cancer survivorship, health systems can better support women not only to survive but to reclaim quality of life, empowerment, and a redefined sense of normalcy after cancer.</w:t>
      </w:r>
    </w:p>
    <w:p w14:paraId="4744D061">
      <w:pPr>
        <w:pStyle w:val="256"/>
        <w:bidi w:val="0"/>
        <w:rPr>
          <w:lang w:val="en-IN"/>
        </w:rPr>
      </w:pPr>
      <w:bookmarkStart w:id="144" w:name="_Toc2819"/>
      <w:bookmarkStart w:id="145" w:name="_Toc15636"/>
      <w:r>
        <w:rPr>
          <w:lang w:val="en-IN"/>
        </w:rPr>
        <w:t>5.2 Recommendations</w:t>
      </w:r>
      <w:bookmarkEnd w:id="144"/>
      <w:bookmarkEnd w:id="145"/>
    </w:p>
    <w:p w14:paraId="4DD12768">
      <w:pPr>
        <w:pStyle w:val="3"/>
        <w:spacing w:line="360" w:lineRule="auto"/>
        <w:jc w:val="both"/>
        <w:rPr>
          <w:rFonts w:hint="default" w:ascii="Arial" w:hAnsi="Arial" w:cs="Arial"/>
          <w:sz w:val="22"/>
          <w:szCs w:val="22"/>
        </w:rPr>
      </w:pPr>
      <w:bookmarkStart w:id="146" w:name="_Toc1209"/>
      <w:bookmarkStart w:id="147" w:name="_Toc18529"/>
      <w:r>
        <w:rPr>
          <w:rFonts w:hint="default" w:ascii="Arial" w:hAnsi="Arial" w:cs="Arial"/>
          <w:sz w:val="22"/>
          <w:szCs w:val="22"/>
        </w:rPr>
        <w:t>Develop Integrated, Person-Centred, Multidisciplinary Survivorship Care Models</w:t>
      </w:r>
      <w:bookmarkEnd w:id="146"/>
      <w:bookmarkEnd w:id="147"/>
    </w:p>
    <w:p w14:paraId="0811DA12">
      <w:pPr>
        <w:pStyle w:val="85"/>
        <w:spacing w:line="360" w:lineRule="auto"/>
        <w:jc w:val="both"/>
        <w:rPr>
          <w:rFonts w:ascii="Arial" w:hAnsi="Arial" w:cs="Arial"/>
          <w:sz w:val="22"/>
          <w:szCs w:val="22"/>
        </w:rPr>
      </w:pPr>
      <w:r>
        <w:rPr>
          <w:rFonts w:ascii="Arial" w:hAnsi="Arial" w:cs="Arial"/>
          <w:sz w:val="22"/>
          <w:szCs w:val="22"/>
        </w:rPr>
        <w:t>The urgent need for comprehensive, person-centred survivorship care is increasingly recognized in UK breast cancer research. Optimal models integrate oncology specialists, primary care providers, mental health professionals, rehabilitation therapists, and social workers to provide seamless, coordinated care that addresses the physical, psychological, and social complexities faced by survivors (Wyld et al., 2022; Ring et al., 2021). These models emphasize individualized care pathways, recognizing that needs evolve over time and vary based on factors such as age, comorbidity, and socioeconomic status. Evidence underscores the effectiveness of shared care and nurse-led follow-up models in improving coordination, reducing costs, and enhancing patient satisfaction while maintaining clinical safety (Prue et al., 2025; Peera et al., 2024). Implementing risk-stratified pathways tailored to survivors’ ongoing requirements allows more efficient resource allocation and ensures those with higher needs receive specialist input, while lower-risk patients benefit from supported self-management and primary care oversight. Embedding telehealth and remote monitoring within these models further enhances access and continuity, especially in underserved or rural areas (Peera et al., 2024; Prue et al., 2025). Overall, survivorship programs must adopt holistic frameworks beyond cancer surveillance, encompassing mental health, rehabilitation, and social determinants to truly meet survivor needs.</w:t>
      </w:r>
    </w:p>
    <w:p w14:paraId="23F96221">
      <w:pPr>
        <w:pStyle w:val="3"/>
        <w:spacing w:line="360" w:lineRule="auto"/>
        <w:jc w:val="both"/>
        <w:rPr>
          <w:rFonts w:hint="default" w:ascii="Arial" w:hAnsi="Arial" w:cs="Arial"/>
          <w:sz w:val="22"/>
          <w:szCs w:val="22"/>
        </w:rPr>
      </w:pPr>
      <w:bookmarkStart w:id="148" w:name="_Toc1995"/>
      <w:bookmarkStart w:id="149" w:name="_Toc26746"/>
      <w:r>
        <w:rPr>
          <w:rFonts w:hint="default" w:ascii="Arial" w:hAnsi="Arial" w:cs="Arial"/>
          <w:sz w:val="22"/>
          <w:szCs w:val="22"/>
        </w:rPr>
        <w:t>Embed Routine Mental Health Screening and Enhance Psychosocial Support Services</w:t>
      </w:r>
      <w:bookmarkEnd w:id="148"/>
      <w:bookmarkEnd w:id="149"/>
    </w:p>
    <w:p w14:paraId="38E4A28A">
      <w:pPr>
        <w:pStyle w:val="85"/>
        <w:spacing w:line="360" w:lineRule="auto"/>
        <w:jc w:val="both"/>
        <w:rPr>
          <w:rFonts w:ascii="Arial" w:hAnsi="Arial" w:cs="Arial"/>
          <w:sz w:val="22"/>
          <w:szCs w:val="22"/>
        </w:rPr>
      </w:pPr>
      <w:r>
        <w:rPr>
          <w:rFonts w:ascii="Arial" w:hAnsi="Arial" w:cs="Arial"/>
          <w:sz w:val="22"/>
          <w:szCs w:val="22"/>
        </w:rPr>
        <w:t>Routine mental health screening should be standardized within breast cancer follow-up pathways to facilitate early detection and intervention for anxiety, depression, PTSD, cognitive impairment, and sexual health problems (Halkett et al., 2018; NICE, 2021). Screening tools need to be validated and integrated seamlessly into clinical workflows to capture psychological distress promptly. Following identification, timely referral to psychological therapies, rehabilitation services, and peer-support programs is critical to improving long-term survivor outcomes. Evidence from randomized controlled trials and cohort studies confirms that structured psychosocial interventions, including cognitive-behavioral therapy, resilience training, and peer counselling, reduce morbidity and foster adaptation (Giese-Davis et al., 2016; Tang et al., 2020). Service provision must address barriers to access and tailor interventions to survivor age, ethnicity, and socioeconomic status to reduce disparities (Wyld et al., 2022). Investment in workforce training for oncology and primary care clinicians in communication skills and psychosocial support is essential to ensure that mental health needs do not go unmet during survivorship.</w:t>
      </w:r>
    </w:p>
    <w:p w14:paraId="170B0586">
      <w:pPr>
        <w:pStyle w:val="3"/>
        <w:spacing w:line="360" w:lineRule="auto"/>
        <w:jc w:val="both"/>
        <w:rPr>
          <w:rFonts w:hint="default" w:ascii="Arial" w:hAnsi="Arial" w:cs="Arial"/>
          <w:sz w:val="22"/>
          <w:szCs w:val="22"/>
        </w:rPr>
      </w:pPr>
      <w:bookmarkStart w:id="150" w:name="_Toc14186"/>
      <w:bookmarkStart w:id="151" w:name="_Toc26275"/>
      <w:r>
        <w:rPr>
          <w:rFonts w:hint="default" w:ascii="Arial" w:hAnsi="Arial" w:cs="Arial"/>
          <w:sz w:val="22"/>
          <w:szCs w:val="22"/>
        </w:rPr>
        <w:t>Enhance Communication, Shared Decision-Making, and Cultural Competency</w:t>
      </w:r>
      <w:bookmarkEnd w:id="150"/>
      <w:bookmarkEnd w:id="151"/>
    </w:p>
    <w:p w14:paraId="6E6CBAC6">
      <w:pPr>
        <w:pStyle w:val="85"/>
        <w:spacing w:line="360" w:lineRule="auto"/>
        <w:jc w:val="both"/>
        <w:rPr>
          <w:rFonts w:ascii="Arial" w:hAnsi="Arial" w:cs="Arial"/>
          <w:sz w:val="22"/>
          <w:szCs w:val="22"/>
        </w:rPr>
      </w:pPr>
      <w:r>
        <w:rPr>
          <w:rFonts w:ascii="Arial" w:hAnsi="Arial" w:cs="Arial"/>
          <w:sz w:val="22"/>
          <w:szCs w:val="22"/>
        </w:rPr>
        <w:t>Effective, empathetic communication between clinicians and survivors is foundational to quality care but remains insufficient in many UK settings (McWilliams et al., 2023; Rees, 2015). Survivors often report poor information provision, especially around menopause management, mental health support, and sexual health, leaving them feeling excluded from decisions about their care. Improving clinician communication skills through targeted training and structural supports—such as consultations guided by patient-reported outcome measures and communication frameworks—is essential to empower survivors, nurture emotional safety, and deliver personalized information throughout care transitions (Wyld et al., 2022; McWilliams et al., 2023). Additionally, persistent ethnic and socioeconomic disparities require culturally competent care practices, including interpreter availability, culturally tailored educational materials, and community engagement initiatives to build trust and equity in access (Rees, 2015; Wyld et al., 2022). Embedding cultural normalization and inclusivity into survivorship programs improves outcomes for marginalized groups and reduces systemic barriers to psychological and physical health support.</w:t>
      </w:r>
    </w:p>
    <w:p w14:paraId="14AE4668">
      <w:pPr>
        <w:pStyle w:val="3"/>
        <w:spacing w:line="360" w:lineRule="auto"/>
        <w:jc w:val="both"/>
        <w:rPr>
          <w:rFonts w:hint="default" w:ascii="Arial" w:hAnsi="Arial" w:cs="Arial"/>
          <w:sz w:val="22"/>
          <w:szCs w:val="22"/>
        </w:rPr>
      </w:pPr>
      <w:bookmarkStart w:id="152" w:name="_Toc8637"/>
      <w:bookmarkStart w:id="153" w:name="_Toc9082"/>
      <w:r>
        <w:rPr>
          <w:rFonts w:hint="default" w:ascii="Arial" w:hAnsi="Arial" w:cs="Arial"/>
          <w:sz w:val="22"/>
          <w:szCs w:val="22"/>
        </w:rPr>
        <w:t>Leverage Digital Health Innovations and Expand Holistic Support Services Including Peer Networks</w:t>
      </w:r>
      <w:bookmarkEnd w:id="152"/>
      <w:bookmarkEnd w:id="153"/>
    </w:p>
    <w:p w14:paraId="6A775756">
      <w:pPr>
        <w:pStyle w:val="85"/>
        <w:spacing w:line="360" w:lineRule="auto"/>
        <w:jc w:val="both"/>
        <w:rPr>
          <w:rFonts w:ascii="Arial" w:hAnsi="Arial" w:cs="Arial"/>
          <w:sz w:val="22"/>
          <w:szCs w:val="22"/>
        </w:rPr>
      </w:pPr>
      <w:r>
        <w:rPr>
          <w:rFonts w:ascii="Arial" w:hAnsi="Arial" w:cs="Arial"/>
          <w:sz w:val="22"/>
          <w:szCs w:val="22"/>
        </w:rPr>
        <w:t>Digital health technologies—such as telemedicine, mobile apps, and online peer support communities—offer promising avenues to improve equitable access to survivorship care, particularly for women in rural or underserved locations (BorjAlilu et al., 2023; Singleton et al., 2019). These innovations enhance convenience and confidentiality while supporting self-management strategies and ongoing health monitoring. However, digital literacy and infrastructure challenges must be addressed to prevent exacerbating disparities, alongside ensuring resources are user-centered and adaptable to diverse survivor needs. Complementing digital approaches, expanding availability of peer counselling, support groups, and community resources is vital for fostering resilience and reducing isolation (Giese-Davis et al., 2016; Rees, 2015). Finally, survivorship care must holistically address persistent physical and cognitive sequelae, including “chemo brain,” fatigue, pain, and sexual dysfunction, by improving access to rehabilitation, cognitive behavioural interventions, and specialist sexual health services, which currently are under-resourced in standard models (Bruce et al., 2018; Tang et al., 2020). Coordinated integration of these multiple modalities within personalized survivorship plans ensures a comprehensive approach to recovery and adaptation.</w:t>
      </w:r>
    </w:p>
    <w:p w14:paraId="30FDA1D7">
      <w:pPr>
        <w:pStyle w:val="85"/>
        <w:spacing w:line="360" w:lineRule="auto"/>
        <w:jc w:val="both"/>
        <w:rPr>
          <w:rFonts w:ascii="Arial" w:hAnsi="Arial" w:cs="Arial"/>
          <w:color w:val="000000"/>
          <w:sz w:val="22"/>
          <w:szCs w:val="22"/>
          <w:shd w:val="clear" w:color="auto" w:fill="FFFFFF"/>
        </w:rPr>
      </w:pPr>
    </w:p>
    <w:p w14:paraId="30FF0B05">
      <w:pPr>
        <w:pStyle w:val="85"/>
        <w:spacing w:line="360" w:lineRule="auto"/>
        <w:jc w:val="both"/>
        <w:rPr>
          <w:rFonts w:ascii="Arial" w:hAnsi="Arial" w:cs="Arial"/>
          <w:color w:val="000000"/>
          <w:sz w:val="22"/>
          <w:szCs w:val="22"/>
          <w:shd w:val="clear" w:color="auto" w:fill="FFFFFF"/>
        </w:rPr>
      </w:pPr>
    </w:p>
    <w:p w14:paraId="59666906">
      <w:pPr>
        <w:pStyle w:val="85"/>
        <w:spacing w:line="360" w:lineRule="auto"/>
        <w:jc w:val="both"/>
        <w:rPr>
          <w:rFonts w:ascii="Arial" w:hAnsi="Arial" w:cs="Arial"/>
          <w:color w:val="000000"/>
          <w:sz w:val="22"/>
          <w:szCs w:val="22"/>
          <w:shd w:val="clear" w:color="auto" w:fill="FFFFFF"/>
        </w:rPr>
      </w:pPr>
    </w:p>
    <w:p w14:paraId="49DB9027">
      <w:pPr>
        <w:pStyle w:val="85"/>
        <w:spacing w:line="360" w:lineRule="auto"/>
        <w:jc w:val="both"/>
        <w:rPr>
          <w:rFonts w:ascii="Arial" w:hAnsi="Arial" w:cs="Arial"/>
          <w:color w:val="000000"/>
          <w:sz w:val="22"/>
          <w:szCs w:val="22"/>
          <w:shd w:val="clear" w:color="auto" w:fill="FFFFFF"/>
        </w:rPr>
      </w:pPr>
    </w:p>
    <w:p w14:paraId="1034C13F">
      <w:pPr>
        <w:pStyle w:val="85"/>
        <w:spacing w:line="360" w:lineRule="auto"/>
        <w:jc w:val="both"/>
        <w:rPr>
          <w:rFonts w:ascii="Arial" w:hAnsi="Arial" w:cs="Arial"/>
          <w:color w:val="000000"/>
          <w:sz w:val="22"/>
          <w:szCs w:val="22"/>
          <w:shd w:val="clear" w:color="auto" w:fill="FFFFFF"/>
        </w:rPr>
      </w:pPr>
    </w:p>
    <w:p w14:paraId="5303CAF6">
      <w:pPr>
        <w:pStyle w:val="85"/>
        <w:spacing w:line="360" w:lineRule="auto"/>
        <w:jc w:val="both"/>
        <w:rPr>
          <w:rFonts w:ascii="Arial" w:hAnsi="Arial" w:cs="Arial"/>
          <w:color w:val="000000"/>
          <w:sz w:val="22"/>
          <w:szCs w:val="22"/>
          <w:shd w:val="clear" w:color="auto" w:fill="FFFFFF"/>
        </w:rPr>
      </w:pPr>
    </w:p>
    <w:p w14:paraId="78A94F5B">
      <w:pPr>
        <w:pStyle w:val="85"/>
        <w:spacing w:line="360" w:lineRule="auto"/>
        <w:jc w:val="both"/>
        <w:rPr>
          <w:rFonts w:ascii="Arial" w:hAnsi="Arial" w:cs="Arial"/>
          <w:color w:val="000000"/>
          <w:sz w:val="22"/>
          <w:szCs w:val="22"/>
          <w:shd w:val="clear" w:color="auto" w:fill="FFFFFF"/>
        </w:rPr>
      </w:pPr>
    </w:p>
    <w:p w14:paraId="478466EE">
      <w:pPr>
        <w:pStyle w:val="85"/>
        <w:spacing w:line="360" w:lineRule="auto"/>
        <w:jc w:val="both"/>
        <w:rPr>
          <w:rFonts w:ascii="Arial" w:hAnsi="Arial" w:cs="Arial"/>
          <w:color w:val="000000"/>
          <w:sz w:val="22"/>
          <w:szCs w:val="22"/>
          <w:shd w:val="clear" w:color="auto" w:fill="FFFFFF"/>
        </w:rPr>
      </w:pPr>
    </w:p>
    <w:p w14:paraId="1B188291">
      <w:pPr>
        <w:pStyle w:val="85"/>
        <w:spacing w:line="360" w:lineRule="auto"/>
        <w:jc w:val="both"/>
        <w:rPr>
          <w:rFonts w:ascii="Arial" w:hAnsi="Arial" w:cs="Arial"/>
          <w:color w:val="000000"/>
          <w:sz w:val="22"/>
          <w:szCs w:val="22"/>
          <w:shd w:val="clear" w:color="auto" w:fill="FFFFFF"/>
        </w:rPr>
      </w:pPr>
    </w:p>
    <w:p w14:paraId="3F5969BF">
      <w:pPr>
        <w:pStyle w:val="85"/>
        <w:spacing w:line="360" w:lineRule="auto"/>
        <w:jc w:val="both"/>
        <w:rPr>
          <w:rFonts w:ascii="Arial" w:hAnsi="Arial" w:cs="Arial"/>
          <w:color w:val="000000"/>
          <w:sz w:val="22"/>
          <w:szCs w:val="22"/>
          <w:shd w:val="clear" w:color="auto" w:fill="FFFFFF"/>
        </w:rPr>
      </w:pPr>
    </w:p>
    <w:p w14:paraId="5AFDED5D">
      <w:pPr>
        <w:pStyle w:val="85"/>
        <w:spacing w:line="360" w:lineRule="auto"/>
        <w:jc w:val="both"/>
        <w:rPr>
          <w:rFonts w:ascii="Arial" w:hAnsi="Arial" w:cs="Arial"/>
          <w:color w:val="000000"/>
          <w:sz w:val="22"/>
          <w:szCs w:val="22"/>
          <w:shd w:val="clear" w:color="auto" w:fill="FFFFFF"/>
        </w:rPr>
      </w:pPr>
    </w:p>
    <w:p w14:paraId="086A147D">
      <w:pPr>
        <w:pStyle w:val="85"/>
        <w:spacing w:line="360" w:lineRule="auto"/>
        <w:jc w:val="both"/>
        <w:rPr>
          <w:rFonts w:ascii="Arial" w:hAnsi="Arial" w:cs="Arial"/>
          <w:color w:val="000000"/>
          <w:sz w:val="22"/>
          <w:szCs w:val="22"/>
          <w:shd w:val="clear" w:color="auto" w:fill="FFFFFF"/>
        </w:rPr>
      </w:pPr>
    </w:p>
    <w:p w14:paraId="1EC67691">
      <w:pPr>
        <w:pStyle w:val="85"/>
        <w:spacing w:line="360" w:lineRule="auto"/>
        <w:jc w:val="both"/>
        <w:rPr>
          <w:rFonts w:ascii="Arial" w:hAnsi="Arial" w:cs="Arial"/>
          <w:color w:val="000000"/>
          <w:sz w:val="22"/>
          <w:szCs w:val="22"/>
          <w:shd w:val="clear" w:color="auto" w:fill="FFFFFF"/>
        </w:rPr>
      </w:pPr>
    </w:p>
    <w:p w14:paraId="305415B4">
      <w:pPr>
        <w:pStyle w:val="85"/>
        <w:spacing w:line="360" w:lineRule="auto"/>
        <w:jc w:val="both"/>
        <w:rPr>
          <w:rFonts w:ascii="Arial" w:hAnsi="Arial" w:cs="Arial"/>
          <w:color w:val="000000"/>
          <w:sz w:val="22"/>
          <w:szCs w:val="22"/>
          <w:shd w:val="clear" w:color="auto" w:fill="FFFFFF"/>
        </w:rPr>
      </w:pPr>
    </w:p>
    <w:p w14:paraId="65700734">
      <w:pPr>
        <w:pStyle w:val="85"/>
        <w:spacing w:line="360" w:lineRule="auto"/>
        <w:jc w:val="both"/>
        <w:rPr>
          <w:rFonts w:ascii="Arial" w:hAnsi="Arial" w:cs="Arial"/>
          <w:color w:val="000000"/>
          <w:sz w:val="22"/>
          <w:szCs w:val="22"/>
          <w:shd w:val="clear" w:color="auto" w:fill="FFFFFF"/>
        </w:rPr>
      </w:pPr>
    </w:p>
    <w:p w14:paraId="4D1476CA">
      <w:pPr>
        <w:pStyle w:val="255"/>
        <w:bidi w:val="0"/>
        <w:rPr>
          <w:rFonts w:hint="default"/>
          <w:lang w:val="en-IN"/>
        </w:rPr>
      </w:pPr>
      <w:bookmarkStart w:id="154" w:name="_Toc3826"/>
    </w:p>
    <w:p w14:paraId="498DC71F">
      <w:pPr>
        <w:pStyle w:val="255"/>
        <w:bidi w:val="0"/>
        <w:rPr>
          <w:rFonts w:hint="default"/>
          <w:lang w:val="en-IN"/>
        </w:rPr>
      </w:pPr>
      <w:r>
        <w:rPr>
          <w:rFonts w:hint="default"/>
          <w:lang w:val="en-IN"/>
        </w:rPr>
        <w:t>Abstract</w:t>
      </w:r>
      <w:bookmarkEnd w:id="154"/>
    </w:p>
    <w:p w14:paraId="1001CA18">
      <w:pPr>
        <w:pStyle w:val="256"/>
        <w:bidi w:val="0"/>
        <w:rPr>
          <w:rFonts w:hint="default"/>
          <w:lang w:val="en-IN"/>
        </w:rPr>
      </w:pPr>
      <w:bookmarkStart w:id="155" w:name="_Toc20165"/>
      <w:r>
        <w:rPr>
          <w:rFonts w:hint="default"/>
          <w:lang w:val="en-IN"/>
        </w:rPr>
        <w:t>Table: 1 Quality Assessment CASP.</w:t>
      </w:r>
      <w:bookmarkEnd w:id="155"/>
    </w:p>
    <w:tbl>
      <w:tblPr>
        <w:tblW w:w="5485" w:type="dxa"/>
        <w:tblInd w:w="96"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440"/>
        <w:gridCol w:w="1262"/>
        <w:gridCol w:w="1625"/>
        <w:gridCol w:w="1464"/>
        <w:gridCol w:w="1589"/>
        <w:gridCol w:w="2089"/>
        <w:gridCol w:w="1333"/>
      </w:tblGrid>
      <w:tr w14:paraId="3CF74A9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880" w:hRule="atLeast"/>
        </w:trPr>
        <w:tc>
          <w:tcPr>
            <w:tcW w:w="408" w:type="dxa"/>
            <w:tcBorders>
              <w:top w:val="single" w:color="000000" w:sz="4" w:space="0"/>
              <w:left w:val="single" w:color="000000" w:sz="4" w:space="0"/>
              <w:bottom w:val="single" w:color="000000" w:sz="4" w:space="0"/>
              <w:right w:val="single" w:color="000000" w:sz="4" w:space="0"/>
            </w:tcBorders>
            <w:shd w:val="clear"/>
            <w:vAlign w:val="center"/>
          </w:tcPr>
          <w:p w14:paraId="1211F9F0">
            <w:pPr>
              <w:keepNext w:val="0"/>
              <w:keepLines w:val="0"/>
              <w:widowControl/>
              <w:suppressLineNumbers w:val="0"/>
              <w:jc w:val="left"/>
              <w:textAlignment w:val="center"/>
              <w:rPr>
                <w:rFonts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Id</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437C3F6A">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Author</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35F6B906">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Did the review address a clearly focused question?</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4127D6A4">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Did the authors look for the right type of papers?</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405C5339">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Do you think all the important, relevant studies were included?</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25FB2DB1">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Did the review’s authors do enough to assess quality of the included studies?</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1CDFEE83">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If the results of the review have been combined, was it reasonable to do so?</w:t>
            </w:r>
          </w:p>
        </w:tc>
      </w:tr>
      <w:tr w14:paraId="62A11D0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58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A1A885C">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7DB11E2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Rees (2015)</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5296DC2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focused on experiences of young women with breast cancer.</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70A94B6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qualitative studies exploring perceptions.</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5925D82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Most relevant studies included, though some contexts limited.</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75DEE0F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critical appraisal considered.</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6211840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synthesis of qualitative themes was appropriate.</w:t>
            </w:r>
          </w:p>
        </w:tc>
      </w:tr>
      <w:tr w14:paraId="51E83C2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36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8693ADF">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186225F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Singleton et al. (2019)</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79369D9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testing SMS intervention post-treatment.</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510E887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RCT protocol relevant to behavioral support.</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45A2F0A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protocol clearly identifies needed literature.</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67B8A8C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trial design ensures quality.</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1E69A57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Not applicable (protocol, no combined results yet).</w:t>
            </w:r>
          </w:p>
        </w:tc>
      </w:tr>
      <w:tr w14:paraId="52355C4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88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F6F2814">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12DFB7B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Tang et al. (2020)</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4DFC1E5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effects of CBT stress management.</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102A2FF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intervention trials included.</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671F63F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representative evidence base.</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6676068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used structured trial methodology.</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49832B3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appropriate to pool stress outcomes.</w:t>
            </w:r>
          </w:p>
        </w:tc>
      </w:tr>
      <w:tr w14:paraId="18CB0BD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64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7B15148">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76F4745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Bruce et al. (2018)</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210DDC7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preventing shoulder problems during treatment.</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690E800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RCT design.</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06DD7AD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comprehensive approach.</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6B10F9D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robust protocol.</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420E0C9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Not yet combined (protocol).</w:t>
            </w:r>
          </w:p>
        </w:tc>
      </w:tr>
      <w:tr w14:paraId="0230813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59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9FCADA2">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07B8701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BorjAlilu et al. (2023)</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04B6B8E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reviewed mental health apps for breast cancer.</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7EA0B5D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looked at mobile health interventions.</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7A26DE1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Some apps may have been missed; rapid review.</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12BAEDB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Limited – rapid reviews assess less rigorously.</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1DD71DE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reasonable given review scope.</w:t>
            </w:r>
          </w:p>
        </w:tc>
      </w:tr>
      <w:tr w14:paraId="13DBA02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68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38590F3">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22F089D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Giese-Davis et al. (2016)</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0B98A81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peer-counseling for newly diagnosed women.</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4170F4E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randomized design.</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26935BE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relevant evidence captured.</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3BCE380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robust community/research design.</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0CFCBE7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reasonable to combine counseling outcomes.</w:t>
            </w:r>
          </w:p>
        </w:tc>
      </w:tr>
      <w:tr w14:paraId="165756F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30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94BB020">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43E93F1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Halkett et al. (2018)</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57C0C10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RT Prepare intervention.</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21BDDCA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RCT design.</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31A8D24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relevant evidence included.</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505C1FD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rigorous quality checks.</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692A8C3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reasonable to combine.</w:t>
            </w:r>
          </w:p>
        </w:tc>
      </w:tr>
      <w:tr w14:paraId="0FF297C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66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9D4B9A1">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18F7401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McWilliams et al. (2023)</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185E33E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women’s perceptions of breast cancer risk info.</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4A938DC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qualitative study.</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1E76EA0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major themes covered.</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2300FD4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qualitative rigor present.</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6ED2A05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thematic synthesis justified.</w:t>
            </w:r>
          </w:p>
        </w:tc>
      </w:tr>
      <w:tr w14:paraId="15823D7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30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A20BE2A">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042A846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Wyld et al. (2022)</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277B6B2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outcomes for older women with breast cancer.</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21F7E7A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cluster RCT.</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1B5C520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broad range of outcomes.</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6F000B7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high trial quality.</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0D38E6D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reasonable synthesis.</w:t>
            </w:r>
          </w:p>
        </w:tc>
      </w:tr>
      <w:tr w14:paraId="567FE3B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90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ABFE995">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777D75F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Ring et al. (2021)</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650AB94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effects of chemo &amp; trastuzumab in older women.</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5B8A73F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observational cohort.</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2756E4C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comprehensive dataset.</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4DC3FEB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robust design.</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4602A6A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appropriate analysis.</w:t>
            </w:r>
          </w:p>
        </w:tc>
      </w:tr>
      <w:tr w14:paraId="0B801EC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59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A1B4DD0">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327EC18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Brentnall et al. (2015)</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6E034E2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role of mammographic density in risk models.</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5302462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prospective cohort.</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3197374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key studies included.</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07F2E43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robust statistical evaluation.</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3AB430D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combining models was reasonable.</w:t>
            </w:r>
          </w:p>
        </w:tc>
      </w:tr>
      <w:tr w14:paraId="7480F2E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4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1FAA4B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w:t>
            </w:r>
          </w:p>
        </w:tc>
        <w:tc>
          <w:tcPr>
            <w:tcW w:w="624" w:type="dxa"/>
            <w:tcBorders>
              <w:top w:val="single" w:color="000000" w:sz="4" w:space="0"/>
              <w:left w:val="single" w:color="000000" w:sz="4" w:space="0"/>
              <w:bottom w:val="single" w:color="000000" w:sz="4" w:space="0"/>
              <w:right w:val="single" w:color="000000" w:sz="4" w:space="0"/>
            </w:tcBorders>
            <w:shd w:val="clear"/>
            <w:vAlign w:val="center"/>
          </w:tcPr>
          <w:p w14:paraId="2BAE7F5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Trusson et al. (2016)</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3CBA33B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experiences of “new normal” after treatment.</w:t>
            </w:r>
          </w:p>
        </w:tc>
        <w:tc>
          <w:tcPr>
            <w:tcW w:w="876" w:type="dxa"/>
            <w:tcBorders>
              <w:top w:val="single" w:color="000000" w:sz="4" w:space="0"/>
              <w:left w:val="single" w:color="000000" w:sz="4" w:space="0"/>
              <w:bottom w:val="single" w:color="000000" w:sz="4" w:space="0"/>
              <w:right w:val="single" w:color="000000" w:sz="4" w:space="0"/>
            </w:tcBorders>
            <w:shd w:val="clear"/>
            <w:vAlign w:val="center"/>
          </w:tcPr>
          <w:p w14:paraId="46A34B5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qualitative research.</w:t>
            </w:r>
          </w:p>
        </w:tc>
        <w:tc>
          <w:tcPr>
            <w:tcW w:w="840" w:type="dxa"/>
            <w:tcBorders>
              <w:top w:val="single" w:color="000000" w:sz="4" w:space="0"/>
              <w:left w:val="single" w:color="000000" w:sz="4" w:space="0"/>
              <w:bottom w:val="single" w:color="000000" w:sz="4" w:space="0"/>
              <w:right w:val="single" w:color="000000" w:sz="4" w:space="0"/>
            </w:tcBorders>
            <w:shd w:val="clear"/>
            <w:vAlign w:val="center"/>
          </w:tcPr>
          <w:p w14:paraId="588DF02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relevant evidence included.</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5EB9D7F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thematic analysis thorough.</w:t>
            </w:r>
          </w:p>
        </w:tc>
        <w:tc>
          <w:tcPr>
            <w:tcW w:w="1020" w:type="dxa"/>
            <w:tcBorders>
              <w:top w:val="single" w:color="000000" w:sz="4" w:space="0"/>
              <w:left w:val="single" w:color="000000" w:sz="4" w:space="0"/>
              <w:bottom w:val="single" w:color="000000" w:sz="4" w:space="0"/>
              <w:right w:val="single" w:color="000000" w:sz="4" w:space="0"/>
            </w:tcBorders>
            <w:shd w:val="clear"/>
            <w:vAlign w:val="center"/>
          </w:tcPr>
          <w:p w14:paraId="6B87D77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themes reasonably combined.</w:t>
            </w:r>
          </w:p>
        </w:tc>
      </w:tr>
    </w:tbl>
    <w:p w14:paraId="49BDFEFE">
      <w:pPr>
        <w:pStyle w:val="85"/>
        <w:spacing w:line="360" w:lineRule="auto"/>
        <w:jc w:val="both"/>
        <w:rPr>
          <w:rFonts w:ascii="Arial" w:hAnsi="Arial" w:cs="Arial"/>
          <w:color w:val="000000"/>
          <w:sz w:val="22"/>
          <w:szCs w:val="22"/>
          <w:shd w:val="clear" w:color="auto" w:fill="FFFFFF"/>
        </w:rPr>
      </w:pPr>
    </w:p>
    <w:p w14:paraId="5EBE40D6">
      <w:pPr>
        <w:pStyle w:val="85"/>
        <w:spacing w:line="360" w:lineRule="auto"/>
        <w:jc w:val="both"/>
        <w:rPr>
          <w:rFonts w:ascii="Arial" w:hAnsi="Arial" w:cs="Arial"/>
          <w:color w:val="000000"/>
          <w:sz w:val="22"/>
          <w:szCs w:val="22"/>
          <w:shd w:val="clear" w:color="auto" w:fill="FFFFFF"/>
        </w:rPr>
      </w:pPr>
    </w:p>
    <w:p w14:paraId="77929360">
      <w:pPr>
        <w:pStyle w:val="85"/>
        <w:spacing w:line="360" w:lineRule="auto"/>
        <w:jc w:val="both"/>
        <w:rPr>
          <w:rFonts w:ascii="Arial" w:hAnsi="Arial" w:cs="Arial"/>
          <w:color w:val="000000"/>
          <w:sz w:val="22"/>
          <w:szCs w:val="22"/>
          <w:shd w:val="clear" w:color="auto" w:fill="FFFFFF"/>
        </w:rPr>
      </w:pPr>
    </w:p>
    <w:p w14:paraId="74131B55">
      <w:pPr>
        <w:pStyle w:val="85"/>
        <w:spacing w:line="360" w:lineRule="auto"/>
        <w:jc w:val="both"/>
        <w:rPr>
          <w:rFonts w:ascii="Arial" w:hAnsi="Arial" w:cs="Arial"/>
          <w:color w:val="000000"/>
          <w:sz w:val="22"/>
          <w:szCs w:val="22"/>
          <w:shd w:val="clear" w:color="auto" w:fill="FFFFFF"/>
        </w:rPr>
      </w:pPr>
    </w:p>
    <w:tbl>
      <w:tblPr>
        <w:tblW w:w="4344" w:type="dxa"/>
        <w:tblInd w:w="96"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440"/>
        <w:gridCol w:w="1638"/>
        <w:gridCol w:w="1355"/>
        <w:gridCol w:w="1496"/>
        <w:gridCol w:w="1412"/>
        <w:gridCol w:w="1709"/>
      </w:tblGrid>
      <w:tr w14:paraId="446B8F8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80" w:hRule="atLeast"/>
        </w:trPr>
        <w:tc>
          <w:tcPr>
            <w:tcW w:w="408" w:type="dxa"/>
            <w:tcBorders>
              <w:top w:val="single" w:color="000000" w:sz="4" w:space="0"/>
              <w:left w:val="single" w:color="000000" w:sz="4" w:space="0"/>
              <w:bottom w:val="single" w:color="000000" w:sz="4" w:space="0"/>
              <w:right w:val="single" w:color="000000" w:sz="4" w:space="0"/>
            </w:tcBorders>
            <w:shd w:val="clear"/>
            <w:vAlign w:val="center"/>
          </w:tcPr>
          <w:p w14:paraId="04E7FEBF">
            <w:pPr>
              <w:keepNext w:val="0"/>
              <w:keepLines w:val="0"/>
              <w:widowControl/>
              <w:suppressLineNumbers w:val="0"/>
              <w:jc w:val="left"/>
              <w:textAlignment w:val="center"/>
              <w:rPr>
                <w:rFonts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Id</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076A9A82">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What are the overall results of the review?</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47CA9934">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How precise are the results?</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2D4D4FD8">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Can the results be applied to the local population?</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2A0AB2A6">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Were all important outcomes considered?</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1A91A9FF">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Are the benefits worth the harms and costs?</w:t>
            </w:r>
          </w:p>
        </w:tc>
      </w:tr>
      <w:tr w14:paraId="77364A2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358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DA54835">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600D419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Women reported challenges, coping, and meaning-making after cancer.</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2ACB1B0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Moderate precision (qualitative nature).</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4FEC4A1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UK-based study relevant to local settings.</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77C625D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psychosocial outcomes considered.</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3285FB1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of insight outweigh costs of conducting study.</w:t>
            </w:r>
          </w:p>
        </w:tc>
      </w:tr>
      <w:tr w14:paraId="6545072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36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4DA2DE5">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5EBCB03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Aim: SMS can improve physical &amp; mental health support.</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48DCFA6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Results pending, but design suggests potential for precision.</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4949469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applicable in healthcare systems with mobile access.</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49B7B2F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outcomes include mental &amp; physical health.</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7D438E5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Likely yes, low-cost intervention, minimal harms.</w:t>
            </w:r>
          </w:p>
        </w:tc>
      </w:tr>
      <w:tr w14:paraId="30D3A71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3ABC075">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57D95A4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CBT stress management effective for coping.</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7A133CA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Fairly precise due to controlled design.</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040AE47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applicable with trained providers.</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2DD9181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both psychological and coping outcomes.</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3138811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outweigh minimal risks.</w:t>
            </w:r>
          </w:p>
        </w:tc>
      </w:tr>
      <w:tr w14:paraId="3A8D77A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64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CA23DFA">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48CA46A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Aim: exercise may reduce shoulder issues.</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77DD7D2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Precision depends on trial completion.</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3A0DDCF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physiotherapy widely applicable.</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3E35188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functional outcomes considered.</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5F26E58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Likely yes – preventive approach is cost-effective.</w:t>
            </w:r>
          </w:p>
        </w:tc>
      </w:tr>
      <w:tr w14:paraId="405397B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59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2DEA6AA">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6FA9F3D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Mobile apps show promise for supporting mental health.</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5EF887E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Precision moderate, depends on app evaluation.</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20713E0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applicable if patients use smartphones.</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35AAF80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focused on mental health outcomes.</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3AC8FFB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low cost, minimal harm.</w:t>
            </w:r>
          </w:p>
        </w:tc>
      </w:tr>
      <w:tr w14:paraId="221E200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68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09C0EE3">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22A9485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Peer counseling reduced distress.</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6816017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Results fairly precise.</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5115474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peer programs feasible locally.</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2D112D7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distress &amp; adjustment considered.</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0E55CD8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outweigh minimal costs.</w:t>
            </w:r>
          </w:p>
        </w:tc>
      </w:tr>
      <w:tr w14:paraId="5EC7207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30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57C257B8">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0804E64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Intervention reduced psychological distress.</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5986446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Results precise (controlled trial).</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0279D1C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relevant to radiotherapy settings.</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72D1E9F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psychological &amp; clinical outcomes.</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0063C95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outweigh minor costs.</w:t>
            </w:r>
          </w:p>
        </w:tc>
      </w:tr>
      <w:tr w14:paraId="5F26A83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66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1A45A10">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3AAA808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Women had mixed reactions to risk info.</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485B477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Moderate precision (qualitative).</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334005F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applicable to NHS context.</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41CF8D9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risk perception outcomes considered.</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407C4D1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in tailoring screening outweigh costs.</w:t>
            </w:r>
          </w:p>
        </w:tc>
      </w:tr>
      <w:tr w14:paraId="146375FD">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30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1E34E6CE">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2D8A9E9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Improved tailored outcomes for older women.</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68B9201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Results precise (large sample).</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70DF4E6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relevant to aging populations.</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4E277EC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survival &amp; QoL outcomes.</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249B7C4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outweigh costs.</w:t>
            </w:r>
          </w:p>
        </w:tc>
      </w:tr>
      <w:tr w14:paraId="5BFBE48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90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9FC602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0FDA067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Showed real-world impact of treatments.</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6F82693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Results precise.</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3045D74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applicable to UK populations.</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46C1041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recurrence, survival, QoL.</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258481C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justify treatment risks.</w:t>
            </w:r>
          </w:p>
        </w:tc>
      </w:tr>
      <w:tr w14:paraId="3128723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59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B0F6A76">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21438B9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Mammographic density improved risk prediction.</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4F0F27A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Results very precise.</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2E602B7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applicable in screening programs.</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7C5AEC1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predictive outcomes considered.</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050928E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justify implementation.</w:t>
            </w:r>
          </w:p>
        </w:tc>
      </w:tr>
      <w:tr w14:paraId="2074955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84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121BD8E4">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w:t>
            </w:r>
          </w:p>
        </w:tc>
        <w:tc>
          <w:tcPr>
            <w:tcW w:w="900" w:type="dxa"/>
            <w:tcBorders>
              <w:top w:val="single" w:color="000000" w:sz="4" w:space="0"/>
              <w:left w:val="single" w:color="000000" w:sz="4" w:space="0"/>
              <w:bottom w:val="single" w:color="000000" w:sz="4" w:space="0"/>
              <w:right w:val="single" w:color="000000" w:sz="4" w:space="0"/>
            </w:tcBorders>
            <w:shd w:val="clear"/>
            <w:vAlign w:val="center"/>
          </w:tcPr>
          <w:p w14:paraId="0388B1B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Women reported disruption but adaptation over time.</w:t>
            </w:r>
          </w:p>
        </w:tc>
        <w:tc>
          <w:tcPr>
            <w:tcW w:w="828" w:type="dxa"/>
            <w:tcBorders>
              <w:top w:val="single" w:color="000000" w:sz="4" w:space="0"/>
              <w:left w:val="single" w:color="000000" w:sz="4" w:space="0"/>
              <w:bottom w:val="single" w:color="000000" w:sz="4" w:space="0"/>
              <w:right w:val="single" w:color="000000" w:sz="4" w:space="0"/>
            </w:tcBorders>
            <w:shd w:val="clear"/>
            <w:vAlign w:val="center"/>
          </w:tcPr>
          <w:p w14:paraId="02FDEA9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Moderate precision (qualitative).</w:t>
            </w:r>
          </w:p>
        </w:tc>
        <w:tc>
          <w:tcPr>
            <w:tcW w:w="852" w:type="dxa"/>
            <w:tcBorders>
              <w:top w:val="single" w:color="000000" w:sz="4" w:space="0"/>
              <w:left w:val="single" w:color="000000" w:sz="4" w:space="0"/>
              <w:bottom w:val="single" w:color="000000" w:sz="4" w:space="0"/>
              <w:right w:val="single" w:color="000000" w:sz="4" w:space="0"/>
            </w:tcBorders>
            <w:shd w:val="clear"/>
            <w:vAlign w:val="center"/>
          </w:tcPr>
          <w:p w14:paraId="64DD426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applicable to survivorship care.</w:t>
            </w:r>
          </w:p>
        </w:tc>
        <w:tc>
          <w:tcPr>
            <w:tcW w:w="600" w:type="dxa"/>
            <w:tcBorders>
              <w:top w:val="single" w:color="000000" w:sz="4" w:space="0"/>
              <w:left w:val="single" w:color="000000" w:sz="4" w:space="0"/>
              <w:bottom w:val="single" w:color="000000" w:sz="4" w:space="0"/>
              <w:right w:val="single" w:color="000000" w:sz="4" w:space="0"/>
            </w:tcBorders>
            <w:shd w:val="clear"/>
            <w:vAlign w:val="center"/>
          </w:tcPr>
          <w:p w14:paraId="5B61D08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psychosocial outcomes.</w:t>
            </w:r>
          </w:p>
        </w:tc>
        <w:tc>
          <w:tcPr>
            <w:tcW w:w="756" w:type="dxa"/>
            <w:tcBorders>
              <w:top w:val="single" w:color="000000" w:sz="4" w:space="0"/>
              <w:left w:val="single" w:color="000000" w:sz="4" w:space="0"/>
              <w:bottom w:val="single" w:color="000000" w:sz="4" w:space="0"/>
              <w:right w:val="single" w:color="000000" w:sz="4" w:space="0"/>
            </w:tcBorders>
            <w:shd w:val="clear"/>
            <w:vAlign w:val="center"/>
          </w:tcPr>
          <w:p w14:paraId="086BF8A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Yes – benefits of insight outweigh costs.</w:t>
            </w:r>
          </w:p>
        </w:tc>
      </w:tr>
    </w:tbl>
    <w:p w14:paraId="4EE2BC64">
      <w:pPr>
        <w:pStyle w:val="85"/>
        <w:spacing w:line="360" w:lineRule="auto"/>
        <w:jc w:val="both"/>
        <w:rPr>
          <w:rFonts w:ascii="Arial" w:hAnsi="Arial" w:cs="Arial"/>
          <w:color w:val="000000"/>
          <w:sz w:val="22"/>
          <w:szCs w:val="22"/>
          <w:shd w:val="clear" w:color="auto" w:fill="FFFFFF"/>
        </w:rPr>
      </w:pPr>
    </w:p>
    <w:p w14:paraId="71F70148">
      <w:pPr>
        <w:pStyle w:val="85"/>
        <w:spacing w:line="360" w:lineRule="auto"/>
        <w:jc w:val="both"/>
        <w:rPr>
          <w:rFonts w:ascii="Arial" w:hAnsi="Arial" w:cs="Arial"/>
          <w:color w:val="000000"/>
          <w:sz w:val="22"/>
          <w:szCs w:val="22"/>
          <w:shd w:val="clear" w:color="auto" w:fill="FFFFFF"/>
        </w:rPr>
      </w:pPr>
    </w:p>
    <w:p w14:paraId="712EC77C">
      <w:pPr>
        <w:pStyle w:val="85"/>
        <w:spacing w:line="360" w:lineRule="auto"/>
        <w:jc w:val="both"/>
        <w:rPr>
          <w:rFonts w:ascii="Arial" w:hAnsi="Arial" w:cs="Arial"/>
          <w:color w:val="000000"/>
          <w:sz w:val="22"/>
          <w:szCs w:val="22"/>
          <w:shd w:val="clear" w:color="auto" w:fill="FFFFFF"/>
        </w:rPr>
      </w:pPr>
    </w:p>
    <w:p w14:paraId="644FB838">
      <w:pPr>
        <w:pStyle w:val="85"/>
        <w:spacing w:line="360" w:lineRule="auto"/>
        <w:jc w:val="both"/>
        <w:rPr>
          <w:rFonts w:ascii="Arial" w:hAnsi="Arial" w:cs="Arial"/>
          <w:color w:val="000000"/>
          <w:sz w:val="22"/>
          <w:szCs w:val="22"/>
          <w:shd w:val="clear" w:color="auto" w:fill="FFFFFF"/>
        </w:rPr>
      </w:pPr>
    </w:p>
    <w:p w14:paraId="7EC084FC">
      <w:pPr>
        <w:pStyle w:val="85"/>
        <w:spacing w:line="360" w:lineRule="auto"/>
        <w:jc w:val="both"/>
        <w:rPr>
          <w:rFonts w:ascii="Arial" w:hAnsi="Arial" w:cs="Arial"/>
          <w:color w:val="000000"/>
          <w:sz w:val="22"/>
          <w:szCs w:val="22"/>
          <w:shd w:val="clear" w:color="auto" w:fill="FFFFFF"/>
        </w:rPr>
      </w:pPr>
    </w:p>
    <w:p w14:paraId="5D87F992">
      <w:pPr>
        <w:pStyle w:val="85"/>
        <w:spacing w:line="360" w:lineRule="auto"/>
        <w:jc w:val="both"/>
        <w:rPr>
          <w:rFonts w:ascii="Arial" w:hAnsi="Arial" w:cs="Arial"/>
          <w:color w:val="000000"/>
          <w:sz w:val="22"/>
          <w:szCs w:val="22"/>
          <w:shd w:val="clear" w:color="auto" w:fill="FFFFFF"/>
        </w:rPr>
      </w:pPr>
    </w:p>
    <w:p w14:paraId="6218852D">
      <w:pPr>
        <w:pStyle w:val="85"/>
        <w:spacing w:line="360" w:lineRule="auto"/>
        <w:jc w:val="both"/>
        <w:rPr>
          <w:rFonts w:ascii="Arial" w:hAnsi="Arial" w:cs="Arial"/>
          <w:color w:val="000000"/>
          <w:sz w:val="22"/>
          <w:szCs w:val="22"/>
          <w:shd w:val="clear" w:color="auto" w:fill="FFFFFF"/>
        </w:rPr>
      </w:pPr>
    </w:p>
    <w:p w14:paraId="3622B66B">
      <w:pPr>
        <w:pStyle w:val="85"/>
        <w:spacing w:line="360" w:lineRule="auto"/>
        <w:jc w:val="both"/>
        <w:rPr>
          <w:rFonts w:ascii="Arial" w:hAnsi="Arial" w:cs="Arial"/>
          <w:color w:val="000000"/>
          <w:sz w:val="22"/>
          <w:szCs w:val="22"/>
          <w:shd w:val="clear" w:color="auto" w:fill="FFFFFF"/>
        </w:rPr>
      </w:pPr>
    </w:p>
    <w:p w14:paraId="4E4F82DC">
      <w:pPr>
        <w:pStyle w:val="256"/>
        <w:bidi w:val="0"/>
        <w:rPr>
          <w:rFonts w:hint="default"/>
          <w:lang w:val="en-IN"/>
        </w:rPr>
      </w:pPr>
      <w:bookmarkStart w:id="156" w:name="_Toc4104"/>
      <w:r>
        <w:rPr>
          <w:rFonts w:hint="default"/>
          <w:lang w:val="en-IN"/>
        </w:rPr>
        <w:t>Table 2: Characteristics of selected articles.</w:t>
      </w:r>
      <w:bookmarkEnd w:id="156"/>
    </w:p>
    <w:tbl>
      <w:tblPr>
        <w:tblW w:w="8772" w:type="dxa"/>
        <w:tblInd w:w="96"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560"/>
        <w:gridCol w:w="1317"/>
        <w:gridCol w:w="1918"/>
        <w:gridCol w:w="663"/>
        <w:gridCol w:w="1358"/>
        <w:gridCol w:w="901"/>
        <w:gridCol w:w="675"/>
        <w:gridCol w:w="1380"/>
      </w:tblGrid>
      <w:tr w14:paraId="4B07FA2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576" w:hRule="atLeast"/>
        </w:trPr>
        <w:tc>
          <w:tcPr>
            <w:tcW w:w="468" w:type="dxa"/>
            <w:tcBorders>
              <w:top w:val="single" w:color="000000" w:sz="4" w:space="0"/>
              <w:left w:val="single" w:color="000000" w:sz="4" w:space="0"/>
              <w:bottom w:val="single" w:color="000000" w:sz="4" w:space="0"/>
              <w:right w:val="single" w:color="000000" w:sz="4" w:space="0"/>
            </w:tcBorders>
            <w:shd w:val="clear"/>
            <w:noWrap/>
            <w:vAlign w:val="center"/>
          </w:tcPr>
          <w:p w14:paraId="135C9D77">
            <w:pPr>
              <w:keepNext w:val="0"/>
              <w:keepLines w:val="0"/>
              <w:widowControl/>
              <w:suppressLineNumbers w:val="0"/>
              <w:jc w:val="left"/>
              <w:textAlignment w:val="center"/>
              <w:rPr>
                <w:rFonts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NO.</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4AC823EF">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author</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4DEC4DB2">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title</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518E149E">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year</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1E87B221">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published journal</w:t>
            </w:r>
          </w:p>
        </w:tc>
        <w:tc>
          <w:tcPr>
            <w:tcW w:w="516" w:type="dxa"/>
            <w:tcBorders>
              <w:top w:val="single" w:color="000000" w:sz="4" w:space="0"/>
              <w:left w:val="single" w:color="000000" w:sz="4" w:space="0"/>
              <w:bottom w:val="single" w:color="000000" w:sz="4" w:space="0"/>
              <w:right w:val="single" w:color="000000" w:sz="4" w:space="0"/>
            </w:tcBorders>
            <w:shd w:val="clear"/>
            <w:vAlign w:val="center"/>
          </w:tcPr>
          <w:p w14:paraId="142CB6B7">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volume</w:t>
            </w:r>
          </w:p>
        </w:tc>
        <w:tc>
          <w:tcPr>
            <w:tcW w:w="636" w:type="dxa"/>
            <w:tcBorders>
              <w:top w:val="single" w:color="000000" w:sz="4" w:space="0"/>
              <w:left w:val="single" w:color="000000" w:sz="4" w:space="0"/>
              <w:bottom w:val="single" w:color="000000" w:sz="4" w:space="0"/>
              <w:right w:val="single" w:color="000000" w:sz="4" w:space="0"/>
            </w:tcBorders>
            <w:shd w:val="clear"/>
            <w:vAlign w:val="center"/>
          </w:tcPr>
          <w:p w14:paraId="067AEF70">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issue</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6E937234">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location</w:t>
            </w:r>
          </w:p>
        </w:tc>
      </w:tr>
      <w:tr w14:paraId="5923863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00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443BD174">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4CC7EC9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Rees, S.</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140FB3E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An exploration of the experiences and perceptions of young women living with a history of breast cancer in the UK</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4E90476B">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2015</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1F576FC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WRAP Warwick Research Archive Portal</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1D01A60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691EB7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4C3B264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UK</w:t>
            </w:r>
          </w:p>
        </w:tc>
      </w:tr>
      <w:tr w14:paraId="6823A6C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15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FBD2716">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082EB6C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Singleton, A.,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4A2E4A6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 text message intervention to support women's physical and mental health after breast cancer treatments EMPOWER-SMS</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3786970C">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2019</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1727BC5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BMC Cancer</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F82EA39">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19</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54E4AE5F">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7B56252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International</w:t>
            </w:r>
          </w:p>
        </w:tc>
      </w:tr>
      <w:tr w14:paraId="446E1EA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62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13D422AB">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0CD34C6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Tang, M.,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3AFDEEA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The Effects of Cognitive-Behavioral Stress Management for Breast Cancer Patients</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1672A4F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2020</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0659E1E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Cancer Nursing</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9841ADF">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43</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29072FF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2B3065A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International</w:t>
            </w:r>
          </w:p>
        </w:tc>
      </w:tr>
      <w:tr w14:paraId="3B2EDD3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15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A6B51B0">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58F5CE7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Bruce, J.,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141C47C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Randomised controlled trial of exercise to prevent shoulder problems in women undergoing breast cancer treatment - UK PROSPER</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6366CBAD">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2018</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124D644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BMJ Open</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85E96FB">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08</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563A6F41">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770A3FE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UK</w:t>
            </w:r>
          </w:p>
        </w:tc>
      </w:tr>
      <w:tr w14:paraId="272BC29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62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26753B6">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639FF44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BorjAlilu, S.,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5B4648F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Mobile Applications to Promote Mental Health among Breast Cancer Patients – A Rapid Review</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27E4E2E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2023</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4EF904D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Archives of Breast Cancer</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3F69F1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97B4F3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09CD2F8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International</w:t>
            </w:r>
          </w:p>
        </w:tc>
      </w:tr>
      <w:tr w14:paraId="776C3F7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86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191A01D5">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169A970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Giese-Davis, J.,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48C5C7C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Peer-counseling for women newly diagnosed with breast cancer: A randomized community-research collaboration trial</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6519EBA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2016</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7B17383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Cancer</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1415E94">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122</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2242AA34">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15</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28A1608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International</w:t>
            </w:r>
          </w:p>
        </w:tc>
      </w:tr>
      <w:tr w14:paraId="0F8ECE5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80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695A686">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3C0D746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Halkett, G.,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1912358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RT Prepare: A radiation therapist-delivered intervention reduces psychological distress in women with breast cancer</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6E8FAC12">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2018</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0E2994F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British Journal of Cancer</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50E8DD81">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118</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2EDD51C1">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4A52584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International</w:t>
            </w:r>
          </w:p>
        </w:tc>
      </w:tr>
      <w:tr w14:paraId="0D2C92C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15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2EE64BC">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2E63BAF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McWilliams, L.,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713BD94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Women's views on receiving breast cancer risk in a risk-stratified NHS Breast Screening Programme</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5DCF83E6">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2023</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3BB8305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British Journal of Cancer</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7D4FA8F">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129</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3444BEA">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72EF84E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UK</w:t>
            </w:r>
          </w:p>
        </w:tc>
      </w:tr>
      <w:tr w14:paraId="325B9F1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76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119A9AD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75C24F8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Wyld, L.,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7D03451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Improving outcomes for women aged 70+ with early breast cancer: ORCA cluster RCT</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067AB172">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2022</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41F44E0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Cardiff.ac.uk</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21E168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BBA1ED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1435E67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UK</w:t>
            </w:r>
          </w:p>
        </w:tc>
      </w:tr>
      <w:tr w14:paraId="3B5FA06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86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6EAF0D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6395B8E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Ring, A.,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1127A83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Bridging The Age Gap: Chemotherapy and trastuzumab effects in older women with early breast cancer</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40C23082">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2021</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50BF83F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British Journal of Cancer</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255179B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2CD2465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35CBF39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UK</w:t>
            </w:r>
          </w:p>
        </w:tc>
      </w:tr>
      <w:tr w14:paraId="1C9166BE">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40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59E3A952">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7F266A2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Brentnall, A.R.,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6EE748D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Mammographic density improves accuracy of breast cancer risk models in UK cohort</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45EAC83E">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2015</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368EA6F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Breast Cancer Research</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A61752F">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17</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5F10F619">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57D8B4E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UK</w:t>
            </w:r>
          </w:p>
        </w:tc>
      </w:tr>
      <w:tr w14:paraId="55DD6761">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86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1B9FED2">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w:t>
            </w:r>
          </w:p>
        </w:tc>
        <w:tc>
          <w:tcPr>
            <w:tcW w:w="1260" w:type="dxa"/>
            <w:tcBorders>
              <w:top w:val="single" w:color="000000" w:sz="4" w:space="0"/>
              <w:left w:val="single" w:color="000000" w:sz="4" w:space="0"/>
              <w:bottom w:val="single" w:color="000000" w:sz="4" w:space="0"/>
              <w:right w:val="single" w:color="000000" w:sz="4" w:space="0"/>
            </w:tcBorders>
            <w:shd w:val="clear"/>
            <w:vAlign w:val="center"/>
          </w:tcPr>
          <w:p w14:paraId="5F1BA39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Trusson, D., et al.</w:t>
            </w:r>
          </w:p>
        </w:tc>
        <w:tc>
          <w:tcPr>
            <w:tcW w:w="2868" w:type="dxa"/>
            <w:tcBorders>
              <w:top w:val="single" w:color="000000" w:sz="4" w:space="0"/>
              <w:left w:val="single" w:color="000000" w:sz="4" w:space="0"/>
              <w:bottom w:val="single" w:color="000000" w:sz="4" w:space="0"/>
              <w:right w:val="single" w:color="000000" w:sz="4" w:space="0"/>
            </w:tcBorders>
            <w:shd w:val="clear"/>
            <w:vAlign w:val="center"/>
          </w:tcPr>
          <w:p w14:paraId="39D43F2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Women's experiences of biographical disruption and liminality following early breast cancer treatment</w:t>
            </w:r>
          </w:p>
        </w:tc>
        <w:tc>
          <w:tcPr>
            <w:tcW w:w="648" w:type="dxa"/>
            <w:tcBorders>
              <w:top w:val="single" w:color="000000" w:sz="4" w:space="0"/>
              <w:left w:val="single" w:color="000000" w:sz="4" w:space="0"/>
              <w:bottom w:val="single" w:color="000000" w:sz="4" w:space="0"/>
              <w:right w:val="single" w:color="000000" w:sz="4" w:space="0"/>
            </w:tcBorders>
            <w:shd w:val="clear"/>
            <w:vAlign w:val="center"/>
          </w:tcPr>
          <w:p w14:paraId="6DFE71A3">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2016</w:t>
            </w:r>
          </w:p>
        </w:tc>
        <w:tc>
          <w:tcPr>
            <w:tcW w:w="1416" w:type="dxa"/>
            <w:tcBorders>
              <w:top w:val="single" w:color="000000" w:sz="4" w:space="0"/>
              <w:left w:val="single" w:color="000000" w:sz="4" w:space="0"/>
              <w:bottom w:val="single" w:color="000000" w:sz="4" w:space="0"/>
              <w:right w:val="single" w:color="000000" w:sz="4" w:space="0"/>
            </w:tcBorders>
            <w:shd w:val="clear"/>
            <w:vAlign w:val="center"/>
          </w:tcPr>
          <w:p w14:paraId="3C2B94B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Social Science &amp; Medicine</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43D53611">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151</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CEEF15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NA</w:t>
            </w:r>
          </w:p>
        </w:tc>
        <w:tc>
          <w:tcPr>
            <w:tcW w:w="960" w:type="dxa"/>
            <w:tcBorders>
              <w:top w:val="single" w:color="000000" w:sz="4" w:space="0"/>
              <w:left w:val="single" w:color="000000" w:sz="4" w:space="0"/>
              <w:bottom w:val="single" w:color="000000" w:sz="4" w:space="0"/>
              <w:right w:val="single" w:color="000000" w:sz="4" w:space="0"/>
            </w:tcBorders>
            <w:shd w:val="clear"/>
            <w:vAlign w:val="center"/>
          </w:tcPr>
          <w:p w14:paraId="2CC1A33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UK</w:t>
            </w:r>
          </w:p>
        </w:tc>
      </w:tr>
    </w:tbl>
    <w:p w14:paraId="5DA7EFCA">
      <w:pPr>
        <w:pStyle w:val="85"/>
        <w:spacing w:line="360" w:lineRule="auto"/>
        <w:jc w:val="both"/>
        <w:rPr>
          <w:rFonts w:ascii="Arial" w:hAnsi="Arial" w:cs="Arial"/>
          <w:color w:val="000000"/>
          <w:sz w:val="22"/>
          <w:szCs w:val="22"/>
          <w:shd w:val="clear" w:color="auto" w:fill="FFFFFF"/>
        </w:rPr>
      </w:pPr>
    </w:p>
    <w:p w14:paraId="342CCA39">
      <w:pPr>
        <w:pStyle w:val="85"/>
        <w:spacing w:line="360" w:lineRule="auto"/>
        <w:jc w:val="both"/>
        <w:rPr>
          <w:rFonts w:ascii="Arial" w:hAnsi="Arial" w:cs="Arial"/>
          <w:color w:val="000000"/>
          <w:sz w:val="22"/>
          <w:szCs w:val="22"/>
          <w:shd w:val="clear" w:color="auto" w:fill="FFFFFF"/>
        </w:rPr>
      </w:pPr>
    </w:p>
    <w:p w14:paraId="0D05A807">
      <w:pPr>
        <w:pStyle w:val="85"/>
        <w:spacing w:line="360" w:lineRule="auto"/>
        <w:jc w:val="both"/>
        <w:rPr>
          <w:rFonts w:ascii="Arial" w:hAnsi="Arial" w:cs="Arial"/>
          <w:color w:val="000000"/>
          <w:sz w:val="22"/>
          <w:szCs w:val="22"/>
          <w:shd w:val="clear" w:color="auto" w:fill="FFFFFF"/>
        </w:rPr>
      </w:pPr>
    </w:p>
    <w:p w14:paraId="7351DCD3">
      <w:pPr>
        <w:pStyle w:val="85"/>
        <w:spacing w:line="360" w:lineRule="auto"/>
        <w:jc w:val="both"/>
        <w:rPr>
          <w:rFonts w:ascii="Arial" w:hAnsi="Arial" w:cs="Arial"/>
          <w:color w:val="000000"/>
          <w:sz w:val="22"/>
          <w:szCs w:val="22"/>
          <w:shd w:val="clear" w:color="auto" w:fill="FFFFFF"/>
        </w:rPr>
      </w:pPr>
    </w:p>
    <w:tbl>
      <w:tblPr>
        <w:tblW w:w="9036" w:type="dxa"/>
        <w:tblInd w:w="96"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0" w:type="dxa"/>
          <w:left w:w="108" w:type="dxa"/>
          <w:bottom w:w="0" w:type="dxa"/>
          <w:right w:w="108" w:type="dxa"/>
        </w:tblCellMar>
      </w:tblPr>
      <w:tblGrid>
        <w:gridCol w:w="560"/>
        <w:gridCol w:w="1466"/>
        <w:gridCol w:w="1816"/>
        <w:gridCol w:w="1960"/>
        <w:gridCol w:w="1374"/>
        <w:gridCol w:w="1860"/>
      </w:tblGrid>
      <w:tr w14:paraId="5FC2212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76" w:hRule="atLeast"/>
        </w:trPr>
        <w:tc>
          <w:tcPr>
            <w:tcW w:w="468" w:type="dxa"/>
            <w:tcBorders>
              <w:top w:val="single" w:color="000000" w:sz="4" w:space="0"/>
              <w:left w:val="single" w:color="000000" w:sz="4" w:space="0"/>
              <w:bottom w:val="single" w:color="000000" w:sz="4" w:space="0"/>
              <w:right w:val="single" w:color="000000" w:sz="4" w:space="0"/>
            </w:tcBorders>
            <w:shd w:val="clear"/>
            <w:noWrap/>
            <w:vAlign w:val="center"/>
          </w:tcPr>
          <w:p w14:paraId="25900E10">
            <w:pPr>
              <w:keepNext w:val="0"/>
              <w:keepLines w:val="0"/>
              <w:widowControl/>
              <w:suppressLineNumbers w:val="0"/>
              <w:jc w:val="left"/>
              <w:textAlignment w:val="center"/>
              <w:rPr>
                <w:rFonts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NO.</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52944C45">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type of study</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578DC61D">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aim of study</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5E89200B">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methods</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4838BBDD">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sample size</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60F5CA2D">
            <w:pPr>
              <w:keepNext w:val="0"/>
              <w:keepLines w:val="0"/>
              <w:widowControl/>
              <w:suppressLineNumbers w:val="0"/>
              <w:jc w:val="center"/>
              <w:textAlignment w:val="center"/>
              <w:rPr>
                <w:rFonts w:hint="default" w:ascii="Calibri" w:hAnsi="Calibri" w:cs="Calibri"/>
                <w:b/>
                <w:bCs/>
                <w:i w:val="0"/>
                <w:iCs w:val="0"/>
                <w:color w:val="000000"/>
                <w:sz w:val="22"/>
                <w:szCs w:val="22"/>
                <w:u w:val="none"/>
              </w:rPr>
            </w:pPr>
            <w:r>
              <w:rPr>
                <w:rFonts w:hint="default" w:ascii="Calibri" w:hAnsi="Calibri" w:eastAsia="SimSun" w:cs="Calibri"/>
                <w:b/>
                <w:bCs/>
                <w:i w:val="0"/>
                <w:iCs w:val="0"/>
                <w:color w:val="000000"/>
                <w:kern w:val="0"/>
                <w:sz w:val="22"/>
                <w:szCs w:val="22"/>
                <w:u w:val="none"/>
                <w:bdr w:val="none" w:color="auto" w:sz="0" w:space="0"/>
                <w:lang w:val="en-US" w:eastAsia="zh-CN" w:bidi="ar"/>
              </w:rPr>
              <w:t>result/outcomes</w:t>
            </w:r>
          </w:p>
        </w:tc>
      </w:tr>
      <w:tr w14:paraId="08817A5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200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121BC2FA">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3841508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Qualitative study</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2249A33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Understand lived experiences and perceptions of young women post breast cancer</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20B6D9A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Interviews, qualitative thematic analysis</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639F3DF0">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22</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12FCAE5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Insights into psychosocial and mental health impact for young UK survivors</w:t>
            </w:r>
          </w:p>
        </w:tc>
      </w:tr>
      <w:tr w14:paraId="3454D2FB">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15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58C0F644">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002D5CF8">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RCT protocol</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29D387A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Support physical and mental health post treatment</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659E1EE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Randomised controlled trial, text message intervention</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0AE7C6C4">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160</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509B443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Expected to provide feasibility and efficacy data on SMS-based psychological support</w:t>
            </w:r>
          </w:p>
        </w:tc>
      </w:tr>
      <w:tr w14:paraId="4268498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62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5A9EB8C5">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703250E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Clinical intervention</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527F26A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Assess impact of cognitive-behavioral stress management</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4552827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Intervention study, stress management techniques</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3156813B">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2564</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0F7E44F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Evidence of improved psychological outcomes in breast cancer patients</w:t>
            </w:r>
          </w:p>
        </w:tc>
      </w:tr>
      <w:tr w14:paraId="2FA3411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15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501AD48">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3C79159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RCT, protocol</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6A8156A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Prevent shoulder problems during breast cancer treatment</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253A4D8F">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Controlled trial, physiotherapy interventions</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345A1BEB">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350</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28C3961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Protocol paper, aims to evaluate physical and functional outcomes</w:t>
            </w:r>
          </w:p>
        </w:tc>
      </w:tr>
      <w:tr w14:paraId="37CF422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62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0AAC9EC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48F0293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Rapid review</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1F0A436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Identify and evaluate mobile interventions for mental health in breast cancer</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24B5E5D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Rapid evidence synthesis, app evaluation</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7BCB35CC">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81</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03C7F89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Mobile health apps show promise for mental health support; varied effectiveness</w:t>
            </w:r>
          </w:p>
        </w:tc>
      </w:tr>
      <w:tr w14:paraId="34F3BDC8">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86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D0D15A3">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6</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0E7B1F8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RCT</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5148907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Evaluate peer-counseling for newly diagnosed women</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220D3A9E">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Peer counseling intervention, RCT</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5CE62ACA">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104</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20FFF22C">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Peer support shown to reduce distress and improve adaptation</w:t>
            </w:r>
          </w:p>
        </w:tc>
      </w:tr>
      <w:tr w14:paraId="5792FD6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80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402614D6">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7</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4611D6A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Intervention trial</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18DFB02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Reduce psychological distress prior to radiotherapy</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78B1D20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Therapist-delivered psychoeducational support</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4ECD2EB4">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408</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7F88EAB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Intervention effective for reducing distress before treatment</w:t>
            </w:r>
          </w:p>
        </w:tc>
      </w:tr>
      <w:tr w14:paraId="3BF4C145">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152"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4D43CC0D">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8</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4211B277">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Qualitative study</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0A8108AA">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Explore women's perspectives on risk communication in screening</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10506E4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Interviews, qualitative analysis</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75F704DA">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40</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3B9F6C34">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Mixed reactions; importance of clear risk communication</w:t>
            </w:r>
          </w:p>
        </w:tc>
      </w:tr>
      <w:tr w14:paraId="5DA8D05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76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D6630C3">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9</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20701F1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Cluster RCT</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329E454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Outcome improvement for elderly women</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4204D910">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Trial with cluster randomisation</w:t>
            </w:r>
          </w:p>
        </w:tc>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375AB2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3416 , 23842</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09D9067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Interventions designed for older women show outcome improvements</w:t>
            </w:r>
          </w:p>
        </w:tc>
      </w:tr>
      <w:tr w14:paraId="15776B09">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86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3ACB699C">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10</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4D42A59D">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Observational cohort study</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1EFC8DE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Study treatment effects, recurrence, survival and QoL in older women</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5FBF2E5B">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Observational cohort analysis</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027DFF12">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3416</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4EED563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Data on recurrence, survival and quality of life in elderly women</w:t>
            </w:r>
          </w:p>
        </w:tc>
      </w:tr>
      <w:tr w14:paraId="1119F35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1400"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69470A90">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11</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4BF0CDB9">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Prospective screening cohort</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78D569C2">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Assess impact of mammographic density on risk predictions</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15977175">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Cohort study, risk model analysis</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54F602F7">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50628</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7C11BE4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Incorporating density improves prediction accuracy</w:t>
            </w:r>
          </w:p>
        </w:tc>
      </w:tr>
      <w:tr w14:paraId="12471D4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0" w:type="dxa"/>
            <w:left w:w="108" w:type="dxa"/>
            <w:bottom w:w="0" w:type="dxa"/>
            <w:right w:w="108" w:type="dxa"/>
          </w:tblCellMar>
        </w:tblPrEx>
        <w:trPr>
          <w:trHeight w:val="864" w:hRule="atLeast"/>
        </w:trPr>
        <w:tc>
          <w:tcPr>
            <w:tcW w:w="0" w:type="auto"/>
            <w:tcBorders>
              <w:top w:val="single" w:color="000000" w:sz="4" w:space="0"/>
              <w:left w:val="single" w:color="000000" w:sz="4" w:space="0"/>
              <w:bottom w:val="single" w:color="000000" w:sz="4" w:space="0"/>
              <w:right w:val="single" w:color="000000" w:sz="4" w:space="0"/>
            </w:tcBorders>
            <w:shd w:val="clear"/>
            <w:noWrap/>
            <w:vAlign w:val="center"/>
          </w:tcPr>
          <w:p w14:paraId="76C73AA5">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12</w:t>
            </w:r>
          </w:p>
        </w:tc>
        <w:tc>
          <w:tcPr>
            <w:tcW w:w="1236" w:type="dxa"/>
            <w:tcBorders>
              <w:top w:val="single" w:color="000000" w:sz="4" w:space="0"/>
              <w:left w:val="single" w:color="000000" w:sz="4" w:space="0"/>
              <w:bottom w:val="single" w:color="000000" w:sz="4" w:space="0"/>
              <w:right w:val="single" w:color="000000" w:sz="4" w:space="0"/>
            </w:tcBorders>
            <w:shd w:val="clear"/>
            <w:vAlign w:val="center"/>
          </w:tcPr>
          <w:p w14:paraId="71AD0FF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Qualitative study</w:t>
            </w:r>
          </w:p>
        </w:tc>
        <w:tc>
          <w:tcPr>
            <w:tcW w:w="2304" w:type="dxa"/>
            <w:tcBorders>
              <w:top w:val="single" w:color="000000" w:sz="4" w:space="0"/>
              <w:left w:val="single" w:color="000000" w:sz="4" w:space="0"/>
              <w:bottom w:val="single" w:color="000000" w:sz="4" w:space="0"/>
              <w:right w:val="single" w:color="000000" w:sz="4" w:space="0"/>
            </w:tcBorders>
            <w:shd w:val="clear"/>
            <w:vAlign w:val="center"/>
          </w:tcPr>
          <w:p w14:paraId="4DD66546">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Explore identity changes and disruption post treatment</w:t>
            </w:r>
          </w:p>
        </w:tc>
        <w:tc>
          <w:tcPr>
            <w:tcW w:w="2040" w:type="dxa"/>
            <w:tcBorders>
              <w:top w:val="single" w:color="000000" w:sz="4" w:space="0"/>
              <w:left w:val="single" w:color="000000" w:sz="4" w:space="0"/>
              <w:bottom w:val="single" w:color="000000" w:sz="4" w:space="0"/>
              <w:right w:val="single" w:color="000000" w:sz="4" w:space="0"/>
            </w:tcBorders>
            <w:shd w:val="clear"/>
            <w:vAlign w:val="center"/>
          </w:tcPr>
          <w:p w14:paraId="78A969C1">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Qualitative interviews/analysis</w:t>
            </w:r>
          </w:p>
        </w:tc>
        <w:tc>
          <w:tcPr>
            <w:tcW w:w="816" w:type="dxa"/>
            <w:tcBorders>
              <w:top w:val="single" w:color="000000" w:sz="4" w:space="0"/>
              <w:left w:val="single" w:color="000000" w:sz="4" w:space="0"/>
              <w:bottom w:val="single" w:color="000000" w:sz="4" w:space="0"/>
              <w:right w:val="single" w:color="000000" w:sz="4" w:space="0"/>
            </w:tcBorders>
            <w:shd w:val="clear"/>
            <w:vAlign w:val="center"/>
          </w:tcPr>
          <w:p w14:paraId="6FB3935D">
            <w:pPr>
              <w:keepNext w:val="0"/>
              <w:keepLines w:val="0"/>
              <w:widowControl/>
              <w:suppressLineNumbers w:val="0"/>
              <w:jc w:val="righ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24</w:t>
            </w:r>
          </w:p>
        </w:tc>
        <w:tc>
          <w:tcPr>
            <w:tcW w:w="2172" w:type="dxa"/>
            <w:tcBorders>
              <w:top w:val="single" w:color="000000" w:sz="4" w:space="0"/>
              <w:left w:val="single" w:color="000000" w:sz="4" w:space="0"/>
              <w:bottom w:val="single" w:color="000000" w:sz="4" w:space="0"/>
              <w:right w:val="single" w:color="000000" w:sz="4" w:space="0"/>
            </w:tcBorders>
            <w:shd w:val="clear"/>
            <w:vAlign w:val="center"/>
          </w:tcPr>
          <w:p w14:paraId="0B1DE5A3">
            <w:pPr>
              <w:keepNext w:val="0"/>
              <w:keepLines w:val="0"/>
              <w:widowControl/>
              <w:suppressLineNumbers w:val="0"/>
              <w:jc w:val="left"/>
              <w:textAlignment w:val="center"/>
              <w:rPr>
                <w:rFonts w:hint="default" w:ascii="Calibri" w:hAnsi="Calibri" w:cs="Calibri"/>
                <w:i w:val="0"/>
                <w:iCs w:val="0"/>
                <w:color w:val="000000"/>
                <w:sz w:val="22"/>
                <w:szCs w:val="22"/>
                <w:u w:val="none"/>
              </w:rPr>
            </w:pPr>
            <w:r>
              <w:rPr>
                <w:rFonts w:hint="default" w:ascii="Calibri" w:hAnsi="Calibri" w:eastAsia="SimSun" w:cs="Calibri"/>
                <w:i w:val="0"/>
                <w:iCs w:val="0"/>
                <w:color w:val="000000"/>
                <w:kern w:val="0"/>
                <w:sz w:val="22"/>
                <w:szCs w:val="22"/>
                <w:u w:val="none"/>
                <w:bdr w:val="none" w:color="auto" w:sz="0" w:space="0"/>
                <w:lang w:val="en-US" w:eastAsia="zh-CN" w:bidi="ar"/>
              </w:rPr>
              <w:t>Significant long-term identity challenges and need for support</w:t>
            </w:r>
          </w:p>
        </w:tc>
      </w:tr>
    </w:tbl>
    <w:p w14:paraId="4D62F52C">
      <w:pPr>
        <w:pStyle w:val="85"/>
        <w:spacing w:line="360" w:lineRule="auto"/>
        <w:jc w:val="both"/>
        <w:rPr>
          <w:rFonts w:ascii="Arial" w:hAnsi="Arial" w:cs="Arial"/>
          <w:color w:val="000000"/>
          <w:sz w:val="22"/>
          <w:szCs w:val="22"/>
          <w:shd w:val="clear" w:color="auto" w:fill="FFFFFF"/>
        </w:rPr>
      </w:pPr>
    </w:p>
    <w:p w14:paraId="5CA9CBEA">
      <w:pPr>
        <w:pStyle w:val="85"/>
        <w:spacing w:line="360" w:lineRule="auto"/>
        <w:jc w:val="both"/>
        <w:rPr>
          <w:rFonts w:ascii="Arial" w:hAnsi="Arial" w:cs="Arial"/>
          <w:color w:val="000000"/>
          <w:sz w:val="22"/>
          <w:szCs w:val="22"/>
          <w:shd w:val="clear" w:color="auto" w:fill="FFFFFF"/>
        </w:rPr>
      </w:pPr>
    </w:p>
    <w:p w14:paraId="6254261B">
      <w:pPr>
        <w:pStyle w:val="85"/>
        <w:spacing w:line="360" w:lineRule="auto"/>
        <w:jc w:val="both"/>
        <w:rPr>
          <w:rFonts w:ascii="Arial" w:hAnsi="Arial" w:cs="Arial"/>
          <w:color w:val="000000"/>
          <w:sz w:val="22"/>
          <w:szCs w:val="22"/>
          <w:shd w:val="clear" w:color="auto" w:fill="FFFFFF"/>
        </w:rPr>
      </w:pPr>
    </w:p>
    <w:p w14:paraId="0A9D9868">
      <w:pPr>
        <w:pStyle w:val="85"/>
        <w:spacing w:line="360" w:lineRule="auto"/>
        <w:jc w:val="both"/>
        <w:rPr>
          <w:rFonts w:ascii="Arial" w:hAnsi="Arial" w:cs="Arial"/>
          <w:color w:val="000000"/>
          <w:sz w:val="22"/>
          <w:szCs w:val="22"/>
          <w:shd w:val="clear" w:color="auto" w:fill="FFFFFF"/>
        </w:rPr>
      </w:pPr>
    </w:p>
    <w:p w14:paraId="40830B30">
      <w:pPr>
        <w:pStyle w:val="85"/>
        <w:spacing w:line="360" w:lineRule="auto"/>
        <w:jc w:val="both"/>
        <w:rPr>
          <w:rFonts w:ascii="Arial" w:hAnsi="Arial" w:cs="Arial"/>
          <w:color w:val="000000"/>
          <w:sz w:val="22"/>
          <w:szCs w:val="22"/>
          <w:shd w:val="clear" w:color="auto" w:fill="FFFFFF"/>
        </w:rPr>
      </w:pPr>
    </w:p>
    <w:p w14:paraId="7205FD17">
      <w:pPr>
        <w:pStyle w:val="85"/>
        <w:spacing w:line="360" w:lineRule="auto"/>
        <w:jc w:val="both"/>
        <w:rPr>
          <w:rFonts w:ascii="Arial" w:hAnsi="Arial" w:cs="Arial"/>
          <w:color w:val="000000"/>
          <w:sz w:val="22"/>
          <w:szCs w:val="22"/>
          <w:shd w:val="clear" w:color="auto" w:fill="FFFFFF"/>
        </w:rPr>
      </w:pPr>
    </w:p>
    <w:p w14:paraId="04BCE770">
      <w:pPr>
        <w:pStyle w:val="85"/>
        <w:spacing w:line="360" w:lineRule="auto"/>
        <w:jc w:val="both"/>
        <w:rPr>
          <w:rFonts w:ascii="Arial" w:hAnsi="Arial" w:cs="Arial"/>
          <w:color w:val="000000"/>
          <w:sz w:val="22"/>
          <w:szCs w:val="22"/>
          <w:shd w:val="clear" w:color="auto" w:fill="FFFFFF"/>
        </w:rPr>
      </w:pPr>
    </w:p>
    <w:p w14:paraId="7D7E1B67">
      <w:pPr>
        <w:pStyle w:val="85"/>
        <w:spacing w:line="360" w:lineRule="auto"/>
        <w:jc w:val="both"/>
        <w:rPr>
          <w:rFonts w:ascii="Arial" w:hAnsi="Arial" w:cs="Arial"/>
          <w:color w:val="000000"/>
          <w:sz w:val="22"/>
          <w:szCs w:val="22"/>
          <w:shd w:val="clear" w:color="auto" w:fill="FFFFFF"/>
        </w:rPr>
      </w:pPr>
    </w:p>
    <w:p w14:paraId="6FD9C2D2">
      <w:pPr>
        <w:pStyle w:val="85"/>
        <w:spacing w:line="360" w:lineRule="auto"/>
        <w:jc w:val="both"/>
        <w:rPr>
          <w:rFonts w:ascii="Arial" w:hAnsi="Arial" w:cs="Arial"/>
          <w:color w:val="000000"/>
          <w:sz w:val="22"/>
          <w:szCs w:val="22"/>
          <w:shd w:val="clear" w:color="auto" w:fill="FFFFFF"/>
        </w:rPr>
      </w:pPr>
    </w:p>
    <w:p w14:paraId="5A320121">
      <w:pPr>
        <w:pStyle w:val="85"/>
        <w:spacing w:line="360" w:lineRule="auto"/>
        <w:jc w:val="both"/>
        <w:rPr>
          <w:rFonts w:ascii="Arial" w:hAnsi="Arial" w:cs="Arial"/>
          <w:color w:val="000000"/>
          <w:sz w:val="22"/>
          <w:szCs w:val="22"/>
          <w:shd w:val="clear" w:color="auto" w:fill="FFFFFF"/>
        </w:rPr>
      </w:pPr>
    </w:p>
    <w:p w14:paraId="55252C9D">
      <w:pPr>
        <w:pStyle w:val="85"/>
        <w:spacing w:line="360" w:lineRule="auto"/>
        <w:jc w:val="both"/>
        <w:rPr>
          <w:rFonts w:ascii="Arial" w:hAnsi="Arial" w:cs="Arial"/>
          <w:color w:val="000000"/>
          <w:sz w:val="22"/>
          <w:szCs w:val="22"/>
          <w:shd w:val="clear" w:color="auto" w:fill="FFFFFF"/>
        </w:rPr>
      </w:pPr>
    </w:p>
    <w:p w14:paraId="36E41E45">
      <w:pPr>
        <w:pStyle w:val="85"/>
        <w:spacing w:line="360" w:lineRule="auto"/>
        <w:jc w:val="both"/>
        <w:rPr>
          <w:rFonts w:ascii="Arial" w:hAnsi="Arial" w:cs="Arial"/>
          <w:sz w:val="22"/>
          <w:szCs w:val="22"/>
        </w:rPr>
      </w:pPr>
      <w:r>
        <w:rPr>
          <w:rFonts w:ascii="Arial" w:hAnsi="Arial" w:cs="Arial"/>
          <w:color w:val="000000"/>
          <w:sz w:val="22"/>
          <w:szCs w:val="22"/>
          <w:shd w:val="clear" w:color="auto" w:fill="FFFFFF"/>
        </w:rPr>
        <w:t>‌</w:t>
      </w:r>
    </w:p>
    <w:p w14:paraId="1210AED5">
      <w:pPr>
        <w:pStyle w:val="255"/>
        <w:bidi w:val="0"/>
        <w:rPr>
          <w:rFonts w:ascii="Arial" w:hAnsi="Arial" w:cs="Arial"/>
          <w:b/>
          <w:bCs/>
          <w:color w:val="000000"/>
          <w:sz w:val="22"/>
          <w:szCs w:val="22"/>
          <w:shd w:val="clear" w:color="auto" w:fill="FFFFFF"/>
          <w:lang w:val="en-IN"/>
        </w:rPr>
      </w:pPr>
      <w:bookmarkStart w:id="157" w:name="_Toc29620"/>
      <w:r>
        <w:rPr>
          <w:lang w:val="en-IN"/>
        </w:rPr>
        <w:t>References:</w:t>
      </w:r>
      <w:r>
        <w:rPr>
          <w:rFonts w:ascii="Arial" w:hAnsi="Arial" w:cs="Arial"/>
          <w:color w:val="000000"/>
          <w:sz w:val="22"/>
          <w:szCs w:val="22"/>
          <w:shd w:val="clear" w:color="auto" w:fill="FFFFFF"/>
        </w:rPr>
        <w:t>‌</w:t>
      </w:r>
      <w:bookmarkEnd w:id="157"/>
    </w:p>
    <w:p w14:paraId="7BAA1969">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Ahn, J. and Suh, E.E. (2023). Body image alteration in women with breast cancer: A concept analysis using an evolutionary method. </w:t>
      </w:r>
      <w:r>
        <w:rPr>
          <w:rFonts w:ascii="Arial" w:hAnsi="Arial" w:cs="Arial"/>
          <w:i/>
          <w:iCs/>
          <w:color w:val="000000"/>
          <w:sz w:val="22"/>
          <w:szCs w:val="22"/>
          <w:shd w:val="clear" w:color="auto" w:fill="FFFFFF"/>
        </w:rPr>
        <w:t>Asia-Pacific Journal of Oncology Nursing</w:t>
      </w:r>
      <w:r>
        <w:rPr>
          <w:rFonts w:ascii="Arial" w:hAnsi="Arial" w:cs="Arial"/>
          <w:color w:val="000000"/>
          <w:sz w:val="22"/>
          <w:szCs w:val="22"/>
          <w:shd w:val="clear" w:color="auto" w:fill="FFFFFF"/>
        </w:rPr>
        <w:t>, [online] 10(5), p.100214. doi:https://doi.org/10.1016/j.apjon.2023.100214.</w:t>
      </w:r>
    </w:p>
    <w:p w14:paraId="3B8D7DBA">
      <w:pPr>
        <w:pStyle w:val="85"/>
        <w:numPr>
          <w:ilvl w:val="0"/>
          <w:numId w:val="11"/>
        </w:numPr>
        <w:tabs>
          <w:tab w:val="clear" w:pos="425"/>
        </w:tabs>
        <w:spacing w:beforeAutospacing="0" w:afterAutospacing="0"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Allemani, C., Matsuda,</w:t>
      </w:r>
      <w:bookmarkStart w:id="158" w:name="_GoBack"/>
      <w:bookmarkEnd w:id="158"/>
      <w:r>
        <w:rPr>
          <w:rFonts w:ascii="Arial" w:hAnsi="Arial" w:cs="Arial"/>
          <w:color w:val="0D0D0D" w:themeColor="text1" w:themeTint="F2"/>
          <w:sz w:val="22"/>
          <w:szCs w:val="22"/>
          <w14:textFill>
            <w14:solidFill>
              <w14:schemeClr w14:val="tx1">
                <w14:lumMod w14:val="95000"/>
                <w14:lumOff w14:val="5000"/>
              </w14:schemeClr>
            </w14:solidFill>
          </w14:textFill>
        </w:rPr>
        <w:t xml:space="preserve"> T., Di Carlo, V., Harewood, R., Matz, M., Nikšić, M. et al., 2018. Global surveillance of trends in cancer survival 2000–14 (CONCORD-3): analysis of individual records for 37,513,025 patients. </w:t>
      </w:r>
      <w:r>
        <w:rPr>
          <w:rStyle w:val="31"/>
          <w:rFonts w:ascii="Arial" w:hAnsi="Arial" w:cs="Arial"/>
          <w:color w:val="0D0D0D" w:themeColor="text1" w:themeTint="F2"/>
          <w:sz w:val="22"/>
          <w:szCs w:val="22"/>
          <w14:textFill>
            <w14:solidFill>
              <w14:schemeClr w14:val="tx1">
                <w14:lumMod w14:val="95000"/>
                <w14:lumOff w14:val="5000"/>
              </w14:schemeClr>
            </w14:solidFill>
          </w14:textFill>
        </w:rPr>
        <w:t>The Lancet</w:t>
      </w:r>
      <w:r>
        <w:rPr>
          <w:rFonts w:ascii="Arial" w:hAnsi="Arial" w:cs="Arial"/>
          <w:color w:val="0D0D0D" w:themeColor="text1" w:themeTint="F2"/>
          <w:sz w:val="22"/>
          <w:szCs w:val="22"/>
          <w14:textFill>
            <w14:solidFill>
              <w14:schemeClr w14:val="tx1">
                <w14:lumMod w14:val="95000"/>
                <w14:lumOff w14:val="5000"/>
              </w14:schemeClr>
            </w14:solidFill>
          </w14:textFill>
        </w:rPr>
        <w:t>, 391(10125), pp.1023–1075.</w:t>
      </w:r>
    </w:p>
    <w:p w14:paraId="310681E0">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Bellver-Pérez, A., Peris-Juan, C. and Santaballa-Beltrán, A. (2019). Effectiveness of therapy group in women with localized breast cancer. </w:t>
      </w:r>
      <w:r>
        <w:rPr>
          <w:rFonts w:ascii="Arial" w:hAnsi="Arial" w:cs="Arial"/>
          <w:i/>
          <w:iCs/>
          <w:color w:val="000000"/>
          <w:sz w:val="22"/>
          <w:szCs w:val="22"/>
          <w:shd w:val="clear" w:color="auto" w:fill="FFFFFF"/>
        </w:rPr>
        <w:t>International Journal of Clinical and Health Psychology</w:t>
      </w:r>
      <w:r>
        <w:rPr>
          <w:rFonts w:ascii="Arial" w:hAnsi="Arial" w:cs="Arial"/>
          <w:color w:val="000000"/>
          <w:sz w:val="22"/>
          <w:szCs w:val="22"/>
          <w:shd w:val="clear" w:color="auto" w:fill="FFFFFF"/>
        </w:rPr>
        <w:t>, 19(2), pp.107–114. doi:https://doi.org/10.1016/j.ijchp.2019.02.001.</w:t>
      </w:r>
    </w:p>
    <w:p w14:paraId="6A3A558F">
      <w:pPr>
        <w:pStyle w:val="85"/>
        <w:numPr>
          <w:ilvl w:val="0"/>
          <w:numId w:val="11"/>
        </w:numPr>
        <w:tabs>
          <w:tab w:val="clear" w:pos="425"/>
        </w:tabs>
        <w:spacing w:line="360" w:lineRule="auto"/>
        <w:jc w:val="both"/>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Bender, J.L., Jimenez-Marroquin, M.-C. and Jadad, A.R. (2011). Seeking Support on Facebook: A Content Analysis of Breast Cancer Groups.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Journal of Medical Internet Research</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[online] 13(1), p.e16. doi:https://doi.org/10.2196/jmir.1560.‌</w:t>
      </w:r>
    </w:p>
    <w:p w14:paraId="69C8462D">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Blaes, A.H., Nair, C., Everson-Rose, S., Jewett, P., Wolf, J. and Zordoky, B. (2023). Psychological measures of stress and biomarkers of inflammation, aging, and endothelial dysfunction in breast cancer survivors on aromatase inhibitors. </w:t>
      </w:r>
      <w:r>
        <w:rPr>
          <w:rFonts w:ascii="Arial" w:hAnsi="Arial" w:cs="Arial"/>
          <w:i/>
          <w:iCs/>
          <w:color w:val="000000"/>
          <w:sz w:val="22"/>
          <w:szCs w:val="22"/>
          <w:shd w:val="clear" w:color="auto" w:fill="FFFFFF"/>
        </w:rPr>
        <w:t>Scientific Reports</w:t>
      </w:r>
      <w:r>
        <w:rPr>
          <w:rFonts w:ascii="Arial" w:hAnsi="Arial" w:cs="Arial"/>
          <w:color w:val="000000"/>
          <w:sz w:val="22"/>
          <w:szCs w:val="22"/>
          <w:shd w:val="clear" w:color="auto" w:fill="FFFFFF"/>
        </w:rPr>
        <w:t>, 13(1). doi:https://doi.org/10.1038/s41598-023-28895-4.</w:t>
      </w:r>
    </w:p>
    <w:p w14:paraId="4076DA3F">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Boland, V., Brady, A.-M. and Drury, A. (2020). The physical, Psychological and Social Experiences of Alopecia among Women Receiving chemotherapy: an Integrative Literature Review. </w:t>
      </w:r>
      <w:r>
        <w:rPr>
          <w:rFonts w:ascii="Arial" w:hAnsi="Arial" w:cs="Arial"/>
          <w:i/>
          <w:iCs/>
          <w:color w:val="000000"/>
          <w:sz w:val="22"/>
          <w:szCs w:val="22"/>
          <w:shd w:val="clear" w:color="auto" w:fill="FFFFFF"/>
        </w:rPr>
        <w:t>European Journal of Oncology Nursing</w:t>
      </w:r>
      <w:r>
        <w:rPr>
          <w:rFonts w:ascii="Arial" w:hAnsi="Arial" w:cs="Arial"/>
          <w:color w:val="000000"/>
          <w:sz w:val="22"/>
          <w:szCs w:val="22"/>
          <w:shd w:val="clear" w:color="auto" w:fill="FFFFFF"/>
        </w:rPr>
        <w:t>, 49(1), p.101840. doi:https://doi.org/10.1016/j.ejon.2020.101840.</w:t>
      </w:r>
    </w:p>
    <w:p w14:paraId="17388FA0">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Boquiren, V.M., Esplen, M.J., Wong, J., Toner, B., Warner, E. and Malik, N. (2015). Sexual functioning in breast cancer survivors experiencing body image disturbance. </w:t>
      </w:r>
      <w:r>
        <w:rPr>
          <w:rFonts w:ascii="Arial" w:hAnsi="Arial" w:cs="Arial"/>
          <w:i/>
          <w:iCs/>
          <w:color w:val="000000"/>
          <w:sz w:val="22"/>
          <w:szCs w:val="22"/>
          <w:shd w:val="clear" w:color="auto" w:fill="FFFFFF"/>
        </w:rPr>
        <w:t>Psycho-Oncology</w:t>
      </w:r>
      <w:r>
        <w:rPr>
          <w:rFonts w:ascii="Arial" w:hAnsi="Arial" w:cs="Arial"/>
          <w:color w:val="000000"/>
          <w:sz w:val="22"/>
          <w:szCs w:val="22"/>
          <w:shd w:val="clear" w:color="auto" w:fill="FFFFFF"/>
        </w:rPr>
        <w:t>, 25(1), pp.66–76. doi:https://doi.org/10.1002/pon.3819.</w:t>
      </w:r>
    </w:p>
    <w:p w14:paraId="52A3AC7A">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BorjAlilu, S., Karbakhsh, M., Lotfi, M., Haghshenas, E. and Kaviani, A. (2023). Mobile Applications to Promote Mental Health among Breast Cancer Patients: A Rapid Review. </w:t>
      </w:r>
      <w:r>
        <w:rPr>
          <w:rFonts w:ascii="Arial" w:hAnsi="Arial" w:cs="Arial"/>
          <w:i/>
          <w:iCs/>
          <w:color w:val="000000"/>
          <w:sz w:val="22"/>
          <w:szCs w:val="22"/>
          <w:shd w:val="clear" w:color="auto" w:fill="FFFFFF"/>
        </w:rPr>
        <w:t>Archives of Breast Cancer</w:t>
      </w:r>
      <w:r>
        <w:rPr>
          <w:rFonts w:ascii="Arial" w:hAnsi="Arial" w:cs="Arial"/>
          <w:color w:val="000000"/>
          <w:sz w:val="22"/>
          <w:szCs w:val="22"/>
          <w:shd w:val="clear" w:color="auto" w:fill="FFFFFF"/>
        </w:rPr>
        <w:t>, pp.103–113. doi:https://doi.org/10.32768/abc.2023102103-113.</w:t>
      </w:r>
    </w:p>
    <w:p w14:paraId="18725AB8">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Breast Cancer Now (2025) </w:t>
      </w:r>
      <w:r>
        <w:rPr>
          <w:rStyle w:val="31"/>
          <w:rFonts w:ascii="Arial" w:hAnsi="Arial" w:cs="Arial"/>
          <w:color w:val="0D0D0D" w:themeColor="text1" w:themeTint="F2"/>
          <w:sz w:val="22"/>
          <w:szCs w:val="22"/>
          <w14:textFill>
            <w14:solidFill>
              <w14:schemeClr w14:val="tx1">
                <w14:lumMod w14:val="95000"/>
                <w14:lumOff w14:val="5000"/>
              </w14:schemeClr>
            </w14:solidFill>
          </w14:textFill>
        </w:rPr>
        <w:t>The Big Breast Cancer Survey 2025: You spoke. We listened. Final Report</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Breast Cancer Now. Available at: </w:t>
      </w:r>
      <w:r>
        <w:fldChar w:fldCharType="begin"/>
      </w:r>
      <w:r>
        <w:instrText xml:space="preserve"> HYPERLINK "https://breastcancernow.org/media-assets/tazb0mae/big_breast_cancer_survey_report_final.pdf" \t "https://www.perplexity.ai/search/_blank" </w:instrText>
      </w:r>
      <w:r>
        <w:fldChar w:fldCharType="separate"/>
      </w:r>
      <w:r>
        <w:rPr>
          <w:rStyle w:val="51"/>
          <w:rFonts w:ascii="Arial" w:hAnsi="Arial" w:cs="Arial"/>
          <w:color w:val="0D0D0D" w:themeColor="text1" w:themeTint="F2"/>
          <w:sz w:val="22"/>
          <w:szCs w:val="22"/>
          <w14:textFill>
            <w14:solidFill>
              <w14:schemeClr w14:val="tx1">
                <w14:lumMod w14:val="95000"/>
                <w14:lumOff w14:val="5000"/>
              </w14:schemeClr>
            </w14:solidFill>
          </w14:textFill>
        </w:rPr>
        <w:t>https://breastcancernow.org/media-assets/tazb0mae/big_breast_cancer_survey_report_final.pdf</w:t>
      </w:r>
      <w:r>
        <w:rPr>
          <w:rStyle w:val="51"/>
          <w:rFonts w:ascii="Arial" w:hAnsi="Arial" w:cs="Arial"/>
          <w:color w:val="0D0D0D" w:themeColor="text1" w:themeTint="F2"/>
          <w:sz w:val="22"/>
          <w:szCs w:val="22"/>
          <w14:textFill>
            <w14:solidFill>
              <w14:schemeClr w14:val="tx1">
                <w14:lumMod w14:val="95000"/>
                <w14:lumOff w14:val="5000"/>
              </w14:schemeClr>
            </w14:solidFill>
          </w14:textFill>
        </w:rPr>
        <w:fldChar w:fldCharType="end"/>
      </w:r>
      <w:r>
        <w:rPr>
          <w:rFonts w:ascii="Arial" w:hAnsi="Arial" w:cs="Arial"/>
          <w:color w:val="0D0D0D" w:themeColor="text1" w:themeTint="F2"/>
          <w:sz w:val="22"/>
          <w:szCs w:val="22"/>
          <w14:textFill>
            <w14:solidFill>
              <w14:schemeClr w14:val="tx1">
                <w14:lumMod w14:val="95000"/>
                <w14:lumOff w14:val="5000"/>
              </w14:schemeClr>
            </w14:solidFill>
          </w14:textFill>
        </w:rPr>
        <w:t xml:space="preserve"> (Accessed: 24 June 2025).</w:t>
      </w:r>
    </w:p>
    <w:p w14:paraId="15C0EA9E">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Brentnall, A.R., Harkness, E.F., Astley, S.M., Donnelly, L.S., Stavrinos, P., Sampson, S., Fox, L., Sergeant, J.C., Harvie, M.N., Wilson, M., Beetles, U., Gadde, S., Lim, Y., Jain, A., Bundred, S., Barr, N., Reece, V., Howell, A., Cuzick, J. and Evans, D.G.R. (2015). Mammographic density adds accuracy to both the Tyrer-Cuzick and Gail breast cancer risk models in a prospective UK screening cohort. </w:t>
      </w:r>
      <w:r>
        <w:rPr>
          <w:rFonts w:ascii="Arial" w:hAnsi="Arial" w:cs="Arial"/>
          <w:i/>
          <w:iCs/>
          <w:color w:val="000000"/>
          <w:sz w:val="22"/>
          <w:szCs w:val="22"/>
          <w:shd w:val="clear" w:color="auto" w:fill="FFFFFF"/>
        </w:rPr>
        <w:t>Breast Cancer Research</w:t>
      </w:r>
      <w:r>
        <w:rPr>
          <w:rFonts w:ascii="Arial" w:hAnsi="Arial" w:cs="Arial"/>
          <w:color w:val="000000"/>
          <w:sz w:val="22"/>
          <w:szCs w:val="22"/>
          <w:shd w:val="clear" w:color="auto" w:fill="FFFFFF"/>
        </w:rPr>
        <w:t>, 17(1). doi:https://doi.org/10.1186/s13058-015-0653-5.</w:t>
      </w:r>
    </w:p>
    <w:p w14:paraId="2F6C2AA6">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‌Bruce, J., Williamson, E., Lait, C., Richmond, H., Betteley, L., Lall, R., Petrou, S., Rees, S., Withers, E.J., Lamb, S.E. and Thompson, A.M. (2018). Randomised controlled trial of exercise to prevent shoulder problems in women undergoing breast cancer treatment: study protocol for the prevention of shoulder problems trial (UK PROSPER). </w:t>
      </w:r>
      <w:r>
        <w:rPr>
          <w:rFonts w:ascii="Arial" w:hAnsi="Arial" w:cs="Arial"/>
          <w:i/>
          <w:iCs/>
          <w:color w:val="000000"/>
          <w:sz w:val="22"/>
          <w:szCs w:val="22"/>
          <w:shd w:val="clear" w:color="auto" w:fill="FFFFFF"/>
        </w:rPr>
        <w:t>BMJ Open</w:t>
      </w:r>
      <w:r>
        <w:rPr>
          <w:rFonts w:ascii="Arial" w:hAnsi="Arial" w:cs="Arial"/>
          <w:color w:val="000000"/>
          <w:sz w:val="22"/>
          <w:szCs w:val="22"/>
          <w:shd w:val="clear" w:color="auto" w:fill="FFFFFF"/>
        </w:rPr>
        <w:t>, 8(3), p.e019078. doi:https://doi.org/10.1136/bmjopen-2017-019078.</w:t>
      </w:r>
    </w:p>
    <w:p w14:paraId="7991BA1D">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Burgess, C., Cornelius, V., Love, S., Graham, J., Richards, M. and Ramirez, A., 2005. Depression and anxiety in women with early breast cancer: five-year observational cohort study. </w:t>
      </w:r>
      <w:r>
        <w:rPr>
          <w:rStyle w:val="31"/>
          <w:rFonts w:ascii="Arial" w:hAnsi="Arial" w:cs="Arial"/>
          <w:color w:val="0D0D0D" w:themeColor="text1" w:themeTint="F2"/>
          <w:sz w:val="22"/>
          <w:szCs w:val="22"/>
          <w14:textFill>
            <w14:solidFill>
              <w14:schemeClr w14:val="tx1">
                <w14:lumMod w14:val="95000"/>
                <w14:lumOff w14:val="5000"/>
              </w14:schemeClr>
            </w14:solidFill>
          </w14:textFill>
        </w:rPr>
        <w:t>BMJ</w:t>
      </w:r>
      <w:r>
        <w:rPr>
          <w:rFonts w:ascii="Arial" w:hAnsi="Arial" w:cs="Arial"/>
          <w:color w:val="0D0D0D" w:themeColor="text1" w:themeTint="F2"/>
          <w:sz w:val="22"/>
          <w:szCs w:val="22"/>
          <w14:textFill>
            <w14:solidFill>
              <w14:schemeClr w14:val="tx1">
                <w14:lumMod w14:val="95000"/>
                <w14:lumOff w14:val="5000"/>
              </w14:schemeClr>
            </w14:solidFill>
          </w14:textFill>
        </w:rPr>
        <w:t>, 330(7493), p.702.</w:t>
      </w:r>
    </w:p>
    <w:p w14:paraId="04EB266C">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Cai, Y., Dai, F., Ye, Y. and Qian, J. (2025). The global burden of breast cancer among women of reproductive age: a comprehensive analysis. </w:t>
      </w:r>
      <w:r>
        <w:rPr>
          <w:rFonts w:hint="default" w:ascii="Arial" w:hAnsi="Arial" w:cs="Arial"/>
          <w:i/>
          <w:iCs/>
          <w:color w:val="000000"/>
          <w:sz w:val="22"/>
          <w:szCs w:val="22"/>
          <w:shd w:val="clear" w:fill="FFFFFF"/>
        </w:rPr>
        <w:t>Scientific Reports</w:t>
      </w:r>
      <w:r>
        <w:rPr>
          <w:rFonts w:hint="default" w:ascii="Arial" w:hAnsi="Arial" w:cs="Arial"/>
          <w:color w:val="000000"/>
          <w:sz w:val="22"/>
          <w:szCs w:val="22"/>
          <w:shd w:val="clear" w:fill="FFFFFF"/>
        </w:rPr>
        <w:t>, [online] 15(1). doi:https://doi.org/10.1038/s41598-025-93883-9.</w:t>
      </w:r>
    </w:p>
    <w:p w14:paraId="31432E14">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Cancer Research UK, 2023. </w:t>
      </w:r>
      <w:r>
        <w:rPr>
          <w:rStyle w:val="31"/>
          <w:rFonts w:ascii="Arial" w:hAnsi="Arial" w:cs="Arial"/>
          <w:color w:val="0D0D0D" w:themeColor="text1" w:themeTint="F2"/>
          <w:sz w:val="22"/>
          <w:szCs w:val="22"/>
          <w14:textFill>
            <w14:solidFill>
              <w14:schemeClr w14:val="tx1">
                <w14:lumMod w14:val="95000"/>
                <w14:lumOff w14:val="5000"/>
              </w14:schemeClr>
            </w14:solidFill>
          </w14:textFill>
        </w:rPr>
        <w:t>Breast cancer statistics</w:t>
      </w:r>
      <w:r>
        <w:rPr>
          <w:rFonts w:ascii="Arial" w:hAnsi="Arial" w:cs="Arial"/>
          <w:color w:val="0D0D0D" w:themeColor="text1" w:themeTint="F2"/>
          <w:sz w:val="22"/>
          <w:szCs w:val="22"/>
          <w14:textFill>
            <w14:solidFill>
              <w14:schemeClr w14:val="tx1">
                <w14:lumMod w14:val="95000"/>
                <w14:lumOff w14:val="5000"/>
              </w14:schemeClr>
            </w14:solidFill>
          </w14:textFill>
        </w:rPr>
        <w:t>. [online] Available at: https://www.cancerresearchuk.org/health-professional/cancer-statistics/statistics-by-cancer-type/breast-cancer [Accessed 24 Jun. 2025].</w:t>
      </w:r>
    </w:p>
    <w:p w14:paraId="0336512D">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Cancer Research UK, 2024. </w:t>
      </w:r>
      <w:r>
        <w:rPr>
          <w:rStyle w:val="31"/>
          <w:rFonts w:ascii="Arial" w:hAnsi="Arial" w:cs="Arial"/>
          <w:color w:val="0D0D0D" w:themeColor="text1" w:themeTint="F2"/>
          <w:sz w:val="22"/>
          <w:szCs w:val="22"/>
          <w14:textFill>
            <w14:solidFill>
              <w14:schemeClr w14:val="tx1">
                <w14:lumMod w14:val="95000"/>
                <w14:lumOff w14:val="5000"/>
              </w14:schemeClr>
            </w14:solidFill>
          </w14:textFill>
        </w:rPr>
        <w:t>Breast cancer incidence (invasive) statistics – UK age</w:t>
      </w:r>
      <w:r>
        <w:rPr>
          <w:rStyle w:val="31"/>
          <w:rFonts w:ascii="Arial" w:hAnsi="Arial" w:cs="Arial"/>
          <w:color w:val="0D0D0D" w:themeColor="text1" w:themeTint="F2"/>
          <w:sz w:val="22"/>
          <w:szCs w:val="22"/>
          <w14:textFill>
            <w14:solidFill>
              <w14:schemeClr w14:val="tx1">
                <w14:lumMod w14:val="95000"/>
                <w14:lumOff w14:val="5000"/>
              </w14:schemeClr>
            </w14:solidFill>
          </w14:textFill>
        </w:rPr>
        <w:noBreakHyphen/>
      </w:r>
      <w:r>
        <w:rPr>
          <w:rStyle w:val="31"/>
          <w:rFonts w:ascii="Arial" w:hAnsi="Arial" w:cs="Arial"/>
          <w:color w:val="0D0D0D" w:themeColor="text1" w:themeTint="F2"/>
          <w:sz w:val="22"/>
          <w:szCs w:val="22"/>
          <w14:textFill>
            <w14:solidFill>
              <w14:schemeClr w14:val="tx1">
                <w14:lumMod w14:val="95000"/>
                <w14:lumOff w14:val="5000"/>
              </w14:schemeClr>
            </w14:solidFill>
          </w14:textFill>
        </w:rPr>
        <w:t>standardised incidence rates per 100,000 women</w:t>
      </w:r>
      <w:r>
        <w:rPr>
          <w:rFonts w:ascii="Arial" w:hAnsi="Arial" w:cs="Arial"/>
          <w:color w:val="0D0D0D" w:themeColor="text1" w:themeTint="F2"/>
          <w:sz w:val="22"/>
          <w:szCs w:val="22"/>
          <w14:textFill>
            <w14:solidFill>
              <w14:schemeClr w14:val="tx1">
                <w14:lumMod w14:val="95000"/>
                <w14:lumOff w14:val="5000"/>
              </w14:schemeClr>
            </w14:solidFill>
          </w14:textFill>
        </w:rPr>
        <w:t>. [online] Cancer Research UK. Available at: https://www.cancerresearchuk.org/health-professional/cancer-statistics/statistics-by-cancer-type/breast-cancer/incidence-invasive [Accessed 24 Jun. 2025].</w:t>
      </w:r>
    </w:p>
    <w:p w14:paraId="1CF3DA6F">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Cancer Research UK. (2017). </w:t>
      </w:r>
      <w:r>
        <w:rPr>
          <w:rFonts w:ascii="Arial" w:hAnsi="Arial" w:cs="Arial"/>
          <w:i/>
          <w:iCs/>
          <w:color w:val="000000"/>
          <w:sz w:val="22"/>
          <w:szCs w:val="22"/>
          <w:shd w:val="clear" w:color="auto" w:fill="FFFFFF"/>
        </w:rPr>
        <w:t>Our policy on national cancer plans</w:t>
      </w:r>
      <w:r>
        <w:rPr>
          <w:rFonts w:ascii="Arial" w:hAnsi="Arial" w:cs="Arial"/>
          <w:color w:val="000000"/>
          <w:sz w:val="22"/>
          <w:szCs w:val="22"/>
          <w:shd w:val="clear" w:color="auto" w:fill="FFFFFF"/>
        </w:rPr>
        <w:t>. [online] Available at: https://www.cancerresearchuk.org/about-us/we-develop-policy/our-policy-on-cancer-services/our-policy-on-national-cancer-plans.</w:t>
      </w:r>
    </w:p>
    <w:p w14:paraId="0993FB6A">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Carreira, H., Williams, R., Müller, M., Harewood, R., Stanway, S., Bhaskaran, K. et al., 2018. Associations between breast cancer survivorship and adverse mental health outcomes: a systematic review. </w:t>
      </w:r>
      <w:r>
        <w:rPr>
          <w:rStyle w:val="31"/>
          <w:rFonts w:ascii="Arial" w:hAnsi="Arial" w:cs="Arial"/>
          <w:color w:val="0D0D0D" w:themeColor="text1" w:themeTint="F2"/>
          <w:sz w:val="22"/>
          <w:szCs w:val="22"/>
          <w14:textFill>
            <w14:solidFill>
              <w14:schemeClr w14:val="tx1">
                <w14:lumMod w14:val="95000"/>
                <w14:lumOff w14:val="5000"/>
              </w14:schemeClr>
            </w14:solidFill>
          </w14:textFill>
        </w:rPr>
        <w:t>Journal of the National Cancer Institute</w:t>
      </w:r>
      <w:r>
        <w:rPr>
          <w:rFonts w:ascii="Arial" w:hAnsi="Arial" w:cs="Arial"/>
          <w:color w:val="0D0D0D" w:themeColor="text1" w:themeTint="F2"/>
          <w:sz w:val="22"/>
          <w:szCs w:val="22"/>
          <w14:textFill>
            <w14:solidFill>
              <w14:schemeClr w14:val="tx1">
                <w14:lumMod w14:val="95000"/>
                <w14:lumOff w14:val="5000"/>
              </w14:schemeClr>
            </w14:solidFill>
          </w14:textFill>
        </w:rPr>
        <w:t>, 110(12), pp.1311–1327.</w:t>
      </w:r>
    </w:p>
    <w:p w14:paraId="3F45475D">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CASP (2018). </w:t>
      </w:r>
      <w:r>
        <w:rPr>
          <w:rFonts w:ascii="Arial" w:hAnsi="Arial" w:cs="Arial"/>
          <w:i/>
          <w:iCs/>
          <w:color w:val="000000"/>
          <w:sz w:val="22"/>
          <w:szCs w:val="22"/>
          <w:shd w:val="clear" w:color="auto" w:fill="FFFFFF"/>
        </w:rPr>
        <w:t>Critical Appraisal Checklists</w:t>
      </w:r>
      <w:r>
        <w:rPr>
          <w:rFonts w:ascii="Arial" w:hAnsi="Arial" w:cs="Arial"/>
          <w:color w:val="000000"/>
          <w:sz w:val="22"/>
          <w:szCs w:val="22"/>
          <w:shd w:val="clear" w:color="auto" w:fill="FFFFFF"/>
        </w:rPr>
        <w:t xml:space="preserve">. [online] Critical Appraisal Skills Programme. Available at: </w:t>
      </w:r>
      <w:r>
        <w:fldChar w:fldCharType="begin"/>
      </w:r>
      <w:r>
        <w:instrText xml:space="preserve"> HYPERLINK "https://casp-uk.net/casp-tools-checklists/." </w:instrText>
      </w:r>
      <w:r>
        <w:fldChar w:fldCharType="separate"/>
      </w:r>
      <w:r>
        <w:rPr>
          <w:rStyle w:val="51"/>
          <w:rFonts w:ascii="Arial" w:hAnsi="Arial" w:cs="Arial"/>
          <w:sz w:val="22"/>
          <w:szCs w:val="22"/>
          <w:shd w:val="clear" w:color="auto" w:fill="FFFFFF"/>
        </w:rPr>
        <w:t>https://casp-uk.net/casp-tools-checklists/.</w:t>
      </w:r>
      <w:r>
        <w:rPr>
          <w:rStyle w:val="51"/>
          <w:rFonts w:ascii="Arial" w:hAnsi="Arial" w:cs="Arial"/>
          <w:sz w:val="22"/>
          <w:szCs w:val="22"/>
          <w:shd w:val="clear" w:color="auto" w:fill="FFFFFF"/>
        </w:rPr>
        <w:fldChar w:fldCharType="end"/>
      </w:r>
    </w:p>
    <w:p w14:paraId="2848A551">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Chang, C.-P., Ho, T.F., Snyder, J., Dodson, M., Deshmukh, V., Newman, M., Date, A., N. Lynn Henry and Hashibe, M. (2023). Breast cancer survivorship and sexual dysfunction: a population-based cohort study. </w:t>
      </w:r>
      <w:r>
        <w:rPr>
          <w:rFonts w:hint="default" w:ascii="Arial" w:hAnsi="Arial" w:cs="Arial"/>
          <w:i/>
          <w:iCs/>
          <w:color w:val="000000"/>
          <w:sz w:val="22"/>
          <w:szCs w:val="22"/>
          <w:shd w:val="clear" w:fill="FFFFFF"/>
        </w:rPr>
        <w:t>Breast cancer research and treatment</w:t>
      </w:r>
      <w:r>
        <w:rPr>
          <w:rFonts w:hint="default" w:ascii="Arial" w:hAnsi="Arial" w:cs="Arial"/>
          <w:color w:val="000000"/>
          <w:sz w:val="22"/>
          <w:szCs w:val="22"/>
          <w:shd w:val="clear" w:fill="FFFFFF"/>
        </w:rPr>
        <w:t>, 200(1), pp.103–113. doi:https://doi.org/10.1007/s10549-023-06953-9.</w:t>
      </w:r>
    </w:p>
    <w:p w14:paraId="3FABDF26">
      <w:pPr>
        <w:numPr>
          <w:ilvl w:val="0"/>
          <w:numId w:val="11"/>
        </w:numPr>
        <w:shd w:val="clear" w:color="auto" w:fill="FFFFFF"/>
        <w:spacing w:line="360" w:lineRule="auto"/>
        <w:jc w:val="both"/>
        <w:rPr>
          <w:rFonts w:ascii="Calibri" w:hAnsi="Calibri" w:cs="Calibri"/>
          <w:sz w:val="21"/>
          <w:szCs w:val="21"/>
        </w:rPr>
      </w:pPr>
      <w:r>
        <w:rPr>
          <w:rFonts w:hint="default" w:ascii="Arial" w:hAnsi="Arial" w:eastAsia="SimSun" w:cs="Arial"/>
          <w:sz w:val="22"/>
          <w:szCs w:val="22"/>
        </w:rPr>
        <w:t>Clovis M</w:t>
      </w:r>
      <w:r>
        <w:rPr>
          <w:rFonts w:hint="default" w:ascii="Arial" w:hAnsi="Arial" w:eastAsia="SimSun" w:cs="Arial"/>
          <w:sz w:val="22"/>
          <w:szCs w:val="22"/>
          <w:lang w:val="en-IN"/>
        </w:rPr>
        <w:t>F.(2024)</w:t>
      </w:r>
      <w:r>
        <w:rPr>
          <w:rFonts w:hint="default" w:ascii="Arial" w:hAnsi="Arial" w:eastAsia="SimSun" w:cs="Arial"/>
          <w:sz w:val="22"/>
          <w:szCs w:val="22"/>
        </w:rPr>
        <w:t xml:space="preserve">, Education and learning: potential methodological and ethical issues in systematic reviews containing a meta-analysis: some critical reading suggestions for junior doctors, </w:t>
      </w:r>
      <w:r>
        <w:rPr>
          <w:rStyle w:val="31"/>
          <w:rFonts w:hint="default" w:ascii="Arial" w:hAnsi="Arial" w:eastAsia="SimSun" w:cs="Arial"/>
          <w:sz w:val="22"/>
          <w:szCs w:val="22"/>
        </w:rPr>
        <w:t>Postgraduate Medical Journal</w:t>
      </w:r>
      <w:r>
        <w:rPr>
          <w:rFonts w:hint="default" w:ascii="Arial" w:hAnsi="Arial" w:eastAsia="SimSun" w:cs="Arial"/>
          <w:sz w:val="22"/>
          <w:szCs w:val="22"/>
        </w:rPr>
        <w:t>, Volume 100</w:t>
      </w:r>
      <w:r>
        <w:rPr>
          <w:rFonts w:hint="default" w:ascii="Arial" w:hAnsi="Arial" w:eastAsia="SimSun" w:cs="Arial"/>
          <w:sz w:val="22"/>
          <w:szCs w:val="22"/>
          <w:lang w:val="en-IN"/>
        </w:rPr>
        <w:t>(</w:t>
      </w:r>
      <w:r>
        <w:rPr>
          <w:rFonts w:hint="default" w:ascii="Arial" w:hAnsi="Arial" w:eastAsia="SimSun" w:cs="Arial"/>
          <w:sz w:val="22"/>
          <w:szCs w:val="22"/>
        </w:rPr>
        <w:t>1182</w:t>
      </w:r>
      <w:r>
        <w:rPr>
          <w:rFonts w:hint="default" w:ascii="Arial" w:hAnsi="Arial" w:eastAsia="SimSun" w:cs="Arial"/>
          <w:sz w:val="22"/>
          <w:szCs w:val="22"/>
          <w:lang w:val="en-IN"/>
        </w:rPr>
        <w:t>)</w:t>
      </w:r>
      <w:r>
        <w:rPr>
          <w:rFonts w:hint="default" w:ascii="Arial" w:hAnsi="Arial" w:eastAsia="SimSun" w:cs="Arial"/>
          <w:sz w:val="22"/>
          <w:szCs w:val="22"/>
        </w:rPr>
        <w:t xml:space="preserve">,Pages 269–273,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"https://doi.org/10.1093/postmj/qgad130" </w:instrText>
      </w:r>
      <w:r>
        <w:rPr>
          <w:rFonts w:hint="default" w:ascii="Arial" w:hAnsi="Arial" w:eastAsia="SimSun" w:cs="Arial"/>
          <w:sz w:val="22"/>
          <w:szCs w:val="22"/>
        </w:rPr>
        <w:fldChar w:fldCharType="separate"/>
      </w:r>
      <w:r>
        <w:rPr>
          <w:rStyle w:val="51"/>
          <w:rFonts w:hint="default" w:ascii="Arial" w:hAnsi="Arial" w:eastAsia="SimSun" w:cs="Arial"/>
          <w:sz w:val="22"/>
          <w:szCs w:val="22"/>
        </w:rPr>
        <w:t>https://doi.org/10.1093/postmj/qgad130</w:t>
      </w:r>
      <w:r>
        <w:rPr>
          <w:rFonts w:hint="default" w:ascii="Arial" w:hAnsi="Arial" w:eastAsia="SimSun" w:cs="Arial"/>
          <w:sz w:val="22"/>
          <w:szCs w:val="22"/>
        </w:rPr>
        <w:fldChar w:fldCharType="end"/>
      </w:r>
    </w:p>
    <w:p w14:paraId="0D997087">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Cochrane.org. (2022). </w:t>
      </w:r>
      <w:r>
        <w:rPr>
          <w:rFonts w:ascii="Arial" w:hAnsi="Arial" w:cs="Arial"/>
          <w:i/>
          <w:iCs/>
          <w:color w:val="000000"/>
          <w:sz w:val="22"/>
          <w:szCs w:val="22"/>
          <w:shd w:val="clear" w:color="auto" w:fill="FFFFFF"/>
        </w:rPr>
        <w:t>Thematic Synthesis | Cochrane</w:t>
      </w:r>
      <w:r>
        <w:rPr>
          <w:rFonts w:ascii="Arial" w:hAnsi="Arial" w:cs="Arial"/>
          <w:color w:val="000000"/>
          <w:sz w:val="22"/>
          <w:szCs w:val="22"/>
          <w:shd w:val="clear" w:color="auto" w:fill="FFFFFF"/>
        </w:rPr>
        <w:t xml:space="preserve">. [online] Available at: https://www.cochrane.org/events/thematic-synthesis.Moore, L., Matheson, L., Brett, J., Lavender, V., Kendall, A., Lavery, B. and Watson, E. (2022). Optimising patient-initiated follow-up care – A qualitative analysis of women with breast cancer in the UK. </w:t>
      </w:r>
      <w:r>
        <w:rPr>
          <w:rFonts w:ascii="Arial" w:hAnsi="Arial" w:cs="Arial"/>
          <w:i/>
          <w:iCs/>
          <w:color w:val="000000"/>
          <w:sz w:val="22"/>
          <w:szCs w:val="22"/>
          <w:shd w:val="clear" w:color="auto" w:fill="FFFFFF"/>
        </w:rPr>
        <w:t>European Journal of Oncology Nursing</w:t>
      </w:r>
      <w:r>
        <w:rPr>
          <w:rFonts w:ascii="Arial" w:hAnsi="Arial" w:cs="Arial"/>
          <w:color w:val="000000"/>
          <w:sz w:val="22"/>
          <w:szCs w:val="22"/>
          <w:shd w:val="clear" w:color="auto" w:fill="FFFFFF"/>
        </w:rPr>
        <w:t>, 60, p.102183. doi:https://doi.org/10.1016/j.ejon.2022.102183.</w:t>
      </w:r>
    </w:p>
    <w:p w14:paraId="03D2F5DE">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Cristiane Bergerot, Paulo Gustavo Bergerot, Maués, J., Segarra-Vazquez, B., Mano, M.S. and Tarantino, P. (2023). Is cancer back?—psychological issues faced by survivors of breast cancer. </w:t>
      </w:r>
      <w:r>
        <w:rPr>
          <w:rFonts w:hint="default" w:ascii="Arial" w:hAnsi="Arial" w:cs="Arial"/>
          <w:i/>
          <w:iCs/>
          <w:color w:val="000000"/>
          <w:sz w:val="22"/>
          <w:szCs w:val="22"/>
          <w:shd w:val="clear" w:fill="FFFFFF"/>
        </w:rPr>
        <w:t>Annals of Palliative Medicine</w:t>
      </w:r>
      <w:r>
        <w:rPr>
          <w:rFonts w:hint="default" w:ascii="Arial" w:hAnsi="Arial" w:cs="Arial"/>
          <w:color w:val="000000"/>
          <w:sz w:val="22"/>
          <w:szCs w:val="22"/>
          <w:shd w:val="clear" w:fill="FFFFFF"/>
        </w:rPr>
        <w:t>, [online] 0(0). doi:https://doi.org/10.21037/apm-24-54.</w:t>
      </w:r>
    </w:p>
    <w:p w14:paraId="55121D1E">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Davide Soldato, Luca Arecco, Agostinetto, E., Maria Alice Franzoi, Mariamidze, E., S Begijanashvili, Brunetti, N., Stefano Spinaci, Cinzia Solinas, Vaz-Luis, I., Antonio Di Meglio and Matteo Lambertini (2023). The Future of Breast Cancer Research in the Survivorship Field. </w:t>
      </w:r>
      <w:r>
        <w:rPr>
          <w:rFonts w:hint="default" w:ascii="Arial" w:hAnsi="Arial" w:cs="Arial"/>
          <w:i/>
          <w:iCs/>
          <w:color w:val="000000"/>
          <w:sz w:val="22"/>
          <w:szCs w:val="22"/>
          <w:shd w:val="clear" w:fill="FFFFFF"/>
        </w:rPr>
        <w:t>Oncology and therapy</w:t>
      </w:r>
      <w:r>
        <w:rPr>
          <w:rFonts w:hint="default" w:ascii="Arial" w:hAnsi="Arial" w:cs="Arial"/>
          <w:color w:val="000000"/>
          <w:sz w:val="22"/>
          <w:szCs w:val="22"/>
          <w:shd w:val="clear" w:fill="FFFFFF"/>
        </w:rPr>
        <w:t>, 11(2), pp.199–229. doi:https://doi.org/10.1007/s40487-023-00225-8.</w:t>
      </w:r>
    </w:p>
    <w:p w14:paraId="5A869A68">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Dinapoli, L., Colloca, G., Di Capua, B. and Valentini, V. (2021). Psychological Aspects to Consider in Breast Cancer Diagnosis and Treatment. </w:t>
      </w:r>
      <w:r>
        <w:rPr>
          <w:rFonts w:hint="default" w:ascii="Arial" w:hAnsi="Arial" w:cs="Arial"/>
          <w:i/>
          <w:iCs/>
          <w:color w:val="000000"/>
          <w:sz w:val="22"/>
          <w:szCs w:val="22"/>
          <w:shd w:val="clear" w:fill="FFFFFF"/>
        </w:rPr>
        <w:t>Current Oncology Reports</w:t>
      </w:r>
      <w:r>
        <w:rPr>
          <w:rFonts w:hint="default" w:ascii="Arial" w:hAnsi="Arial" w:cs="Arial"/>
          <w:color w:val="000000"/>
          <w:sz w:val="22"/>
          <w:szCs w:val="22"/>
          <w:shd w:val="clear" w:fill="FFFFFF"/>
        </w:rPr>
        <w:t>, [online] 23(3). doi:https://doi.org/10.1007/s11912-021-01049-3.</w:t>
      </w:r>
    </w:p>
    <w:p w14:paraId="1A67DEB8">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‌Elliott, K., Haworth, E., Bolnykh, I., McAllister-Williams, R.H., Greystoke, A., Todd, A. and Sharp, L. (2024). Breast cancer patients with a pre-existing mental illness are less likely to receive guideline-recommended cancer treatment: A systematic review and meta-analysis. </w:t>
      </w:r>
      <w:r>
        <w:rPr>
          <w:rFonts w:ascii="Arial" w:hAnsi="Arial" w:cs="Arial"/>
          <w:i/>
          <w:iCs/>
          <w:color w:val="000000"/>
          <w:sz w:val="22"/>
          <w:szCs w:val="22"/>
          <w:shd w:val="clear" w:color="auto" w:fill="FFFFFF"/>
        </w:rPr>
        <w:t>The Breast</w:t>
      </w:r>
      <w:r>
        <w:rPr>
          <w:rFonts w:ascii="Arial" w:hAnsi="Arial" w:cs="Arial"/>
          <w:color w:val="000000"/>
          <w:sz w:val="22"/>
          <w:szCs w:val="22"/>
          <w:shd w:val="clear" w:color="auto" w:fill="FFFFFF"/>
        </w:rPr>
        <w:t>, [online] 79, p.103855. doi:https://doi.org/10.1016/j.breast.2024.103855.</w:t>
      </w:r>
    </w:p>
    <w:p w14:paraId="37B22C6D">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Falagas, M.E., Zarkadoulia, E.A., Ioannidou, E.N., Peppas, G., Christodoulou, C. and Rafailidis, P.I. (2007). The effect of psychosocial factors on breast cancer outcome: a systematic review. </w:t>
      </w:r>
      <w:r>
        <w:rPr>
          <w:rFonts w:ascii="Arial" w:hAnsi="Arial" w:cs="Arial"/>
          <w:i/>
          <w:iCs/>
          <w:color w:val="000000"/>
          <w:sz w:val="22"/>
          <w:szCs w:val="22"/>
          <w:shd w:val="clear" w:color="auto" w:fill="FFFFFF"/>
        </w:rPr>
        <w:t>Breast Cancer Research</w:t>
      </w:r>
      <w:r>
        <w:rPr>
          <w:rFonts w:ascii="Arial" w:hAnsi="Arial" w:cs="Arial"/>
          <w:color w:val="000000"/>
          <w:sz w:val="22"/>
          <w:szCs w:val="22"/>
          <w:shd w:val="clear" w:color="auto" w:fill="FFFFFF"/>
        </w:rPr>
        <w:t>, 9(4). doi:https://doi.org/10.1186/bcr1744.</w:t>
      </w:r>
    </w:p>
    <w:p w14:paraId="6DA64611">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Fann, J.R., Thomas-Rich, A.M., Katon, W.J., Cowley, D., Pepping, M., McGregor, B.A. and Gralow, J., 2008. Major depression after breast cancer: a review of epidemiology and treatment. </w:t>
      </w:r>
      <w:r>
        <w:rPr>
          <w:rStyle w:val="31"/>
          <w:rFonts w:ascii="Arial" w:hAnsi="Arial" w:cs="Arial"/>
          <w:color w:val="0D0D0D" w:themeColor="text1" w:themeTint="F2"/>
          <w:sz w:val="22"/>
          <w:szCs w:val="22"/>
          <w14:textFill>
            <w14:solidFill>
              <w14:schemeClr w14:val="tx1">
                <w14:lumMod w14:val="95000"/>
                <w14:lumOff w14:val="5000"/>
              </w14:schemeClr>
            </w14:solidFill>
          </w14:textFill>
        </w:rPr>
        <w:t>General Hospital Psychiatry</w:t>
      </w:r>
      <w:r>
        <w:rPr>
          <w:rFonts w:ascii="Arial" w:hAnsi="Arial" w:cs="Arial"/>
          <w:color w:val="0D0D0D" w:themeColor="text1" w:themeTint="F2"/>
          <w:sz w:val="22"/>
          <w:szCs w:val="22"/>
          <w14:textFill>
            <w14:solidFill>
              <w14:schemeClr w14:val="tx1">
                <w14:lumMod w14:val="95000"/>
                <w14:lumOff w14:val="5000"/>
              </w14:schemeClr>
            </w14:solidFill>
          </w14:textFill>
        </w:rPr>
        <w:t>, 30(2), pp.112–126.</w:t>
      </w:r>
    </w:p>
    <w:p w14:paraId="7490AB60">
      <w:pPr>
        <w:pStyle w:val="85"/>
        <w:numPr>
          <w:ilvl w:val="0"/>
          <w:numId w:val="11"/>
        </w:numPr>
        <w:tabs>
          <w:tab w:val="clear" w:pos="425"/>
        </w:tabs>
        <w:spacing w:line="360" w:lineRule="auto"/>
        <w:jc w:val="both"/>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Fernando, A., Tokell, M., Ishak, Y., Love, J., Klammer, M. and Koh, M. (2023). Mental health needs in cancer – a call for change.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Future Healthcare Journal</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[online] 10(2), pp.112–116. doi:https://doi.org/10.7861/fhj.2023-0059.</w:t>
      </w:r>
    </w:p>
    <w:p w14:paraId="51417268">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Flynn, C.R., McBrien, A., Gaynor, S., O’Meara, Y., Mulvaney, E., Keogh, R.J., Weadick, C.S., Duane, F., Greally, H., O’Leary, M.J., Ieva Teiserskyte, Beristain, I., Marron, J., Mulroe, E., Donachie, V., McLoughlin, S. and Seamus O’Reilly (2025). Regional differences in experiences of patients with metastatic breast cancer in the Republic of Ireland and Northern Ireland: a comparative analysis (CTRIAL-IE 23-05). </w:t>
      </w:r>
      <w:r>
        <w:rPr>
          <w:rFonts w:ascii="Arial" w:hAnsi="Arial" w:cs="Arial"/>
          <w:i/>
          <w:iCs/>
          <w:color w:val="000000"/>
          <w:sz w:val="22"/>
          <w:szCs w:val="22"/>
          <w:shd w:val="clear" w:color="auto" w:fill="FFFFFF"/>
        </w:rPr>
        <w:t>BMJ Open Quality</w:t>
      </w:r>
      <w:r>
        <w:rPr>
          <w:rFonts w:ascii="Arial" w:hAnsi="Arial" w:cs="Arial"/>
          <w:color w:val="000000"/>
          <w:sz w:val="22"/>
          <w:szCs w:val="22"/>
          <w:shd w:val="clear" w:color="auto" w:fill="FFFFFF"/>
        </w:rPr>
        <w:t>, 14(3), pp.e003254–e003254. doi:https://doi.org/10.1136/bmjoq-2024-003254.</w:t>
      </w:r>
    </w:p>
    <w:p w14:paraId="7150FE02">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Fobair, P., Stewart, S.L., Chang, S., D’Onofrio, C., Banks, P.J. and Bloom, J.R., 2006. Body image and sexual problems in young women with breast cancer. </w:t>
      </w:r>
      <w:r>
        <w:rPr>
          <w:rStyle w:val="31"/>
          <w:rFonts w:ascii="Arial" w:hAnsi="Arial" w:cs="Arial"/>
          <w:color w:val="0D0D0D" w:themeColor="text1" w:themeTint="F2"/>
          <w:sz w:val="22"/>
          <w:szCs w:val="22"/>
          <w14:textFill>
            <w14:solidFill>
              <w14:schemeClr w14:val="tx1">
                <w14:lumMod w14:val="95000"/>
                <w14:lumOff w14:val="5000"/>
              </w14:schemeClr>
            </w14:solidFill>
          </w14:textFill>
        </w:rPr>
        <w:t>Psycho-Oncology</w:t>
      </w:r>
      <w:r>
        <w:rPr>
          <w:rFonts w:ascii="Arial" w:hAnsi="Arial" w:cs="Arial"/>
          <w:color w:val="0D0D0D" w:themeColor="text1" w:themeTint="F2"/>
          <w:sz w:val="22"/>
          <w:szCs w:val="22"/>
          <w14:textFill>
            <w14:solidFill>
              <w14:schemeClr w14:val="tx1">
                <w14:lumMod w14:val="95000"/>
                <w14:lumOff w14:val="5000"/>
              </w14:schemeClr>
            </w14:solidFill>
          </w14:textFill>
        </w:rPr>
        <w:t>, 15(7), pp.579–594.</w:t>
      </w:r>
    </w:p>
    <w:p w14:paraId="3C676378">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Forbes, H., Carreira, H., Funston, G., Andresen, K., Bhatia, U., Strongman, H., Abrol, E., Bowen, L., Giles, C. and Bhaskaran, K. (2024). Early, medium and long-term mental health in cancer survivors compared with cancer-free comparators: matched cohort study using linked UK electronic health records. </w:t>
      </w:r>
      <w:r>
        <w:rPr>
          <w:rFonts w:ascii="Arial" w:hAnsi="Arial" w:cs="Arial"/>
          <w:i/>
          <w:iCs/>
          <w:color w:val="000000"/>
          <w:sz w:val="22"/>
          <w:szCs w:val="22"/>
          <w:shd w:val="clear" w:color="auto" w:fill="FFFFFF"/>
        </w:rPr>
        <w:t>eClinicalMedicine</w:t>
      </w:r>
      <w:r>
        <w:rPr>
          <w:rFonts w:ascii="Arial" w:hAnsi="Arial" w:cs="Arial"/>
          <w:color w:val="000000"/>
          <w:sz w:val="22"/>
          <w:szCs w:val="22"/>
          <w:shd w:val="clear" w:color="auto" w:fill="FFFFFF"/>
        </w:rPr>
        <w:t>, 76, p.102826. doi:https://doi.org/10.1016/j.eclinm.2024.102826.</w:t>
      </w:r>
    </w:p>
    <w:p w14:paraId="7DC6EE6A">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‌Fortin, J., Leblanc, M., Elgbeili, G., Cordova, M.J., Marin, M.-F. and Brunet, A. (2021). The mental health impacts of receiving a breast cancer diagnosis: A meta-analysis. </w:t>
      </w:r>
      <w:r>
        <w:rPr>
          <w:rFonts w:ascii="Arial" w:hAnsi="Arial" w:cs="Arial"/>
          <w:i/>
          <w:iCs/>
          <w:color w:val="000000"/>
          <w:sz w:val="22"/>
          <w:szCs w:val="22"/>
          <w:shd w:val="clear" w:color="auto" w:fill="FFFFFF"/>
        </w:rPr>
        <w:t>British Journal of Cancer</w:t>
      </w:r>
      <w:r>
        <w:rPr>
          <w:rFonts w:ascii="Arial" w:hAnsi="Arial" w:cs="Arial"/>
          <w:color w:val="000000"/>
          <w:sz w:val="22"/>
          <w:szCs w:val="22"/>
          <w:shd w:val="clear" w:color="auto" w:fill="FFFFFF"/>
        </w:rPr>
        <w:t>, [online] 125(11), pp.1–11. doi:https://doi.org/10.1038/s41416-021-01542-3.‌</w:t>
      </w:r>
    </w:p>
    <w:p w14:paraId="451ACC30">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Foster, C. and Fenlon, D., 2011. Recovery and self-management support following primary cancer treatment. </w:t>
      </w:r>
      <w:r>
        <w:rPr>
          <w:rStyle w:val="31"/>
          <w:rFonts w:ascii="Arial" w:hAnsi="Arial" w:cs="Arial"/>
          <w:color w:val="0D0D0D" w:themeColor="text1" w:themeTint="F2"/>
          <w:sz w:val="22"/>
          <w:szCs w:val="22"/>
          <w14:textFill>
            <w14:solidFill>
              <w14:schemeClr w14:val="tx1">
                <w14:lumMod w14:val="95000"/>
                <w14:lumOff w14:val="5000"/>
              </w14:schemeClr>
            </w14:solidFill>
          </w14:textFill>
        </w:rPr>
        <w:t>British Journal of Cancer</w:t>
      </w:r>
      <w:r>
        <w:rPr>
          <w:rFonts w:ascii="Arial" w:hAnsi="Arial" w:cs="Arial"/>
          <w:color w:val="0D0D0D" w:themeColor="text1" w:themeTint="F2"/>
          <w:sz w:val="22"/>
          <w:szCs w:val="22"/>
          <w14:textFill>
            <w14:solidFill>
              <w14:schemeClr w14:val="tx1">
                <w14:lumMod w14:val="95000"/>
                <w14:lumOff w14:val="5000"/>
              </w14:schemeClr>
            </w14:solidFill>
          </w14:textFill>
        </w:rPr>
        <w:t>, 105(S1), pp.S21–S28.</w:t>
      </w:r>
    </w:p>
    <w:p w14:paraId="4403AC53">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Franco, A. and Magno, S. (2023). The Breaking Point and Post-Traumatic Growth in Breast Cancer Survivors. </w:t>
      </w:r>
      <w:r>
        <w:rPr>
          <w:rFonts w:ascii="Arial" w:hAnsi="Arial" w:cs="Arial"/>
          <w:i/>
          <w:iCs/>
          <w:color w:val="000000"/>
          <w:sz w:val="22"/>
          <w:szCs w:val="22"/>
          <w:shd w:val="clear" w:color="auto" w:fill="FFFFFF"/>
        </w:rPr>
        <w:t>Cancers</w:t>
      </w:r>
      <w:r>
        <w:rPr>
          <w:rFonts w:ascii="Arial" w:hAnsi="Arial" w:cs="Arial"/>
          <w:color w:val="000000"/>
          <w:sz w:val="22"/>
          <w:szCs w:val="22"/>
          <w:shd w:val="clear" w:color="auto" w:fill="FFFFFF"/>
        </w:rPr>
        <w:t>, [online] 15(18), p.4441. doi:https://doi.org/10.3390/cancers15184441.</w:t>
      </w:r>
    </w:p>
    <w:p w14:paraId="66F38CF7">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Giese-Davis, J., Bliss-Isberg, C., Wittenberg, L., White, J., Star, P., Zhong, L., Cordova, M.J., Houston, D. and Spiegel, D. (2016). Peer-counseling for women newly diagnosed with breast cancer: A randomized community/research collaboration trial. </w:t>
      </w:r>
      <w:r>
        <w:rPr>
          <w:rFonts w:ascii="Arial" w:hAnsi="Arial" w:cs="Arial"/>
          <w:i/>
          <w:iCs/>
          <w:color w:val="000000"/>
          <w:sz w:val="22"/>
          <w:szCs w:val="22"/>
          <w:shd w:val="clear" w:color="auto" w:fill="FFFFFF"/>
        </w:rPr>
        <w:t>Cancer</w:t>
      </w:r>
      <w:r>
        <w:rPr>
          <w:rFonts w:ascii="Arial" w:hAnsi="Arial" w:cs="Arial"/>
          <w:color w:val="000000"/>
          <w:sz w:val="22"/>
          <w:szCs w:val="22"/>
          <w:shd w:val="clear" w:color="auto" w:fill="FFFFFF"/>
        </w:rPr>
        <w:t>, 122(15), pp.2408–2417. doi:https://doi.org/10.1002/cncr.30036.</w:t>
      </w:r>
    </w:p>
    <w:p w14:paraId="602F3BEE">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Gil‐Olarte, P., Gil‐Olarte, M.A., Gómez‐Molinero, R. and Guil, R. (2022). Psychosocial and sexual well‐being in breast cancer survivors undergoing immediate breast reconstruction: The mediating role of breast satisfaction. </w:t>
      </w:r>
      <w:r>
        <w:rPr>
          <w:rFonts w:ascii="Arial" w:hAnsi="Arial" w:cs="Arial"/>
          <w:i/>
          <w:iCs/>
          <w:color w:val="000000"/>
          <w:sz w:val="22"/>
          <w:szCs w:val="22"/>
          <w:shd w:val="clear" w:color="auto" w:fill="FFFFFF"/>
        </w:rPr>
        <w:t>European Journal of Cancer Care</w:t>
      </w:r>
      <w:r>
        <w:rPr>
          <w:rFonts w:ascii="Arial" w:hAnsi="Arial" w:cs="Arial"/>
          <w:color w:val="000000"/>
          <w:sz w:val="22"/>
          <w:szCs w:val="22"/>
          <w:shd w:val="clear" w:color="auto" w:fill="FFFFFF"/>
        </w:rPr>
        <w:t>. doi:https://doi.org/10.1111/ecc.13686.</w:t>
      </w:r>
    </w:p>
    <w:p w14:paraId="3F78C2E2">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Graham, J. (2024). Breast Cancer: The Psychological Impact of Diagnosis, Treatment, and Remission. </w:t>
      </w:r>
      <w:r>
        <w:rPr>
          <w:rFonts w:ascii="Arial" w:hAnsi="Arial" w:cs="Arial"/>
          <w:i/>
          <w:iCs/>
          <w:color w:val="000000"/>
          <w:sz w:val="22"/>
          <w:szCs w:val="22"/>
          <w:shd w:val="clear" w:color="auto" w:fill="FFFFFF"/>
        </w:rPr>
        <w:t>Cureus</w:t>
      </w:r>
      <w:r>
        <w:rPr>
          <w:rFonts w:ascii="Arial" w:hAnsi="Arial" w:cs="Arial"/>
          <w:color w:val="000000"/>
          <w:sz w:val="22"/>
          <w:szCs w:val="22"/>
          <w:shd w:val="clear" w:color="auto" w:fill="FFFFFF"/>
        </w:rPr>
        <w:t>, 16(10). doi:https://doi.org/10.7759/cureus.70814.</w:t>
      </w:r>
    </w:p>
    <w:p w14:paraId="3DD97A62">
      <w:pPr>
        <w:pStyle w:val="85"/>
        <w:numPr>
          <w:ilvl w:val="0"/>
          <w:numId w:val="11"/>
        </w:numPr>
        <w:tabs>
          <w:tab w:val="clear" w:pos="425"/>
        </w:tabs>
        <w:spacing w:line="360" w:lineRule="auto"/>
        <w:jc w:val="both"/>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Grassi, L., Travado, L., Moncayo, F.L.G., Sabato, S. and Rossi, E. (2004). Psychosocial morbidity and its correlates in cancer patients of the Mediterranean area: findings from the Southern European Psycho-Oncology Study.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Journal of Affective Disorders</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83(2-3), pp.243–248. doi:https://doi.org/10.1016/j.jad.2004.07.004.‌</w:t>
      </w:r>
    </w:p>
    <w:p w14:paraId="16E9104E">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Groarke, A., Curtis, R., Groarke, J.M., Hogan, M.J., Gibbons, A. and Kerin, M. (2016). Post-traumatic growth in breast cancer: how and when do distress and stress contribute? </w:t>
      </w:r>
      <w:r>
        <w:rPr>
          <w:rFonts w:ascii="Arial" w:hAnsi="Arial" w:cs="Arial"/>
          <w:i/>
          <w:iCs/>
          <w:color w:val="000000"/>
          <w:sz w:val="22"/>
          <w:szCs w:val="22"/>
          <w:shd w:val="clear" w:color="auto" w:fill="FFFFFF"/>
        </w:rPr>
        <w:t>Psycho-Oncology</w:t>
      </w:r>
      <w:r>
        <w:rPr>
          <w:rFonts w:ascii="Arial" w:hAnsi="Arial" w:cs="Arial"/>
          <w:color w:val="000000"/>
          <w:sz w:val="22"/>
          <w:szCs w:val="22"/>
          <w:shd w:val="clear" w:color="auto" w:fill="FFFFFF"/>
        </w:rPr>
        <w:t>, 26(7), pp.967–974. doi:https://doi.org/10.1002/pon.4243.</w:t>
      </w:r>
    </w:p>
    <w:p w14:paraId="2F4128C6">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Guarino, A., Polini, C., Forte, G., Favieri, F., Boncompagni, I. and Casagrande, M. (2020). The Effectiveness of Psychological Treatments in Women with Breast Cancer: a Systematic Review and Meta-Analysis. </w:t>
      </w:r>
      <w:r>
        <w:rPr>
          <w:rFonts w:ascii="Arial" w:hAnsi="Arial" w:cs="Arial"/>
          <w:i/>
          <w:iCs/>
          <w:color w:val="000000"/>
          <w:sz w:val="22"/>
          <w:szCs w:val="22"/>
          <w:shd w:val="clear" w:color="auto" w:fill="FFFFFF"/>
        </w:rPr>
        <w:t>Journal of Clinical Medicine</w:t>
      </w:r>
      <w:r>
        <w:rPr>
          <w:rFonts w:ascii="Arial" w:hAnsi="Arial" w:cs="Arial"/>
          <w:color w:val="000000"/>
          <w:sz w:val="22"/>
          <w:szCs w:val="22"/>
          <w:shd w:val="clear" w:color="auto" w:fill="FFFFFF"/>
        </w:rPr>
        <w:t>, [online] 9(1), p.209. doi:https://doi.org/10.3390/jcm9010209.</w:t>
      </w:r>
    </w:p>
    <w:p w14:paraId="6D7933E1">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Gudenkauf, L.M. and Ehlers, S.L. (2018). Psychosocial interventions in breast cancer survivorship care. </w:t>
      </w:r>
      <w:r>
        <w:rPr>
          <w:rFonts w:ascii="Arial" w:hAnsi="Arial" w:cs="Arial"/>
          <w:i/>
          <w:iCs/>
          <w:color w:val="000000"/>
          <w:sz w:val="22"/>
          <w:szCs w:val="22"/>
          <w:shd w:val="clear" w:color="auto" w:fill="FFFFFF"/>
        </w:rPr>
        <w:t>The Breast</w:t>
      </w:r>
      <w:r>
        <w:rPr>
          <w:rFonts w:ascii="Arial" w:hAnsi="Arial" w:cs="Arial"/>
          <w:color w:val="000000"/>
          <w:sz w:val="22"/>
          <w:szCs w:val="22"/>
          <w:shd w:val="clear" w:color="auto" w:fill="FFFFFF"/>
        </w:rPr>
        <w:t>, 38, pp.1–6. doi:https://doi.org/10.1016/j.breast.2017.11.005.</w:t>
      </w:r>
    </w:p>
    <w:p w14:paraId="498A0EE0">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Halkett, G., O’Connor, M., Jefford, M., Aranda, S., Merchant, S., Spry, N., Kane, R., Shaw, T., Youens, D., Moorin, R. and Schofield, P. (2018). RT Prepare: a radiation therapist-delivered intervention reduces psychological distress in women with breast cancer referred for radiotherapy. </w:t>
      </w:r>
      <w:r>
        <w:rPr>
          <w:rFonts w:ascii="Arial" w:hAnsi="Arial" w:cs="Arial"/>
          <w:i/>
          <w:iCs/>
          <w:color w:val="000000"/>
          <w:sz w:val="22"/>
          <w:szCs w:val="22"/>
          <w:shd w:val="clear" w:color="auto" w:fill="FFFFFF"/>
        </w:rPr>
        <w:t>British Journal of Cancer</w:t>
      </w:r>
      <w:r>
        <w:rPr>
          <w:rFonts w:ascii="Arial" w:hAnsi="Arial" w:cs="Arial"/>
          <w:color w:val="000000"/>
          <w:sz w:val="22"/>
          <w:szCs w:val="22"/>
          <w:shd w:val="clear" w:color="auto" w:fill="FFFFFF"/>
        </w:rPr>
        <w:t>, 118(12), pp.1549–1558. doi:https://doi.org/10.1038/s41416-018-0112-z.</w:t>
      </w:r>
    </w:p>
    <w:p w14:paraId="05062464">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Hernández-Blanquisett, A., Quintero-Carreño, V., Álvarez-Londoño, A., Martínez-Ávila, M.C. and Diaz-Cáceres, R. (2022). Sexual dysfunction as a challenge in treated breast cancer: in-depth analysis and risk assessment to improve individual outcomes. </w:t>
      </w:r>
      <w:r>
        <w:rPr>
          <w:rFonts w:hint="default" w:ascii="Arial" w:hAnsi="Arial" w:cs="Arial"/>
          <w:i/>
          <w:iCs/>
          <w:color w:val="000000"/>
          <w:sz w:val="22"/>
          <w:szCs w:val="22"/>
          <w:shd w:val="clear" w:fill="FFFFFF"/>
        </w:rPr>
        <w:t>Frontiers in Oncology</w:t>
      </w:r>
      <w:r>
        <w:rPr>
          <w:rFonts w:hint="default" w:ascii="Arial" w:hAnsi="Arial" w:cs="Arial"/>
          <w:color w:val="000000"/>
          <w:sz w:val="22"/>
          <w:szCs w:val="22"/>
          <w:shd w:val="clear" w:fill="FFFFFF"/>
        </w:rPr>
        <w:t>, 12. doi:https://doi.org/10.3389/fonc.2022.955057.</w:t>
      </w:r>
    </w:p>
    <w:p w14:paraId="5A725BA2">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Hidding, J.T., Beurskens, C.H.G., van der Wees, P.J., van Laarhoven, H.W.M. and Nijhuis-van der Sanden, M.W.G. (2014). Treatment Related Impairments in Arm and Shoulder in Patients with Breast Cancer: A Systematic Review. </w:t>
      </w:r>
      <w:r>
        <w:rPr>
          <w:rFonts w:ascii="Arial" w:hAnsi="Arial" w:cs="Arial"/>
          <w:i/>
          <w:iCs/>
          <w:color w:val="000000"/>
          <w:sz w:val="22"/>
          <w:szCs w:val="22"/>
          <w:shd w:val="clear" w:color="auto" w:fill="FFFFFF"/>
        </w:rPr>
        <w:t>PLoS ONE</w:t>
      </w:r>
      <w:r>
        <w:rPr>
          <w:rFonts w:ascii="Arial" w:hAnsi="Arial" w:cs="Arial"/>
          <w:color w:val="000000"/>
          <w:sz w:val="22"/>
          <w:szCs w:val="22"/>
          <w:shd w:val="clear" w:color="auto" w:fill="FFFFFF"/>
        </w:rPr>
        <w:t>, 9(5), p.e96748. doi:https://doi.org/10.1371/journal.pone.0096748.</w:t>
      </w:r>
    </w:p>
    <w:p w14:paraId="26C073BE">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Hirko, K.A., Rocque, G., Reasor, E., Taye, A., Daly, A., Cutress, R.I., Copson, E.R., Lee, D.-W., Lee, K.-H., Im, S.-A. and Park, Y.H. (2022). The impact of race and ethnicity in breast cancer—disparities and implications for precision oncology. </w:t>
      </w:r>
      <w:r>
        <w:rPr>
          <w:rFonts w:ascii="Arial" w:hAnsi="Arial" w:cs="Arial"/>
          <w:i/>
          <w:iCs/>
          <w:color w:val="000000"/>
          <w:sz w:val="22"/>
          <w:szCs w:val="22"/>
          <w:shd w:val="clear" w:color="auto" w:fill="FFFFFF"/>
        </w:rPr>
        <w:t>BMC Medicine</w:t>
      </w:r>
      <w:r>
        <w:rPr>
          <w:rFonts w:ascii="Arial" w:hAnsi="Arial" w:cs="Arial"/>
          <w:color w:val="000000"/>
          <w:sz w:val="22"/>
          <w:szCs w:val="22"/>
          <w:shd w:val="clear" w:color="auto" w:fill="FFFFFF"/>
        </w:rPr>
        <w:t>, 20(1). doi:https://doi.org/10.1186/s12916-022-02260-0.</w:t>
      </w:r>
    </w:p>
    <w:p w14:paraId="7C561EC3">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Howard-Anderson, J., Ganz, P.A., Bower, J.E. and Stanton, A.L., 2012. Quality of life, fertility concerns, and behavioral health outcomes in younger breast cancer survivors. </w:t>
      </w:r>
      <w:r>
        <w:rPr>
          <w:rStyle w:val="31"/>
          <w:rFonts w:ascii="Arial" w:hAnsi="Arial" w:cs="Arial"/>
          <w:color w:val="0D0D0D" w:themeColor="text1" w:themeTint="F2"/>
          <w:sz w:val="22"/>
          <w:szCs w:val="22"/>
          <w14:textFill>
            <w14:solidFill>
              <w14:schemeClr w14:val="tx1">
                <w14:lumMod w14:val="95000"/>
                <w14:lumOff w14:val="5000"/>
              </w14:schemeClr>
            </w14:solidFill>
          </w14:textFill>
        </w:rPr>
        <w:t>Journal of the National Cancer Institute</w:t>
      </w:r>
      <w:r>
        <w:rPr>
          <w:rFonts w:ascii="Arial" w:hAnsi="Arial" w:cs="Arial"/>
          <w:color w:val="0D0D0D" w:themeColor="text1" w:themeTint="F2"/>
          <w:sz w:val="22"/>
          <w:szCs w:val="22"/>
          <w14:textFill>
            <w14:solidFill>
              <w14:schemeClr w14:val="tx1">
                <w14:lumMod w14:val="95000"/>
                <w14:lumOff w14:val="5000"/>
              </w14:schemeClr>
            </w14:solidFill>
          </w14:textFill>
        </w:rPr>
        <w:t>, 104(5), pp.386–405.</w:t>
      </w:r>
    </w:p>
    <w:p w14:paraId="26C907DF">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Huang, S., Huang, M., Long, F. and Wang, F. (2025). Post-traumatic growth experience of breast cancer patients: A qualitative systematic review and meta-synthesis. </w:t>
      </w:r>
      <w:r>
        <w:rPr>
          <w:rFonts w:ascii="Arial" w:hAnsi="Arial" w:cs="Arial"/>
          <w:i/>
          <w:iCs/>
          <w:color w:val="000000"/>
          <w:sz w:val="22"/>
          <w:szCs w:val="22"/>
          <w:shd w:val="clear" w:color="auto" w:fill="FFFFFF"/>
        </w:rPr>
        <w:t>PLoS ONE</w:t>
      </w:r>
      <w:r>
        <w:rPr>
          <w:rFonts w:ascii="Arial" w:hAnsi="Arial" w:cs="Arial"/>
          <w:color w:val="000000"/>
          <w:sz w:val="22"/>
          <w:szCs w:val="22"/>
          <w:shd w:val="clear" w:color="auto" w:fill="FFFFFF"/>
        </w:rPr>
        <w:t>, 20(1), pp.e0316108–e0316108. doi:https://doi.org/10.1371/journal.pone.0316108.</w:t>
      </w:r>
    </w:p>
    <w:p w14:paraId="1E0F7E22">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Izci, F., Ilgun, A.S., Findikli, E. and Ozmen, V. (2016). Psychiatric Symptoms and Psychosocial Problems in Patients with Breast Cancer. </w:t>
      </w:r>
      <w:r>
        <w:rPr>
          <w:rFonts w:ascii="Arial" w:hAnsi="Arial" w:cs="Arial"/>
          <w:i/>
          <w:iCs/>
          <w:color w:val="000000"/>
          <w:sz w:val="22"/>
          <w:szCs w:val="22"/>
          <w:shd w:val="clear" w:color="auto" w:fill="FFFFFF"/>
        </w:rPr>
        <w:t>Journal of Breast Health</w:t>
      </w:r>
      <w:r>
        <w:rPr>
          <w:rFonts w:ascii="Arial" w:hAnsi="Arial" w:cs="Arial"/>
          <w:color w:val="000000"/>
          <w:sz w:val="22"/>
          <w:szCs w:val="22"/>
          <w:shd w:val="clear" w:color="auto" w:fill="FFFFFF"/>
        </w:rPr>
        <w:t>, [online] 12(3), pp.94–101. doi:https://doi.org/10.5152/tjbh.2016.3041.</w:t>
      </w:r>
    </w:p>
    <w:p w14:paraId="240F152C">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Joly, F., Lange, M., Dos Santos, M., Vaz-Luis, I. and Di Meglio, A. (2019). Long-Term Fatigue and Cognitive Disorders in Breast Cancer Survivors. </w:t>
      </w:r>
      <w:r>
        <w:rPr>
          <w:rFonts w:hint="default" w:ascii="Arial" w:hAnsi="Arial" w:cs="Arial"/>
          <w:i/>
          <w:iCs/>
          <w:color w:val="000000"/>
          <w:sz w:val="22"/>
          <w:szCs w:val="22"/>
          <w:shd w:val="clear" w:fill="FFFFFF"/>
        </w:rPr>
        <w:t>Cancers</w:t>
      </w:r>
      <w:r>
        <w:rPr>
          <w:rFonts w:hint="default" w:ascii="Arial" w:hAnsi="Arial" w:cs="Arial"/>
          <w:color w:val="000000"/>
          <w:sz w:val="22"/>
          <w:szCs w:val="22"/>
          <w:shd w:val="clear" w:fill="FFFFFF"/>
        </w:rPr>
        <w:t>, 11(12), p.1896. doi:https://doi.org/10.3390/cancers11121896.</w:t>
      </w:r>
    </w:p>
    <w:p w14:paraId="1F73259D">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Joulaei, H., Mohamad Parhizkar, Fatemi, M., Afrashteh, S., Pardis Parhizkar, Majid Akrami and Zohre Foroozanfar (2024). Mental Health Care Utilization and its Barriers among Iranian Breast Cancer Survivors: A Cross-sectional Study. </w:t>
      </w:r>
      <w:r>
        <w:rPr>
          <w:rFonts w:ascii="Arial" w:hAnsi="Arial" w:cs="Arial"/>
          <w:i/>
          <w:iCs/>
          <w:color w:val="000000"/>
          <w:sz w:val="22"/>
          <w:szCs w:val="22"/>
          <w:shd w:val="clear" w:color="auto" w:fill="FFFFFF"/>
        </w:rPr>
        <w:t>PubMed</w:t>
      </w:r>
      <w:r>
        <w:rPr>
          <w:rFonts w:ascii="Arial" w:hAnsi="Arial" w:cs="Arial"/>
          <w:color w:val="000000"/>
          <w:sz w:val="22"/>
          <w:szCs w:val="22"/>
          <w:shd w:val="clear" w:color="auto" w:fill="FFFFFF"/>
        </w:rPr>
        <w:t>, [online] 12(1), pp.44–56. doi:https://doi.org/10.30476/ijcbnm.2023.99133.2289.</w:t>
      </w:r>
    </w:p>
    <w:p w14:paraId="11AA377B">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Kemp, E.B., Geerse, O.P., Knowles, R., Woodman, R., Mohammadi, L., Nekhlyudov, L. and Koczwara, B. (2022). Mapping Systematic Reviews of Breast Cancer Survivorship Interventions: A Network Analysis. </w:t>
      </w:r>
      <w:r>
        <w:rPr>
          <w:rFonts w:ascii="Arial" w:hAnsi="Arial" w:cs="Arial"/>
          <w:i/>
          <w:iCs/>
          <w:color w:val="000000"/>
          <w:sz w:val="22"/>
          <w:szCs w:val="22"/>
          <w:shd w:val="clear" w:color="auto" w:fill="FFFFFF"/>
        </w:rPr>
        <w:t>Journal of Clinical Oncology</w:t>
      </w:r>
      <w:r>
        <w:rPr>
          <w:rFonts w:ascii="Arial" w:hAnsi="Arial" w:cs="Arial"/>
          <w:color w:val="000000"/>
          <w:sz w:val="22"/>
          <w:szCs w:val="22"/>
          <w:shd w:val="clear" w:color="auto" w:fill="FFFFFF"/>
        </w:rPr>
        <w:t>, 40(19), pp.2083–2093. doi:https://doi.org/10.1200/jco.21.02015.</w:t>
      </w:r>
    </w:p>
    <w:p w14:paraId="0407F2E0">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Khajoei, R., Ilkhani, M., Azadeh, P., Zohari Anboohi, S. and Heshmati Nabavi, F. (2023). Breast cancer survivors–supportive care needs: systematic review. </w:t>
      </w:r>
      <w:r>
        <w:rPr>
          <w:rFonts w:ascii="Arial" w:hAnsi="Arial" w:cs="Arial"/>
          <w:i/>
          <w:iCs/>
          <w:color w:val="000000"/>
          <w:sz w:val="22"/>
          <w:szCs w:val="22"/>
          <w:shd w:val="clear" w:color="auto" w:fill="FFFFFF"/>
        </w:rPr>
        <w:t>BMJ Supportive &amp; Palliative Care</w:t>
      </w:r>
      <w:r>
        <w:rPr>
          <w:rFonts w:ascii="Arial" w:hAnsi="Arial" w:cs="Arial"/>
          <w:color w:val="000000"/>
          <w:sz w:val="22"/>
          <w:szCs w:val="22"/>
          <w:shd w:val="clear" w:color="auto" w:fill="FFFFFF"/>
        </w:rPr>
        <w:t>, p.spcare-2022-003931. doi:https://doi.org/10.1136/spcare-2022-003931.</w:t>
      </w:r>
    </w:p>
    <w:p w14:paraId="2DE34C4B">
      <w:pPr>
        <w:pStyle w:val="85"/>
        <w:numPr>
          <w:ilvl w:val="0"/>
          <w:numId w:val="11"/>
        </w:numPr>
        <w:tabs>
          <w:tab w:val="clear" w:pos="425"/>
        </w:tabs>
        <w:spacing w:line="360" w:lineRule="auto"/>
        <w:jc w:val="both"/>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Kim, J., Linos, E., Dove, M.S., Hoch, J.S. and Keegan, T.H. (2023). Impact of COVID-19, cancer survivorship and patient-provider communication on mental health in the US Difference-In-Difference.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npj Mental Health Research</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[online] 2(1), pp.1–9. doi:https://doi.org/10.1038/s44184-023-00034-x.</w:t>
      </w:r>
    </w:p>
    <w:p w14:paraId="7A6C959D">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Lavoie, S., Sechrist, S., Quach, N., Ehsanian, R., Duong, T., Gotlib, I.H. and Isaac, L. (2017). Depression in Men and Women One Year Following Traumatic Brain Injury (TBI): A TBI Model Systems Study. </w:t>
      </w:r>
      <w:r>
        <w:rPr>
          <w:rFonts w:ascii="Arial" w:hAnsi="Arial" w:cs="Arial"/>
          <w:i/>
          <w:iCs/>
          <w:color w:val="000000"/>
          <w:sz w:val="22"/>
          <w:szCs w:val="22"/>
          <w:shd w:val="clear" w:color="auto" w:fill="FFFFFF"/>
        </w:rPr>
        <w:t>Frontiers in Psychology</w:t>
      </w:r>
      <w:r>
        <w:rPr>
          <w:rFonts w:ascii="Arial" w:hAnsi="Arial" w:cs="Arial"/>
          <w:color w:val="000000"/>
          <w:sz w:val="22"/>
          <w:szCs w:val="22"/>
          <w:shd w:val="clear" w:color="auto" w:fill="FFFFFF"/>
        </w:rPr>
        <w:t>, 8. doi:https://doi.org/10.3389/fpsyg.2017.00634.</w:t>
      </w:r>
    </w:p>
    <w:p w14:paraId="5B43EDE7">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Lebel, S., Ozakinci, G., Humphris, G., Mutsaers, B., Thewes, B., Prins, J., Dinkel, A. and Butow, P. (2016). From normal response to clinical problem: definition and clinical features of fear of cancer recurrence.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Supportive Care in Cancer</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24(8), pp.3265–3268. doi:https://doi.org/10.1007/s00520-016-3272-5.‌</w:t>
      </w:r>
    </w:p>
    <w:p w14:paraId="01A0A304">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sz w:val="22"/>
          <w:szCs w:val="22"/>
        </w:rPr>
        <w:t>Lopes, C., Lopes-Conceição, L., Fontes, F., Ferreira, A., Pereira, S., Lunet, N., &amp; Araújo, N.</w:t>
      </w:r>
      <w:r>
        <w:rPr>
          <w:rFonts w:ascii="Arial" w:hAnsi="Arial" w:cs="Arial"/>
          <w:color w:val="000000"/>
          <w:sz w:val="22"/>
          <w:szCs w:val="22"/>
          <w:shd w:val="clear" w:color="auto" w:fill="FFFFFF"/>
        </w:rPr>
        <w:t xml:space="preserve">(2022). Prevalence and Persistence of Anxiety and Depression over Five Years since Breast Cancer Diagnosis—The NEON-BC Prospective Study. </w:t>
      </w:r>
      <w:r>
        <w:rPr>
          <w:rFonts w:ascii="Arial" w:hAnsi="Arial" w:cs="Arial"/>
          <w:i/>
          <w:iCs/>
          <w:color w:val="000000"/>
          <w:sz w:val="22"/>
          <w:szCs w:val="22"/>
          <w:shd w:val="clear" w:color="auto" w:fill="FFFFFF"/>
        </w:rPr>
        <w:t>Current Oncology</w:t>
      </w:r>
      <w:r>
        <w:rPr>
          <w:rFonts w:ascii="Arial" w:hAnsi="Arial" w:cs="Arial"/>
          <w:color w:val="000000"/>
          <w:sz w:val="22"/>
          <w:szCs w:val="22"/>
          <w:shd w:val="clear" w:color="auto" w:fill="FFFFFF"/>
        </w:rPr>
        <w:t>, [online] 29(173), pp.2141–2153. doi:https://doi.org/10.3390/curroncol29030173.</w:t>
      </w:r>
    </w:p>
    <w:p w14:paraId="71124D4B">
      <w:pPr>
        <w:numPr>
          <w:ilvl w:val="0"/>
          <w:numId w:val="11"/>
        </w:numPr>
        <w:shd w:val="clear" w:color="auto" w:fill="FFFFFF"/>
        <w:spacing w:line="360" w:lineRule="auto"/>
        <w:jc w:val="both"/>
        <w:rPr>
          <w:rFonts w:hint="default" w:ascii="Arial" w:hAnsi="Arial" w:cs="Arial"/>
          <w:color w:val="000000"/>
          <w:sz w:val="22"/>
          <w:szCs w:val="22"/>
          <w:shd w:val="clear" w:fill="FFFFFF"/>
          <w:lang w:val="en-IN"/>
        </w:rPr>
      </w:pPr>
      <w:r>
        <w:rPr>
          <w:rFonts w:ascii="Arial" w:hAnsi="Arial" w:eastAsia="Times New Roman" w:cs="Arial"/>
          <w:color w:val="000000"/>
          <w:sz w:val="22"/>
          <w:szCs w:val="22"/>
          <w:lang w:val="en-IN" w:eastAsia="en-IN" w:bidi="gu-IN"/>
        </w:rPr>
        <w:t>MacDonald, J.B. (2023). PRISMA</w:t>
      </w:r>
      <w:r>
        <w:rPr>
          <w:rFonts w:ascii="Arial" w:hAnsi="Arial" w:eastAsia="Times New Roman" w:cs="Arial"/>
          <w:i/>
          <w:iCs/>
          <w:color w:val="000000"/>
          <w:sz w:val="22"/>
          <w:szCs w:val="22"/>
          <w:lang w:val="en-IN" w:eastAsia="en-IN" w:bidi="gu-IN"/>
        </w:rPr>
        <w:t xml:space="preserve"> flow diagram templates for literature reviews • Jasmine B. MacDonald</w:t>
      </w:r>
      <w:r>
        <w:rPr>
          <w:rFonts w:ascii="Arial" w:hAnsi="Arial" w:eastAsia="Times New Roman" w:cs="Arial"/>
          <w:color w:val="000000"/>
          <w:sz w:val="22"/>
          <w:szCs w:val="22"/>
          <w:lang w:val="en-IN" w:eastAsia="en-IN" w:bidi="gu-IN"/>
        </w:rPr>
        <w:t xml:space="preserve">. [online] Jasmine B. MacDonald. Available at: </w:t>
      </w:r>
      <w:r>
        <w:rPr>
          <w:rFonts w:ascii="Arial" w:hAnsi="Arial" w:eastAsia="Times New Roman" w:cs="Arial"/>
          <w:color w:val="000000"/>
          <w:sz w:val="22"/>
          <w:szCs w:val="22"/>
          <w:lang w:val="en-IN" w:eastAsia="en-IN" w:bidi="gu-IN"/>
        </w:rPr>
        <w:fldChar w:fldCharType="begin"/>
      </w:r>
      <w:r>
        <w:rPr>
          <w:rFonts w:ascii="Arial" w:hAnsi="Arial" w:eastAsia="Times New Roman" w:cs="Arial"/>
          <w:color w:val="000000"/>
          <w:sz w:val="22"/>
          <w:szCs w:val="22"/>
          <w:lang w:val="en-IN" w:eastAsia="en-IN" w:bidi="gu-IN"/>
        </w:rPr>
        <w:instrText xml:space="preserve"> HYPERLINK "https://jasminebmacdonald.com.au/prisma-flow-diagram-templates-for-literature-reviews/." </w:instrText>
      </w:r>
      <w:r>
        <w:rPr>
          <w:rFonts w:ascii="Arial" w:hAnsi="Arial" w:eastAsia="Times New Roman" w:cs="Arial"/>
          <w:color w:val="000000"/>
          <w:sz w:val="22"/>
          <w:szCs w:val="22"/>
          <w:lang w:val="en-IN" w:eastAsia="en-IN" w:bidi="gu-IN"/>
        </w:rPr>
        <w:fldChar w:fldCharType="separate"/>
      </w:r>
      <w:r>
        <w:rPr>
          <w:rStyle w:val="51"/>
          <w:rFonts w:ascii="Arial" w:hAnsi="Arial" w:eastAsia="Times New Roman" w:cs="Arial"/>
          <w:sz w:val="22"/>
          <w:szCs w:val="22"/>
          <w:lang w:val="en-IN" w:eastAsia="en-IN" w:bidi="gu-IN"/>
        </w:rPr>
        <w:t>https://jasminebmacdonald.com.au/prisma-flow-diagram-templates-for-literature-reviews/.</w:t>
      </w:r>
      <w:r>
        <w:rPr>
          <w:rFonts w:ascii="Arial" w:hAnsi="Arial" w:eastAsia="Times New Roman" w:cs="Arial"/>
          <w:color w:val="000000"/>
          <w:sz w:val="22"/>
          <w:szCs w:val="22"/>
          <w:lang w:val="en-IN" w:eastAsia="en-IN" w:bidi="gu-IN"/>
        </w:rPr>
        <w:fldChar w:fldCharType="end"/>
      </w:r>
    </w:p>
    <w:p w14:paraId="2BDEA443">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sz w:val="22"/>
          <w:szCs w:val="22"/>
        </w:rPr>
        <w:t>Macmillan Cancer Support</w:t>
      </w:r>
      <w:r>
        <w:rPr>
          <w:rFonts w:ascii="Arial" w:hAnsi="Arial" w:cs="Arial"/>
          <w:sz w:val="22"/>
          <w:szCs w:val="22"/>
          <w:lang w:val="en-IN"/>
        </w:rPr>
        <w:t>(</w:t>
      </w:r>
      <w:r>
        <w:rPr>
          <w:rFonts w:ascii="Arial" w:hAnsi="Arial" w:cs="Arial"/>
          <w:sz w:val="22"/>
          <w:szCs w:val="22"/>
        </w:rPr>
        <w:t>2023)</w:t>
      </w:r>
      <w:r>
        <w:rPr>
          <w:rFonts w:ascii="Arial" w:hAnsi="Arial" w:cs="Arial"/>
          <w:sz w:val="22"/>
          <w:szCs w:val="22"/>
          <w:lang w:val="en-IN"/>
        </w:rPr>
        <w:t>.</w:t>
      </w:r>
      <w:r>
        <w:rPr>
          <w:rFonts w:ascii="Arial" w:hAnsi="Arial" w:cs="Arial"/>
          <w:color w:val="000000"/>
          <w:sz w:val="22"/>
          <w:szCs w:val="22"/>
          <w:shd w:val="clear" w:color="auto" w:fill="FFFFFF"/>
        </w:rPr>
        <w:t xml:space="preserve">  </w:t>
      </w:r>
      <w:r>
        <w:rPr>
          <w:rFonts w:ascii="Arial" w:hAnsi="Arial" w:cs="Arial"/>
          <w:i/>
          <w:iCs/>
          <w:color w:val="000000"/>
          <w:sz w:val="22"/>
          <w:szCs w:val="22"/>
          <w:shd w:val="clear" w:color="auto" w:fill="FFFFFF"/>
        </w:rPr>
        <w:t>Late effects of breast cancer treatment - Macmillan Cancer Support</w:t>
      </w:r>
      <w:r>
        <w:rPr>
          <w:rFonts w:ascii="Arial" w:hAnsi="Arial" w:cs="Arial"/>
          <w:color w:val="000000"/>
          <w:sz w:val="22"/>
          <w:szCs w:val="22"/>
          <w:shd w:val="clear" w:color="auto" w:fill="FFFFFF"/>
        </w:rPr>
        <w:t xml:space="preserve">. [online]Available at: </w:t>
      </w:r>
      <w:r>
        <w:fldChar w:fldCharType="begin"/>
      </w:r>
      <w:r>
        <w:instrText xml:space="preserve"> HYPERLINK "https://www.macmillan.org.uk/cancer-information-and-support/impacts-of-cancer/late-effects-of-breast-cancer-treatment." </w:instrText>
      </w:r>
      <w:r>
        <w:fldChar w:fldCharType="separate"/>
      </w:r>
      <w:r>
        <w:rPr>
          <w:rStyle w:val="51"/>
          <w:rFonts w:ascii="Arial" w:hAnsi="Arial" w:cs="Arial"/>
          <w:sz w:val="22"/>
          <w:szCs w:val="22"/>
          <w:shd w:val="clear" w:color="auto" w:fill="FFFFFF"/>
        </w:rPr>
        <w:t>https://www.macmillan.org.uk/cancer-information-and-support/impacts-of-cancer/late-effects-of-breast-cancer-treatment.</w:t>
      </w:r>
      <w:r>
        <w:rPr>
          <w:rStyle w:val="51"/>
          <w:rFonts w:ascii="Arial" w:hAnsi="Arial" w:cs="Arial"/>
          <w:sz w:val="22"/>
          <w:szCs w:val="22"/>
          <w:shd w:val="clear" w:color="auto" w:fill="FFFFFF"/>
        </w:rPr>
        <w:fldChar w:fldCharType="end"/>
      </w:r>
    </w:p>
    <w:p w14:paraId="382E4EA6">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Maher, E.J. (2012). Managing the consequences of cancer treatment and the English National Cancer Survivorship Initiative.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Acta Oncologica</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52(2), pp.225–232. doi:https://doi.org/10.3109/0284186x.2012.746467</w:t>
      </w:r>
      <w:r>
        <w:rPr>
          <w:rFonts w:ascii="Arial" w:hAnsi="Arial" w:cs="Arial"/>
          <w:color w:val="0D0D0D" w:themeColor="text1" w:themeTint="F2"/>
          <w:sz w:val="22"/>
          <w:szCs w:val="22"/>
          <w14:textFill>
            <w14:solidFill>
              <w14:schemeClr w14:val="tx1">
                <w14:lumMod w14:val="95000"/>
                <w14:lumOff w14:val="5000"/>
              </w14:schemeClr>
            </w14:solidFill>
          </w14:textFill>
        </w:rPr>
        <w:t>.</w:t>
      </w:r>
    </w:p>
    <w:p w14:paraId="527608E5">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Marzorati, C., Masiero, M. and Pravettoni, G. (2024). ‘Perspective: An integrated vision of the quality of life in breast cancer survivorship trajectory’. </w:t>
      </w:r>
      <w:r>
        <w:rPr>
          <w:rFonts w:hint="default" w:ascii="Arial" w:hAnsi="Arial" w:cs="Arial"/>
          <w:i/>
          <w:iCs/>
          <w:color w:val="000000"/>
          <w:sz w:val="22"/>
          <w:szCs w:val="22"/>
          <w:shd w:val="clear" w:fill="FFFFFF"/>
        </w:rPr>
        <w:t>The Breast</w:t>
      </w:r>
      <w:r>
        <w:rPr>
          <w:rFonts w:hint="default" w:ascii="Arial" w:hAnsi="Arial" w:cs="Arial"/>
          <w:color w:val="000000"/>
          <w:sz w:val="22"/>
          <w:szCs w:val="22"/>
          <w:shd w:val="clear" w:fill="FFFFFF"/>
        </w:rPr>
        <w:t>, 77, p.103785. doi:https://doi.org/10.1016/j.breast.2024.103785.</w:t>
      </w:r>
    </w:p>
    <w:p w14:paraId="744DC7FE">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McWilliams, L., Ruane, H., Ulph, F., Woof, V.G., Harrison, F., D. Gareth Evans and French, D.P. (2023). What do women think about having received their breast cancer risk as part of a risk-stratified NHS Breast Screening Programme? A qualitative study. </w:t>
      </w:r>
      <w:r>
        <w:rPr>
          <w:rFonts w:ascii="Arial" w:hAnsi="Arial" w:cs="Arial"/>
          <w:i/>
          <w:iCs/>
          <w:color w:val="000000"/>
          <w:sz w:val="22"/>
          <w:szCs w:val="22"/>
          <w:shd w:val="clear" w:color="auto" w:fill="FFFFFF"/>
        </w:rPr>
        <w:t>British Journal of Cancer</w:t>
      </w:r>
      <w:r>
        <w:rPr>
          <w:rFonts w:ascii="Arial" w:hAnsi="Arial" w:cs="Arial"/>
          <w:color w:val="000000"/>
          <w:sz w:val="22"/>
          <w:szCs w:val="22"/>
          <w:shd w:val="clear" w:color="auto" w:fill="FFFFFF"/>
        </w:rPr>
        <w:t>, 129(2), pp.356–365. doi:https://doi.org/10.1038/s41416-023-02268-0.</w:t>
      </w:r>
    </w:p>
    <w:p w14:paraId="351B82F0">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Michalczyk, J., Dmochowska, J., Aftyka, A. and Milanowska, J. (2022). Post-Traumatic Growth in Women with Breast Cancer: Intensity and Predictors. </w:t>
      </w:r>
      <w:r>
        <w:rPr>
          <w:rFonts w:ascii="Arial" w:hAnsi="Arial" w:cs="Arial"/>
          <w:i/>
          <w:iCs/>
          <w:color w:val="000000"/>
          <w:sz w:val="22"/>
          <w:szCs w:val="22"/>
          <w:shd w:val="clear" w:color="auto" w:fill="FFFFFF"/>
        </w:rPr>
        <w:t>International Journal of Environmental Research and Public Health</w:t>
      </w:r>
      <w:r>
        <w:rPr>
          <w:rFonts w:ascii="Arial" w:hAnsi="Arial" w:cs="Arial"/>
          <w:color w:val="000000"/>
          <w:sz w:val="22"/>
          <w:szCs w:val="22"/>
          <w:shd w:val="clear" w:color="auto" w:fill="FFFFFF"/>
        </w:rPr>
        <w:t>, 19(11), p.6509. doi:https://doi.org/10.3390/ijerph19116509.</w:t>
      </w:r>
    </w:p>
    <w:p w14:paraId="137E592D">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Monroy-Iglesias, M.J., Russell, B., Martin, S., Fox, L., Moss, C., Bruno, F., Millwaters, J., Steward, L., Murtagh, C., Cargaleiro, C., Bater, D., Lavelle, G., Simpson, A., Onih, J., Haire, A., Reeder, C., Jones, G., Smith, S., Santaolalla, A. and Van Hemelrijck, M. (2024). Anxiety and depression in patients with non-site-specific cancer symptoms: data from a rapid diagnostic clinic. </w:t>
      </w:r>
      <w:r>
        <w:rPr>
          <w:rFonts w:ascii="Arial" w:hAnsi="Arial" w:cs="Arial"/>
          <w:i/>
          <w:iCs/>
          <w:color w:val="000000"/>
          <w:sz w:val="22"/>
          <w:szCs w:val="22"/>
          <w:shd w:val="clear" w:color="auto" w:fill="FFFFFF"/>
        </w:rPr>
        <w:t>Frontiers in Oncology</w:t>
      </w:r>
      <w:r>
        <w:rPr>
          <w:rFonts w:ascii="Arial" w:hAnsi="Arial" w:cs="Arial"/>
          <w:color w:val="000000"/>
          <w:sz w:val="22"/>
          <w:szCs w:val="22"/>
          <w:shd w:val="clear" w:color="auto" w:fill="FFFFFF"/>
        </w:rPr>
        <w:t>, 14. doi:https://doi.org/10.3389/fonc.2024.1358888.</w:t>
      </w:r>
    </w:p>
    <w:p w14:paraId="3006178F">
      <w:pPr>
        <w:pStyle w:val="85"/>
        <w:numPr>
          <w:ilvl w:val="0"/>
          <w:numId w:val="11"/>
        </w:numPr>
        <w:tabs>
          <w:tab w:val="clear" w:pos="425"/>
        </w:tabs>
        <w:spacing w:line="360" w:lineRule="auto"/>
        <w:jc w:val="both"/>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Mudiyanselage, S.P.K., Tsai, Y.-T., Liu, W.-C., Tsai, Y.-J. and Ko, N.-Y. (2025). Breast cancer and suicide: A comprehensive systematic review and meta-analysis of suicidal behaviours mortality and risk factors among women with breast cancer.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Journal of affective disorders</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[online] 376, pp.422–434. doi:https://doi.org/10.1016/j.jad.2025.02.027.</w:t>
      </w:r>
    </w:p>
    <w:p w14:paraId="0F7C8341">
      <w:pPr>
        <w:pStyle w:val="85"/>
        <w:numPr>
          <w:ilvl w:val="0"/>
          <w:numId w:val="11"/>
        </w:numPr>
        <w:tabs>
          <w:tab w:val="clear" w:pos="425"/>
        </w:tabs>
        <w:spacing w:beforeAutospacing="0" w:afterAutospacing="0"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00000"/>
          <w:sz w:val="22"/>
          <w:szCs w:val="22"/>
          <w:shd w:val="clear" w:color="auto" w:fill="FFFFFF"/>
        </w:rPr>
        <w:t xml:space="preserve">NHS Confederation (2023). </w:t>
      </w:r>
      <w:r>
        <w:rPr>
          <w:rFonts w:ascii="Arial" w:hAnsi="Arial" w:cs="Arial"/>
          <w:i/>
          <w:iCs/>
          <w:color w:val="000000"/>
          <w:sz w:val="22"/>
          <w:szCs w:val="22"/>
          <w:shd w:val="clear" w:color="auto" w:fill="FFFFFF"/>
        </w:rPr>
        <w:t>Maximising the potential of digital in mental health | NHS Confederation</w:t>
      </w:r>
      <w:r>
        <w:rPr>
          <w:rFonts w:ascii="Arial" w:hAnsi="Arial" w:cs="Arial"/>
          <w:color w:val="000000"/>
          <w:sz w:val="22"/>
          <w:szCs w:val="22"/>
          <w:shd w:val="clear" w:color="auto" w:fill="FFFFFF"/>
        </w:rPr>
        <w:t xml:space="preserve">. [online] www.nhsconfed.org. Available at: </w:t>
      </w:r>
      <w:r>
        <w:fldChar w:fldCharType="begin"/>
      </w:r>
      <w:r>
        <w:instrText xml:space="preserve"> HYPERLINK "https://www.nhsconfed.org/publications/maximising-potential-digital-mental-health." </w:instrText>
      </w:r>
      <w:r>
        <w:fldChar w:fldCharType="separate"/>
      </w:r>
      <w:r>
        <w:rPr>
          <w:rStyle w:val="51"/>
          <w:rFonts w:ascii="Arial" w:hAnsi="Arial" w:cs="Arial"/>
          <w:sz w:val="22"/>
          <w:szCs w:val="22"/>
          <w:shd w:val="clear" w:color="auto" w:fill="FFFFFF"/>
        </w:rPr>
        <w:t>https://www.nhsconfed.org/publications/maximising-potential-digital-mental-health.</w:t>
      </w:r>
      <w:r>
        <w:rPr>
          <w:rStyle w:val="51"/>
          <w:rFonts w:ascii="Arial" w:hAnsi="Arial" w:cs="Arial"/>
          <w:sz w:val="22"/>
          <w:szCs w:val="22"/>
          <w:shd w:val="clear" w:color="auto" w:fill="FFFFFF"/>
        </w:rPr>
        <w:fldChar w:fldCharType="end"/>
      </w:r>
    </w:p>
    <w:p w14:paraId="32BF8A08">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sz w:val="22"/>
          <w:szCs w:val="22"/>
        </w:rPr>
        <w:t>NHS England (2024) ‘</w:t>
      </w:r>
      <w:r>
        <w:rPr>
          <w:rFonts w:ascii="Arial" w:hAnsi="Arial" w:cs="Arial"/>
          <w:i/>
          <w:iCs/>
          <w:sz w:val="22"/>
          <w:szCs w:val="22"/>
        </w:rPr>
        <w:t>Children and young people currency development project</w:t>
      </w:r>
      <w:r>
        <w:rPr>
          <w:rFonts w:ascii="Arial" w:hAnsi="Arial" w:cs="Arial"/>
          <w:sz w:val="22"/>
          <w:szCs w:val="22"/>
        </w:rPr>
        <w:t xml:space="preserve">.’ Available at: </w:t>
      </w:r>
      <w:r>
        <w:fldChar w:fldCharType="begin"/>
      </w:r>
      <w:r>
        <w:instrText xml:space="preserve"> HYPERLINK "https://www.england.nhs.uk/ournhspeople/support/mental-health/" \t "https://www.perplexity.ai/search/_blank" </w:instrText>
      </w:r>
      <w:r>
        <w:fldChar w:fldCharType="separate"/>
      </w:r>
      <w:r>
        <w:rPr>
          <w:rStyle w:val="51"/>
          <w:rFonts w:ascii="Arial" w:hAnsi="Arial" w:cs="Arial"/>
          <w:sz w:val="22"/>
          <w:szCs w:val="22"/>
        </w:rPr>
        <w:t>https://www.england.nhs.uk/ournhspeople/support/mental-health/</w:t>
      </w:r>
      <w:r>
        <w:rPr>
          <w:rStyle w:val="51"/>
          <w:rFonts w:ascii="Arial" w:hAnsi="Arial" w:cs="Arial"/>
          <w:sz w:val="22"/>
          <w:szCs w:val="22"/>
        </w:rPr>
        <w:fldChar w:fldCharType="end"/>
      </w:r>
      <w:r>
        <w:rPr>
          <w:rFonts w:ascii="Arial" w:hAnsi="Arial" w:cs="Arial"/>
          <w:sz w:val="22"/>
          <w:szCs w:val="22"/>
        </w:rPr>
        <w:t xml:space="preserve"> (Accessed: 1 September 2025).</w:t>
      </w:r>
    </w:p>
    <w:p w14:paraId="08EFA41E">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NICE, 2018. </w:t>
      </w:r>
      <w:r>
        <w:rPr>
          <w:rStyle w:val="31"/>
          <w:rFonts w:ascii="Arial" w:hAnsi="Arial" w:cs="Arial"/>
          <w:color w:val="0D0D0D" w:themeColor="text1" w:themeTint="F2"/>
          <w:sz w:val="22"/>
          <w:szCs w:val="22"/>
          <w14:textFill>
            <w14:solidFill>
              <w14:schemeClr w14:val="tx1">
                <w14:lumMod w14:val="95000"/>
                <w14:lumOff w14:val="5000"/>
              </w14:schemeClr>
            </w14:solidFill>
          </w14:textFill>
        </w:rPr>
        <w:t>Improving supportive and palliative care for adults with cancer</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[online] Available at: </w:t>
      </w:r>
      <w:r>
        <w:fldChar w:fldCharType="begin"/>
      </w:r>
      <w:r>
        <w:instrText xml:space="preserve"> HYPERLINK "https://www.nice.org.uk" \t "_new" </w:instrText>
      </w:r>
      <w:r>
        <w:fldChar w:fldCharType="separate"/>
      </w:r>
      <w:r>
        <w:rPr>
          <w:rStyle w:val="51"/>
          <w:rFonts w:ascii="Arial" w:hAnsi="Arial" w:cs="Arial"/>
          <w:color w:val="0D0D0D" w:themeColor="text1" w:themeTint="F2"/>
          <w:sz w:val="22"/>
          <w:szCs w:val="22"/>
          <w14:textFill>
            <w14:solidFill>
              <w14:schemeClr w14:val="tx1">
                <w14:lumMod w14:val="95000"/>
                <w14:lumOff w14:val="5000"/>
              </w14:schemeClr>
            </w14:solidFill>
          </w14:textFill>
        </w:rPr>
        <w:t>https://www.nice.org.uk</w:t>
      </w:r>
      <w:r>
        <w:rPr>
          <w:rStyle w:val="51"/>
          <w:rFonts w:ascii="Arial" w:hAnsi="Arial" w:cs="Arial"/>
          <w:color w:val="0D0D0D" w:themeColor="text1" w:themeTint="F2"/>
          <w:sz w:val="22"/>
          <w:szCs w:val="22"/>
          <w14:textFill>
            <w14:solidFill>
              <w14:schemeClr w14:val="tx1">
                <w14:lumMod w14:val="95000"/>
                <w14:lumOff w14:val="5000"/>
              </w14:schemeClr>
            </w14:solidFill>
          </w14:textFill>
        </w:rPr>
        <w:fldChar w:fldCharType="end"/>
      </w:r>
      <w:r>
        <w:rPr>
          <w:rFonts w:ascii="Arial" w:hAnsi="Arial" w:cs="Arial"/>
          <w:color w:val="0D0D0D" w:themeColor="text1" w:themeTint="F2"/>
          <w:sz w:val="22"/>
          <w:szCs w:val="22"/>
          <w14:textFill>
            <w14:solidFill>
              <w14:schemeClr w14:val="tx1">
                <w14:lumMod w14:val="95000"/>
                <w14:lumOff w14:val="5000"/>
              </w14:schemeClr>
            </w14:solidFill>
          </w14:textFill>
        </w:rPr>
        <w:t xml:space="preserve"> [Accessed 24 Jun. 2025].</w:t>
      </w:r>
    </w:p>
    <w:p w14:paraId="256BB96F">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NICE, 2021. </w:t>
      </w:r>
      <w:r>
        <w:rPr>
          <w:rStyle w:val="31"/>
          <w:rFonts w:ascii="Arial" w:hAnsi="Arial" w:cs="Arial"/>
          <w:color w:val="0D0D0D" w:themeColor="text1" w:themeTint="F2"/>
          <w:sz w:val="22"/>
          <w:szCs w:val="22"/>
          <w14:textFill>
            <w14:solidFill>
              <w14:schemeClr w14:val="tx1">
                <w14:lumMod w14:val="95000"/>
                <w14:lumOff w14:val="5000"/>
              </w14:schemeClr>
            </w14:solidFill>
          </w14:textFill>
        </w:rPr>
        <w:t>Mental wellbeing and cancer care</w:t>
      </w:r>
      <w:r>
        <w:rPr>
          <w:rFonts w:ascii="Arial" w:hAnsi="Arial" w:cs="Arial"/>
          <w:color w:val="0D0D0D" w:themeColor="text1" w:themeTint="F2"/>
          <w:sz w:val="22"/>
          <w:szCs w:val="22"/>
          <w14:textFill>
            <w14:solidFill>
              <w14:schemeClr w14:val="tx1">
                <w14:lumMod w14:val="95000"/>
                <w14:lumOff w14:val="5000"/>
              </w14:schemeClr>
            </w14:solidFill>
          </w14:textFill>
        </w:rPr>
        <w:t>. [online] Available at: https://www.nice.org.uk/guidance/ng212 [Accessed 24 Jun. 2025].</w:t>
      </w:r>
    </w:p>
    <w:p w14:paraId="18830E1C">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ONS, 2022. </w:t>
      </w:r>
      <w:r>
        <w:rPr>
          <w:rStyle w:val="31"/>
          <w:rFonts w:ascii="Arial" w:hAnsi="Arial" w:cs="Arial"/>
          <w:color w:val="0D0D0D" w:themeColor="text1" w:themeTint="F2"/>
          <w:sz w:val="22"/>
          <w:szCs w:val="22"/>
          <w14:textFill>
            <w14:solidFill>
              <w14:schemeClr w14:val="tx1">
                <w14:lumMod w14:val="95000"/>
                <w14:lumOff w14:val="5000"/>
              </w14:schemeClr>
            </w14:solidFill>
          </w14:textFill>
        </w:rPr>
        <w:t>Cancer registration statistics, England: 2020</w:t>
      </w:r>
      <w:r>
        <w:rPr>
          <w:rFonts w:ascii="Arial" w:hAnsi="Arial" w:cs="Arial"/>
          <w:color w:val="0D0D0D" w:themeColor="text1" w:themeTint="F2"/>
          <w:sz w:val="22"/>
          <w:szCs w:val="22"/>
          <w14:textFill>
            <w14:solidFill>
              <w14:schemeClr w14:val="tx1">
                <w14:lumMod w14:val="95000"/>
                <w14:lumOff w14:val="5000"/>
              </w14:schemeClr>
            </w14:solidFill>
          </w14:textFill>
        </w:rPr>
        <w:t xml:space="preserve">. [online] Available at: </w:t>
      </w:r>
      <w:r>
        <w:fldChar w:fldCharType="begin"/>
      </w:r>
      <w:r>
        <w:instrText xml:space="preserve"> HYPERLINK "https://www.ons.gov.uk" \t "_new" </w:instrText>
      </w:r>
      <w:r>
        <w:fldChar w:fldCharType="separate"/>
      </w:r>
      <w:r>
        <w:rPr>
          <w:rStyle w:val="51"/>
          <w:rFonts w:ascii="Arial" w:hAnsi="Arial" w:cs="Arial"/>
          <w:color w:val="0D0D0D" w:themeColor="text1" w:themeTint="F2"/>
          <w:sz w:val="22"/>
          <w:szCs w:val="22"/>
          <w14:textFill>
            <w14:solidFill>
              <w14:schemeClr w14:val="tx1">
                <w14:lumMod w14:val="95000"/>
                <w14:lumOff w14:val="5000"/>
              </w14:schemeClr>
            </w14:solidFill>
          </w14:textFill>
        </w:rPr>
        <w:t>https://www.ons.gov.uk</w:t>
      </w:r>
      <w:r>
        <w:rPr>
          <w:rStyle w:val="51"/>
          <w:rFonts w:ascii="Arial" w:hAnsi="Arial" w:cs="Arial"/>
          <w:color w:val="0D0D0D" w:themeColor="text1" w:themeTint="F2"/>
          <w:sz w:val="22"/>
          <w:szCs w:val="22"/>
          <w14:textFill>
            <w14:solidFill>
              <w14:schemeClr w14:val="tx1">
                <w14:lumMod w14:val="95000"/>
                <w14:lumOff w14:val="5000"/>
              </w14:schemeClr>
            </w14:solidFill>
          </w14:textFill>
        </w:rPr>
        <w:fldChar w:fldCharType="end"/>
      </w:r>
      <w:r>
        <w:rPr>
          <w:rFonts w:ascii="Arial" w:hAnsi="Arial" w:cs="Arial"/>
          <w:color w:val="0D0D0D" w:themeColor="text1" w:themeTint="F2"/>
          <w:sz w:val="22"/>
          <w:szCs w:val="22"/>
          <w14:textFill>
            <w14:solidFill>
              <w14:schemeClr w14:val="tx1">
                <w14:lumMod w14:val="95000"/>
                <w14:lumOff w14:val="5000"/>
              </w14:schemeClr>
            </w14:solidFill>
          </w14:textFill>
        </w:rPr>
        <w:t xml:space="preserve"> [Accessed 24 Jun. 2025].</w:t>
      </w:r>
    </w:p>
    <w:p w14:paraId="578FF6BE">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Page, M.J., Moher, D., Bossuyt, P.M., Boutron, I., Hoffmann, T.C., Mulrow, C.D., Shamseer, L., Tetzlaff, J.M., Akl, E.A., Brennan, S.E., Chou, R., Glanville, J., Grimshaw, J.M., Hróbjartsson, A., Lalu, M.M., Li, T., Loder, E.W., Mayo-Wilson, E., McDonald, S. and McGuinness, L.A. (2021). PRISMA 2020 Explanation and elaboration: Updated Guidance and Exemplars for Reporting Systematic Reviews. </w:t>
      </w:r>
      <w:r>
        <w:rPr>
          <w:rFonts w:ascii="Arial" w:hAnsi="Arial" w:cs="Arial"/>
          <w:i/>
          <w:iCs/>
          <w:color w:val="000000"/>
          <w:sz w:val="22"/>
          <w:szCs w:val="22"/>
          <w:shd w:val="clear" w:color="auto" w:fill="FFFFFF"/>
        </w:rPr>
        <w:t>British Medical Journal</w:t>
      </w:r>
      <w:r>
        <w:rPr>
          <w:rFonts w:ascii="Arial" w:hAnsi="Arial" w:cs="Arial"/>
          <w:color w:val="000000"/>
          <w:sz w:val="22"/>
          <w:szCs w:val="22"/>
          <w:shd w:val="clear" w:color="auto" w:fill="FFFFFF"/>
        </w:rPr>
        <w:t>, 372(160). doi:https://doi.org/10.1136/bmj.n160.</w:t>
      </w:r>
    </w:p>
    <w:p w14:paraId="5D05EB68">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Palesh, O., Braun, S.E., Truong, T., Hong, S., Mitsuhashi, M., Nyagaka, R., Lee, S., Gandhi, A., De La Torre Schutz, A. and Kesler, S.R. (2025). Natural trajectory subclasses of cognitive impairment in breast cancer patients experiencing insomnia. </w:t>
      </w:r>
      <w:r>
        <w:rPr>
          <w:rFonts w:ascii="Arial" w:hAnsi="Arial" w:cs="Arial"/>
          <w:i/>
          <w:iCs/>
          <w:color w:val="000000"/>
          <w:sz w:val="22"/>
          <w:szCs w:val="22"/>
          <w:shd w:val="clear" w:color="auto" w:fill="FFFFFF"/>
        </w:rPr>
        <w:t>Cancer</w:t>
      </w:r>
      <w:r>
        <w:rPr>
          <w:rFonts w:ascii="Arial" w:hAnsi="Arial" w:cs="Arial"/>
          <w:color w:val="000000"/>
          <w:sz w:val="22"/>
          <w:szCs w:val="22"/>
          <w:shd w:val="clear" w:color="auto" w:fill="FFFFFF"/>
        </w:rPr>
        <w:t>, [online] 131(8). doi:https://doi.org/10.1002/cncr.35816.</w:t>
      </w:r>
    </w:p>
    <w:p w14:paraId="70B07F42">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‌Paltrinieri, S., Cavuto, S., Contri, A., Bassi, M.C., Bravi, F., Schiavi, M., Fugazzaro, S., Guberti, M. and Costi, S. (2024). Needs of breast cancer survivors: a systematic review of quantitative data. </w:t>
      </w:r>
      <w:r>
        <w:rPr>
          <w:rFonts w:ascii="Arial" w:hAnsi="Arial" w:cs="Arial"/>
          <w:i/>
          <w:iCs/>
          <w:color w:val="000000"/>
          <w:sz w:val="22"/>
          <w:szCs w:val="22"/>
          <w:shd w:val="clear" w:color="auto" w:fill="FFFFFF"/>
        </w:rPr>
        <w:t>Critical Reviews in Oncology/Hematology</w:t>
      </w:r>
      <w:r>
        <w:rPr>
          <w:rFonts w:ascii="Arial" w:hAnsi="Arial" w:cs="Arial"/>
          <w:color w:val="000000"/>
          <w:sz w:val="22"/>
          <w:szCs w:val="22"/>
          <w:shd w:val="clear" w:color="auto" w:fill="FFFFFF"/>
        </w:rPr>
        <w:t xml:space="preserve">, 201, p.104432. doi:https://doi.org/10.1016/j.critrevonc.2024.104432.‌Hughes, L., Taylor, R.M., Beckett, A.E., Lindner, O.C., Martin, A., McCulloch, J., Morgan, S., Soanes, L., Uddin, R. and Stark, D.P. (2024). The Emotional Impact of a Cancer Diagnosis: A Qualitative Study of Adolescent and Young Adult Experience. </w:t>
      </w:r>
      <w:r>
        <w:rPr>
          <w:rFonts w:ascii="Arial" w:hAnsi="Arial" w:cs="Arial"/>
          <w:i/>
          <w:iCs/>
          <w:color w:val="000000"/>
          <w:sz w:val="22"/>
          <w:szCs w:val="22"/>
          <w:shd w:val="clear" w:color="auto" w:fill="FFFFFF"/>
        </w:rPr>
        <w:t>Cancers</w:t>
      </w:r>
      <w:r>
        <w:rPr>
          <w:rFonts w:ascii="Arial" w:hAnsi="Arial" w:cs="Arial"/>
          <w:color w:val="000000"/>
          <w:sz w:val="22"/>
          <w:szCs w:val="22"/>
          <w:shd w:val="clear" w:color="auto" w:fill="FFFFFF"/>
        </w:rPr>
        <w:t>, [online] 16(7), pp.1332–1332. doi:https://doi.org/10.3390/cancers16071332.</w:t>
      </w:r>
    </w:p>
    <w:p w14:paraId="3C9C8B40">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Parliament.uk. (2021). </w:t>
      </w:r>
      <w:r>
        <w:rPr>
          <w:rFonts w:ascii="Arial" w:hAnsi="Arial" w:cs="Arial"/>
          <w:i/>
          <w:iCs/>
          <w:color w:val="000000"/>
          <w:sz w:val="22"/>
          <w:szCs w:val="22"/>
          <w:shd w:val="clear" w:color="auto" w:fill="FFFFFF"/>
        </w:rPr>
        <w:t>Expert Panel: evaluation of the Government’s commitments in the area of cancer services in England - Health and Social Care Committee</w:t>
      </w:r>
      <w:r>
        <w:rPr>
          <w:rFonts w:ascii="Arial" w:hAnsi="Arial" w:cs="Arial"/>
          <w:color w:val="000000"/>
          <w:sz w:val="22"/>
          <w:szCs w:val="22"/>
          <w:shd w:val="clear" w:color="auto" w:fill="FFFFFF"/>
        </w:rPr>
        <w:t>. [online] Available at: https://publications.parliament.uk/pa/cm5802/cmselect/cmhealth/1025/report.html?utm_source=chatgpt.com.</w:t>
      </w:r>
    </w:p>
    <w:p w14:paraId="526B345F">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PRISMA (2020). </w:t>
      </w:r>
      <w:r>
        <w:rPr>
          <w:rFonts w:ascii="Arial" w:hAnsi="Arial" w:cs="Arial"/>
          <w:i/>
          <w:iCs/>
          <w:color w:val="000000"/>
          <w:sz w:val="22"/>
          <w:szCs w:val="22"/>
          <w:shd w:val="clear" w:color="auto" w:fill="FFFFFF"/>
        </w:rPr>
        <w:t>PRISMA 2020</w:t>
      </w:r>
      <w:r>
        <w:rPr>
          <w:rFonts w:ascii="Arial" w:hAnsi="Arial" w:cs="Arial"/>
          <w:color w:val="000000"/>
          <w:sz w:val="22"/>
          <w:szCs w:val="22"/>
          <w:shd w:val="clear" w:color="auto" w:fill="FFFFFF"/>
        </w:rPr>
        <w:t xml:space="preserve">. [online] PRISMA statement. Available at: </w:t>
      </w:r>
      <w:r>
        <w:fldChar w:fldCharType="begin"/>
      </w:r>
      <w:r>
        <w:instrText xml:space="preserve"> HYPERLINK "https://www.prisma-statement.org/prisma-2020." </w:instrText>
      </w:r>
      <w:r>
        <w:fldChar w:fldCharType="separate"/>
      </w:r>
      <w:r>
        <w:rPr>
          <w:rStyle w:val="51"/>
          <w:rFonts w:ascii="Arial" w:hAnsi="Arial" w:cs="Arial"/>
          <w:sz w:val="22"/>
          <w:szCs w:val="22"/>
          <w:shd w:val="clear" w:color="auto" w:fill="FFFFFF"/>
        </w:rPr>
        <w:t>https://www.prisma-statement.org/prisma-2020.</w:t>
      </w:r>
      <w:r>
        <w:rPr>
          <w:rStyle w:val="51"/>
          <w:rFonts w:ascii="Arial" w:hAnsi="Arial" w:cs="Arial"/>
          <w:sz w:val="22"/>
          <w:szCs w:val="22"/>
          <w:shd w:val="clear" w:color="auto" w:fill="FFFFFF"/>
        </w:rPr>
        <w:fldChar w:fldCharType="end"/>
      </w:r>
    </w:p>
    <w:p w14:paraId="7F4ACF72">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lang w:val="en-IN"/>
        </w:rPr>
        <w:t>Public Health England</w:t>
      </w:r>
      <w:r>
        <w:rPr>
          <w:rFonts w:ascii="Arial" w:hAnsi="Arial" w:cs="Arial"/>
          <w:color w:val="000000"/>
          <w:sz w:val="22"/>
          <w:szCs w:val="22"/>
          <w:shd w:val="clear" w:color="auto" w:fill="FFFFFF"/>
        </w:rPr>
        <w:t xml:space="preserve"> (2022). </w:t>
      </w:r>
      <w:r>
        <w:rPr>
          <w:rFonts w:ascii="Arial" w:hAnsi="Arial" w:cs="Arial"/>
          <w:i/>
          <w:iCs/>
          <w:color w:val="000000"/>
          <w:sz w:val="22"/>
          <w:szCs w:val="22"/>
          <w:shd w:val="clear" w:color="auto" w:fill="FFFFFF"/>
        </w:rPr>
        <w:t>Health disparities and health inequalities: Applying all our health</w:t>
      </w:r>
      <w:r>
        <w:rPr>
          <w:rFonts w:ascii="Arial" w:hAnsi="Arial" w:cs="Arial"/>
          <w:color w:val="000000"/>
          <w:sz w:val="22"/>
          <w:szCs w:val="22"/>
          <w:shd w:val="clear" w:color="auto" w:fill="FFFFFF"/>
        </w:rPr>
        <w:t xml:space="preserve">. [online] Gov.uk. Available at: </w:t>
      </w:r>
      <w:r>
        <w:fldChar w:fldCharType="begin"/>
      </w:r>
      <w:r>
        <w:instrText xml:space="preserve"> HYPERLINK "https://www.gov.uk/government/publications/health-disparities-and-health-inequalities-applying-all-our-health/health-disparities-and-health-inequalities-applying-all-our-health." </w:instrText>
      </w:r>
      <w:r>
        <w:fldChar w:fldCharType="separate"/>
      </w:r>
      <w:r>
        <w:rPr>
          <w:rStyle w:val="51"/>
          <w:rFonts w:ascii="Arial" w:hAnsi="Arial" w:cs="Arial"/>
          <w:sz w:val="22"/>
          <w:szCs w:val="22"/>
          <w:shd w:val="clear" w:color="auto" w:fill="FFFFFF"/>
        </w:rPr>
        <w:t>https://www.gov.uk/government/publications/health-disparities-and-health-inequalities-applying-all-our-health/health-disparities-and-health-inequalities-applying-all-our-health.</w:t>
      </w:r>
      <w:r>
        <w:rPr>
          <w:rStyle w:val="51"/>
          <w:rFonts w:ascii="Arial" w:hAnsi="Arial" w:cs="Arial"/>
          <w:sz w:val="22"/>
          <w:szCs w:val="22"/>
          <w:shd w:val="clear" w:color="auto" w:fill="FFFFFF"/>
        </w:rPr>
        <w:fldChar w:fldCharType="end"/>
      </w:r>
    </w:p>
    <w:p w14:paraId="75371B4F">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Public Health England, 2021. </w:t>
      </w:r>
      <w:r>
        <w:rPr>
          <w:rStyle w:val="31"/>
          <w:rFonts w:ascii="Arial" w:hAnsi="Arial" w:cs="Arial"/>
          <w:color w:val="0D0D0D" w:themeColor="text1" w:themeTint="F2"/>
          <w:sz w:val="22"/>
          <w:szCs w:val="22"/>
          <w14:textFill>
            <w14:solidFill>
              <w14:schemeClr w14:val="tx1">
                <w14:lumMod w14:val="95000"/>
                <w14:lumOff w14:val="5000"/>
              </w14:schemeClr>
            </w14:solidFill>
          </w14:textFill>
        </w:rPr>
        <w:t>Cancer registration statistics</w:t>
      </w:r>
      <w:r>
        <w:rPr>
          <w:rFonts w:ascii="Arial" w:hAnsi="Arial" w:cs="Arial"/>
          <w:color w:val="0D0D0D" w:themeColor="text1" w:themeTint="F2"/>
          <w:sz w:val="22"/>
          <w:szCs w:val="22"/>
          <w14:textFill>
            <w14:solidFill>
              <w14:schemeClr w14:val="tx1">
                <w14:lumMod w14:val="95000"/>
                <w14:lumOff w14:val="5000"/>
              </w14:schemeClr>
            </w14:solidFill>
          </w14:textFill>
        </w:rPr>
        <w:t>. [online] Available at: https://www.gov.uk/government/statistics/cancer-registration-statistics-england [Accessed 24 Jun. 2025].</w:t>
      </w:r>
    </w:p>
    <w:p w14:paraId="00E49C12">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R., K., L., S., P., B., S., G. and R., L.-P. (2023). Psychosocial experiences of breast cancer survivors: a meta-review. </w:t>
      </w:r>
      <w:r>
        <w:rPr>
          <w:rFonts w:hint="default" w:ascii="Arial" w:hAnsi="Arial" w:cs="Arial"/>
          <w:i/>
          <w:iCs/>
          <w:color w:val="000000"/>
          <w:sz w:val="22"/>
          <w:szCs w:val="22"/>
          <w:shd w:val="clear" w:fill="FFFFFF"/>
        </w:rPr>
        <w:t>Journal of Cancer Survivorship</w:t>
      </w:r>
      <w:r>
        <w:rPr>
          <w:rFonts w:hint="default" w:ascii="Arial" w:hAnsi="Arial" w:cs="Arial"/>
          <w:color w:val="000000"/>
          <w:sz w:val="22"/>
          <w:szCs w:val="22"/>
          <w:shd w:val="clear" w:fill="FFFFFF"/>
        </w:rPr>
        <w:t>. doi:https://doi.org/10.1007/s11764-023-01336-x.</w:t>
      </w:r>
    </w:p>
    <w:p w14:paraId="4D1CEC06">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Rees, S. (2015). An exploration of the experiences and perceptions of young women living with a history of breast cancer in the UK - WRAP: Warwick Research Archive Portal. </w:t>
      </w:r>
      <w:r>
        <w:rPr>
          <w:rFonts w:ascii="Arial" w:hAnsi="Arial" w:cs="Arial"/>
          <w:i/>
          <w:iCs/>
          <w:color w:val="000000"/>
          <w:sz w:val="22"/>
          <w:szCs w:val="22"/>
          <w:shd w:val="clear" w:color="auto" w:fill="FFFFFF"/>
        </w:rPr>
        <w:t>Warwick.ac.uk</w:t>
      </w:r>
      <w:r>
        <w:rPr>
          <w:rFonts w:ascii="Arial" w:hAnsi="Arial" w:cs="Arial"/>
          <w:color w:val="000000"/>
          <w:sz w:val="22"/>
          <w:szCs w:val="22"/>
          <w:shd w:val="clear" w:color="auto" w:fill="FFFFFF"/>
        </w:rPr>
        <w:t>. [online] doi:https://wrap.warwick.ac.uk/id/eprint/77524/1/WRAP_THESIS_Rees_2015.pdf.</w:t>
      </w:r>
    </w:p>
    <w:p w14:paraId="0F31C35D">
      <w:pPr>
        <w:pStyle w:val="85"/>
        <w:numPr>
          <w:ilvl w:val="0"/>
          <w:numId w:val="11"/>
        </w:numPr>
        <w:tabs>
          <w:tab w:val="clear" w:pos="425"/>
        </w:tabs>
        <w:spacing w:line="360" w:lineRule="auto"/>
        <w:jc w:val="both"/>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Rehse, B. and Pukrop, R. (2003). Effects of psychosocial interventions on quality of life in adult cancer patients: meta analysis of 37 published controlled outcome studies.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Patient Education and Counseling</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[online] 50(2), pp.179–186. doi:https://doi.org/10.1016/s0738-3991(02)00149-0.</w:t>
      </w:r>
    </w:p>
    <w:p w14:paraId="071B27EC">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Retzer, A., Baddeley, E., Sivell, S., Scott, H., Nelson, A., Bulbeck, H., Seddon, K., Grant, R., Adams, R., Watts, C., Aiyegbusi, O.L., Kearns, P., Rivera, S.C., Dirven, L., Calvert, M. and Byrne, A. (2023). Development of a core outcome set for use in adult primary glioma phase III interventional trials: A mixed methods study. </w:t>
      </w:r>
      <w:r>
        <w:rPr>
          <w:rFonts w:ascii="Arial" w:hAnsi="Arial" w:cs="Arial"/>
          <w:i/>
          <w:iCs/>
          <w:color w:val="000000"/>
          <w:sz w:val="22"/>
          <w:szCs w:val="22"/>
          <w:shd w:val="clear" w:color="auto" w:fill="FFFFFF"/>
        </w:rPr>
        <w:t>Neuro-Oncology Advances</w:t>
      </w:r>
      <w:r>
        <w:rPr>
          <w:rFonts w:ascii="Arial" w:hAnsi="Arial" w:cs="Arial"/>
          <w:color w:val="000000"/>
          <w:sz w:val="22"/>
          <w:szCs w:val="22"/>
          <w:shd w:val="clear" w:color="auto" w:fill="FFFFFF"/>
        </w:rPr>
        <w:t>, 5(1). doi:https://doi.org/10.1093/noajnl/vdad096.</w:t>
      </w:r>
    </w:p>
    <w:p w14:paraId="660F319D">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Ring, A., Battisti, N.M.L., Reed, M.W.R., Herbert, E., Morgan, J.L., Bradburn, M., Walters, S.J., Collins, K.A., Ward, S.E., Holmes, G.R., Burton, M., Lifford, K., Edwards, A., Robinson, T.G., Martin, C., Chater, T., Pemberton, K.J., Brennan, A., Cheung, K.L. and Todd, A. (2021). Bridging The Age Gap: observational cohort study of effects of chemotherapy and trastuzumab on recurrence, survival and quality of life in older women with early breast cancer. </w:t>
      </w:r>
      <w:r>
        <w:rPr>
          <w:rFonts w:ascii="Arial" w:hAnsi="Arial" w:cs="Arial"/>
          <w:i/>
          <w:iCs/>
          <w:color w:val="000000"/>
          <w:sz w:val="22"/>
          <w:szCs w:val="22"/>
          <w:shd w:val="clear" w:color="auto" w:fill="FFFFFF"/>
        </w:rPr>
        <w:t>British Journal of Cancer</w:t>
      </w:r>
      <w:r>
        <w:rPr>
          <w:rFonts w:ascii="Arial" w:hAnsi="Arial" w:cs="Arial"/>
          <w:color w:val="000000"/>
          <w:sz w:val="22"/>
          <w:szCs w:val="22"/>
          <w:shd w:val="clear" w:color="auto" w:fill="FFFFFF"/>
        </w:rPr>
        <w:t>. doi:https://doi.org/10.1038/s41416-021-01388-9.</w:t>
      </w:r>
    </w:p>
    <w:p w14:paraId="41A5C7AF">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Ruiz-Rodríguez, I., Hombrados-Mendieta, I., Melguizo-Garín, A. and Martos-Méndez, M.J. (2022). The Importance of Social Support, Optimism and Resilience on the Quality of Life of Cancer Patients. </w:t>
      </w:r>
      <w:r>
        <w:rPr>
          <w:rFonts w:ascii="Arial" w:hAnsi="Arial" w:cs="Arial"/>
          <w:i/>
          <w:iCs/>
          <w:color w:val="000000"/>
          <w:sz w:val="22"/>
          <w:szCs w:val="22"/>
          <w:shd w:val="clear" w:color="auto" w:fill="FFFFFF"/>
        </w:rPr>
        <w:t>Frontiers in Psychology</w:t>
      </w:r>
      <w:r>
        <w:rPr>
          <w:rFonts w:ascii="Arial" w:hAnsi="Arial" w:cs="Arial"/>
          <w:color w:val="000000"/>
          <w:sz w:val="22"/>
          <w:szCs w:val="22"/>
          <w:shd w:val="clear" w:color="auto" w:fill="FFFFFF"/>
        </w:rPr>
        <w:t>, [online] 13. doi:https://doi.org/10.3389/fpsyg.2022.833176.</w:t>
      </w:r>
    </w:p>
    <w:p w14:paraId="135FB496">
      <w:pPr>
        <w:pStyle w:val="85"/>
        <w:numPr>
          <w:ilvl w:val="0"/>
          <w:numId w:val="11"/>
        </w:numPr>
        <w:tabs>
          <w:tab w:val="clear" w:pos="425"/>
        </w:tabs>
        <w:spacing w:line="360" w:lineRule="auto"/>
        <w:jc w:val="both"/>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Scott, E.C.S. and Hoskin, P.J. (2024). Health inequalities in cancer care: a literature review of pathways to diagnosis in the United Kingdom.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EClinicalMedicine</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[online] 76(102864), pp.102864–102864. doi:https://doi.org/10.1016/j.eclinm.2024.102864.</w:t>
      </w:r>
    </w:p>
    <w:p w14:paraId="19A88603">
      <w:pPr>
        <w:pStyle w:val="85"/>
        <w:numPr>
          <w:ilvl w:val="0"/>
          <w:numId w:val="11"/>
        </w:numPr>
        <w:tabs>
          <w:tab w:val="clear" w:pos="425"/>
        </w:tabs>
        <w:spacing w:line="360" w:lineRule="auto"/>
        <w:jc w:val="both"/>
        <w:rPr>
          <w:rFonts w:ascii="Arial" w:hAnsi="Arial" w:cs="Arial"/>
          <w:color w:val="0D0D0D" w:themeColor="text1" w:themeTint="F2"/>
          <w:sz w:val="22"/>
          <w:szCs w:val="22"/>
          <w14:textFill>
            <w14:solidFill>
              <w14:schemeClr w14:val="tx1">
                <w14:lumMod w14:val="95000"/>
                <w14:lumOff w14:val="5000"/>
              </w14:schemeClr>
            </w14:solidFill>
          </w14:textFill>
        </w:rPr>
      </w:pPr>
      <w:r>
        <w:rPr>
          <w:rFonts w:ascii="Arial" w:hAnsi="Arial" w:cs="Arial"/>
          <w:color w:val="0D0D0D" w:themeColor="text1" w:themeTint="F2"/>
          <w:sz w:val="22"/>
          <w:szCs w:val="22"/>
          <w14:textFill>
            <w14:solidFill>
              <w14:schemeClr w14:val="tx1">
                <w14:lumMod w14:val="95000"/>
                <w14:lumOff w14:val="5000"/>
              </w14:schemeClr>
            </w14:solidFill>
          </w14:textFill>
        </w:rPr>
        <w:t xml:space="preserve">Simard, S., Thewes, B., Humphris, G., Dixon, M., Hayden, C., Mireskandari, S. and Ozakinci, G., 2013. Fear of cancer recurrence in adult cancer survivors: a systematic review of quantitative studies. </w:t>
      </w:r>
      <w:r>
        <w:rPr>
          <w:rStyle w:val="31"/>
          <w:rFonts w:ascii="Arial" w:hAnsi="Arial" w:cs="Arial"/>
          <w:color w:val="0D0D0D" w:themeColor="text1" w:themeTint="F2"/>
          <w:sz w:val="22"/>
          <w:szCs w:val="22"/>
          <w14:textFill>
            <w14:solidFill>
              <w14:schemeClr w14:val="tx1">
                <w14:lumMod w14:val="95000"/>
                <w14:lumOff w14:val="5000"/>
              </w14:schemeClr>
            </w14:solidFill>
          </w14:textFill>
        </w:rPr>
        <w:t>Journal of Cancer Survivorship</w:t>
      </w:r>
      <w:r>
        <w:rPr>
          <w:rFonts w:ascii="Arial" w:hAnsi="Arial" w:cs="Arial"/>
          <w:color w:val="0D0D0D" w:themeColor="text1" w:themeTint="F2"/>
          <w:sz w:val="22"/>
          <w:szCs w:val="22"/>
          <w14:textFill>
            <w14:solidFill>
              <w14:schemeClr w14:val="tx1">
                <w14:lumMod w14:val="95000"/>
                <w14:lumOff w14:val="5000"/>
              </w14:schemeClr>
            </w14:solidFill>
          </w14:textFill>
        </w:rPr>
        <w:t>, 7(3), pp.300–322.</w:t>
      </w:r>
    </w:p>
    <w:p w14:paraId="0F911E9C">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‌Singleton, A., Partridge, S.R., Raeside, R., Regimbal, M., Hyun, K.K., Chow, C.K., Sherman, K., Elder, E. and Redfern, J. (2019). A text message intervention to support women’s physical and mental health after breast cancer treatments (EMPOWER-SMS): a randomised controlled trial protocol. </w:t>
      </w:r>
      <w:r>
        <w:rPr>
          <w:rFonts w:ascii="Arial" w:hAnsi="Arial" w:cs="Arial"/>
          <w:i/>
          <w:iCs/>
          <w:color w:val="000000"/>
          <w:sz w:val="22"/>
          <w:szCs w:val="22"/>
          <w:shd w:val="clear" w:color="auto" w:fill="FFFFFF"/>
        </w:rPr>
        <w:t>BMC Cancer</w:t>
      </w:r>
      <w:r>
        <w:rPr>
          <w:rFonts w:ascii="Arial" w:hAnsi="Arial" w:cs="Arial"/>
          <w:color w:val="000000"/>
          <w:sz w:val="22"/>
          <w:szCs w:val="22"/>
          <w:shd w:val="clear" w:color="auto" w:fill="FFFFFF"/>
        </w:rPr>
        <w:t>, 19(1). doi:https://doi.org/10.1186/s12885-019-5886-8.</w:t>
      </w:r>
    </w:p>
    <w:p w14:paraId="1858F71F">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Slade, E., Luckham, K., Heath, A. and Owen, L. (2024). Health Inequalities in Breast Cancer in England: A Pragmatic Review to Inform National Institute for Care and Excellence (NICE) Recommendations. </w:t>
      </w:r>
      <w:r>
        <w:rPr>
          <w:rFonts w:ascii="Arial" w:hAnsi="Arial" w:cs="Arial"/>
          <w:i/>
          <w:iCs/>
          <w:color w:val="000000"/>
          <w:sz w:val="22"/>
          <w:szCs w:val="22"/>
          <w:shd w:val="clear" w:color="auto" w:fill="FFFFFF"/>
        </w:rPr>
        <w:t>Cancer Control</w:t>
      </w:r>
      <w:r>
        <w:rPr>
          <w:rFonts w:ascii="Arial" w:hAnsi="Arial" w:cs="Arial"/>
          <w:color w:val="000000"/>
          <w:sz w:val="22"/>
          <w:szCs w:val="22"/>
          <w:shd w:val="clear" w:color="auto" w:fill="FFFFFF"/>
        </w:rPr>
        <w:t>, 31. doi:https://doi.org/10.1177/10732748241293976.</w:t>
      </w:r>
    </w:p>
    <w:p w14:paraId="25928A62">
      <w:pPr>
        <w:pStyle w:val="85"/>
        <w:numPr>
          <w:ilvl w:val="0"/>
          <w:numId w:val="11"/>
        </w:numPr>
        <w:tabs>
          <w:tab w:val="clear" w:pos="425"/>
        </w:tabs>
        <w:spacing w:beforeAutospacing="0" w:afterAutospacing="0" w:line="360" w:lineRule="auto"/>
        <w:jc w:val="both"/>
        <w:rPr>
          <w:rFonts w:ascii="Arial" w:hAnsi="Arial" w:cs="Arial"/>
          <w:color w:val="000000"/>
          <w:sz w:val="22"/>
          <w:szCs w:val="22"/>
          <w:shd w:val="clear" w:color="auto" w:fill="FFFFFF"/>
        </w:rPr>
      </w:pPr>
      <w:r>
        <w:rPr>
          <w:rFonts w:ascii="Arial" w:hAnsi="Arial" w:cs="Arial"/>
          <w:sz w:val="22"/>
          <w:szCs w:val="22"/>
        </w:rPr>
        <w:t xml:space="preserve">Sophie, Hall, L.H., Ellison, R., Clark, J., Wilkes, H., Hartley, S., Naik, J., Buckley, S., Hirst, C., Hartup, S., Neal, R.D., Velikova, G., Farrin, A., Collinson, M., Graham, C.D. and Smith, S.G. (2025). Acceptability of acceptance and commitment therapy for medication‐decision‐making and quality of life in women with breast cancer: A qualitative process evaluation. </w:t>
      </w:r>
      <w:r>
        <w:rPr>
          <w:rFonts w:ascii="Arial" w:hAnsi="Arial" w:cs="Arial"/>
          <w:i/>
          <w:iCs/>
          <w:sz w:val="22"/>
          <w:szCs w:val="22"/>
        </w:rPr>
        <w:t>British Journal of Health Psychology</w:t>
      </w:r>
      <w:r>
        <w:rPr>
          <w:rFonts w:ascii="Arial" w:hAnsi="Arial" w:cs="Arial"/>
          <w:sz w:val="22"/>
          <w:szCs w:val="22"/>
        </w:rPr>
        <w:t>, 30(2). doi:https://doi.org/10.1111/bjhp.12802.</w:t>
      </w:r>
    </w:p>
    <w:p w14:paraId="77F24E3D">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Stabile, C., Goldfarb, S., Baser, R.E., Goldfrank, D.J., Abu-Rustum, N.R., Barakat, R.R., Dickler, M.N. and Carter, J. (2017). Sexual Health Needs and Educational Intervention Preferences for Women with Cancer. </w:t>
      </w:r>
      <w:r>
        <w:rPr>
          <w:rFonts w:ascii="Arial" w:hAnsi="Arial" w:cs="Arial"/>
          <w:i/>
          <w:iCs/>
          <w:color w:val="000000"/>
          <w:sz w:val="22"/>
          <w:szCs w:val="22"/>
          <w:shd w:val="clear" w:color="auto" w:fill="FFFFFF"/>
        </w:rPr>
        <w:t>Breast cancer research and treatment</w:t>
      </w:r>
      <w:r>
        <w:rPr>
          <w:rFonts w:ascii="Arial" w:hAnsi="Arial" w:cs="Arial"/>
          <w:color w:val="000000"/>
          <w:sz w:val="22"/>
          <w:szCs w:val="22"/>
          <w:shd w:val="clear" w:color="auto" w:fill="FFFFFF"/>
        </w:rPr>
        <w:t>, [online] 165(1), pp.77–84. doi:https://doi.org/10.1007/s10549-017-4305-6.</w:t>
      </w:r>
    </w:p>
    <w:p w14:paraId="2D731D2C">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Sweegers, M.G., Altenburg, T.M., Chinapaw, M.J., Kalter, J., Verdonck-de Leeuw, I.M., Courneya, K.S., Newton, R.U., Aaronson, N.K., Jacobsen, P.B., Brug, J. and Buffart, L.M. (2017). Which exercise prescriptions improve quality of life and physical function in patients with cancer during and following treatment? A systematic review and meta-analysis of randomised controlled trials. </w:t>
      </w:r>
      <w:r>
        <w:rPr>
          <w:rFonts w:ascii="Arial" w:hAnsi="Arial" w:cs="Arial"/>
          <w:i/>
          <w:iCs/>
          <w:color w:val="000000"/>
          <w:sz w:val="22"/>
          <w:szCs w:val="22"/>
          <w:shd w:val="clear" w:color="auto" w:fill="FFFFFF"/>
        </w:rPr>
        <w:t>British Journal of Sports Medicine</w:t>
      </w:r>
      <w:r>
        <w:rPr>
          <w:rFonts w:ascii="Arial" w:hAnsi="Arial" w:cs="Arial"/>
          <w:color w:val="000000"/>
          <w:sz w:val="22"/>
          <w:szCs w:val="22"/>
          <w:shd w:val="clear" w:color="auto" w:fill="FFFFFF"/>
        </w:rPr>
        <w:t>, 52(8), pp.505–513. doi:https://doi.org/10.1136/bjsports-2017-097891.</w:t>
      </w:r>
    </w:p>
    <w:p w14:paraId="7A1563DA">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Tang, M., Liu, X., Wu, Q. and Shi, Y. (2020). The Effects of Cognitive-Behavioral Stress Management for Breast Cancer Patients. </w:t>
      </w:r>
      <w:r>
        <w:rPr>
          <w:rFonts w:ascii="Arial" w:hAnsi="Arial" w:cs="Arial"/>
          <w:i/>
          <w:iCs/>
          <w:color w:val="000000"/>
          <w:sz w:val="22"/>
          <w:szCs w:val="22"/>
          <w:shd w:val="clear" w:color="auto" w:fill="FFFFFF"/>
        </w:rPr>
        <w:t>Cancer Nursing</w:t>
      </w:r>
      <w:r>
        <w:rPr>
          <w:rFonts w:ascii="Arial" w:hAnsi="Arial" w:cs="Arial"/>
          <w:color w:val="000000"/>
          <w:sz w:val="22"/>
          <w:szCs w:val="22"/>
          <w:shd w:val="clear" w:color="auto" w:fill="FFFFFF"/>
        </w:rPr>
        <w:t>, p.1. doi:https://doi.org/10.1097/ncc.0000000000000804.</w:t>
      </w:r>
    </w:p>
    <w:p w14:paraId="73332078">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Thomas, J. and Harden, A. (2008). Methods for the Thematic Synthesis of Qualitative Research in Systematic Reviews. </w:t>
      </w:r>
      <w:r>
        <w:rPr>
          <w:rFonts w:ascii="Arial" w:hAnsi="Arial" w:cs="Arial"/>
          <w:i/>
          <w:iCs/>
          <w:color w:val="000000"/>
          <w:sz w:val="22"/>
          <w:szCs w:val="22"/>
          <w:shd w:val="clear" w:color="auto" w:fill="FFFFFF"/>
        </w:rPr>
        <w:t>BMC Medical Research Methodology</w:t>
      </w:r>
      <w:r>
        <w:rPr>
          <w:rFonts w:ascii="Arial" w:hAnsi="Arial" w:cs="Arial"/>
          <w:color w:val="000000"/>
          <w:sz w:val="22"/>
          <w:szCs w:val="22"/>
          <w:shd w:val="clear" w:color="auto" w:fill="FFFFFF"/>
        </w:rPr>
        <w:t>, 8(1), pp.1–10. doi:https://doi.org/10.1186/1471-2288-8-45.</w:t>
      </w:r>
    </w:p>
    <w:p w14:paraId="3E2E70F8">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Trusson, D., Pilnick, A. and Roy, S. (2016). A new normal?: Women’s experiences of biographical disruption and liminality following treatment for early stage breast cancer. </w:t>
      </w:r>
      <w:r>
        <w:rPr>
          <w:rFonts w:ascii="Arial" w:hAnsi="Arial" w:cs="Arial"/>
          <w:i/>
          <w:iCs/>
          <w:color w:val="000000"/>
          <w:sz w:val="22"/>
          <w:szCs w:val="22"/>
          <w:shd w:val="clear" w:color="auto" w:fill="FFFFFF"/>
        </w:rPr>
        <w:t>Social Science &amp; Medicine</w:t>
      </w:r>
      <w:r>
        <w:rPr>
          <w:rFonts w:ascii="Arial" w:hAnsi="Arial" w:cs="Arial"/>
          <w:color w:val="000000"/>
          <w:sz w:val="22"/>
          <w:szCs w:val="22"/>
          <w:shd w:val="clear" w:color="auto" w:fill="FFFFFF"/>
        </w:rPr>
        <w:t>, 151, pp.121–129. doi:https://doi.org/10.1016/j.socscimed.2016.01.011.</w:t>
      </w:r>
    </w:p>
    <w:p w14:paraId="7CE9DB56">
      <w:pPr>
        <w:pStyle w:val="85"/>
        <w:numPr>
          <w:ilvl w:val="0"/>
          <w:numId w:val="11"/>
        </w:numPr>
        <w:tabs>
          <w:tab w:val="clear" w:pos="425"/>
        </w:tabs>
        <w:spacing w:line="360" w:lineRule="auto"/>
        <w:jc w:val="both"/>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pP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xml:space="preserve">Van Beek, F.E., Wijnhoven, L.M.A., Custers, J. a. E., Holtmaat, K., De Rooij, B.H., Horevoorts, N.J.E., Aukema, E.J., Verheul, S., Eerenstein, S.E.J., Strobbe, L., Van Oort, I.M., Vergeer, M.R., Prins, J.B., Verdonck-de Leeuw, I.M. and Jansen, F. (2022). Adjustment disorder in cancer patients after treatment: prevalence and acceptance of psychological treatment. </w:t>
      </w:r>
      <w:r>
        <w:rPr>
          <w:rFonts w:ascii="Arial" w:hAnsi="Arial" w:cs="Arial"/>
          <w:i/>
          <w:iCs/>
          <w:color w:val="0D0D0D" w:themeColor="text1" w:themeTint="F2"/>
          <w:sz w:val="22"/>
          <w:szCs w:val="22"/>
          <w:shd w:val="clear" w:color="auto" w:fill="FFFFFF"/>
          <w14:textFill>
            <w14:solidFill>
              <w14:schemeClr w14:val="tx1">
                <w14:lumMod w14:val="95000"/>
                <w14:lumOff w14:val="5000"/>
              </w14:schemeClr>
            </w14:solidFill>
          </w14:textFill>
        </w:rPr>
        <w:t>Supportive Care in Cancer: Official Journal of the Multinational Association of Supportive Care in Cancer</w:t>
      </w:r>
      <w:r>
        <w:rPr>
          <w:rFonts w:ascii="Arial" w:hAnsi="Arial" w:cs="Arial"/>
          <w:color w:val="0D0D0D" w:themeColor="text1" w:themeTint="F2"/>
          <w:sz w:val="22"/>
          <w:szCs w:val="22"/>
          <w:shd w:val="clear" w:color="auto" w:fill="FFFFFF"/>
          <w14:textFill>
            <w14:solidFill>
              <w14:schemeClr w14:val="tx1">
                <w14:lumMod w14:val="95000"/>
                <w14:lumOff w14:val="5000"/>
              </w14:schemeClr>
            </w14:solidFill>
          </w14:textFill>
        </w:rPr>
        <w:t>, [online] 30(2), pp.1797–1806. doi:https://doi.org/10.1007/s00520-021-06530-0.</w:t>
      </w:r>
    </w:p>
    <w:p w14:paraId="29A0FCA4">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Van Dyk, K., Bower, J.E., Crespi, C.M., Petersen, L. and Ganz, P.A. (2018). Cognitive function following breast cancer treatment and associations with concurrent symptoms. </w:t>
      </w:r>
      <w:r>
        <w:rPr>
          <w:rFonts w:hint="default" w:ascii="Arial" w:hAnsi="Arial" w:cs="Arial"/>
          <w:i/>
          <w:iCs/>
          <w:color w:val="000000"/>
          <w:sz w:val="22"/>
          <w:szCs w:val="22"/>
          <w:shd w:val="clear" w:fill="FFFFFF"/>
        </w:rPr>
        <w:t>npj Breast Cancer</w:t>
      </w:r>
      <w:r>
        <w:rPr>
          <w:rFonts w:hint="default" w:ascii="Arial" w:hAnsi="Arial" w:cs="Arial"/>
          <w:color w:val="000000"/>
          <w:sz w:val="22"/>
          <w:szCs w:val="22"/>
          <w:shd w:val="clear" w:fill="FFFFFF"/>
        </w:rPr>
        <w:t>, 4(1). doi:https://doi.org/10.1038/s41523-018-0076-4.</w:t>
      </w:r>
    </w:p>
    <w:p w14:paraId="48EC74C4">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Vignjević Petrinović, S., Milošević, M.S., Marković, D. and Momčilović, S. (2023). Interplay between stress and cancer—A focus on inflammation. </w:t>
      </w:r>
      <w:r>
        <w:rPr>
          <w:rFonts w:ascii="Arial" w:hAnsi="Arial" w:cs="Arial"/>
          <w:i/>
          <w:iCs/>
          <w:color w:val="000000"/>
          <w:sz w:val="22"/>
          <w:szCs w:val="22"/>
          <w:shd w:val="clear" w:color="auto" w:fill="FFFFFF"/>
        </w:rPr>
        <w:t>Frontiers in Physiology</w:t>
      </w:r>
      <w:r>
        <w:rPr>
          <w:rFonts w:ascii="Arial" w:hAnsi="Arial" w:cs="Arial"/>
          <w:color w:val="000000"/>
          <w:sz w:val="22"/>
          <w:szCs w:val="22"/>
          <w:shd w:val="clear" w:color="auto" w:fill="FFFFFF"/>
        </w:rPr>
        <w:t>, [online] 14(1119095). doi:https://doi.org/10.3389/fphys.2023.1119095.</w:t>
      </w:r>
    </w:p>
    <w:p w14:paraId="6367CA93">
      <w:pPr>
        <w:numPr>
          <w:ilvl w:val="0"/>
          <w:numId w:val="11"/>
        </w:numPr>
        <w:shd w:val="clear" w:color="auto" w:fill="FFFFFF"/>
        <w:spacing w:line="360" w:lineRule="auto"/>
        <w:jc w:val="both"/>
        <w:rPr>
          <w:rFonts w:ascii="Calibri" w:hAnsi="Calibri" w:cs="Calibri"/>
          <w:sz w:val="21"/>
          <w:szCs w:val="21"/>
        </w:rPr>
      </w:pPr>
      <w:r>
        <w:rPr>
          <w:rFonts w:hint="default" w:ascii="Arial" w:hAnsi="Arial" w:cs="Arial"/>
          <w:color w:val="000000"/>
          <w:sz w:val="22"/>
          <w:szCs w:val="22"/>
          <w:shd w:val="clear" w:fill="FFFFFF"/>
        </w:rPr>
        <w:t xml:space="preserve">Walker, A.K., Chan, R.J. and Vardy, J.L. (2022). Sustained Mild Inflammation in Cancer Survivors: Where to from Here? </w:t>
      </w:r>
      <w:r>
        <w:rPr>
          <w:rFonts w:hint="default" w:ascii="Arial" w:hAnsi="Arial" w:cs="Arial"/>
          <w:i/>
          <w:iCs/>
          <w:color w:val="000000"/>
          <w:sz w:val="22"/>
          <w:szCs w:val="22"/>
          <w:shd w:val="clear" w:fill="FFFFFF"/>
        </w:rPr>
        <w:t>JNCI Cancer Spectrum</w:t>
      </w:r>
      <w:r>
        <w:rPr>
          <w:rFonts w:hint="default" w:ascii="Arial" w:hAnsi="Arial" w:cs="Arial"/>
          <w:color w:val="000000"/>
          <w:sz w:val="22"/>
          <w:szCs w:val="22"/>
          <w:shd w:val="clear" w:fill="FFFFFF"/>
        </w:rPr>
        <w:t>, [online] 6(4). doi:https://doi.org/10.1093/jncics/pkac054.</w:t>
      </w:r>
    </w:p>
    <w:p w14:paraId="3D9E8A6C">
      <w:pPr>
        <w:pStyle w:val="85"/>
        <w:numPr>
          <w:ilvl w:val="0"/>
          <w:numId w:val="11"/>
        </w:numPr>
        <w:tabs>
          <w:tab w:val="clear" w:pos="425"/>
        </w:tabs>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Wang, X., Wang, N., Zhong, L., Wang, S., Zheng, Y., Yang, B., Zhang, J., Lin, Y. and Wang, Z. (2020). Prognostic value of depression and anxiety on breast cancer recurrence and mortality: a systematic review and meta-analysis of 282,203 patients. </w:t>
      </w:r>
      <w:r>
        <w:rPr>
          <w:rFonts w:ascii="Arial" w:hAnsi="Arial" w:cs="Arial"/>
          <w:i/>
          <w:iCs/>
          <w:color w:val="000000"/>
          <w:sz w:val="22"/>
          <w:szCs w:val="22"/>
          <w:shd w:val="clear" w:color="auto" w:fill="FFFFFF"/>
        </w:rPr>
        <w:t>Molecular Psychiatry</w:t>
      </w:r>
      <w:r>
        <w:rPr>
          <w:rFonts w:ascii="Arial" w:hAnsi="Arial" w:cs="Arial"/>
          <w:color w:val="000000"/>
          <w:sz w:val="22"/>
          <w:szCs w:val="22"/>
          <w:shd w:val="clear" w:color="auto" w:fill="FFFFFF"/>
        </w:rPr>
        <w:t>, 25(12), pp.3186–3197. doi:https://doi.org/10.1038/s41380-020-00865-6.</w:t>
      </w:r>
    </w:p>
    <w:p w14:paraId="0E15C5D4">
      <w:pPr>
        <w:pStyle w:val="85"/>
        <w:numPr>
          <w:ilvl w:val="0"/>
          <w:numId w:val="11"/>
        </w:numPr>
        <w:tabs>
          <w:tab w:val="clear" w:pos="425"/>
        </w:tabs>
        <w:spacing w:beforeAutospacing="0" w:afterAutospacing="0" w:line="360" w:lineRule="auto"/>
        <w:jc w:val="both"/>
        <w:rPr>
          <w:rFonts w:ascii="Arial" w:hAnsi="Arial" w:cs="Arial"/>
          <w:sz w:val="22"/>
          <w:szCs w:val="22"/>
        </w:rPr>
      </w:pPr>
      <w:r>
        <w:rPr>
          <w:rFonts w:ascii="Arial" w:hAnsi="Arial" w:cs="Arial"/>
          <w:color w:val="000000"/>
          <w:sz w:val="22"/>
          <w:szCs w:val="22"/>
          <w:shd w:val="clear" w:color="auto" w:fill="FFFFFF"/>
        </w:rPr>
        <w:t xml:space="preserve">Wyld, L., Reed, M.W.R., Collins, K., Ward, S., Holmes, G., Morgan, J., Bradburn, M., Walters, S., Burton, M., Lifford, K., Edwards, A., Brain, K., Ring, A., Herbert, E., Robinson, T.G., Martin, C., Chater, T., Pemberton, K., Shrestha, A. and Nettleship, A. (2022). Improving outcomes for women aged 70 years or above with early breast cancer: research programme including a cluster RCT -ORCA. </w:t>
      </w:r>
      <w:r>
        <w:rPr>
          <w:rFonts w:ascii="Arial" w:hAnsi="Arial" w:cs="Arial"/>
          <w:i/>
          <w:iCs/>
          <w:color w:val="000000"/>
          <w:sz w:val="22"/>
          <w:szCs w:val="22"/>
          <w:shd w:val="clear" w:color="auto" w:fill="FFFFFF"/>
        </w:rPr>
        <w:t>Cardiff.ac.uk</w:t>
      </w:r>
      <w:r>
        <w:rPr>
          <w:rFonts w:ascii="Arial" w:hAnsi="Arial" w:cs="Arial"/>
          <w:color w:val="000000"/>
          <w:sz w:val="22"/>
          <w:szCs w:val="22"/>
          <w:shd w:val="clear" w:color="auto" w:fill="FFFFFF"/>
        </w:rPr>
        <w:t>. [online] doi:https://orca.cardiff.ac.uk/id/eprint/151111/1/NIHR%20Prog%20Grants%202022%20Age%20Gap%20Wyld.pdf.</w:t>
      </w:r>
    </w:p>
    <w:p w14:paraId="7E84DE15">
      <w:pPr>
        <w:numPr>
          <w:ilvl w:val="0"/>
          <w:numId w:val="11"/>
        </w:numPr>
        <w:shd w:val="clear" w:color="auto" w:fill="FFFFFF"/>
        <w:spacing w:line="360" w:lineRule="auto"/>
        <w:jc w:val="both"/>
        <w:rPr>
          <w:rFonts w:hint="default" w:ascii="Arial" w:hAnsi="Arial" w:cs="Arial"/>
          <w:sz w:val="22"/>
          <w:szCs w:val="22"/>
        </w:rPr>
      </w:pPr>
      <w:r>
        <w:rPr>
          <w:rFonts w:hint="default" w:ascii="Arial" w:hAnsi="Arial" w:cs="Arial"/>
          <w:color w:val="000000"/>
          <w:sz w:val="22"/>
          <w:szCs w:val="22"/>
          <w:shd w:val="clear" w:fill="FFFFFF"/>
        </w:rPr>
        <w:t xml:space="preserve">Yi, H., Xiao, T., Thomas, P.S., Aguirre, A.N., Smalletz, C., Dimond, J., Finkelstein, J., Infante, K., Trivedi, M., David, R., Vargas, J., Crew, K.D. and Kukafka, R. (2015). Barriers and Facilitators to Patient-Provider Communication When Discussing Breast Cancer Risk to Aid in the Development of Decision Support Tools. </w:t>
      </w:r>
      <w:r>
        <w:rPr>
          <w:rFonts w:hint="default" w:ascii="Arial" w:hAnsi="Arial" w:cs="Arial"/>
          <w:i/>
          <w:iCs/>
          <w:color w:val="000000"/>
          <w:sz w:val="22"/>
          <w:szCs w:val="22"/>
          <w:shd w:val="clear" w:fill="FFFFFF"/>
        </w:rPr>
        <w:t>AMIA Annual Symposium Proceedings</w:t>
      </w:r>
      <w:r>
        <w:rPr>
          <w:rFonts w:hint="default" w:ascii="Arial" w:hAnsi="Arial" w:cs="Arial"/>
          <w:color w:val="000000"/>
          <w:sz w:val="22"/>
          <w:szCs w:val="22"/>
          <w:shd w:val="clear" w:fill="FFFFFF"/>
        </w:rPr>
        <w:t xml:space="preserve">, [online] 2015, p.1352. Available at: </w:t>
      </w:r>
      <w:r>
        <w:rPr>
          <w:rFonts w:hint="default" w:ascii="Arial" w:hAnsi="Arial" w:cs="Arial"/>
          <w:color w:val="000000"/>
          <w:sz w:val="22"/>
          <w:szCs w:val="22"/>
          <w:shd w:val="clear" w:fill="FFFFFF"/>
        </w:rPr>
        <w:fldChar w:fldCharType="begin"/>
      </w:r>
      <w:r>
        <w:rPr>
          <w:rFonts w:hint="default" w:ascii="Arial" w:hAnsi="Arial" w:cs="Arial"/>
          <w:color w:val="000000"/>
          <w:sz w:val="22"/>
          <w:szCs w:val="22"/>
          <w:shd w:val="clear" w:fill="FFFFFF"/>
        </w:rPr>
        <w:instrText xml:space="preserve"> HYPERLINK "https://pmc.ncbi.nlm.nih.gov/articles/PMC4765687/." </w:instrText>
      </w:r>
      <w:r>
        <w:rPr>
          <w:rFonts w:hint="default" w:ascii="Arial" w:hAnsi="Arial" w:cs="Arial"/>
          <w:color w:val="000000"/>
          <w:sz w:val="22"/>
          <w:szCs w:val="22"/>
          <w:shd w:val="clear" w:fill="FFFFFF"/>
        </w:rPr>
        <w:fldChar w:fldCharType="separate"/>
      </w:r>
      <w:r>
        <w:rPr>
          <w:rStyle w:val="51"/>
          <w:rFonts w:hint="default" w:ascii="Arial" w:hAnsi="Arial" w:cs="Arial"/>
          <w:sz w:val="22"/>
          <w:szCs w:val="22"/>
          <w:shd w:val="clear" w:fill="FFFFFF"/>
        </w:rPr>
        <w:t>https://pmc.ncbi.nlm.nih.gov/articles/PMC4765687/.</w:t>
      </w:r>
      <w:r>
        <w:rPr>
          <w:rFonts w:hint="default" w:ascii="Arial" w:hAnsi="Arial" w:cs="Arial"/>
          <w:color w:val="000000"/>
          <w:sz w:val="22"/>
          <w:szCs w:val="22"/>
          <w:shd w:val="clear" w:fill="FFFFFF"/>
        </w:rPr>
        <w:fldChar w:fldCharType="end"/>
      </w:r>
    </w:p>
    <w:p w14:paraId="6AB36873">
      <w:pPr>
        <w:pStyle w:val="85"/>
        <w:numPr>
          <w:ilvl w:val="0"/>
          <w:numId w:val="11"/>
        </w:numPr>
        <w:tabs>
          <w:tab w:val="clear" w:pos="425"/>
        </w:tabs>
        <w:spacing w:beforeAutospacing="0" w:afterAutospacing="0" w:line="360" w:lineRule="auto"/>
        <w:jc w:val="both"/>
        <w:rPr>
          <w:rFonts w:ascii="Arial" w:hAnsi="Arial" w:cs="Arial"/>
          <w:sz w:val="22"/>
          <w:szCs w:val="22"/>
          <w:lang w:val="en-IN"/>
        </w:rPr>
      </w:pPr>
      <w:r>
        <w:rPr>
          <w:rFonts w:ascii="Arial" w:hAnsi="Arial" w:cs="Arial"/>
          <w:color w:val="000000"/>
          <w:sz w:val="22"/>
          <w:szCs w:val="22"/>
          <w:shd w:val="clear" w:color="auto" w:fill="FFFFFF"/>
        </w:rPr>
        <w:t xml:space="preserve">Zhou, Z., Ren, J., Liu, Q., Li, S., Xu, J., Wu, X., Xiao, Y., Zhang, Z., Jia, W., Bai, H. and Zhang, J. (2024). A nomogram for predicting the risk of cancer-related cognitive impairment in breast cancer patients based on a scientific symptom model. </w:t>
      </w:r>
      <w:r>
        <w:rPr>
          <w:rFonts w:ascii="Arial" w:hAnsi="Arial" w:cs="Arial"/>
          <w:i/>
          <w:iCs/>
          <w:color w:val="000000"/>
          <w:sz w:val="22"/>
          <w:szCs w:val="22"/>
          <w:shd w:val="clear" w:color="auto" w:fill="FFFFFF"/>
        </w:rPr>
        <w:t>Scientific Reports</w:t>
      </w:r>
      <w:r>
        <w:rPr>
          <w:rFonts w:ascii="Arial" w:hAnsi="Arial" w:cs="Arial"/>
          <w:color w:val="000000"/>
          <w:sz w:val="22"/>
          <w:szCs w:val="22"/>
          <w:shd w:val="clear" w:color="auto" w:fill="FFFFFF"/>
        </w:rPr>
        <w:t>, [online] 14(1). doi:https://doi.org/10.1038/s41598-024-65406-5.</w:t>
      </w:r>
    </w:p>
    <w:sectPr>
      <w:footerReference r:id="rId4" w:type="default"/>
      <w:pgSz w:w="11906" w:h="16838"/>
      <w:pgMar w:top="1440" w:right="1800" w:bottom="1440" w:left="180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hruti">
    <w:panose1 w:val="020B0502040204020203"/>
    <w:charset w:val="00"/>
    <w:family w:val="swiss"/>
    <w:pitch w:val="default"/>
    <w:sig w:usb0="00040003" w:usb1="00000000" w:usb2="00000000" w:usb3="00000000" w:csb0="00000001" w:csb1="00000000"/>
  </w:font>
  <w:font w:name="SimHei">
    <w:altName w:val="SimSun"/>
    <w:panose1 w:val="02010600030101010101"/>
    <w:charset w:val="86"/>
    <w:family w:val="modern"/>
    <w:pitch w:val="default"/>
    <w:sig w:usb0="00000000" w:usb1="00000000" w:usb2="00000016" w:usb3="00000000" w:csb0="00040001" w:csb1="00000000"/>
  </w:font>
  <w:font w:name="CanvaSans-Bold">
    <w:altName w:val="Segoe Print"/>
    <w:panose1 w:val="00000000000000000000"/>
    <w:charset w:val="00"/>
    <w:family w:val="auto"/>
    <w:pitch w:val="default"/>
    <w:sig w:usb0="00000000" w:usb1="00000000" w:usb2="00000000" w:usb3="00000000" w:csb0="00000000" w:csb1="00000000"/>
  </w:font>
  <w:font w:name="DengXian">
    <w:altName w:val="SimSun"/>
    <w:panose1 w:val="02010600030101010101"/>
    <w:charset w:val="86"/>
    <w:family w:val="auto"/>
    <w:pitch w:val="default"/>
    <w:sig w:usb0="00000000" w:usb1="00000000" w:usb2="00000016" w:usb3="00000000" w:csb0="0004000F" w:csb1="00000000"/>
  </w:font>
  <w:font w:name="MS PGothic">
    <w:panose1 w:val="020B0600070205080204"/>
    <w:charset w:val="80"/>
    <w:family w:val="auto"/>
    <w:pitch w:val="default"/>
    <w:sig w:usb0="E00002FF" w:usb1="6AC7FDFB" w:usb2="08000012" w:usb3="00000000" w:csb0="4002009F" w:csb1="DFD7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Sitka Small">
    <w:panose1 w:val="00000000000000000000"/>
    <w:charset w:val="00"/>
    <w:family w:val="auto"/>
    <w:pitch w:val="default"/>
    <w:sig w:usb0="A00002EF" w:usb1="4000204B" w:usb2="00000000" w:usb3="00000000" w:csb0="2000019F" w:csb1="00000000"/>
  </w:font>
  <w:font w:name="Segoe UI Variable Small">
    <w:panose1 w:val="00000000000000000000"/>
    <w:charset w:val="00"/>
    <w:family w:val="auto"/>
    <w:pitch w:val="default"/>
    <w:sig w:usb0="A00002FF" w:usb1="0000000B" w:usb2="00000000" w:usb3="00000000" w:csb0="2000019F" w:csb1="00000000"/>
  </w:font>
  <w:font w:name="Arial Black">
    <w:panose1 w:val="020B0A04020102020204"/>
    <w:charset w:val="00"/>
    <w:family w:val="auto"/>
    <w:pitch w:val="default"/>
    <w:sig w:usb0="A00002AF" w:usb1="400078FB" w:usb2="00000000" w:usb3="00000000" w:csb0="6000009F" w:csb1="DFD70000"/>
  </w:font>
  <w:font w:name="Segoe UI Variable Display Semilight">
    <w:panose1 w:val="00000000000000000000"/>
    <w:charset w:val="00"/>
    <w:family w:val="auto"/>
    <w:pitch w:val="default"/>
    <w:sig w:usb0="A00002FF" w:usb1="0000000B" w:usb2="00000000" w:usb3="00000000" w:csb0="2000019F" w:csb1="00000000"/>
  </w:font>
  <w:font w:name="Segoe UI Variable Text Semibold">
    <w:panose1 w:val="00000000000000000000"/>
    <w:charset w:val="00"/>
    <w:family w:val="auto"/>
    <w:pitch w:val="default"/>
    <w:sig w:usb0="A00002FF" w:usb1="0000000B" w:usb2="00000000" w:usb3="00000000" w:csb0="2000019F" w:csb1="00000000"/>
  </w:font>
  <w:font w:name="Segoe UI Variable Text Light">
    <w:panose1 w:val="00000000000000000000"/>
    <w:charset w:val="00"/>
    <w:family w:val="auto"/>
    <w:pitch w:val="default"/>
    <w:sig w:usb0="A00002FF" w:usb1="0000000B" w:usb2="00000000" w:usb3="00000000" w:csb0="2000019F" w:csb1="00000000"/>
  </w:font>
  <w:font w:name="Lato">
    <w:panose1 w:val="020F0502020204030203"/>
    <w:charset w:val="00"/>
    <w:family w:val="auto"/>
    <w:pitch w:val="default"/>
    <w:sig w:usb0="E10002FF" w:usb1="5000ECFF" w:usb2="00000021" w:usb3="00000000" w:csb0="2000019F" w:csb1="00000000"/>
  </w:font>
  <w:font w:name="Agency FB">
    <w:panose1 w:val="020B0503020202020204"/>
    <w:charset w:val="00"/>
    <w:family w:val="auto"/>
    <w:pitch w:val="default"/>
    <w:sig w:usb0="00000003" w:usb1="00000000" w:usb2="00000000" w:usb3="00000000" w:csb0="20000001" w:csb1="00000000"/>
  </w:font>
  <w:font w:name="Algerian">
    <w:panose1 w:val="04020705040A02060702"/>
    <w:charset w:val="00"/>
    <w:family w:val="auto"/>
    <w:pitch w:val="default"/>
    <w:sig w:usb0="00000003" w:usb1="00000000" w:usb2="00000000" w:usb3="00000000" w:csb0="20000001" w:csb1="00000000"/>
  </w:font>
  <w:font w:name="Garamond">
    <w:panose1 w:val="02020404030301010803"/>
    <w:charset w:val="00"/>
    <w:family w:val="auto"/>
    <w:pitch w:val="default"/>
    <w:sig w:usb0="00000287" w:usb1="00000000" w:usb2="00000000" w:usb3="00000000" w:csb0="0000009F" w:csb1="DFD7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等线 Light">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81F8179">
    <w:pPr>
      <w:pStyle w:val="37"/>
    </w:pPr>
    <w:r>
      <w:rPr>
        <w:sz w:val="18"/>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9EA6F0C">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43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29EA6F0C">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551891B">
    <w:pPr>
      <w:pStyle w:val="37"/>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806481A">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14:paraId="5806481A">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0">
    <w:nsid w:val="34983823"/>
    <w:multiLevelType w:val="singleLevel"/>
    <w:tmpl w:val="34983823"/>
    <w:lvl w:ilvl="0" w:tentative="0">
      <w:start w:val="1"/>
      <w:numFmt w:val="decimal"/>
      <w:lvlText w:val="%1."/>
      <w:lvlJc w:val="left"/>
      <w:pPr>
        <w:tabs>
          <w:tab w:val="left" w:pos="425"/>
        </w:tabs>
        <w:ind w:left="425" w:hanging="425"/>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7"/>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5FF4662"/>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2D56CB"/>
    <w:rsid w:val="0033518C"/>
    <w:rsid w:val="003437C2"/>
    <w:rsid w:val="00377186"/>
    <w:rsid w:val="003A1C03"/>
    <w:rsid w:val="00413DE5"/>
    <w:rsid w:val="00414627"/>
    <w:rsid w:val="00425D63"/>
    <w:rsid w:val="004643D8"/>
    <w:rsid w:val="00497C24"/>
    <w:rsid w:val="004C7BA5"/>
    <w:rsid w:val="004E7628"/>
    <w:rsid w:val="004F48F2"/>
    <w:rsid w:val="005149B1"/>
    <w:rsid w:val="005647F2"/>
    <w:rsid w:val="005662D1"/>
    <w:rsid w:val="00573A09"/>
    <w:rsid w:val="005A4526"/>
    <w:rsid w:val="005C1B16"/>
    <w:rsid w:val="005D4C28"/>
    <w:rsid w:val="005E53D0"/>
    <w:rsid w:val="005E6C0D"/>
    <w:rsid w:val="006002EB"/>
    <w:rsid w:val="006128EF"/>
    <w:rsid w:val="006264B4"/>
    <w:rsid w:val="00643033"/>
    <w:rsid w:val="00644CC3"/>
    <w:rsid w:val="00661468"/>
    <w:rsid w:val="006649F0"/>
    <w:rsid w:val="0067245D"/>
    <w:rsid w:val="0068470E"/>
    <w:rsid w:val="00695DCD"/>
    <w:rsid w:val="006A05CC"/>
    <w:rsid w:val="006A35A7"/>
    <w:rsid w:val="006C7368"/>
    <w:rsid w:val="006E629D"/>
    <w:rsid w:val="007152D7"/>
    <w:rsid w:val="00746C14"/>
    <w:rsid w:val="007C2C59"/>
    <w:rsid w:val="00801F23"/>
    <w:rsid w:val="00837632"/>
    <w:rsid w:val="0085640F"/>
    <w:rsid w:val="008567AA"/>
    <w:rsid w:val="00860407"/>
    <w:rsid w:val="00892712"/>
    <w:rsid w:val="008A680A"/>
    <w:rsid w:val="008B0BB0"/>
    <w:rsid w:val="008E6C4B"/>
    <w:rsid w:val="008F18C0"/>
    <w:rsid w:val="00907648"/>
    <w:rsid w:val="00930FDE"/>
    <w:rsid w:val="00942177"/>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7369F"/>
    <w:rsid w:val="00E94CB0"/>
    <w:rsid w:val="00EC24C6"/>
    <w:rsid w:val="00EF2933"/>
    <w:rsid w:val="00F05146"/>
    <w:rsid w:val="00F1115D"/>
    <w:rsid w:val="00F3513C"/>
    <w:rsid w:val="00F465C5"/>
    <w:rsid w:val="00F5180D"/>
    <w:rsid w:val="00F51B21"/>
    <w:rsid w:val="00F51D87"/>
    <w:rsid w:val="00F8455C"/>
    <w:rsid w:val="0241571C"/>
    <w:rsid w:val="02A418D7"/>
    <w:rsid w:val="0C357E38"/>
    <w:rsid w:val="13483501"/>
    <w:rsid w:val="15FF4662"/>
    <w:rsid w:val="16F52F67"/>
    <w:rsid w:val="17B05F7F"/>
    <w:rsid w:val="196322C9"/>
    <w:rsid w:val="21051AC9"/>
    <w:rsid w:val="28C163A7"/>
    <w:rsid w:val="2B6B50BF"/>
    <w:rsid w:val="2CFB185B"/>
    <w:rsid w:val="30C42AC7"/>
    <w:rsid w:val="31FC401F"/>
    <w:rsid w:val="332D21AF"/>
    <w:rsid w:val="34282228"/>
    <w:rsid w:val="346C0F8D"/>
    <w:rsid w:val="354F40A1"/>
    <w:rsid w:val="370A1612"/>
    <w:rsid w:val="41B022B1"/>
    <w:rsid w:val="4315186D"/>
    <w:rsid w:val="4A105C92"/>
    <w:rsid w:val="4AED110E"/>
    <w:rsid w:val="570E09C4"/>
    <w:rsid w:val="579E2DBD"/>
    <w:rsid w:val="59DF2824"/>
    <w:rsid w:val="67B61017"/>
    <w:rsid w:val="6893529A"/>
    <w:rsid w:val="699D38A9"/>
    <w:rsid w:val="6BFB1DF1"/>
    <w:rsid w:val="72D859AC"/>
    <w:rsid w:val="74E63636"/>
    <w:rsid w:val="76640ECB"/>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qFormat="1" w:unhideWhenUsed="0" w:uiPriority="0" w:semiHidden="0" w:name="table of authorities"/>
    <w:lsdException w:qFormat="1" w:unhideWhenUsed="0" w:uiPriority="0" w:semiHidden="0" w:name="macro"/>
    <w:lsdException w:qFormat="1"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uiPriority="1" w:name="Default Paragraph Font"/>
    <w:lsdException w:qFormat="1" w:unhideWhenUsed="0" w:uiPriority="0" w:semiHidden="0" w:name="Body Text"/>
    <w:lsdException w:qFormat="1"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qFormat="1"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99" w:semiHidden="0" w:name="Normal (Web)"/>
    <w:lsdException w:qFormat="1" w:unhideWhenUsed="0" w:uiPriority="0" w:semiHidden="0" w:name="HTML Acronym"/>
    <w:lsdException w:qFormat="1"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iPriority="99" w:name="Normal Table"/>
    <w:lsdException w:qFormat="1" w:unhideWhenUsed="0" w:uiPriority="0" w:semiHidden="0" w:name="annotation subject"/>
    <w:lsdException w:qFormat="1" w:unhideWhenUsed="0" w:uiPriority="0" w:semiHidden="0" w:name="Table Simple 1"/>
    <w:lsdException w:qFormat="1" w:unhideWhenUsed="0" w:uiPriority="0" w:semiHidden="0" w:name="Table Simple 2"/>
    <w:lsdException w:qFormat="1" w:unhideWhenUsed="0" w:uiPriority="0" w:semiHidden="0" w:name="Table Simple 3"/>
    <w:lsdException w:qFormat="1" w:unhideWhenUsed="0" w:uiPriority="0" w:semiHidden="0" w:name="Table Classic 1"/>
    <w:lsdException w:qFormat="1"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qFormat="1" w:unhideWhenUsed="0" w:uiPriority="0" w:semiHidden="0" w:name="Table Columns 3"/>
    <w:lsdException w:qFormat="1" w:unhideWhenUsed="0" w:uiPriority="0" w:semiHidden="0" w:name="Table Columns 4"/>
    <w:lsdException w:qFormat="1" w:unhideWhenUsed="0" w:uiPriority="0" w:semiHidden="0" w:name="Table Columns 5"/>
    <w:lsdException w:qFormat="1"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qFormat="1" w:unhideWhenUsed="0" w:uiPriority="0" w:semiHidden="0" w:name="Table List 5"/>
    <w:lsdException w:qFormat="1" w:unhideWhenUsed="0" w:uiPriority="0" w:semiHidden="0" w:name="Table List 6"/>
    <w:lsdException w:qFormat="1"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qFormat="1"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qFormat="1"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next w:val="1"/>
    <w:semiHidden/>
    <w:unhideWhenUsed/>
    <w:qFormat/>
    <w:uiPriority w:val="0"/>
    <w:pPr>
      <w:spacing w:beforeAutospacing="1" w:afterAutospacing="1"/>
      <w:outlineLvl w:val="1"/>
    </w:pPr>
    <w:rPr>
      <w:rFonts w:hint="eastAsia" w:ascii="SimSun" w:hAnsi="SimSun" w:eastAsia="SimSun" w:cs="Shruti"/>
      <w:b/>
      <w:bCs/>
      <w:sz w:val="36"/>
      <w:szCs w:val="36"/>
      <w:lang w:val="en-US" w:eastAsia="zh-CN" w:bidi="gu-IN"/>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SimHei" w:cs="Arial"/>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pPr>
  </w:style>
  <w:style w:type="paragraph" w:styleId="34">
    <w:name w:val="envelope address"/>
    <w:basedOn w:val="1"/>
    <w:qFormat/>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qFormat/>
    <w:uiPriority w:val="99"/>
    <w:pPr>
      <w:spacing w:beforeAutospacing="1" w:afterAutospacing="1"/>
    </w:pPr>
    <w:rPr>
      <w:rFonts w:ascii="Times New Roman" w:hAnsi="Times New Roman" w:eastAsia="SimSun" w:cs="Shruti"/>
      <w:sz w:val="24"/>
      <w:szCs w:val="24"/>
      <w:lang w:val="en-US" w:eastAsia="zh-CN" w:bidi="gu-IN"/>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200"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249">
    <w:name w:val="A1"/>
    <w:basedOn w:val="1"/>
    <w:next w:val="1"/>
    <w:qFormat/>
    <w:uiPriority w:val="0"/>
    <w:pPr>
      <w:keepNext/>
      <w:keepLines/>
      <w:spacing w:before="280" w:after="290" w:line="376" w:lineRule="auto"/>
      <w:jc w:val="center"/>
      <w:outlineLvl w:val="4"/>
    </w:pPr>
    <w:rPr>
      <w:b/>
      <w:bCs/>
      <w:szCs w:val="28"/>
    </w:rPr>
  </w:style>
  <w:style w:type="character" w:customStyle="1" w:styleId="250">
    <w:name w:val="15"/>
    <w:basedOn w:val="11"/>
    <w:uiPriority w:val="0"/>
    <w:rPr>
      <w:rFonts w:hint="default" w:ascii="Times New Roman" w:hAnsi="Times New Roman" w:cs="Times New Roman"/>
      <w:b/>
      <w:bCs/>
    </w:rPr>
  </w:style>
  <w:style w:type="character" w:customStyle="1" w:styleId="251">
    <w:name w:val="whitespace-nowrap"/>
    <w:basedOn w:val="11"/>
    <w:qFormat/>
    <w:uiPriority w:val="0"/>
  </w:style>
  <w:style w:type="paragraph" w:styleId="252">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253">
    <w:name w:val="WPSOffice手动目录 2"/>
    <w:uiPriority w:val="0"/>
    <w:pPr>
      <w:ind w:leftChars="200"/>
    </w:pPr>
    <w:rPr>
      <w:sz w:val="20"/>
      <w:szCs w:val="20"/>
    </w:rPr>
  </w:style>
  <w:style w:type="paragraph" w:customStyle="1" w:styleId="254">
    <w:name w:val="WPSOffice手动目录 1"/>
    <w:uiPriority w:val="0"/>
    <w:pPr>
      <w:ind w:leftChars="0"/>
    </w:pPr>
    <w:rPr>
      <w:sz w:val="20"/>
      <w:szCs w:val="20"/>
    </w:rPr>
  </w:style>
  <w:style w:type="paragraph" w:customStyle="1" w:styleId="255">
    <w:name w:val="K1"/>
    <w:basedOn w:val="1"/>
    <w:next w:val="1"/>
    <w:uiPriority w:val="0"/>
    <w:pPr>
      <w:spacing w:beforeAutospacing="1" w:afterAutospacing="1" w:line="360" w:lineRule="auto"/>
      <w:jc w:val="both"/>
      <w:outlineLvl w:val="1"/>
    </w:pPr>
    <w:rPr>
      <w:rFonts w:ascii="Arial" w:hAnsi="Arial" w:eastAsia="SimSun" w:cs="Arial"/>
      <w:b/>
      <w:bCs/>
      <w:color w:val="0D0D0D" w:themeColor="text1" w:themeTint="F2"/>
      <w:sz w:val="22"/>
      <w:szCs w:val="22"/>
      <w:lang w:bidi="gu-IN"/>
      <w14:textFill>
        <w14:solidFill>
          <w14:schemeClr w14:val="tx1">
            <w14:lumMod w14:val="95000"/>
            <w14:lumOff w14:val="5000"/>
          </w14:schemeClr>
        </w14:solidFill>
      </w14:textFill>
    </w:rPr>
  </w:style>
  <w:style w:type="paragraph" w:customStyle="1" w:styleId="256">
    <w:name w:val="K2"/>
    <w:basedOn w:val="1"/>
    <w:next w:val="1"/>
    <w:uiPriority w:val="0"/>
    <w:pPr>
      <w:spacing w:before="260" w:after="260" w:line="360" w:lineRule="auto"/>
      <w:jc w:val="both"/>
      <w:outlineLvl w:val="2"/>
    </w:pPr>
    <w:rPr>
      <w:rFonts w:ascii="Arial" w:hAnsi="Arial" w:cs="Arial"/>
      <w:b/>
      <w:bCs/>
      <w:color w:val="0D0D0D" w:themeColor="text1" w:themeTint="F2"/>
      <w:sz w:val="22"/>
      <w:szCs w:val="22"/>
      <w14:textFill>
        <w14:solidFill>
          <w14:schemeClr w14:val="tx1">
            <w14:lumMod w14:val="95000"/>
            <w14:lumOff w14:val="5000"/>
          </w14:schemeClr>
        </w14:solidFill>
      </w14:textFill>
    </w:rPr>
  </w:style>
  <w:style w:type="paragraph" w:customStyle="1" w:styleId="257">
    <w:name w:val="K3"/>
    <w:basedOn w:val="1"/>
    <w:next w:val="1"/>
    <w:uiPriority w:val="0"/>
    <w:pPr>
      <w:spacing w:beforeAutospacing="1" w:afterAutospacing="1" w:line="360" w:lineRule="auto"/>
      <w:jc w:val="both"/>
      <w:outlineLvl w:val="1"/>
    </w:pPr>
    <w:rPr>
      <w:rFonts w:ascii="Arial" w:hAnsi="Arial" w:eastAsia="SimSun" w:cs="Arial"/>
      <w:b/>
      <w:bCs/>
      <w:sz w:val="22"/>
      <w:szCs w:val="22"/>
      <w:lang w:bidi="gu-IN"/>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80</Pages>
  <Words>19617</Words>
  <Characters>128688</Characters>
  <Lines>2109</Lines>
  <Paragraphs>460</Paragraphs>
  <TotalTime>4</TotalTime>
  <ScaleCrop>false</ScaleCrop>
  <LinksUpToDate>false</LinksUpToDate>
  <CharactersWithSpaces>147845</CharactersWithSpaces>
  <Application>WPS Office_12.2.0.21931_F1E327BC-269C-435d-A152-05C5408002CA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7</cp:revision>
  <dcterms:created xsi:type="dcterms:W3CDTF">2025-07-09T17:52:00Z</dcterms:created>
  <dcterms:modified xsi:type="dcterms:W3CDTF">2025-10-04T18:43:42Z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1033-12.2.0.21931</vt:lpwstr>
  </property>
  <property fmtid="{D5CDD505-2E9C-101B-9397-08002B2CF9AE}" pid="3" name="ICV">
    <vt:lpwstr>FD5A0AE8C7AD4E36A987804DF75A3035_11</vt:lpwstr>
  </property>
  <property fmtid="{D5CDD505-2E9C-101B-9397-08002B2CF9AE}" pid="4" name="GrammarlyDocumentId">
    <vt:lpwstr>66aededc-0c47-4f6b-a506-49708fa7458e</vt:lpwstr>
  </property>
</Properties>
</file>