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F3C90" w14:textId="2DA7F24F" w:rsidR="005B4F00" w:rsidRPr="00770719" w:rsidRDefault="005B4F00" w:rsidP="00770719">
      <w:pPr>
        <w:jc w:val="center"/>
        <w:rPr>
          <w:b/>
          <w:bCs/>
        </w:rPr>
      </w:pPr>
      <w:r w:rsidRPr="00770719">
        <w:rPr>
          <w:b/>
          <w:bCs/>
        </w:rPr>
        <w:t>Case study:</w:t>
      </w:r>
    </w:p>
    <w:p w14:paraId="46109A34" w14:textId="77777777" w:rsidR="009D6351" w:rsidRDefault="009D6351" w:rsidP="009D6351"/>
    <w:p w14:paraId="1F9833F4" w14:textId="77777777" w:rsidR="009D6351" w:rsidRDefault="009D6351" w:rsidP="009D6351"/>
    <w:p w14:paraId="0955001D" w14:textId="77777777" w:rsidR="009D6351" w:rsidRDefault="009D6351" w:rsidP="009D6351"/>
    <w:p w14:paraId="31CBFC8B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Trauma-informed goals</w:t>
      </w:r>
    </w:p>
    <w:p w14:paraId="79A4384F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Goal 1 – Restore day-to-day safety, predictability and emotional regulation</w:t>
      </w:r>
    </w:p>
    <w:p w14:paraId="2C112A68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Timeframe:</w:t>
      </w:r>
      <w:r w:rsidRPr="009D6351">
        <w:rPr>
          <w:rFonts w:ascii="Arial" w:hAnsi="Arial" w:cs="Arial"/>
        </w:rPr>
        <w:t xml:space="preserve"> 3–6 months</w:t>
      </w:r>
    </w:p>
    <w:p w14:paraId="2994AD6D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Plan:</w:t>
      </w:r>
    </w:p>
    <w:p w14:paraId="47CDF9AD" w14:textId="77777777" w:rsidR="009D6351" w:rsidRPr="009D6351" w:rsidRDefault="009D6351" w:rsidP="009D6351">
      <w:pPr>
        <w:numPr>
          <w:ilvl w:val="0"/>
          <w:numId w:val="5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Agree a simple written </w:t>
      </w:r>
      <w:r w:rsidRPr="009D6351">
        <w:rPr>
          <w:rFonts w:ascii="Arial" w:hAnsi="Arial" w:cs="Arial"/>
          <w:b/>
          <w:bCs/>
        </w:rPr>
        <w:t>safety and support plan</w:t>
      </w:r>
      <w:r w:rsidRPr="009D6351">
        <w:rPr>
          <w:rFonts w:ascii="Arial" w:hAnsi="Arial" w:cs="Arial"/>
        </w:rPr>
        <w:t xml:space="preserve"> with Emily, her foster carers and a named key adult at school (for example, pastoral lead).</w:t>
      </w:r>
    </w:p>
    <w:p w14:paraId="43F03BD6" w14:textId="77777777" w:rsidR="009D6351" w:rsidRPr="009D6351" w:rsidRDefault="009D6351" w:rsidP="009D6351">
      <w:pPr>
        <w:numPr>
          <w:ilvl w:val="0"/>
          <w:numId w:val="5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Establish </w:t>
      </w:r>
      <w:r w:rsidRPr="009D6351">
        <w:rPr>
          <w:rFonts w:ascii="Arial" w:hAnsi="Arial" w:cs="Arial"/>
          <w:b/>
          <w:bCs/>
        </w:rPr>
        <w:t>predictable routines</w:t>
      </w:r>
      <w:r w:rsidRPr="009D6351">
        <w:rPr>
          <w:rFonts w:ascii="Arial" w:hAnsi="Arial" w:cs="Arial"/>
        </w:rPr>
        <w:t xml:space="preserve"> at home and school (regular mealtimes, homework and sleep patterns, advance warning of changes).</w:t>
      </w:r>
    </w:p>
    <w:p w14:paraId="72346059" w14:textId="77777777" w:rsidR="009D6351" w:rsidRPr="009D6351" w:rsidRDefault="009D6351" w:rsidP="009D6351">
      <w:pPr>
        <w:numPr>
          <w:ilvl w:val="0"/>
          <w:numId w:val="5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Create agreed </w:t>
      </w:r>
      <w:r w:rsidRPr="009D6351">
        <w:rPr>
          <w:rFonts w:ascii="Arial" w:hAnsi="Arial" w:cs="Arial"/>
          <w:b/>
          <w:bCs/>
        </w:rPr>
        <w:t>“time-out” signals and spaces</w:t>
      </w:r>
      <w:r w:rsidRPr="009D6351">
        <w:rPr>
          <w:rFonts w:ascii="Arial" w:hAnsi="Arial" w:cs="Arial"/>
        </w:rPr>
        <w:t xml:space="preserve"> Emily can use when overwhelmed (quiet corner at home; calm space in school).</w:t>
      </w:r>
    </w:p>
    <w:p w14:paraId="5E612DD7" w14:textId="77777777" w:rsidR="009D6351" w:rsidRPr="009D6351" w:rsidRDefault="009D6351" w:rsidP="009D6351">
      <w:pPr>
        <w:numPr>
          <w:ilvl w:val="0"/>
          <w:numId w:val="5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Teach basic </w:t>
      </w:r>
      <w:r w:rsidRPr="009D6351">
        <w:rPr>
          <w:rFonts w:ascii="Arial" w:hAnsi="Arial" w:cs="Arial"/>
          <w:b/>
          <w:bCs/>
        </w:rPr>
        <w:t>emotion-regulation skills</w:t>
      </w:r>
      <w:r w:rsidRPr="009D6351">
        <w:rPr>
          <w:rFonts w:ascii="Arial" w:hAnsi="Arial" w:cs="Arial"/>
        </w:rPr>
        <w:t xml:space="preserve"> (grounding, breathing, body-based calming) alongside carers, so they can coach and model these.</w:t>
      </w:r>
    </w:p>
    <w:p w14:paraId="51288684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Justification:</w:t>
      </w:r>
      <w:r w:rsidRPr="009D6351">
        <w:rPr>
          <w:rFonts w:ascii="Arial" w:hAnsi="Arial" w:cs="Arial"/>
        </w:rPr>
        <w:br/>
        <w:t>Research conducted by Bunting et al. (2019) shows that looked-after children with abuse histories have very high rates of trauma-related distress, and that whole-system trauma-informed practice must start by increasing felt safety and predictability in everyday care.</w:t>
      </w:r>
      <w:r w:rsidRPr="009D6351">
        <w:rPr>
          <w:rFonts w:ascii="Arial" w:hAnsi="Arial" w:cs="Arial"/>
        </w:rPr>
        <w:br/>
        <w:t>The Trauma-Informed Wales framework places “safety, trust and choice” at the foundation of support, emphasising consistent routines and emotionally regulated adults.</w:t>
      </w:r>
      <w:r w:rsidRPr="009D6351">
        <w:rPr>
          <w:rFonts w:ascii="Arial" w:hAnsi="Arial" w:cs="Arial"/>
        </w:rPr>
        <w:br/>
        <w:t>Guidance for looked-after children from the National Institute for Health and Care Excellence (NICE) stresses the importance of stable, nurturing relationships and clear expectations in foster placements.</w:t>
      </w:r>
    </w:p>
    <w:p w14:paraId="1ABD67FF" w14:textId="77777777" w:rsidR="009D6351" w:rsidRPr="009D6351" w:rsidRDefault="009D6351" w:rsidP="009D6351">
      <w:pPr>
        <w:rPr>
          <w:rFonts w:ascii="Arial" w:hAnsi="Arial" w:cs="Arial"/>
        </w:rPr>
      </w:pPr>
    </w:p>
    <w:p w14:paraId="6F4B66A5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Goal 2 – Reduce trauma-related symptoms and shame through evidence-based therapy</w:t>
      </w:r>
    </w:p>
    <w:p w14:paraId="3AADACF2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Timeframe:</w:t>
      </w:r>
      <w:r w:rsidRPr="009D6351">
        <w:rPr>
          <w:rFonts w:ascii="Arial" w:hAnsi="Arial" w:cs="Arial"/>
        </w:rPr>
        <w:t xml:space="preserve"> 6–12 months</w:t>
      </w:r>
    </w:p>
    <w:p w14:paraId="33D0940F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Plan:</w:t>
      </w:r>
    </w:p>
    <w:p w14:paraId="63CCDC9D" w14:textId="77777777" w:rsidR="009D6351" w:rsidRPr="009D6351" w:rsidRDefault="009D6351" w:rsidP="009D6351">
      <w:pPr>
        <w:numPr>
          <w:ilvl w:val="0"/>
          <w:numId w:val="6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Refer Emily to Child and Adolescent Mental Health Services (CAMHS) or a specialist sexual abuse/trauma service for </w:t>
      </w:r>
      <w:r w:rsidRPr="009D6351">
        <w:rPr>
          <w:rFonts w:ascii="Arial" w:hAnsi="Arial" w:cs="Arial"/>
          <w:b/>
          <w:bCs/>
        </w:rPr>
        <w:t>individual trauma-focused cognitive behavioural therapy (TF-CBT)</w:t>
      </w:r>
      <w:r w:rsidRPr="009D6351">
        <w:rPr>
          <w:rFonts w:ascii="Arial" w:hAnsi="Arial" w:cs="Arial"/>
        </w:rPr>
        <w:t>.</w:t>
      </w:r>
    </w:p>
    <w:p w14:paraId="453852B8" w14:textId="77777777" w:rsidR="009D6351" w:rsidRPr="009D6351" w:rsidRDefault="009D6351" w:rsidP="009D6351">
      <w:pPr>
        <w:numPr>
          <w:ilvl w:val="0"/>
          <w:numId w:val="6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lastRenderedPageBreak/>
        <w:t xml:space="preserve">Offer 12–20 weekly sessions, flexed to need, including psychoeducation, emotion regulation, trauma narrative and work on self-blame, with </w:t>
      </w:r>
      <w:r w:rsidRPr="009D6351">
        <w:rPr>
          <w:rFonts w:ascii="Arial" w:hAnsi="Arial" w:cs="Arial"/>
          <w:b/>
          <w:bCs/>
        </w:rPr>
        <w:t>involvement of foster carers</w:t>
      </w:r>
      <w:r w:rsidRPr="009D6351">
        <w:rPr>
          <w:rFonts w:ascii="Arial" w:hAnsi="Arial" w:cs="Arial"/>
        </w:rPr>
        <w:t xml:space="preserve"> where appropriate.</w:t>
      </w:r>
    </w:p>
    <w:p w14:paraId="1CCA34F6" w14:textId="77777777" w:rsidR="009D6351" w:rsidRPr="009D6351" w:rsidRDefault="009D6351" w:rsidP="009D6351">
      <w:pPr>
        <w:numPr>
          <w:ilvl w:val="0"/>
          <w:numId w:val="6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If Emily cannot engage with TF-CBT after a genuine attempt, consider </w:t>
      </w:r>
      <w:r w:rsidRPr="009D6351">
        <w:rPr>
          <w:rFonts w:ascii="Arial" w:hAnsi="Arial" w:cs="Arial"/>
          <w:b/>
          <w:bCs/>
        </w:rPr>
        <w:t>Eye Movement Desensitisation and Reprocessing (EMDR)</w:t>
      </w:r>
      <w:r w:rsidRPr="009D6351">
        <w:rPr>
          <w:rFonts w:ascii="Arial" w:hAnsi="Arial" w:cs="Arial"/>
        </w:rPr>
        <w:t xml:space="preserve"> delivered by a trained clinician, in line with guidance.</w:t>
      </w:r>
    </w:p>
    <w:p w14:paraId="145E8C39" w14:textId="77777777" w:rsidR="009D6351" w:rsidRPr="009D6351" w:rsidRDefault="009D6351" w:rsidP="009D6351">
      <w:pPr>
        <w:numPr>
          <w:ilvl w:val="0"/>
          <w:numId w:val="6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>Review risk (self-harm, suicidal thoughts, sexual exploitation risk) regularly within therapy and multi-agency meetings.</w:t>
      </w:r>
    </w:p>
    <w:p w14:paraId="0A362BCB" w14:textId="1D1879E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Justification:</w:t>
      </w:r>
      <w:r w:rsidRPr="009D6351">
        <w:rPr>
          <w:rFonts w:ascii="Arial" w:hAnsi="Arial" w:cs="Arial"/>
        </w:rPr>
        <w:br/>
        <w:t xml:space="preserve">The NICE post-traumatic stress disorder guideline recommends individual trauma-focused CBT as the </w:t>
      </w:r>
      <w:r w:rsidRPr="009D6351">
        <w:rPr>
          <w:rFonts w:ascii="Arial" w:hAnsi="Arial" w:cs="Arial"/>
          <w:b/>
          <w:bCs/>
        </w:rPr>
        <w:t>first-line treatment</w:t>
      </w:r>
      <w:r w:rsidRPr="009D6351">
        <w:rPr>
          <w:rFonts w:ascii="Arial" w:hAnsi="Arial" w:cs="Arial"/>
        </w:rPr>
        <w:t xml:space="preserve"> for children and young people with post-traumatic stress symptoms, with EMDR considered when TF-CBT is not effective or acceptable.</w:t>
      </w:r>
      <w:r w:rsidRPr="009D6351">
        <w:rPr>
          <w:rFonts w:ascii="Arial" w:hAnsi="Arial" w:cs="Arial"/>
        </w:rPr>
        <w:br/>
        <w:t xml:space="preserve">A network meta-analysis conducted by </w:t>
      </w:r>
      <w:proofErr w:type="spellStart"/>
      <w:r w:rsidRPr="009D6351">
        <w:rPr>
          <w:rFonts w:ascii="Arial" w:hAnsi="Arial" w:cs="Arial"/>
        </w:rPr>
        <w:t>Mavranezouli</w:t>
      </w:r>
      <w:proofErr w:type="spellEnd"/>
      <w:r w:rsidRPr="009D6351">
        <w:rPr>
          <w:rFonts w:ascii="Arial" w:hAnsi="Arial" w:cs="Arial"/>
        </w:rPr>
        <w:t xml:space="preserve"> et al. (2020) found that trauma-focused CBT shows the most consistent benefits for post-traumatic stress disorder symptoms in children and young people compared with other psychological interventions.</w:t>
      </w:r>
      <w:r w:rsidRPr="009D6351">
        <w:rPr>
          <w:rFonts w:ascii="Arial" w:hAnsi="Arial" w:cs="Arial"/>
        </w:rPr>
        <w:br/>
        <w:t xml:space="preserve">NHS </w:t>
      </w:r>
      <w:proofErr w:type="spellStart"/>
      <w:r w:rsidRPr="009D6351">
        <w:rPr>
          <w:rFonts w:ascii="Arial" w:hAnsi="Arial" w:cs="Arial"/>
        </w:rPr>
        <w:t>Wales’</w:t>
      </w:r>
      <w:proofErr w:type="spellEnd"/>
      <w:r w:rsidRPr="009D6351">
        <w:rPr>
          <w:rFonts w:ascii="Arial" w:hAnsi="Arial" w:cs="Arial"/>
        </w:rPr>
        <w:t xml:space="preserve"> Traumatic Stress Wales</w:t>
      </w:r>
      <w:r w:rsidR="00AE07B6">
        <w:rPr>
          <w:rFonts w:ascii="Arial" w:hAnsi="Arial" w:cs="Arial"/>
        </w:rPr>
        <w:t xml:space="preserve"> (2023)</w:t>
      </w:r>
      <w:r w:rsidRPr="009D6351">
        <w:rPr>
          <w:rFonts w:ascii="Arial" w:hAnsi="Arial" w:cs="Arial"/>
        </w:rPr>
        <w:t xml:space="preserve"> programme summarises this evidence and highlights TF-CBT as first-line for children and young people with post-traumatic stress disorder, with EMDR as an additional option.</w:t>
      </w:r>
    </w:p>
    <w:p w14:paraId="5B3AD05A" w14:textId="77777777" w:rsidR="009D6351" w:rsidRPr="009D6351" w:rsidRDefault="009D6351" w:rsidP="009D6351">
      <w:pPr>
        <w:rPr>
          <w:rFonts w:ascii="Arial" w:hAnsi="Arial" w:cs="Arial"/>
        </w:rPr>
      </w:pPr>
    </w:p>
    <w:p w14:paraId="7A580314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Goal 3 – Strengthen relationships, learning and peer connection</w:t>
      </w:r>
    </w:p>
    <w:p w14:paraId="1D7B162C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Timeframe:</w:t>
      </w:r>
      <w:r w:rsidRPr="009D6351">
        <w:rPr>
          <w:rFonts w:ascii="Arial" w:hAnsi="Arial" w:cs="Arial"/>
        </w:rPr>
        <w:t xml:space="preserve"> 6 months</w:t>
      </w:r>
    </w:p>
    <w:p w14:paraId="160E4BDC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Plan:</w:t>
      </w:r>
    </w:p>
    <w:p w14:paraId="3D810167" w14:textId="77777777" w:rsidR="009D6351" w:rsidRPr="009D6351" w:rsidRDefault="009D6351" w:rsidP="009D6351">
      <w:pPr>
        <w:numPr>
          <w:ilvl w:val="0"/>
          <w:numId w:val="7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Support foster carers to use a </w:t>
      </w:r>
      <w:r w:rsidRPr="009D6351">
        <w:rPr>
          <w:rFonts w:ascii="Arial" w:hAnsi="Arial" w:cs="Arial"/>
          <w:b/>
          <w:bCs/>
        </w:rPr>
        <w:t>relationship-based, trauma-informed parenting style</w:t>
      </w:r>
      <w:r w:rsidRPr="009D6351">
        <w:rPr>
          <w:rFonts w:ascii="Arial" w:hAnsi="Arial" w:cs="Arial"/>
        </w:rPr>
        <w:t xml:space="preserve"> (for example, warm, predictable responses; curiosity about behaviour; repair after conflict), using structured psychoeducation and consultation.</w:t>
      </w:r>
    </w:p>
    <w:p w14:paraId="191F9507" w14:textId="77777777" w:rsidR="009D6351" w:rsidRPr="009D6351" w:rsidRDefault="009D6351" w:rsidP="009D6351">
      <w:pPr>
        <w:numPr>
          <w:ilvl w:val="0"/>
          <w:numId w:val="7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Agree adjustments in school: a </w:t>
      </w:r>
      <w:r w:rsidRPr="009D6351">
        <w:rPr>
          <w:rFonts w:ascii="Arial" w:hAnsi="Arial" w:cs="Arial"/>
          <w:b/>
          <w:bCs/>
        </w:rPr>
        <w:t>named key adult</w:t>
      </w:r>
      <w:r w:rsidRPr="009D6351">
        <w:rPr>
          <w:rFonts w:ascii="Arial" w:hAnsi="Arial" w:cs="Arial"/>
        </w:rPr>
        <w:t>, flexible deadlines, reduced exposure to triggering content, seating away from identified triggers, and a safe space for breaks.</w:t>
      </w:r>
    </w:p>
    <w:p w14:paraId="6BA4E164" w14:textId="77777777" w:rsidR="009D6351" w:rsidRPr="009D6351" w:rsidRDefault="009D6351" w:rsidP="009D6351">
      <w:pPr>
        <w:numPr>
          <w:ilvl w:val="0"/>
          <w:numId w:val="7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Use Emily’s strengths – writing, drawing and music – in </w:t>
      </w:r>
      <w:r w:rsidRPr="009D6351">
        <w:rPr>
          <w:rFonts w:ascii="Arial" w:hAnsi="Arial" w:cs="Arial"/>
          <w:b/>
          <w:bCs/>
        </w:rPr>
        <w:t>structured creative activities</w:t>
      </w:r>
      <w:r w:rsidRPr="009D6351">
        <w:rPr>
          <w:rFonts w:ascii="Arial" w:hAnsi="Arial" w:cs="Arial"/>
        </w:rPr>
        <w:t xml:space="preserve"> (for example, journalling, art projects, playlists) to help her express feelings and reconnect with identity beyond “victim”.</w:t>
      </w:r>
    </w:p>
    <w:p w14:paraId="2F67ADD8" w14:textId="77777777" w:rsidR="009D6351" w:rsidRPr="009D6351" w:rsidRDefault="009D6351" w:rsidP="009D6351">
      <w:pPr>
        <w:numPr>
          <w:ilvl w:val="0"/>
          <w:numId w:val="7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Facilitate </w:t>
      </w:r>
      <w:r w:rsidRPr="009D6351">
        <w:rPr>
          <w:rFonts w:ascii="Arial" w:hAnsi="Arial" w:cs="Arial"/>
          <w:b/>
          <w:bCs/>
        </w:rPr>
        <w:t>safe, graded peer contact</w:t>
      </w:r>
      <w:r w:rsidRPr="009D6351">
        <w:rPr>
          <w:rFonts w:ascii="Arial" w:hAnsi="Arial" w:cs="Arial"/>
        </w:rPr>
        <w:t xml:space="preserve"> (small groups, clubs linked to her interests) rather than pressuring her into large or unstructured social settings.</w:t>
      </w:r>
    </w:p>
    <w:p w14:paraId="3784FC54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lastRenderedPageBreak/>
        <w:t>Justification:</w:t>
      </w:r>
      <w:r w:rsidRPr="009D6351">
        <w:rPr>
          <w:rFonts w:ascii="Arial" w:hAnsi="Arial" w:cs="Arial"/>
        </w:rPr>
        <w:br/>
        <w:t>NICE guidance on looked-after children emphasises that warm, nurturing care and trusted relationships with both carers and key professionals are central to emotional recovery and improved educational outcomes.</w:t>
      </w:r>
      <w:r w:rsidRPr="009D6351">
        <w:rPr>
          <w:rFonts w:ascii="Arial" w:hAnsi="Arial" w:cs="Arial"/>
        </w:rPr>
        <w:br/>
        <w:t>Bunting et al. (2019) argue that trauma-informed child welfare systems must deliberately support carer-child relationships and cross-agency collaboration, not just offer therapy to the child in isolation.</w:t>
      </w:r>
      <w:r w:rsidRPr="009D6351">
        <w:rPr>
          <w:rFonts w:ascii="Arial" w:hAnsi="Arial" w:cs="Arial"/>
        </w:rPr>
        <w:br/>
        <w:t>Public Health Wales reports on trauma-informed whole-school approaches show that when schools embed relational safety, predictable routines and emotional literacy, pupils report improved belonging and engagement in learning.</w:t>
      </w:r>
    </w:p>
    <w:p w14:paraId="03D0F996" w14:textId="77777777" w:rsidR="009D6351" w:rsidRPr="009D6351" w:rsidRDefault="009D6351" w:rsidP="009D6351">
      <w:pPr>
        <w:rPr>
          <w:rFonts w:ascii="Arial" w:hAnsi="Arial" w:cs="Arial"/>
        </w:rPr>
      </w:pPr>
    </w:p>
    <w:p w14:paraId="0303A585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Trauma-informed approach (interventions, frequency and challenges)</w:t>
      </w:r>
    </w:p>
    <w:p w14:paraId="3DF1915E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1. Psychological therapy</w:t>
      </w:r>
    </w:p>
    <w:p w14:paraId="7762A9E0" w14:textId="77777777" w:rsidR="009D6351" w:rsidRPr="009D6351" w:rsidRDefault="009D6351" w:rsidP="009D6351">
      <w:pPr>
        <w:numPr>
          <w:ilvl w:val="0"/>
          <w:numId w:val="8"/>
        </w:num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Intervention:</w:t>
      </w:r>
      <w:r w:rsidRPr="009D6351">
        <w:rPr>
          <w:rFonts w:ascii="Arial" w:hAnsi="Arial" w:cs="Arial"/>
        </w:rPr>
        <w:t xml:space="preserve"> Individual TF-CBT, 50–60 minutes weekly for around 12–20 sessions, with review after 8 sessions.</w:t>
      </w:r>
    </w:p>
    <w:p w14:paraId="1F1BE858" w14:textId="77777777" w:rsidR="009D6351" w:rsidRPr="009D6351" w:rsidRDefault="009D6351" w:rsidP="009D6351">
      <w:pPr>
        <w:numPr>
          <w:ilvl w:val="0"/>
          <w:numId w:val="8"/>
        </w:num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Focus:</w:t>
      </w:r>
      <w:r w:rsidRPr="009D6351">
        <w:rPr>
          <w:rFonts w:ascii="Arial" w:hAnsi="Arial" w:cs="Arial"/>
        </w:rPr>
        <w:t xml:space="preserve"> psychoeducation about trauma, emotional regulation skills, graded exposure to trauma memories through narrative work, addressing guilt/shame, building future safety.</w:t>
      </w:r>
    </w:p>
    <w:p w14:paraId="0CAD3616" w14:textId="77777777" w:rsidR="009D6351" w:rsidRPr="009D6351" w:rsidRDefault="009D6351" w:rsidP="009D6351">
      <w:pPr>
        <w:numPr>
          <w:ilvl w:val="0"/>
          <w:numId w:val="8"/>
        </w:num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Involvement of carers:</w:t>
      </w:r>
      <w:r w:rsidRPr="009D6351">
        <w:rPr>
          <w:rFonts w:ascii="Arial" w:hAnsi="Arial" w:cs="Arial"/>
        </w:rPr>
        <w:t xml:space="preserve"> at key points, to help them understand triggers and support regulation at home.</w:t>
      </w:r>
    </w:p>
    <w:p w14:paraId="6C00B3B8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NICE guidance and the network meta-analysis by </w:t>
      </w:r>
      <w:proofErr w:type="spellStart"/>
      <w:r w:rsidRPr="009D6351">
        <w:rPr>
          <w:rFonts w:ascii="Arial" w:hAnsi="Arial" w:cs="Arial"/>
        </w:rPr>
        <w:t>Mavranezouli</w:t>
      </w:r>
      <w:proofErr w:type="spellEnd"/>
      <w:r w:rsidRPr="009D6351">
        <w:rPr>
          <w:rFonts w:ascii="Arial" w:hAnsi="Arial" w:cs="Arial"/>
        </w:rPr>
        <w:t xml:space="preserve"> et al. (2020) both conclude that trauma-focused CBT offers the strongest evidence of benefit for post-traumatic stress disorder in children and young people, including those who have experienced abuse.</w:t>
      </w:r>
    </w:p>
    <w:p w14:paraId="71FB8FDA" w14:textId="4F695C56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>If TF-CBT proves unacceptable or ineffective, EMDR can be considered as a structured, trauma-focused alternative, again consistent with NICE recommendations and summarised by Traumatic Stress Wales</w:t>
      </w:r>
      <w:r w:rsidR="00AE07B6">
        <w:rPr>
          <w:rFonts w:ascii="Arial" w:hAnsi="Arial" w:cs="Arial"/>
        </w:rPr>
        <w:t xml:space="preserve"> (2023)</w:t>
      </w:r>
      <w:r w:rsidRPr="009D6351">
        <w:rPr>
          <w:rFonts w:ascii="Arial" w:hAnsi="Arial" w:cs="Arial"/>
        </w:rPr>
        <w:t>.</w:t>
      </w:r>
    </w:p>
    <w:p w14:paraId="5ACAA1B1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Expected challenges:</w:t>
      </w:r>
      <w:r w:rsidRPr="009D6351">
        <w:rPr>
          <w:rFonts w:ascii="Arial" w:hAnsi="Arial" w:cs="Arial"/>
        </w:rPr>
        <w:t xml:space="preserve"> Emily may mistrust professionals, feel intense shame and worry about “reliving” the abuse. Therapy may need a </w:t>
      </w:r>
      <w:r w:rsidRPr="009D6351">
        <w:rPr>
          <w:rFonts w:ascii="Arial" w:hAnsi="Arial" w:cs="Arial"/>
          <w:b/>
          <w:bCs/>
        </w:rPr>
        <w:t>longer engagement phase</w:t>
      </w:r>
      <w:r w:rsidRPr="009D6351">
        <w:rPr>
          <w:rFonts w:ascii="Arial" w:hAnsi="Arial" w:cs="Arial"/>
        </w:rPr>
        <w:t>, with clear boundaries, collaborative goal setting and the option to slow down or pause trauma narrative work without penalty.</w:t>
      </w:r>
    </w:p>
    <w:p w14:paraId="2AA9FB1D" w14:textId="77777777" w:rsidR="009D6351" w:rsidRPr="009D6351" w:rsidRDefault="009D6351" w:rsidP="009D6351">
      <w:pPr>
        <w:rPr>
          <w:rFonts w:ascii="Arial" w:hAnsi="Arial" w:cs="Arial"/>
        </w:rPr>
      </w:pPr>
    </w:p>
    <w:p w14:paraId="56134C05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2. Creative and strengths-based work</w:t>
      </w:r>
    </w:p>
    <w:p w14:paraId="3D583668" w14:textId="77777777" w:rsidR="009D6351" w:rsidRPr="009D6351" w:rsidRDefault="009D6351" w:rsidP="009D6351">
      <w:pPr>
        <w:numPr>
          <w:ilvl w:val="0"/>
          <w:numId w:val="9"/>
        </w:num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Intervention:</w:t>
      </w:r>
      <w:r w:rsidRPr="009D6351">
        <w:rPr>
          <w:rFonts w:ascii="Arial" w:hAnsi="Arial" w:cs="Arial"/>
        </w:rPr>
        <w:t xml:space="preserve"> Regular, structured creative sessions (for example, weekly small-group or one-to-one art/writing sessions in school or community services) that integrate grounding and reflection rather than “free” uncontained expression.</w:t>
      </w:r>
    </w:p>
    <w:p w14:paraId="7C2BFE68" w14:textId="77777777" w:rsidR="009D6351" w:rsidRPr="009D6351" w:rsidRDefault="009D6351" w:rsidP="009D6351">
      <w:pPr>
        <w:numPr>
          <w:ilvl w:val="0"/>
          <w:numId w:val="9"/>
        </w:num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lastRenderedPageBreak/>
        <w:t>Rationale:</w:t>
      </w:r>
      <w:r w:rsidRPr="009D6351">
        <w:rPr>
          <w:rFonts w:ascii="Arial" w:hAnsi="Arial" w:cs="Arial"/>
        </w:rPr>
        <w:t xml:space="preserve"> A systematic review and meta-analysis by Morison et al. (2022) found that creative arts-based interventions can significantly reduce post-traumatic stress disorder symptoms and negative mood in children and adolescents exposed to trauma.</w:t>
      </w:r>
    </w:p>
    <w:p w14:paraId="3ECBD8B0" w14:textId="77777777" w:rsidR="009D6351" w:rsidRPr="009D6351" w:rsidRDefault="009D6351" w:rsidP="009D6351">
      <w:pPr>
        <w:numPr>
          <w:ilvl w:val="0"/>
          <w:numId w:val="9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>A narrative review by Bosgraaf et al. (2020) shows that art therapy offers flexible ways of expression and therapist responses, which can be tailored to a young person’s needs and support emotional processing and self-esteem.</w:t>
      </w:r>
    </w:p>
    <w:p w14:paraId="2D44A9FC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Expected challenges:</w:t>
      </w:r>
      <w:r w:rsidRPr="009D6351">
        <w:rPr>
          <w:rFonts w:ascii="Arial" w:hAnsi="Arial" w:cs="Arial"/>
        </w:rPr>
        <w:t xml:space="preserve"> Creative work can uncover powerful emotions; it requires clear boundaries, skilled facilitation and good liaison with the therapist to avoid re-traumatisation or emotional “fall-out” being left to carers or teachers to manage alone.</w:t>
      </w:r>
    </w:p>
    <w:p w14:paraId="3E39FE6A" w14:textId="77777777" w:rsidR="009D6351" w:rsidRPr="009D6351" w:rsidRDefault="009D6351" w:rsidP="009D6351">
      <w:pPr>
        <w:rPr>
          <w:rFonts w:ascii="Arial" w:hAnsi="Arial" w:cs="Arial"/>
        </w:rPr>
      </w:pPr>
    </w:p>
    <w:p w14:paraId="51E2087D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3. Carer- and school-focused interventions</w:t>
      </w:r>
    </w:p>
    <w:p w14:paraId="676C9766" w14:textId="77777777" w:rsidR="009D6351" w:rsidRPr="009D6351" w:rsidRDefault="009D6351" w:rsidP="009D6351">
      <w:pPr>
        <w:numPr>
          <w:ilvl w:val="0"/>
          <w:numId w:val="10"/>
        </w:num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Foster carers:</w:t>
      </w:r>
      <w:r w:rsidRPr="009D6351">
        <w:rPr>
          <w:rFonts w:ascii="Arial" w:hAnsi="Arial" w:cs="Arial"/>
        </w:rPr>
        <w:t xml:space="preserve"> Provide structured </w:t>
      </w:r>
      <w:r w:rsidRPr="009D6351">
        <w:rPr>
          <w:rFonts w:ascii="Arial" w:hAnsi="Arial" w:cs="Arial"/>
          <w:b/>
          <w:bCs/>
        </w:rPr>
        <w:t>trauma-informed training and consultation</w:t>
      </w:r>
      <w:r w:rsidRPr="009D6351">
        <w:rPr>
          <w:rFonts w:ascii="Arial" w:hAnsi="Arial" w:cs="Arial"/>
        </w:rPr>
        <w:t xml:space="preserve"> to foster carers, focusing on how trauma affects the brain, behaviour and relationships, and on practical responses (consistent routines, co-regulation, non-punitive boundaries).</w:t>
      </w:r>
      <w:r w:rsidRPr="009D6351">
        <w:rPr>
          <w:rFonts w:ascii="Arial" w:hAnsi="Arial" w:cs="Arial"/>
        </w:rPr>
        <w:br/>
        <w:t>Evidence reviewed by Bunting et al. (2019) indicates that trauma-informed child welfare systems work best when carers receive ongoing support, not just one-off training.</w:t>
      </w:r>
    </w:p>
    <w:p w14:paraId="4BF904C9" w14:textId="77777777" w:rsidR="009D6351" w:rsidRPr="009D6351" w:rsidRDefault="009D6351" w:rsidP="009D6351">
      <w:pPr>
        <w:numPr>
          <w:ilvl w:val="0"/>
          <w:numId w:val="10"/>
        </w:num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School:</w:t>
      </w:r>
      <w:r w:rsidRPr="009D6351">
        <w:rPr>
          <w:rFonts w:ascii="Arial" w:hAnsi="Arial" w:cs="Arial"/>
        </w:rPr>
        <w:t xml:space="preserve"> Work with the school to implement proportionate, trauma-informed strategies: a key adult for Emily; predictable classroom routines; relational responses to behaviour; access to counselling or wellbeing provision; and involvement in the wider whole-school emotional wellbeing framework described by Public Health Wales.</w:t>
      </w:r>
    </w:p>
    <w:p w14:paraId="2B397FF8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  <w:b/>
          <w:bCs/>
        </w:rPr>
        <w:t>Expected challenges:</w:t>
      </w:r>
      <w:r w:rsidRPr="009D6351">
        <w:rPr>
          <w:rFonts w:ascii="Arial" w:hAnsi="Arial" w:cs="Arial"/>
        </w:rPr>
        <w:t xml:space="preserve"> Schools and carers often operate under high pressure. The rapid review by Public Health England on trauma-informed approaches highlights that sustained impact depends on leadership commitment, staff training and realistic expectations about the pace of change.</w:t>
      </w:r>
    </w:p>
    <w:p w14:paraId="57EF049D" w14:textId="77777777" w:rsidR="009D6351" w:rsidRPr="009D6351" w:rsidRDefault="009D6351" w:rsidP="009D6351">
      <w:pPr>
        <w:rPr>
          <w:rFonts w:ascii="Arial" w:hAnsi="Arial" w:cs="Arial"/>
        </w:rPr>
      </w:pPr>
    </w:p>
    <w:p w14:paraId="0790EBBB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4. Multi-agency coordination and phasing</w:t>
      </w:r>
    </w:p>
    <w:p w14:paraId="5DB01F9A" w14:textId="77777777" w:rsidR="009D6351" w:rsidRPr="009D6351" w:rsidRDefault="009D6351" w:rsidP="009D6351">
      <w:pPr>
        <w:numPr>
          <w:ilvl w:val="0"/>
          <w:numId w:val="11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Hold regular </w:t>
      </w:r>
      <w:r w:rsidRPr="009D6351">
        <w:rPr>
          <w:rFonts w:ascii="Arial" w:hAnsi="Arial" w:cs="Arial"/>
          <w:b/>
          <w:bCs/>
        </w:rPr>
        <w:t>multi-agency meetings</w:t>
      </w:r>
      <w:r w:rsidRPr="009D6351">
        <w:rPr>
          <w:rFonts w:ascii="Arial" w:hAnsi="Arial" w:cs="Arial"/>
        </w:rPr>
        <w:t xml:space="preserve"> (for example, every 8–12 weeks) including the social worker, foster carers, school, therapist and, where appropriate, Emily, to review progress, risk and goals.</w:t>
      </w:r>
    </w:p>
    <w:p w14:paraId="48B93967" w14:textId="77777777" w:rsidR="009D6351" w:rsidRPr="009D6351" w:rsidRDefault="009D6351" w:rsidP="009D6351">
      <w:pPr>
        <w:numPr>
          <w:ilvl w:val="0"/>
          <w:numId w:val="11"/>
        </w:num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Use the </w:t>
      </w:r>
      <w:r w:rsidRPr="009D6351">
        <w:rPr>
          <w:rFonts w:ascii="Arial" w:hAnsi="Arial" w:cs="Arial"/>
          <w:b/>
          <w:bCs/>
        </w:rPr>
        <w:t>Trauma-Informed Wales framework</w:t>
      </w:r>
      <w:r w:rsidRPr="009D6351">
        <w:rPr>
          <w:rFonts w:ascii="Arial" w:hAnsi="Arial" w:cs="Arial"/>
        </w:rPr>
        <w:t xml:space="preserve"> to keep practice phased: stabilisation and safety first, then trauma processing, then consolidation and reconnection.</w:t>
      </w:r>
    </w:p>
    <w:p w14:paraId="04DBF1D3" w14:textId="77777777" w:rsidR="009D6351" w:rsidRPr="009D6351" w:rsidRDefault="009D6351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lastRenderedPageBreak/>
        <w:t>Public Health England’s rapid review of trauma-informed approaches concludes that, while the evidence base is still developing, multi-level, system-wide models show the most promise for improving mental health and wellbeing, particularly when young people’s voices are central to planning.</w:t>
      </w:r>
    </w:p>
    <w:p w14:paraId="04D8D11F" w14:textId="77777777" w:rsidR="009D6351" w:rsidRPr="009D6351" w:rsidRDefault="009D6351" w:rsidP="009D6351">
      <w:pPr>
        <w:rPr>
          <w:rFonts w:ascii="Arial" w:hAnsi="Arial" w:cs="Arial"/>
        </w:rPr>
      </w:pPr>
    </w:p>
    <w:p w14:paraId="0CDB3ED9" w14:textId="77777777" w:rsidR="009D6351" w:rsidRPr="009D6351" w:rsidRDefault="009D6351" w:rsidP="009D6351">
      <w:pPr>
        <w:rPr>
          <w:rFonts w:ascii="Arial" w:hAnsi="Arial" w:cs="Arial"/>
          <w:b/>
          <w:bCs/>
        </w:rPr>
      </w:pPr>
      <w:r w:rsidRPr="009D6351">
        <w:rPr>
          <w:rFonts w:ascii="Arial" w:hAnsi="Arial" w:cs="Arial"/>
          <w:b/>
          <w:bCs/>
        </w:rPr>
        <w:t>Reference list</w:t>
      </w:r>
    </w:p>
    <w:p w14:paraId="2D3F9903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Bosgraaf, L., Spreen, M., Pattiselanno, K. and van </w:t>
      </w:r>
      <w:proofErr w:type="spellStart"/>
      <w:r w:rsidRPr="009D6351">
        <w:rPr>
          <w:rFonts w:ascii="Arial" w:hAnsi="Arial" w:cs="Arial"/>
        </w:rPr>
        <w:t>Hooren</w:t>
      </w:r>
      <w:proofErr w:type="spellEnd"/>
      <w:r w:rsidRPr="009D6351">
        <w:rPr>
          <w:rFonts w:ascii="Arial" w:hAnsi="Arial" w:cs="Arial"/>
        </w:rPr>
        <w:t xml:space="preserve">, S. (2020) ‘Art Therapy for Psychosocial Problems in Children and Adolescents: A Systematic Narrative Review on Art Therapeutic Means and Forms of Expression, Therapist </w:t>
      </w:r>
      <w:proofErr w:type="spellStart"/>
      <w:r w:rsidRPr="009D6351">
        <w:rPr>
          <w:rFonts w:ascii="Arial" w:hAnsi="Arial" w:cs="Arial"/>
        </w:rPr>
        <w:t>Behavior</w:t>
      </w:r>
      <w:proofErr w:type="spellEnd"/>
      <w:r w:rsidRPr="009D6351">
        <w:rPr>
          <w:rFonts w:ascii="Arial" w:hAnsi="Arial" w:cs="Arial"/>
        </w:rPr>
        <w:t xml:space="preserve">, and Supposed Mechanisms of Change’, </w:t>
      </w:r>
      <w:r w:rsidRPr="009D6351">
        <w:rPr>
          <w:rFonts w:ascii="Arial" w:hAnsi="Arial" w:cs="Arial"/>
          <w:i/>
          <w:iCs/>
        </w:rPr>
        <w:t>Frontiers in Psychology</w:t>
      </w:r>
      <w:r w:rsidRPr="009D6351">
        <w:rPr>
          <w:rFonts w:ascii="Arial" w:hAnsi="Arial" w:cs="Arial"/>
        </w:rPr>
        <w:t xml:space="preserve">, 11, p. 584685. Available at: </w:t>
      </w:r>
      <w:r w:rsidRPr="00C63166">
        <w:rPr>
          <w:rFonts w:ascii="Arial" w:hAnsi="Arial" w:cs="Arial"/>
        </w:rPr>
        <w:t>https://doi.org/10.3389/fpsyg.2020.584685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4</w:t>
      </w:r>
      <w:r w:rsidRPr="009D6351">
        <w:rPr>
          <w:rFonts w:ascii="Arial" w:hAnsi="Arial" w:cs="Arial"/>
        </w:rPr>
        <w:t xml:space="preserve"> December 2025).</w:t>
      </w:r>
    </w:p>
    <w:p w14:paraId="7BDDD50A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Bunting, L., Montgomery, L., Mooney, S., MacDonald, M., Coulter, S., Hayes, D. and Davidson, G. (2019) ‘Trauma Informed Child Welfare Systems—A Rapid Evidence Review’, </w:t>
      </w:r>
      <w:r w:rsidRPr="009D6351">
        <w:rPr>
          <w:rFonts w:ascii="Arial" w:hAnsi="Arial" w:cs="Arial"/>
          <w:i/>
          <w:iCs/>
        </w:rPr>
        <w:t>International Journal of Environmental Research and Public Health</w:t>
      </w:r>
      <w:r w:rsidRPr="009D6351">
        <w:rPr>
          <w:rFonts w:ascii="Arial" w:hAnsi="Arial" w:cs="Arial"/>
        </w:rPr>
        <w:t xml:space="preserve">, 16(13), p. 2365. Available at: </w:t>
      </w:r>
      <w:r w:rsidRPr="00C63166">
        <w:rPr>
          <w:rFonts w:ascii="Arial" w:hAnsi="Arial" w:cs="Arial"/>
        </w:rPr>
        <w:t>https://doi.org/10.3390/ijerph16132365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6</w:t>
      </w:r>
      <w:r w:rsidRPr="009D6351">
        <w:rPr>
          <w:rFonts w:ascii="Arial" w:hAnsi="Arial" w:cs="Arial"/>
        </w:rPr>
        <w:t xml:space="preserve"> December 2025).</w:t>
      </w:r>
    </w:p>
    <w:p w14:paraId="0842CF61" w14:textId="77777777" w:rsidR="00564522" w:rsidRPr="009D6351" w:rsidRDefault="00564522" w:rsidP="009D6351">
      <w:pPr>
        <w:rPr>
          <w:rFonts w:ascii="Arial" w:hAnsi="Arial" w:cs="Arial"/>
        </w:rPr>
      </w:pPr>
      <w:proofErr w:type="spellStart"/>
      <w:r w:rsidRPr="009D6351">
        <w:rPr>
          <w:rFonts w:ascii="Arial" w:hAnsi="Arial" w:cs="Arial"/>
        </w:rPr>
        <w:t>Mavranezouli</w:t>
      </w:r>
      <w:proofErr w:type="spellEnd"/>
      <w:r w:rsidRPr="009D6351">
        <w:rPr>
          <w:rFonts w:ascii="Arial" w:hAnsi="Arial" w:cs="Arial"/>
        </w:rPr>
        <w:t>, I., Megnin-</w:t>
      </w:r>
      <w:proofErr w:type="spellStart"/>
      <w:r w:rsidRPr="009D6351">
        <w:rPr>
          <w:rFonts w:ascii="Arial" w:hAnsi="Arial" w:cs="Arial"/>
        </w:rPr>
        <w:t>Viggars</w:t>
      </w:r>
      <w:proofErr w:type="spellEnd"/>
      <w:r w:rsidRPr="009D6351">
        <w:rPr>
          <w:rFonts w:ascii="Arial" w:hAnsi="Arial" w:cs="Arial"/>
        </w:rPr>
        <w:t xml:space="preserve">, O., Daly, C., Dias, S., Stockton, S., Meiser-Stedman, R., Trickey, D. and Pilling, S. (2020) ‘Research Review: Psychological and psychosocial treatments for children and young people with post-traumatic stress disorder: a network meta-analysis’, </w:t>
      </w:r>
      <w:r w:rsidRPr="009D6351">
        <w:rPr>
          <w:rFonts w:ascii="Arial" w:hAnsi="Arial" w:cs="Arial"/>
          <w:i/>
          <w:iCs/>
        </w:rPr>
        <w:t>Journal of Child Psychology and Psychiatry</w:t>
      </w:r>
      <w:r w:rsidRPr="009D6351">
        <w:rPr>
          <w:rFonts w:ascii="Arial" w:hAnsi="Arial" w:cs="Arial"/>
        </w:rPr>
        <w:t xml:space="preserve">, 61(1), pp. 18–29. Available at: </w:t>
      </w:r>
      <w:r w:rsidRPr="00C63166">
        <w:rPr>
          <w:rFonts w:ascii="Arial" w:hAnsi="Arial" w:cs="Arial"/>
        </w:rPr>
        <w:t>https://acamh.onlinelibrary.wiley.com/doi/full/10.1111/jcpp.13094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3</w:t>
      </w:r>
      <w:r w:rsidRPr="009D6351">
        <w:rPr>
          <w:rFonts w:ascii="Arial" w:hAnsi="Arial" w:cs="Arial"/>
        </w:rPr>
        <w:t xml:space="preserve"> December 2025).</w:t>
      </w:r>
    </w:p>
    <w:p w14:paraId="061A81B3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Morison, L., Simonds, L. and Stewart, S. (2022) ‘Effectiveness of creative arts-based interventions for treating children and adolescents exposed to traumatic events: a systematic review of the quantitative evidence and meta-analysis’, </w:t>
      </w:r>
      <w:r w:rsidRPr="009D6351">
        <w:rPr>
          <w:rFonts w:ascii="Arial" w:hAnsi="Arial" w:cs="Arial"/>
          <w:i/>
          <w:iCs/>
        </w:rPr>
        <w:t>Arts and Health</w:t>
      </w:r>
      <w:r w:rsidRPr="009D6351">
        <w:rPr>
          <w:rFonts w:ascii="Arial" w:hAnsi="Arial" w:cs="Arial"/>
        </w:rPr>
        <w:t xml:space="preserve">, 14(3), pp. 237–262. Available at: </w:t>
      </w:r>
      <w:r w:rsidRPr="00C63166">
        <w:rPr>
          <w:rFonts w:ascii="Arial" w:hAnsi="Arial" w:cs="Arial"/>
        </w:rPr>
        <w:t>https://doi.org/10.1080/17533015.2021.2009529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4</w:t>
      </w:r>
      <w:r w:rsidRPr="009D6351">
        <w:rPr>
          <w:rFonts w:ascii="Arial" w:hAnsi="Arial" w:cs="Arial"/>
        </w:rPr>
        <w:t xml:space="preserve"> December 2025).</w:t>
      </w:r>
    </w:p>
    <w:p w14:paraId="41EE721D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National Institute for Health and Care Excellence (NICE) (2018) </w:t>
      </w:r>
      <w:r w:rsidRPr="009D6351">
        <w:rPr>
          <w:rFonts w:ascii="Arial" w:hAnsi="Arial" w:cs="Arial"/>
          <w:i/>
          <w:iCs/>
        </w:rPr>
        <w:t>Post-traumatic stress disorder (NG116)</w:t>
      </w:r>
      <w:r w:rsidRPr="009D6351">
        <w:rPr>
          <w:rFonts w:ascii="Arial" w:hAnsi="Arial" w:cs="Arial"/>
        </w:rPr>
        <w:t xml:space="preserve">. London: NICE. Available at: </w:t>
      </w:r>
      <w:r w:rsidRPr="00C63166">
        <w:rPr>
          <w:rFonts w:ascii="Arial" w:hAnsi="Arial" w:cs="Arial"/>
        </w:rPr>
        <w:t>https://www.nice.org.uk/guidance/ng116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5</w:t>
      </w:r>
      <w:r w:rsidRPr="009D6351">
        <w:rPr>
          <w:rFonts w:ascii="Arial" w:hAnsi="Arial" w:cs="Arial"/>
        </w:rPr>
        <w:t xml:space="preserve"> December 2025).</w:t>
      </w:r>
    </w:p>
    <w:p w14:paraId="739CA450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National Institute for Health and Care Excellence (NICE) (2021) </w:t>
      </w:r>
      <w:r w:rsidRPr="009D6351">
        <w:rPr>
          <w:rFonts w:ascii="Arial" w:hAnsi="Arial" w:cs="Arial"/>
          <w:i/>
          <w:iCs/>
        </w:rPr>
        <w:t>Looked-after children and young people (NG205)</w:t>
      </w:r>
      <w:r w:rsidRPr="009D6351">
        <w:rPr>
          <w:rFonts w:ascii="Arial" w:hAnsi="Arial" w:cs="Arial"/>
        </w:rPr>
        <w:t xml:space="preserve">. London: NICE. Available at: </w:t>
      </w:r>
      <w:r w:rsidRPr="00C63166">
        <w:rPr>
          <w:rFonts w:ascii="Arial" w:hAnsi="Arial" w:cs="Arial"/>
        </w:rPr>
        <w:t>https://www.nice.org.uk/guidance/ng205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5</w:t>
      </w:r>
      <w:r w:rsidRPr="009D6351">
        <w:rPr>
          <w:rFonts w:ascii="Arial" w:hAnsi="Arial" w:cs="Arial"/>
        </w:rPr>
        <w:t xml:space="preserve"> December 2025).</w:t>
      </w:r>
    </w:p>
    <w:p w14:paraId="5B5892D6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NSPCC (2025) </w:t>
      </w:r>
      <w:r w:rsidRPr="009D6351">
        <w:rPr>
          <w:rFonts w:ascii="Arial" w:hAnsi="Arial" w:cs="Arial"/>
          <w:i/>
          <w:iCs/>
        </w:rPr>
        <w:t>Children in care (looked-after children)</w:t>
      </w:r>
      <w:r w:rsidRPr="009D6351">
        <w:rPr>
          <w:rFonts w:ascii="Arial" w:hAnsi="Arial" w:cs="Arial"/>
        </w:rPr>
        <w:t xml:space="preserve">. London: NSPCC Learning. Available at: </w:t>
      </w:r>
      <w:r w:rsidRPr="00564522">
        <w:rPr>
          <w:rFonts w:ascii="Arial" w:hAnsi="Arial" w:cs="Arial"/>
        </w:rPr>
        <w:t>https://learning.nspcc.org.uk/children-and-families-at-risk/children-in-care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7</w:t>
      </w:r>
      <w:r w:rsidRPr="009D6351">
        <w:rPr>
          <w:rFonts w:ascii="Arial" w:hAnsi="Arial" w:cs="Arial"/>
        </w:rPr>
        <w:t xml:space="preserve"> December 2025).</w:t>
      </w:r>
    </w:p>
    <w:p w14:paraId="70060CA8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lastRenderedPageBreak/>
        <w:t xml:space="preserve">Public Health England (2022) </w:t>
      </w:r>
      <w:r w:rsidRPr="009D6351">
        <w:rPr>
          <w:rFonts w:ascii="Arial" w:hAnsi="Arial" w:cs="Arial"/>
          <w:i/>
          <w:iCs/>
        </w:rPr>
        <w:t>The effectiveness of trauma-informed approaches to prevent adverse outcomes in mental health and wellbeing: a rapid review</w:t>
      </w:r>
      <w:r w:rsidRPr="009D6351">
        <w:rPr>
          <w:rFonts w:ascii="Arial" w:hAnsi="Arial" w:cs="Arial"/>
        </w:rPr>
        <w:t xml:space="preserve">. London: Public Health England. Available at: </w:t>
      </w:r>
      <w:r w:rsidRPr="00564522">
        <w:rPr>
          <w:rFonts w:ascii="Arial" w:hAnsi="Arial" w:cs="Arial"/>
        </w:rPr>
        <w:t>https://assets.publishing.service.gov.uk/media/65021079702634000d89b7f1/The-effectiveness-of-trauma-informed-approaches-to-prevent-adverse-outcomes-in-mental-health-and-wellbeing-a-rapid-review.pdf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7</w:t>
      </w:r>
      <w:r w:rsidRPr="009D6351">
        <w:rPr>
          <w:rFonts w:ascii="Arial" w:hAnsi="Arial" w:cs="Arial"/>
        </w:rPr>
        <w:t xml:space="preserve"> December 2025).</w:t>
      </w:r>
    </w:p>
    <w:p w14:paraId="33207EF8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Public Health Wales NHS Trust (2024) </w:t>
      </w:r>
      <w:r w:rsidRPr="009D6351">
        <w:rPr>
          <w:rFonts w:ascii="Arial" w:hAnsi="Arial" w:cs="Arial"/>
          <w:i/>
          <w:iCs/>
        </w:rPr>
        <w:t>Trauma-Informed Approaches – Whole School Approach to Emotional and Mental Well-being</w:t>
      </w:r>
      <w:r w:rsidRPr="009D6351">
        <w:rPr>
          <w:rFonts w:ascii="Arial" w:hAnsi="Arial" w:cs="Arial"/>
        </w:rPr>
        <w:t xml:space="preserve">. Cardiff: Public Health Wales. Available at: </w:t>
      </w:r>
      <w:r w:rsidRPr="00564522">
        <w:rPr>
          <w:rFonts w:ascii="Arial" w:hAnsi="Arial" w:cs="Arial"/>
        </w:rPr>
        <w:t>https://publichealthwales.nhs.wales/topics/promoting-individual-and-community-wellbeing/whole-school-approach-to-emotional-and-mental-well-being-wsaemwb/wsa-reports-file-bucket/trauma-informed-approaches/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6</w:t>
      </w:r>
      <w:r w:rsidRPr="009D6351">
        <w:rPr>
          <w:rFonts w:ascii="Arial" w:hAnsi="Arial" w:cs="Arial"/>
        </w:rPr>
        <w:t xml:space="preserve"> December 2025).</w:t>
      </w:r>
    </w:p>
    <w:p w14:paraId="00B3C657" w14:textId="2A2AEAF0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>Traumatic Stress Wales (</w:t>
      </w:r>
      <w:r w:rsidR="00AE07B6">
        <w:rPr>
          <w:rFonts w:ascii="Arial" w:hAnsi="Arial" w:cs="Arial"/>
        </w:rPr>
        <w:t>2023</w:t>
      </w:r>
      <w:r w:rsidRPr="009D6351">
        <w:rPr>
          <w:rFonts w:ascii="Arial" w:hAnsi="Arial" w:cs="Arial"/>
        </w:rPr>
        <w:t xml:space="preserve">) </w:t>
      </w:r>
      <w:r w:rsidRPr="009D6351">
        <w:rPr>
          <w:rFonts w:ascii="Arial" w:hAnsi="Arial" w:cs="Arial"/>
          <w:i/>
          <w:iCs/>
        </w:rPr>
        <w:t>Children and young people: Treatment and recovery</w:t>
      </w:r>
      <w:r w:rsidRPr="009D6351">
        <w:rPr>
          <w:rFonts w:ascii="Arial" w:hAnsi="Arial" w:cs="Arial"/>
        </w:rPr>
        <w:t xml:space="preserve">. NHS Wales. Available at: </w:t>
      </w:r>
      <w:r w:rsidRPr="00564522">
        <w:rPr>
          <w:rFonts w:ascii="Arial" w:hAnsi="Arial" w:cs="Arial"/>
        </w:rPr>
        <w:t>https://traumaticstress.nhs.wales/children-and-young-people/treatment-and-recovery/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6</w:t>
      </w:r>
      <w:r w:rsidRPr="009D6351">
        <w:rPr>
          <w:rFonts w:ascii="Arial" w:hAnsi="Arial" w:cs="Arial"/>
        </w:rPr>
        <w:t xml:space="preserve"> December 2025).</w:t>
      </w:r>
    </w:p>
    <w:p w14:paraId="0BCCADB5" w14:textId="77777777" w:rsidR="00564522" w:rsidRPr="009D6351" w:rsidRDefault="00564522" w:rsidP="009D6351">
      <w:pPr>
        <w:rPr>
          <w:rFonts w:ascii="Arial" w:hAnsi="Arial" w:cs="Arial"/>
        </w:rPr>
      </w:pPr>
      <w:r w:rsidRPr="009D6351">
        <w:rPr>
          <w:rFonts w:ascii="Arial" w:hAnsi="Arial" w:cs="Arial"/>
        </w:rPr>
        <w:t xml:space="preserve">Welsh Government and ACE Support Hub (2022) </w:t>
      </w:r>
      <w:r w:rsidRPr="009D6351">
        <w:rPr>
          <w:rFonts w:ascii="Arial" w:hAnsi="Arial" w:cs="Arial"/>
          <w:i/>
          <w:iCs/>
        </w:rPr>
        <w:t>Trauma-Informed Wales: A Societal Approach to Understanding, Preventing and Supporting the Impacts of Trauma and Adversity</w:t>
      </w:r>
      <w:r w:rsidRPr="009D6351">
        <w:rPr>
          <w:rFonts w:ascii="Arial" w:hAnsi="Arial" w:cs="Arial"/>
        </w:rPr>
        <w:t xml:space="preserve">. Cardiff: Welsh Government. Available at: </w:t>
      </w:r>
      <w:r w:rsidRPr="00564522">
        <w:rPr>
          <w:rFonts w:ascii="Arial" w:hAnsi="Arial" w:cs="Arial"/>
        </w:rPr>
        <w:t>https://traumaframeworkcymru.com/wp-content/uploads/2022/07/Trauma-Informed-Wales-Framework.pdf</w:t>
      </w:r>
      <w:r w:rsidRPr="009D6351">
        <w:rPr>
          <w:rFonts w:ascii="Arial" w:hAnsi="Arial" w:cs="Arial"/>
        </w:rPr>
        <w:t xml:space="preserve">.  (Accessed: </w:t>
      </w:r>
      <w:r>
        <w:rPr>
          <w:rFonts w:ascii="Arial" w:hAnsi="Arial" w:cs="Arial"/>
        </w:rPr>
        <w:t>4</w:t>
      </w:r>
      <w:r w:rsidRPr="009D6351">
        <w:rPr>
          <w:rFonts w:ascii="Arial" w:hAnsi="Arial" w:cs="Arial"/>
        </w:rPr>
        <w:t xml:space="preserve"> December 2025).</w:t>
      </w:r>
    </w:p>
    <w:p w14:paraId="615E6524" w14:textId="77777777" w:rsidR="009D6351" w:rsidRPr="009D6351" w:rsidRDefault="009D6351" w:rsidP="009D6351">
      <w:pPr>
        <w:rPr>
          <w:rFonts w:ascii="Arial" w:hAnsi="Arial" w:cs="Arial"/>
          <w:vanish/>
        </w:rPr>
      </w:pPr>
      <w:r w:rsidRPr="009D6351">
        <w:rPr>
          <w:rFonts w:ascii="Arial" w:hAnsi="Arial" w:cs="Arial"/>
          <w:vanish/>
        </w:rPr>
        <w:t>Top of Form</w:t>
      </w:r>
    </w:p>
    <w:p w14:paraId="7D5AFE86" w14:textId="77777777" w:rsidR="009D6351" w:rsidRPr="009D6351" w:rsidRDefault="009D6351" w:rsidP="009D6351">
      <w:pPr>
        <w:rPr>
          <w:rFonts w:ascii="Arial" w:hAnsi="Arial" w:cs="Arial"/>
        </w:rPr>
      </w:pPr>
    </w:p>
    <w:p w14:paraId="26E362D4" w14:textId="77777777" w:rsidR="009D6351" w:rsidRPr="009D6351" w:rsidRDefault="009D6351" w:rsidP="009D6351">
      <w:pPr>
        <w:rPr>
          <w:rFonts w:ascii="Arial" w:hAnsi="Arial" w:cs="Arial"/>
          <w:vanish/>
        </w:rPr>
      </w:pPr>
      <w:r w:rsidRPr="009D6351">
        <w:rPr>
          <w:rFonts w:ascii="Arial" w:hAnsi="Arial" w:cs="Arial"/>
          <w:vanish/>
        </w:rPr>
        <w:t>Bottom of Form</w:t>
      </w:r>
    </w:p>
    <w:p w14:paraId="7C531423" w14:textId="77777777" w:rsidR="009D6351" w:rsidRPr="009D6351" w:rsidRDefault="009D6351" w:rsidP="009D6351">
      <w:pPr>
        <w:rPr>
          <w:rFonts w:ascii="Arial" w:hAnsi="Arial" w:cs="Arial"/>
        </w:rPr>
      </w:pPr>
    </w:p>
    <w:p w14:paraId="0A429D9B" w14:textId="77777777" w:rsidR="009D6351" w:rsidRPr="009D6351" w:rsidRDefault="009D6351" w:rsidP="009D6351">
      <w:pPr>
        <w:rPr>
          <w:rFonts w:ascii="Arial" w:hAnsi="Arial" w:cs="Arial"/>
        </w:rPr>
      </w:pPr>
    </w:p>
    <w:p w14:paraId="559BF5D6" w14:textId="77777777" w:rsidR="009D6351" w:rsidRDefault="009D6351" w:rsidP="00F10898">
      <w:pPr>
        <w:jc w:val="center"/>
        <w:rPr>
          <w:b/>
          <w:bCs/>
        </w:rPr>
      </w:pPr>
    </w:p>
    <w:p w14:paraId="4C689944" w14:textId="77777777" w:rsidR="009D6351" w:rsidRPr="00F10898" w:rsidRDefault="009D6351" w:rsidP="00F10898">
      <w:pPr>
        <w:jc w:val="center"/>
        <w:rPr>
          <w:b/>
          <w:bCs/>
        </w:rPr>
      </w:pPr>
    </w:p>
    <w:p w14:paraId="636A8913" w14:textId="77777777" w:rsidR="00D13C77" w:rsidRDefault="00D13C77" w:rsidP="00DD28F9"/>
    <w:p w14:paraId="3543B575" w14:textId="77777777" w:rsidR="00D13C77" w:rsidRDefault="00D13C77" w:rsidP="00DD28F9"/>
    <w:p w14:paraId="5103DDF1" w14:textId="07E6DF96" w:rsidR="00D13C77" w:rsidRDefault="00D13C77" w:rsidP="00DD28F9"/>
    <w:p w14:paraId="4BEEAB55" w14:textId="77777777" w:rsidR="00D13C77" w:rsidRDefault="00D13C77" w:rsidP="00DD28F9"/>
    <w:p w14:paraId="287A9896" w14:textId="77777777" w:rsidR="00D13C77" w:rsidRDefault="00D13C77" w:rsidP="00DD28F9"/>
    <w:p w14:paraId="638ADC78" w14:textId="77777777" w:rsidR="00D13C77" w:rsidRDefault="00D13C77" w:rsidP="00DD28F9"/>
    <w:p w14:paraId="1C8A5EDF" w14:textId="77777777" w:rsidR="009846AE" w:rsidRDefault="009846AE" w:rsidP="00E14116"/>
    <w:p w14:paraId="065575F7" w14:textId="77777777" w:rsidR="009846AE" w:rsidRDefault="009846AE" w:rsidP="00E14116"/>
    <w:p w14:paraId="37582B7B" w14:textId="77777777" w:rsidR="009846AE" w:rsidRDefault="009846AE" w:rsidP="00E14116"/>
    <w:sectPr w:rsidR="009846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C65C37" w14:textId="77777777" w:rsidR="00305F2D" w:rsidRDefault="00305F2D" w:rsidP="00C01A69">
      <w:pPr>
        <w:spacing w:after="0" w:line="240" w:lineRule="auto"/>
      </w:pPr>
      <w:r>
        <w:separator/>
      </w:r>
    </w:p>
  </w:endnote>
  <w:endnote w:type="continuationSeparator" w:id="0">
    <w:p w14:paraId="1B745D49" w14:textId="77777777" w:rsidR="00305F2D" w:rsidRDefault="00305F2D" w:rsidP="00C01A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9621E0" w14:textId="77777777" w:rsidR="00305F2D" w:rsidRDefault="00305F2D" w:rsidP="00C01A69">
      <w:pPr>
        <w:spacing w:after="0" w:line="240" w:lineRule="auto"/>
      </w:pPr>
      <w:r>
        <w:separator/>
      </w:r>
    </w:p>
  </w:footnote>
  <w:footnote w:type="continuationSeparator" w:id="0">
    <w:p w14:paraId="5761D68F" w14:textId="77777777" w:rsidR="00305F2D" w:rsidRDefault="00305F2D" w:rsidP="00C01A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6B218F"/>
    <w:multiLevelType w:val="multilevel"/>
    <w:tmpl w:val="236C3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D60E3D"/>
    <w:multiLevelType w:val="multilevel"/>
    <w:tmpl w:val="DCAC7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0E56B3"/>
    <w:multiLevelType w:val="hybridMultilevel"/>
    <w:tmpl w:val="A91C2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8B384D"/>
    <w:multiLevelType w:val="multilevel"/>
    <w:tmpl w:val="34445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777BC6"/>
    <w:multiLevelType w:val="multilevel"/>
    <w:tmpl w:val="7A2A0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473331F"/>
    <w:multiLevelType w:val="multilevel"/>
    <w:tmpl w:val="CCEAB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6533243"/>
    <w:multiLevelType w:val="hybridMultilevel"/>
    <w:tmpl w:val="C2C21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9D6031"/>
    <w:multiLevelType w:val="multilevel"/>
    <w:tmpl w:val="11D46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1090F3A"/>
    <w:multiLevelType w:val="hybridMultilevel"/>
    <w:tmpl w:val="C9263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CCF0894"/>
    <w:multiLevelType w:val="multilevel"/>
    <w:tmpl w:val="AC4080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5A21507"/>
    <w:multiLevelType w:val="hybridMultilevel"/>
    <w:tmpl w:val="316C4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7308769">
    <w:abstractNumId w:val="2"/>
  </w:num>
  <w:num w:numId="2" w16cid:durableId="263077466">
    <w:abstractNumId w:val="6"/>
  </w:num>
  <w:num w:numId="3" w16cid:durableId="1523202961">
    <w:abstractNumId w:val="10"/>
  </w:num>
  <w:num w:numId="4" w16cid:durableId="1539855013">
    <w:abstractNumId w:val="8"/>
  </w:num>
  <w:num w:numId="5" w16cid:durableId="1732995791">
    <w:abstractNumId w:val="3"/>
  </w:num>
  <w:num w:numId="6" w16cid:durableId="2146579963">
    <w:abstractNumId w:val="7"/>
  </w:num>
  <w:num w:numId="7" w16cid:durableId="979655764">
    <w:abstractNumId w:val="1"/>
  </w:num>
  <w:num w:numId="8" w16cid:durableId="1700547458">
    <w:abstractNumId w:val="4"/>
  </w:num>
  <w:num w:numId="9" w16cid:durableId="2093578516">
    <w:abstractNumId w:val="9"/>
  </w:num>
  <w:num w:numId="10" w16cid:durableId="681663510">
    <w:abstractNumId w:val="5"/>
  </w:num>
  <w:num w:numId="11" w16cid:durableId="15867242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84B"/>
    <w:rsid w:val="0003583A"/>
    <w:rsid w:val="00070C4E"/>
    <w:rsid w:val="00084935"/>
    <w:rsid w:val="00134D7C"/>
    <w:rsid w:val="001409E3"/>
    <w:rsid w:val="00155CAD"/>
    <w:rsid w:val="001D4FB9"/>
    <w:rsid w:val="00205C7A"/>
    <w:rsid w:val="002739C0"/>
    <w:rsid w:val="002844C0"/>
    <w:rsid w:val="002B6C6A"/>
    <w:rsid w:val="00305F2D"/>
    <w:rsid w:val="003238B1"/>
    <w:rsid w:val="003728C9"/>
    <w:rsid w:val="003B3204"/>
    <w:rsid w:val="003C39F6"/>
    <w:rsid w:val="00465456"/>
    <w:rsid w:val="004D24F0"/>
    <w:rsid w:val="005019D0"/>
    <w:rsid w:val="00503370"/>
    <w:rsid w:val="0055389B"/>
    <w:rsid w:val="00564522"/>
    <w:rsid w:val="00591828"/>
    <w:rsid w:val="005B4F00"/>
    <w:rsid w:val="005C4B7D"/>
    <w:rsid w:val="00726A92"/>
    <w:rsid w:val="00770719"/>
    <w:rsid w:val="00836324"/>
    <w:rsid w:val="008C484B"/>
    <w:rsid w:val="00915710"/>
    <w:rsid w:val="00974B25"/>
    <w:rsid w:val="009846AE"/>
    <w:rsid w:val="009D6351"/>
    <w:rsid w:val="00A51496"/>
    <w:rsid w:val="00AA57CE"/>
    <w:rsid w:val="00AE07B6"/>
    <w:rsid w:val="00AF2CC8"/>
    <w:rsid w:val="00BA137B"/>
    <w:rsid w:val="00C01A69"/>
    <w:rsid w:val="00C36EAA"/>
    <w:rsid w:val="00C63166"/>
    <w:rsid w:val="00CB450F"/>
    <w:rsid w:val="00CC4932"/>
    <w:rsid w:val="00CF0F2A"/>
    <w:rsid w:val="00D13C77"/>
    <w:rsid w:val="00D86E76"/>
    <w:rsid w:val="00DD28F9"/>
    <w:rsid w:val="00DE2EFA"/>
    <w:rsid w:val="00DE759F"/>
    <w:rsid w:val="00E14116"/>
    <w:rsid w:val="00E40D2B"/>
    <w:rsid w:val="00E93E19"/>
    <w:rsid w:val="00EE73B2"/>
    <w:rsid w:val="00F10898"/>
    <w:rsid w:val="00F44AA5"/>
    <w:rsid w:val="00F53A05"/>
    <w:rsid w:val="00F61462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BF046"/>
  <w15:chartTrackingRefBased/>
  <w15:docId w15:val="{BD1C156D-7CC9-4C66-8E3D-FD7EDE53D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48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48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48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48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48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48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48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48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48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48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48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48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48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48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48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48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48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48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48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48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48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48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48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48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48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48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48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48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484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01A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1A69"/>
  </w:style>
  <w:style w:type="paragraph" w:styleId="Footer">
    <w:name w:val="footer"/>
    <w:basedOn w:val="Normal"/>
    <w:link w:val="FooterChar"/>
    <w:uiPriority w:val="99"/>
    <w:unhideWhenUsed/>
    <w:rsid w:val="00C01A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1A69"/>
  </w:style>
  <w:style w:type="character" w:styleId="Hyperlink">
    <w:name w:val="Hyperlink"/>
    <w:basedOn w:val="DefaultParagraphFont"/>
    <w:uiPriority w:val="99"/>
    <w:unhideWhenUsed/>
    <w:rsid w:val="009D635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635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316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1528</Words>
  <Characters>10423</Characters>
  <Application>Microsoft Office Word</Application>
  <DocSecurity>0</DocSecurity>
  <Lines>226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Paul Cojocaru (2207413)</cp:lastModifiedBy>
  <cp:revision>39</cp:revision>
  <dcterms:created xsi:type="dcterms:W3CDTF">2024-09-09T13:09:00Z</dcterms:created>
  <dcterms:modified xsi:type="dcterms:W3CDTF">2025-12-12T07:19:00Z</dcterms:modified>
</cp:coreProperties>
</file>