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8F41F" w14:textId="68F4CD5E" w:rsidR="00464F92" w:rsidRDefault="009F2FEF">
      <w:pPr>
        <w:jc w:val="center"/>
        <w:rPr>
          <w:b/>
          <w:bCs/>
          <w:sz w:val="28"/>
          <w:szCs w:val="28"/>
        </w:rPr>
      </w:pPr>
      <w:r w:rsidRPr="00D966A3">
        <w:rPr>
          <w:b/>
          <w:bCs/>
          <w:noProof/>
        </w:rPr>
        <w:drawing>
          <wp:inline distT="0" distB="0" distL="0" distR="0" wp14:anchorId="12778624" wp14:editId="0114E83B">
            <wp:extent cx="3321756" cy="1358900"/>
            <wp:effectExtent l="0" t="0" r="0" b="0"/>
            <wp:docPr id="8266795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25819" cy="1360562"/>
                    </a:xfrm>
                    <a:prstGeom prst="rect">
                      <a:avLst/>
                    </a:prstGeom>
                    <a:noFill/>
                    <a:ln>
                      <a:noFill/>
                    </a:ln>
                  </pic:spPr>
                </pic:pic>
              </a:graphicData>
            </a:graphic>
          </wp:inline>
        </w:drawing>
      </w:r>
    </w:p>
    <w:p w14:paraId="79015774" w14:textId="77777777" w:rsidR="00AC34F1" w:rsidRDefault="00AC34F1">
      <w:pPr>
        <w:jc w:val="center"/>
        <w:rPr>
          <w:b/>
          <w:bCs/>
          <w:sz w:val="28"/>
          <w:szCs w:val="28"/>
        </w:rPr>
      </w:pPr>
    </w:p>
    <w:p w14:paraId="51C34C39" w14:textId="77777777" w:rsidR="00AC34F1" w:rsidRDefault="00AC34F1" w:rsidP="008F7BAB">
      <w:pPr>
        <w:jc w:val="center"/>
        <w:rPr>
          <w:b/>
          <w:bCs/>
          <w:sz w:val="28"/>
          <w:szCs w:val="28"/>
        </w:rPr>
      </w:pPr>
    </w:p>
    <w:p w14:paraId="3F6A3F46" w14:textId="77777777" w:rsidR="00464F92" w:rsidRDefault="002831B2" w:rsidP="008F7BAB">
      <w:pPr>
        <w:jc w:val="center"/>
        <w:rPr>
          <w:b/>
          <w:bCs/>
          <w:sz w:val="28"/>
          <w:szCs w:val="28"/>
        </w:rPr>
      </w:pPr>
      <w:r>
        <w:rPr>
          <w:b/>
          <w:bCs/>
          <w:sz w:val="28"/>
          <w:szCs w:val="28"/>
        </w:rPr>
        <w:t>Analysis of ESG Practices and Their Impact on Foreign Investment Attraction in the UK Renewable Energy Industry</w:t>
      </w:r>
    </w:p>
    <w:p w14:paraId="1FB1B584" w14:textId="77777777" w:rsidR="008F0BA7" w:rsidRDefault="008F0BA7" w:rsidP="008F7BAB">
      <w:pPr>
        <w:jc w:val="center"/>
        <w:rPr>
          <w:b/>
          <w:bCs/>
          <w:sz w:val="28"/>
          <w:szCs w:val="28"/>
        </w:rPr>
      </w:pPr>
    </w:p>
    <w:p w14:paraId="6A0A3D90" w14:textId="23C4D9A3" w:rsidR="00464F92" w:rsidRPr="00AC34F1" w:rsidRDefault="002831B2" w:rsidP="008F7BAB">
      <w:pPr>
        <w:jc w:val="center"/>
        <w:rPr>
          <w:b/>
          <w:bCs/>
          <w:lang w:val="nl-NL"/>
        </w:rPr>
      </w:pPr>
      <w:r w:rsidRPr="00AC34F1">
        <w:rPr>
          <w:b/>
          <w:bCs/>
          <w:lang w:val="nl-NL"/>
        </w:rPr>
        <w:t xml:space="preserve">Student Name: </w:t>
      </w:r>
      <w:r w:rsidR="00AC34F1" w:rsidRPr="00AC34F1">
        <w:rPr>
          <w:b/>
          <w:bCs/>
          <w:lang w:val="nl-NL"/>
        </w:rPr>
        <w:t>Ka</w:t>
      </w:r>
      <w:r w:rsidR="00AC34F1">
        <w:rPr>
          <w:b/>
          <w:bCs/>
          <w:lang w:val="nl-NL"/>
        </w:rPr>
        <w:t>zi Mahmud Ul Islam</w:t>
      </w:r>
    </w:p>
    <w:p w14:paraId="25E8B50D" w14:textId="5854F154" w:rsidR="00464F92" w:rsidRPr="00F212D3" w:rsidRDefault="002831B2" w:rsidP="008F7BAB">
      <w:pPr>
        <w:jc w:val="center"/>
        <w:rPr>
          <w:b/>
          <w:bCs/>
          <w:lang w:val="nl-NL"/>
        </w:rPr>
      </w:pPr>
      <w:r w:rsidRPr="00F212D3">
        <w:rPr>
          <w:b/>
          <w:bCs/>
          <w:lang w:val="nl-NL"/>
        </w:rPr>
        <w:t>Student ID:</w:t>
      </w:r>
      <w:r w:rsidR="00AC34F1" w:rsidRPr="00F212D3">
        <w:rPr>
          <w:b/>
          <w:bCs/>
          <w:lang w:val="nl-NL"/>
        </w:rPr>
        <w:t xml:space="preserve"> 2510576</w:t>
      </w:r>
    </w:p>
    <w:p w14:paraId="5E97CCFB" w14:textId="4DBAFA82" w:rsidR="00E9136D" w:rsidRDefault="00F66E0D" w:rsidP="008F7BAB">
      <w:pPr>
        <w:ind w:right="389"/>
        <w:jc w:val="center"/>
        <w:rPr>
          <w:b/>
          <w:bCs/>
          <w:lang w:val="en-US"/>
        </w:rPr>
      </w:pPr>
      <w:r>
        <w:rPr>
          <w:b/>
          <w:bCs/>
          <w:lang w:val="en-US"/>
        </w:rPr>
        <w:t xml:space="preserve">Module: </w:t>
      </w:r>
      <w:r w:rsidR="00787ACF">
        <w:rPr>
          <w:b/>
          <w:bCs/>
          <w:lang w:val="en-US"/>
        </w:rPr>
        <w:t>Dissertation</w:t>
      </w:r>
    </w:p>
    <w:p w14:paraId="5B1C0508" w14:textId="192922A6" w:rsidR="00321069" w:rsidRDefault="00321069" w:rsidP="008F7BAB">
      <w:pPr>
        <w:ind w:right="389"/>
        <w:jc w:val="center"/>
        <w:rPr>
          <w:b/>
          <w:bCs/>
          <w:lang w:val="en-US"/>
        </w:rPr>
      </w:pPr>
      <w:r w:rsidRPr="00E8634A">
        <w:rPr>
          <w:b/>
          <w:bCs/>
          <w:lang w:val="en-US"/>
        </w:rPr>
        <w:t>Module CODE: LCMB</w:t>
      </w:r>
      <w:r>
        <w:rPr>
          <w:b/>
          <w:bCs/>
          <w:lang w:val="en-US"/>
        </w:rPr>
        <w:t>7035</w:t>
      </w:r>
    </w:p>
    <w:p w14:paraId="7CFCCF0B" w14:textId="09705EAD" w:rsidR="006D2A9F" w:rsidRDefault="00BA3A53" w:rsidP="008F7BAB">
      <w:pPr>
        <w:ind w:right="389"/>
        <w:jc w:val="center"/>
        <w:rPr>
          <w:b/>
          <w:bCs/>
          <w:lang w:val="en-US"/>
        </w:rPr>
      </w:pPr>
      <w:r w:rsidRPr="00E8634A">
        <w:rPr>
          <w:b/>
          <w:bCs/>
          <w:lang w:val="en-US"/>
        </w:rPr>
        <w:t>Assessment</w:t>
      </w:r>
      <w:r>
        <w:rPr>
          <w:b/>
          <w:bCs/>
          <w:lang w:val="en-US"/>
        </w:rPr>
        <w:t xml:space="preserve"> title</w:t>
      </w:r>
      <w:r w:rsidRPr="00E8634A">
        <w:rPr>
          <w:b/>
          <w:bCs/>
          <w:lang w:val="en-US"/>
        </w:rPr>
        <w:t>:</w:t>
      </w:r>
      <w:r>
        <w:rPr>
          <w:b/>
          <w:bCs/>
          <w:lang w:val="en-US"/>
        </w:rPr>
        <w:t xml:space="preserve"> </w:t>
      </w:r>
      <w:r w:rsidR="006D2A9F">
        <w:rPr>
          <w:b/>
          <w:bCs/>
          <w:lang w:val="en-US"/>
        </w:rPr>
        <w:t>Dissertation</w:t>
      </w:r>
    </w:p>
    <w:p w14:paraId="009FA310" w14:textId="22A88AC0" w:rsidR="00E9136D" w:rsidRPr="00E8634A" w:rsidRDefault="00E9136D" w:rsidP="008F7BAB">
      <w:pPr>
        <w:ind w:right="389"/>
        <w:jc w:val="center"/>
        <w:rPr>
          <w:b/>
          <w:bCs/>
          <w:lang w:val="en-US"/>
        </w:rPr>
      </w:pPr>
      <w:r w:rsidRPr="00E8634A">
        <w:rPr>
          <w:b/>
          <w:bCs/>
          <w:lang w:val="en-US"/>
        </w:rPr>
        <w:t xml:space="preserve">Word count: </w:t>
      </w:r>
      <w:r w:rsidR="00873E0E">
        <w:rPr>
          <w:b/>
          <w:bCs/>
          <w:lang w:val="en-US"/>
        </w:rPr>
        <w:t>15</w:t>
      </w:r>
      <w:r w:rsidR="00BF518B">
        <w:rPr>
          <w:b/>
          <w:bCs/>
          <w:lang w:val="en-US"/>
        </w:rPr>
        <w:t>430</w:t>
      </w:r>
    </w:p>
    <w:p w14:paraId="073F432E" w14:textId="77777777" w:rsidR="00E9136D" w:rsidRPr="00E8634A" w:rsidRDefault="00E9136D" w:rsidP="008F7BAB">
      <w:pPr>
        <w:ind w:right="389"/>
        <w:jc w:val="center"/>
        <w:rPr>
          <w:b/>
          <w:bCs/>
          <w:lang w:val="en-US"/>
        </w:rPr>
      </w:pPr>
    </w:p>
    <w:p w14:paraId="39D7E5CB" w14:textId="353367CF" w:rsidR="00E9136D" w:rsidRDefault="00731AC0" w:rsidP="008F7BAB">
      <w:pPr>
        <w:ind w:right="389"/>
        <w:jc w:val="center"/>
        <w:rPr>
          <w:b/>
          <w:bCs/>
          <w:lang w:val="en-US"/>
        </w:rPr>
      </w:pPr>
      <w:r>
        <w:rPr>
          <w:b/>
          <w:bCs/>
          <w:lang w:val="en-US"/>
        </w:rPr>
        <w:t>S</w:t>
      </w:r>
      <w:r w:rsidR="008C73C7">
        <w:rPr>
          <w:b/>
          <w:bCs/>
          <w:lang w:val="en-US"/>
        </w:rPr>
        <w:t>upervisor</w:t>
      </w:r>
      <w:r w:rsidR="00E9136D" w:rsidRPr="00E8634A">
        <w:rPr>
          <w:b/>
          <w:bCs/>
          <w:lang w:val="en-US"/>
        </w:rPr>
        <w:t>’s Name:</w:t>
      </w:r>
      <w:r w:rsidR="00E9136D">
        <w:rPr>
          <w:b/>
          <w:bCs/>
          <w:lang w:val="en-US"/>
        </w:rPr>
        <w:t xml:space="preserve"> </w:t>
      </w:r>
      <w:r w:rsidR="008C73C7">
        <w:rPr>
          <w:b/>
          <w:bCs/>
          <w:lang w:val="en-US"/>
        </w:rPr>
        <w:t>Thomas</w:t>
      </w:r>
      <w:r w:rsidR="003E23D0">
        <w:rPr>
          <w:b/>
          <w:bCs/>
          <w:lang w:val="en-US"/>
        </w:rPr>
        <w:t xml:space="preserve"> Adeyemi</w:t>
      </w:r>
    </w:p>
    <w:p w14:paraId="2A976BF2" w14:textId="77777777" w:rsidR="00E9136D" w:rsidRDefault="00E9136D" w:rsidP="008F7BAB">
      <w:pPr>
        <w:ind w:right="389"/>
        <w:jc w:val="center"/>
        <w:rPr>
          <w:b/>
          <w:bCs/>
          <w:lang w:val="en-US"/>
        </w:rPr>
      </w:pPr>
    </w:p>
    <w:p w14:paraId="0E14FC88" w14:textId="77777777" w:rsidR="00E9136D" w:rsidRPr="00E8634A" w:rsidRDefault="00E9136D" w:rsidP="008F7BAB">
      <w:pPr>
        <w:ind w:right="389"/>
        <w:jc w:val="center"/>
        <w:rPr>
          <w:b/>
          <w:bCs/>
          <w:lang w:val="en-US"/>
        </w:rPr>
      </w:pPr>
    </w:p>
    <w:p w14:paraId="5628AA2C" w14:textId="10223044" w:rsidR="00E9136D" w:rsidRPr="00E8634A" w:rsidRDefault="00E9136D" w:rsidP="008F7BAB">
      <w:pPr>
        <w:ind w:right="389"/>
        <w:jc w:val="center"/>
        <w:rPr>
          <w:b/>
          <w:bCs/>
          <w:lang w:val="en-US"/>
        </w:rPr>
      </w:pPr>
      <w:r w:rsidRPr="00E8634A">
        <w:rPr>
          <w:b/>
          <w:bCs/>
          <w:lang w:val="en-US"/>
        </w:rPr>
        <w:t>Submission Deadline:</w:t>
      </w:r>
      <w:r>
        <w:rPr>
          <w:b/>
          <w:bCs/>
          <w:lang w:val="en-US"/>
        </w:rPr>
        <w:t xml:space="preserve"> </w:t>
      </w:r>
      <w:r w:rsidR="006F6590">
        <w:rPr>
          <w:b/>
          <w:bCs/>
          <w:lang w:val="en-US"/>
        </w:rPr>
        <w:t>25</w:t>
      </w:r>
      <w:r w:rsidR="006F6590" w:rsidRPr="006F6590">
        <w:rPr>
          <w:b/>
          <w:bCs/>
          <w:vertAlign w:val="superscript"/>
          <w:lang w:val="en-US"/>
        </w:rPr>
        <w:t>th</w:t>
      </w:r>
      <w:r w:rsidR="006F6590">
        <w:rPr>
          <w:b/>
          <w:bCs/>
          <w:lang w:val="en-US"/>
        </w:rPr>
        <w:t xml:space="preserve"> September </w:t>
      </w:r>
      <w:r w:rsidRPr="00E8634A">
        <w:rPr>
          <w:b/>
          <w:bCs/>
          <w:lang w:val="en-US"/>
        </w:rPr>
        <w:t xml:space="preserve">2026 by </w:t>
      </w:r>
      <w:r w:rsidR="008C73C7">
        <w:rPr>
          <w:b/>
          <w:bCs/>
          <w:lang w:val="en-US"/>
        </w:rPr>
        <w:t>2 pm</w:t>
      </w:r>
    </w:p>
    <w:p w14:paraId="71153FBC" w14:textId="77777777" w:rsidR="00E9136D" w:rsidRPr="005950BE" w:rsidRDefault="00E9136D" w:rsidP="00E9136D">
      <w:pPr>
        <w:jc w:val="center"/>
      </w:pPr>
    </w:p>
    <w:p w14:paraId="573B02C3" w14:textId="77777777" w:rsidR="00E9136D" w:rsidRPr="005950BE" w:rsidRDefault="00E9136D" w:rsidP="00E9136D">
      <w:pPr>
        <w:jc w:val="center"/>
      </w:pPr>
    </w:p>
    <w:p w14:paraId="6B76713D" w14:textId="77777777" w:rsidR="00464F92" w:rsidRPr="00E9136D" w:rsidRDefault="002831B2">
      <w:pPr>
        <w:rPr>
          <w:b/>
          <w:bCs/>
        </w:rPr>
      </w:pPr>
      <w:r w:rsidRPr="00E9136D">
        <w:br w:type="page"/>
      </w:r>
    </w:p>
    <w:p w14:paraId="494208D3" w14:textId="77777777" w:rsidR="00D966A3" w:rsidRPr="00E9136D" w:rsidRDefault="00D966A3" w:rsidP="00D966A3">
      <w:pPr>
        <w:rPr>
          <w:b/>
          <w:bCs/>
        </w:rPr>
      </w:pPr>
    </w:p>
    <w:p w14:paraId="05595F72" w14:textId="61277EAE" w:rsidR="00D966A3" w:rsidRPr="00E9136D" w:rsidRDefault="00D966A3" w:rsidP="00D966A3">
      <w:pPr>
        <w:jc w:val="center"/>
        <w:rPr>
          <w:b/>
          <w:bCs/>
        </w:rPr>
      </w:pPr>
    </w:p>
    <w:p w14:paraId="50AF5541" w14:textId="77777777" w:rsidR="00D966A3" w:rsidRPr="00E9136D" w:rsidRDefault="00D966A3" w:rsidP="00D966A3">
      <w:pPr>
        <w:jc w:val="center"/>
        <w:rPr>
          <w:b/>
          <w:bCs/>
        </w:rPr>
      </w:pPr>
    </w:p>
    <w:p w14:paraId="71668B55" w14:textId="77777777" w:rsidR="00D966A3" w:rsidRPr="00D966A3" w:rsidRDefault="00D966A3" w:rsidP="00D966A3">
      <w:pPr>
        <w:jc w:val="center"/>
        <w:rPr>
          <w:b/>
          <w:bCs/>
        </w:rPr>
      </w:pPr>
      <w:r w:rsidRPr="00D966A3">
        <w:rPr>
          <w:b/>
          <w:bCs/>
        </w:rPr>
        <w:t>Master’s Degrees by Examination and Dissertation</w:t>
      </w:r>
    </w:p>
    <w:p w14:paraId="05FC2B3A" w14:textId="77777777" w:rsidR="00D966A3" w:rsidRPr="00D966A3" w:rsidRDefault="00D966A3" w:rsidP="00D966A3">
      <w:pPr>
        <w:jc w:val="center"/>
        <w:rPr>
          <w:b/>
          <w:bCs/>
        </w:rPr>
      </w:pPr>
      <w:r w:rsidRPr="00D966A3">
        <w:rPr>
          <w:b/>
          <w:bCs/>
        </w:rPr>
        <w:t>Declaration Form.</w:t>
      </w:r>
    </w:p>
    <w:p w14:paraId="3613008D" w14:textId="77777777" w:rsidR="00D966A3" w:rsidRPr="00D966A3" w:rsidRDefault="00D966A3" w:rsidP="00D966A3">
      <w:pPr>
        <w:jc w:val="center"/>
        <w:rPr>
          <w:b/>
          <w:bCs/>
        </w:rPr>
      </w:pPr>
    </w:p>
    <w:p w14:paraId="1208E8B5" w14:textId="0FD6F114" w:rsidR="00D966A3" w:rsidRPr="00D966A3" w:rsidRDefault="00D966A3" w:rsidP="00D966A3">
      <w:pPr>
        <w:jc w:val="center"/>
        <w:rPr>
          <w:b/>
          <w:bCs/>
        </w:rPr>
      </w:pPr>
      <w:r w:rsidRPr="00D966A3">
        <w:rPr>
          <w:b/>
          <w:bCs/>
        </w:rPr>
        <w:t xml:space="preserve">I, </w:t>
      </w:r>
      <w:r w:rsidR="009F2FEF">
        <w:rPr>
          <w:b/>
          <w:bCs/>
        </w:rPr>
        <w:t>Kazi Mahmud Ul Islam</w:t>
      </w:r>
      <w:r w:rsidRPr="00D966A3">
        <w:rPr>
          <w:b/>
          <w:bCs/>
        </w:rPr>
        <w:t xml:space="preserve">, declare that this dissertation has been composed by </w:t>
      </w:r>
      <w:r w:rsidR="009F2FEF">
        <w:rPr>
          <w:b/>
          <w:bCs/>
        </w:rPr>
        <w:t>me</w:t>
      </w:r>
      <w:r w:rsidRPr="00D966A3">
        <w:rPr>
          <w:b/>
          <w:bCs/>
        </w:rPr>
        <w:t xml:space="preserve">, that the work contained herein is entirely my own except where explicitly stated otherwise in the text, and that this work has not been submitted for any other degree or qualification, in whole or in part, except as specified. </w:t>
      </w:r>
    </w:p>
    <w:p w14:paraId="7AD4262A" w14:textId="77777777" w:rsidR="00D966A3" w:rsidRPr="00D966A3" w:rsidRDefault="00D966A3" w:rsidP="00D966A3">
      <w:pPr>
        <w:jc w:val="center"/>
        <w:rPr>
          <w:b/>
          <w:bCs/>
        </w:rPr>
      </w:pPr>
      <w:r w:rsidRPr="00D966A3">
        <w:rPr>
          <w:b/>
          <w:bCs/>
        </w:rPr>
        <w:t xml:space="preserve"> </w:t>
      </w:r>
    </w:p>
    <w:p w14:paraId="37C9253A" w14:textId="41D3FB91" w:rsidR="00D966A3" w:rsidRPr="00E94C95" w:rsidRDefault="00D966A3" w:rsidP="00D966A3">
      <w:pPr>
        <w:jc w:val="center"/>
        <w:rPr>
          <w:b/>
          <w:bCs/>
          <w:u w:val="single"/>
        </w:rPr>
      </w:pPr>
      <w:r w:rsidRPr="00D966A3">
        <w:rPr>
          <w:b/>
          <w:bCs/>
        </w:rPr>
        <w:t>Signature</w:t>
      </w:r>
      <w:r w:rsidRPr="00506FE1">
        <w:rPr>
          <w:b/>
          <w:bCs/>
        </w:rPr>
        <w:t xml:space="preserve">: </w:t>
      </w:r>
      <w:r w:rsidR="009F2FEF" w:rsidRPr="00806A10">
        <w:rPr>
          <w:b/>
          <w:bCs/>
          <w:u w:val="dotted"/>
        </w:rPr>
        <w:t>Kazi Mahmud Ul Islam</w:t>
      </w:r>
    </w:p>
    <w:p w14:paraId="3AA5E13C" w14:textId="77777777" w:rsidR="00D966A3" w:rsidRPr="00D966A3" w:rsidRDefault="00D966A3" w:rsidP="00D966A3">
      <w:pPr>
        <w:jc w:val="center"/>
        <w:rPr>
          <w:b/>
          <w:bCs/>
        </w:rPr>
      </w:pPr>
      <w:r w:rsidRPr="00D966A3">
        <w:rPr>
          <w:b/>
          <w:bCs/>
        </w:rPr>
        <w:t xml:space="preserve"> </w:t>
      </w:r>
    </w:p>
    <w:p w14:paraId="08BE995C" w14:textId="06EF307E" w:rsidR="00D966A3" w:rsidRPr="00D966A3" w:rsidRDefault="009F2FEF" w:rsidP="009F2FEF">
      <w:pPr>
        <w:rPr>
          <w:b/>
          <w:bCs/>
        </w:rPr>
      </w:pPr>
      <w:r>
        <w:rPr>
          <w:b/>
          <w:bCs/>
        </w:rPr>
        <w:t xml:space="preserve">                                                     </w:t>
      </w:r>
      <w:r w:rsidR="00D966A3" w:rsidRPr="00D966A3">
        <w:rPr>
          <w:b/>
          <w:bCs/>
        </w:rPr>
        <w:t xml:space="preserve">Date: </w:t>
      </w:r>
      <w:r w:rsidR="006D3B5E">
        <w:rPr>
          <w:b/>
          <w:bCs/>
        </w:rPr>
        <w:t>17</w:t>
      </w:r>
      <w:r>
        <w:rPr>
          <w:b/>
          <w:bCs/>
        </w:rPr>
        <w:t>.09.2026</w:t>
      </w:r>
    </w:p>
    <w:p w14:paraId="130E1ABE" w14:textId="77777777" w:rsidR="00D966A3" w:rsidRPr="00D966A3" w:rsidRDefault="00D966A3" w:rsidP="00D966A3">
      <w:pPr>
        <w:jc w:val="center"/>
        <w:rPr>
          <w:b/>
          <w:bCs/>
        </w:rPr>
      </w:pPr>
    </w:p>
    <w:p w14:paraId="561C6A7E" w14:textId="77777777" w:rsidR="00D966A3" w:rsidRDefault="00D966A3">
      <w:pPr>
        <w:jc w:val="center"/>
        <w:rPr>
          <w:b/>
          <w:bCs/>
        </w:rPr>
      </w:pPr>
    </w:p>
    <w:p w14:paraId="56F8ED79" w14:textId="77777777" w:rsidR="00D966A3" w:rsidRDefault="00D966A3">
      <w:pPr>
        <w:jc w:val="center"/>
        <w:rPr>
          <w:b/>
          <w:bCs/>
        </w:rPr>
      </w:pPr>
    </w:p>
    <w:p w14:paraId="767D9536" w14:textId="77777777" w:rsidR="00D966A3" w:rsidRDefault="00D966A3">
      <w:pPr>
        <w:jc w:val="center"/>
        <w:rPr>
          <w:b/>
          <w:bCs/>
        </w:rPr>
      </w:pPr>
    </w:p>
    <w:p w14:paraId="7DC682DD" w14:textId="77777777" w:rsidR="00D966A3" w:rsidRDefault="00D966A3">
      <w:pPr>
        <w:jc w:val="center"/>
        <w:rPr>
          <w:b/>
          <w:bCs/>
        </w:rPr>
      </w:pPr>
    </w:p>
    <w:p w14:paraId="1EAC366F" w14:textId="77777777" w:rsidR="00D966A3" w:rsidRDefault="00D966A3">
      <w:pPr>
        <w:jc w:val="center"/>
        <w:rPr>
          <w:b/>
          <w:bCs/>
        </w:rPr>
      </w:pPr>
    </w:p>
    <w:p w14:paraId="5631C6DB" w14:textId="77777777" w:rsidR="00D966A3" w:rsidRDefault="00D966A3">
      <w:pPr>
        <w:jc w:val="center"/>
        <w:rPr>
          <w:b/>
          <w:bCs/>
        </w:rPr>
      </w:pPr>
    </w:p>
    <w:p w14:paraId="678B98E8" w14:textId="77777777" w:rsidR="00D966A3" w:rsidRDefault="00D966A3">
      <w:pPr>
        <w:jc w:val="center"/>
        <w:rPr>
          <w:b/>
          <w:bCs/>
        </w:rPr>
      </w:pPr>
    </w:p>
    <w:p w14:paraId="542DAC32" w14:textId="77777777" w:rsidR="00D966A3" w:rsidRDefault="00D966A3">
      <w:pPr>
        <w:jc w:val="center"/>
        <w:rPr>
          <w:b/>
          <w:bCs/>
        </w:rPr>
      </w:pPr>
    </w:p>
    <w:p w14:paraId="1B3931F3" w14:textId="77777777" w:rsidR="00D966A3" w:rsidRDefault="00D966A3">
      <w:pPr>
        <w:jc w:val="center"/>
        <w:rPr>
          <w:b/>
          <w:bCs/>
        </w:rPr>
      </w:pPr>
    </w:p>
    <w:p w14:paraId="71E4976F" w14:textId="77777777" w:rsidR="00D966A3" w:rsidRDefault="00D966A3">
      <w:pPr>
        <w:jc w:val="center"/>
        <w:rPr>
          <w:b/>
          <w:bCs/>
        </w:rPr>
      </w:pPr>
    </w:p>
    <w:p w14:paraId="30E41873" w14:textId="77777777" w:rsidR="00D966A3" w:rsidRDefault="00D966A3">
      <w:pPr>
        <w:jc w:val="center"/>
        <w:rPr>
          <w:b/>
          <w:bCs/>
        </w:rPr>
      </w:pPr>
    </w:p>
    <w:p w14:paraId="1CC29ACA" w14:textId="77777777" w:rsidR="00D966A3" w:rsidRDefault="00D966A3">
      <w:pPr>
        <w:jc w:val="center"/>
        <w:rPr>
          <w:b/>
          <w:bCs/>
        </w:rPr>
      </w:pPr>
    </w:p>
    <w:p w14:paraId="027E1B6F" w14:textId="77777777" w:rsidR="00D966A3" w:rsidRDefault="00D966A3">
      <w:pPr>
        <w:jc w:val="center"/>
        <w:rPr>
          <w:b/>
          <w:bCs/>
        </w:rPr>
      </w:pPr>
    </w:p>
    <w:p w14:paraId="00DFBB1F" w14:textId="77777777" w:rsidR="00D966A3" w:rsidRDefault="00D966A3">
      <w:pPr>
        <w:jc w:val="center"/>
        <w:rPr>
          <w:b/>
          <w:bCs/>
        </w:rPr>
      </w:pPr>
    </w:p>
    <w:p w14:paraId="5CE90725" w14:textId="77777777" w:rsidR="00D966A3" w:rsidRDefault="00D966A3" w:rsidP="00D966A3">
      <w:pPr>
        <w:rPr>
          <w:b/>
          <w:bCs/>
        </w:rPr>
      </w:pPr>
    </w:p>
    <w:p w14:paraId="1C2D0827" w14:textId="4333BB4B" w:rsidR="009F2FEF" w:rsidRDefault="009F2FEF" w:rsidP="009F2FEF">
      <w:pPr>
        <w:ind w:left="2384"/>
        <w:rPr>
          <w:sz w:val="20"/>
        </w:rPr>
      </w:pPr>
    </w:p>
    <w:p w14:paraId="069E84CE" w14:textId="77777777" w:rsidR="009F2FEF" w:rsidRDefault="009F2FEF" w:rsidP="009F2FEF">
      <w:pPr>
        <w:pStyle w:val="BodyText"/>
        <w:spacing w:before="19"/>
        <w:ind w:left="0"/>
        <w:rPr>
          <w:rFonts w:ascii="Times New Roman"/>
          <w:sz w:val="40"/>
        </w:rPr>
      </w:pPr>
    </w:p>
    <w:p w14:paraId="0A599500" w14:textId="77777777" w:rsidR="009F2FEF" w:rsidRDefault="009F2FEF" w:rsidP="009F2FEF">
      <w:pPr>
        <w:pStyle w:val="Title"/>
      </w:pPr>
      <w:r>
        <w:rPr>
          <w:color w:val="0F4660"/>
          <w:w w:val="90"/>
        </w:rPr>
        <w:lastRenderedPageBreak/>
        <w:t>How</w:t>
      </w:r>
      <w:r>
        <w:rPr>
          <w:color w:val="0F4660"/>
          <w:spacing w:val="-19"/>
          <w:w w:val="90"/>
        </w:rPr>
        <w:t xml:space="preserve"> </w:t>
      </w:r>
      <w:r>
        <w:rPr>
          <w:color w:val="0F4660"/>
          <w:w w:val="90"/>
        </w:rPr>
        <w:t>to</w:t>
      </w:r>
      <w:r>
        <w:rPr>
          <w:color w:val="0F4660"/>
          <w:spacing w:val="-19"/>
          <w:w w:val="90"/>
        </w:rPr>
        <w:t xml:space="preserve"> </w:t>
      </w:r>
      <w:r>
        <w:rPr>
          <w:color w:val="0F4660"/>
          <w:w w:val="90"/>
        </w:rPr>
        <w:t>acknowledge</w:t>
      </w:r>
      <w:r>
        <w:rPr>
          <w:color w:val="0F4660"/>
          <w:spacing w:val="-15"/>
          <w:w w:val="90"/>
        </w:rPr>
        <w:t xml:space="preserve"> </w:t>
      </w:r>
      <w:r>
        <w:rPr>
          <w:color w:val="0F4660"/>
          <w:w w:val="90"/>
        </w:rPr>
        <w:t>your</w:t>
      </w:r>
      <w:r>
        <w:rPr>
          <w:color w:val="0F4660"/>
          <w:spacing w:val="-19"/>
          <w:w w:val="90"/>
        </w:rPr>
        <w:t xml:space="preserve"> </w:t>
      </w:r>
      <w:r>
        <w:rPr>
          <w:color w:val="0F4660"/>
          <w:w w:val="90"/>
        </w:rPr>
        <w:t>use</w:t>
      </w:r>
      <w:r>
        <w:rPr>
          <w:color w:val="0F4660"/>
          <w:spacing w:val="-19"/>
          <w:w w:val="90"/>
        </w:rPr>
        <w:t xml:space="preserve"> </w:t>
      </w:r>
      <w:r>
        <w:rPr>
          <w:color w:val="0F4660"/>
          <w:w w:val="90"/>
        </w:rPr>
        <w:t>of</w:t>
      </w:r>
      <w:r>
        <w:rPr>
          <w:color w:val="0F4660"/>
          <w:spacing w:val="-19"/>
          <w:w w:val="90"/>
        </w:rPr>
        <w:t xml:space="preserve"> </w:t>
      </w:r>
      <w:r>
        <w:rPr>
          <w:color w:val="0F4660"/>
          <w:spacing w:val="-5"/>
          <w:w w:val="90"/>
        </w:rPr>
        <w:t>AI</w:t>
      </w:r>
    </w:p>
    <w:p w14:paraId="29B5E363" w14:textId="77777777" w:rsidR="009F2FEF" w:rsidRDefault="009F2FEF" w:rsidP="009F2FEF">
      <w:pPr>
        <w:pStyle w:val="BodyText"/>
        <w:spacing w:before="183"/>
        <w:ind w:left="0"/>
        <w:rPr>
          <w:rFonts w:ascii="Trebuchet MS"/>
          <w:sz w:val="40"/>
        </w:rPr>
      </w:pPr>
    </w:p>
    <w:p w14:paraId="41E12442" w14:textId="49D4321F" w:rsidR="009F2FEF" w:rsidRDefault="009F2FEF" w:rsidP="009F2FEF">
      <w:pPr>
        <w:ind w:left="23"/>
      </w:pPr>
      <w:r>
        <w:rPr>
          <w:rFonts w:ascii="Trebuchet MS"/>
          <w:b/>
          <w:spacing w:val="-2"/>
          <w:u w:val="single"/>
        </w:rPr>
        <w:t>Updated</w:t>
      </w:r>
      <w:r>
        <w:rPr>
          <w:spacing w:val="-2"/>
        </w:rPr>
        <w:t>:</w:t>
      </w:r>
      <w:r>
        <w:rPr>
          <w:spacing w:val="-7"/>
        </w:rPr>
        <w:t xml:space="preserve"> </w:t>
      </w:r>
      <w:r>
        <w:rPr>
          <w:spacing w:val="-2"/>
        </w:rPr>
        <w:t>September</w:t>
      </w:r>
      <w:r>
        <w:rPr>
          <w:spacing w:val="-7"/>
        </w:rPr>
        <w:t xml:space="preserve"> </w:t>
      </w:r>
      <w:r>
        <w:rPr>
          <w:spacing w:val="-4"/>
        </w:rPr>
        <w:t>2026</w:t>
      </w:r>
    </w:p>
    <w:p w14:paraId="7538C2E7" w14:textId="77777777" w:rsidR="009F2FEF" w:rsidRDefault="009F2FEF" w:rsidP="009F2FEF">
      <w:pPr>
        <w:pStyle w:val="BodyText"/>
      </w:pPr>
      <w:r>
        <w:rPr>
          <w:spacing w:val="-4"/>
        </w:rPr>
        <w:t>This</w:t>
      </w:r>
      <w:r>
        <w:rPr>
          <w:spacing w:val="-11"/>
        </w:rPr>
        <w:t xml:space="preserve"> </w:t>
      </w:r>
      <w:r>
        <w:rPr>
          <w:spacing w:val="-4"/>
        </w:rPr>
        <w:t>guidance</w:t>
      </w:r>
      <w:r>
        <w:rPr>
          <w:spacing w:val="-14"/>
        </w:rPr>
        <w:t xml:space="preserve"> </w:t>
      </w:r>
      <w:r>
        <w:rPr>
          <w:spacing w:val="-4"/>
        </w:rPr>
        <w:t>is</w:t>
      </w:r>
      <w:r>
        <w:rPr>
          <w:spacing w:val="-11"/>
        </w:rPr>
        <w:t xml:space="preserve"> </w:t>
      </w:r>
      <w:r>
        <w:rPr>
          <w:spacing w:val="-4"/>
        </w:rPr>
        <w:t>for</w:t>
      </w:r>
      <w:r>
        <w:rPr>
          <w:spacing w:val="-16"/>
        </w:rPr>
        <w:t xml:space="preserve"> </w:t>
      </w:r>
      <w:r>
        <w:rPr>
          <w:spacing w:val="-4"/>
        </w:rPr>
        <w:t>students</w:t>
      </w:r>
      <w:r>
        <w:rPr>
          <w:spacing w:val="-14"/>
        </w:rPr>
        <w:t xml:space="preserve"> </w:t>
      </w:r>
      <w:r>
        <w:rPr>
          <w:spacing w:val="-4"/>
        </w:rPr>
        <w:t>to</w:t>
      </w:r>
      <w:r>
        <w:rPr>
          <w:spacing w:val="-12"/>
        </w:rPr>
        <w:t xml:space="preserve"> </w:t>
      </w:r>
      <w:r>
        <w:rPr>
          <w:spacing w:val="-4"/>
        </w:rPr>
        <w:t>support</w:t>
      </w:r>
      <w:r>
        <w:rPr>
          <w:spacing w:val="-12"/>
        </w:rPr>
        <w:t xml:space="preserve"> </w:t>
      </w:r>
      <w:r>
        <w:rPr>
          <w:spacing w:val="-4"/>
        </w:rPr>
        <w:t>the</w:t>
      </w:r>
      <w:r>
        <w:rPr>
          <w:spacing w:val="-14"/>
        </w:rPr>
        <w:t xml:space="preserve"> </w:t>
      </w:r>
      <w:r>
        <w:rPr>
          <w:spacing w:val="-4"/>
        </w:rPr>
        <w:t>integration</w:t>
      </w:r>
      <w:r>
        <w:rPr>
          <w:spacing w:val="-11"/>
        </w:rPr>
        <w:t xml:space="preserve"> </w:t>
      </w:r>
      <w:r>
        <w:rPr>
          <w:spacing w:val="-4"/>
        </w:rPr>
        <w:t>of</w:t>
      </w:r>
      <w:r>
        <w:rPr>
          <w:spacing w:val="-12"/>
        </w:rPr>
        <w:t xml:space="preserve"> </w:t>
      </w:r>
      <w:r>
        <w:rPr>
          <w:spacing w:val="-4"/>
        </w:rPr>
        <w:t>AI</w:t>
      </w:r>
      <w:r>
        <w:rPr>
          <w:spacing w:val="-12"/>
        </w:rPr>
        <w:t xml:space="preserve"> </w:t>
      </w:r>
      <w:r>
        <w:rPr>
          <w:spacing w:val="-4"/>
        </w:rPr>
        <w:t>tools</w:t>
      </w:r>
      <w:r>
        <w:rPr>
          <w:spacing w:val="-11"/>
        </w:rPr>
        <w:t xml:space="preserve"> </w:t>
      </w:r>
      <w:r>
        <w:rPr>
          <w:spacing w:val="-4"/>
        </w:rPr>
        <w:t>in</w:t>
      </w:r>
      <w:r>
        <w:rPr>
          <w:spacing w:val="-9"/>
        </w:rPr>
        <w:t xml:space="preserve"> </w:t>
      </w:r>
      <w:r>
        <w:rPr>
          <w:spacing w:val="-4"/>
        </w:rPr>
        <w:t>assessment.</w:t>
      </w:r>
    </w:p>
    <w:p w14:paraId="1D9A0A56" w14:textId="77777777" w:rsidR="009F2FEF" w:rsidRDefault="009F2FEF" w:rsidP="009F2FEF">
      <w:pPr>
        <w:pStyle w:val="BodyText"/>
        <w:spacing w:line="256" w:lineRule="auto"/>
      </w:pPr>
      <w:r>
        <w:t>Every</w:t>
      </w:r>
      <w:r>
        <w:rPr>
          <w:spacing w:val="-17"/>
        </w:rPr>
        <w:t xml:space="preserve"> </w:t>
      </w:r>
      <w:r>
        <w:t>assessment</w:t>
      </w:r>
      <w:r>
        <w:rPr>
          <w:spacing w:val="-12"/>
        </w:rPr>
        <w:t xml:space="preserve"> </w:t>
      </w:r>
      <w:r>
        <w:t>specification</w:t>
      </w:r>
      <w:r>
        <w:rPr>
          <w:spacing w:val="-12"/>
        </w:rPr>
        <w:t xml:space="preserve"> </w:t>
      </w:r>
      <w:r>
        <w:t>identifies</w:t>
      </w:r>
      <w:r>
        <w:rPr>
          <w:spacing w:val="-11"/>
        </w:rPr>
        <w:t xml:space="preserve"> </w:t>
      </w:r>
      <w:r>
        <w:t>the</w:t>
      </w:r>
      <w:r>
        <w:rPr>
          <w:spacing w:val="-9"/>
        </w:rPr>
        <w:t xml:space="preserve"> </w:t>
      </w:r>
      <w:r>
        <w:rPr>
          <w:rFonts w:ascii="Trebuchet MS"/>
          <w:b/>
        </w:rPr>
        <w:t>allowable</w:t>
      </w:r>
      <w:r>
        <w:rPr>
          <w:rFonts w:ascii="Trebuchet MS"/>
          <w:b/>
          <w:spacing w:val="-20"/>
        </w:rPr>
        <w:t xml:space="preserve"> </w:t>
      </w:r>
      <w:r>
        <w:t>use</w:t>
      </w:r>
      <w:r>
        <w:rPr>
          <w:spacing w:val="-12"/>
        </w:rPr>
        <w:t xml:space="preserve"> </w:t>
      </w:r>
      <w:r>
        <w:t>of</w:t>
      </w:r>
      <w:r>
        <w:rPr>
          <w:spacing w:val="-12"/>
        </w:rPr>
        <w:t xml:space="preserve"> </w:t>
      </w:r>
      <w:r>
        <w:t>AI</w:t>
      </w:r>
      <w:r>
        <w:rPr>
          <w:spacing w:val="-12"/>
        </w:rPr>
        <w:t xml:space="preserve"> </w:t>
      </w:r>
      <w:r>
        <w:t>in</w:t>
      </w:r>
      <w:r>
        <w:rPr>
          <w:spacing w:val="-12"/>
        </w:rPr>
        <w:t xml:space="preserve"> </w:t>
      </w:r>
      <w:r>
        <w:t>that</w:t>
      </w:r>
      <w:r>
        <w:rPr>
          <w:spacing w:val="-12"/>
        </w:rPr>
        <w:t xml:space="preserve"> </w:t>
      </w:r>
      <w:r>
        <w:t>assessment. You</w:t>
      </w:r>
      <w:r>
        <w:rPr>
          <w:spacing w:val="-10"/>
        </w:rPr>
        <w:t xml:space="preserve"> </w:t>
      </w:r>
      <w:r>
        <w:t>should</w:t>
      </w:r>
      <w:r>
        <w:rPr>
          <w:spacing w:val="-10"/>
        </w:rPr>
        <w:t xml:space="preserve"> </w:t>
      </w:r>
      <w:r>
        <w:t>be</w:t>
      </w:r>
      <w:r>
        <w:rPr>
          <w:spacing w:val="-13"/>
        </w:rPr>
        <w:t xml:space="preserve"> </w:t>
      </w:r>
      <w:r>
        <w:t>able</w:t>
      </w:r>
      <w:r>
        <w:rPr>
          <w:spacing w:val="-10"/>
        </w:rPr>
        <w:t xml:space="preserve"> </w:t>
      </w:r>
      <w:r>
        <w:t>to</w:t>
      </w:r>
      <w:r>
        <w:rPr>
          <w:spacing w:val="-15"/>
        </w:rPr>
        <w:t xml:space="preserve"> </w:t>
      </w:r>
      <w:r>
        <w:t>see</w:t>
      </w:r>
      <w:r>
        <w:rPr>
          <w:spacing w:val="-7"/>
        </w:rPr>
        <w:t xml:space="preserve"> </w:t>
      </w:r>
      <w:r>
        <w:t>a</w:t>
      </w:r>
      <w:r>
        <w:rPr>
          <w:spacing w:val="-14"/>
        </w:rPr>
        <w:t xml:space="preserve"> </w:t>
      </w:r>
      <w:r>
        <w:t>version</w:t>
      </w:r>
      <w:r>
        <w:rPr>
          <w:spacing w:val="-15"/>
        </w:rPr>
        <w:t xml:space="preserve"> </w:t>
      </w:r>
      <w:r>
        <w:t>of</w:t>
      </w:r>
      <w:r>
        <w:rPr>
          <w:spacing w:val="-9"/>
        </w:rPr>
        <w:t xml:space="preserve"> </w:t>
      </w:r>
      <w:r>
        <w:t>the</w:t>
      </w:r>
      <w:r>
        <w:rPr>
          <w:spacing w:val="-10"/>
        </w:rPr>
        <w:t xml:space="preserve"> </w:t>
      </w:r>
      <w:r>
        <w:t>following</w:t>
      </w:r>
      <w:r>
        <w:rPr>
          <w:spacing w:val="-15"/>
        </w:rPr>
        <w:t xml:space="preserve"> </w:t>
      </w:r>
      <w:r>
        <w:t>table:</w:t>
      </w:r>
    </w:p>
    <w:p w14:paraId="398B46CE" w14:textId="77777777" w:rsidR="009F2FEF" w:rsidRDefault="009F2FEF" w:rsidP="009F2FEF">
      <w:pPr>
        <w:pStyle w:val="BodyText"/>
        <w:spacing w:before="4"/>
        <w:ind w:left="0"/>
        <w:rPr>
          <w:sz w:val="14"/>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2"/>
        <w:gridCol w:w="5530"/>
        <w:gridCol w:w="1349"/>
      </w:tblGrid>
      <w:tr w:rsidR="009F2FEF" w14:paraId="7C5F9A0A" w14:textId="77777777" w:rsidTr="00060BA1">
        <w:trPr>
          <w:trHeight w:val="1516"/>
        </w:trPr>
        <w:tc>
          <w:tcPr>
            <w:tcW w:w="2122" w:type="dxa"/>
          </w:tcPr>
          <w:p w14:paraId="2F282434" w14:textId="77777777" w:rsidR="009F2FEF" w:rsidRDefault="009F2FEF" w:rsidP="00060BA1">
            <w:pPr>
              <w:pStyle w:val="TableParagraph"/>
              <w:spacing w:before="156"/>
              <w:ind w:left="0"/>
              <w:rPr>
                <w:sz w:val="24"/>
              </w:rPr>
            </w:pPr>
          </w:p>
          <w:p w14:paraId="3201B0CA" w14:textId="77777777" w:rsidR="009F2FEF" w:rsidRDefault="009F2FEF" w:rsidP="00060BA1">
            <w:pPr>
              <w:pStyle w:val="TableParagraph"/>
              <w:rPr>
                <w:sz w:val="24"/>
              </w:rPr>
            </w:pPr>
            <w:r>
              <w:rPr>
                <w:spacing w:val="-2"/>
                <w:w w:val="105"/>
                <w:sz w:val="24"/>
              </w:rPr>
              <w:t>RESEARCH</w:t>
            </w:r>
          </w:p>
        </w:tc>
        <w:tc>
          <w:tcPr>
            <w:tcW w:w="5530" w:type="dxa"/>
          </w:tcPr>
          <w:p w14:paraId="05E7FD51" w14:textId="77777777" w:rsidR="009F2FEF" w:rsidRDefault="009F2FEF" w:rsidP="00060BA1">
            <w:pPr>
              <w:pStyle w:val="TableParagraph"/>
              <w:spacing w:line="286" w:lineRule="exact"/>
              <w:rPr>
                <w:sz w:val="24"/>
              </w:rPr>
            </w:pPr>
            <w:r>
              <w:rPr>
                <w:sz w:val="24"/>
              </w:rPr>
              <w:t>For</w:t>
            </w:r>
            <w:r>
              <w:rPr>
                <w:spacing w:val="-20"/>
                <w:sz w:val="24"/>
              </w:rPr>
              <w:t xml:space="preserve"> </w:t>
            </w:r>
            <w:r>
              <w:rPr>
                <w:sz w:val="24"/>
              </w:rPr>
              <w:t>this</w:t>
            </w:r>
            <w:r>
              <w:rPr>
                <w:spacing w:val="-15"/>
                <w:sz w:val="24"/>
              </w:rPr>
              <w:t xml:space="preserve"> </w:t>
            </w:r>
            <w:r>
              <w:rPr>
                <w:sz w:val="24"/>
              </w:rPr>
              <w:t>assessment,</w:t>
            </w:r>
            <w:r>
              <w:rPr>
                <w:spacing w:val="-15"/>
                <w:sz w:val="24"/>
              </w:rPr>
              <w:t xml:space="preserve"> </w:t>
            </w:r>
            <w:r>
              <w:rPr>
                <w:sz w:val="24"/>
              </w:rPr>
              <w:t>you</w:t>
            </w:r>
            <w:r>
              <w:rPr>
                <w:spacing w:val="-16"/>
                <w:sz w:val="24"/>
              </w:rPr>
              <w:t xml:space="preserve"> </w:t>
            </w:r>
            <w:r>
              <w:rPr>
                <w:sz w:val="24"/>
              </w:rPr>
              <w:t>can</w:t>
            </w:r>
            <w:r>
              <w:rPr>
                <w:spacing w:val="-15"/>
                <w:sz w:val="24"/>
              </w:rPr>
              <w:t xml:space="preserve"> </w:t>
            </w:r>
            <w:r>
              <w:rPr>
                <w:sz w:val="24"/>
              </w:rPr>
              <w:t>use</w:t>
            </w:r>
            <w:r>
              <w:rPr>
                <w:spacing w:val="-15"/>
                <w:sz w:val="24"/>
              </w:rPr>
              <w:t xml:space="preserve"> </w:t>
            </w:r>
            <w:r>
              <w:rPr>
                <w:sz w:val="24"/>
              </w:rPr>
              <w:t>Generative</w:t>
            </w:r>
            <w:r>
              <w:rPr>
                <w:spacing w:val="-15"/>
                <w:sz w:val="24"/>
              </w:rPr>
              <w:t xml:space="preserve"> </w:t>
            </w:r>
            <w:r>
              <w:rPr>
                <w:sz w:val="24"/>
              </w:rPr>
              <w:t>AI</w:t>
            </w:r>
            <w:r>
              <w:rPr>
                <w:spacing w:val="-13"/>
                <w:sz w:val="24"/>
              </w:rPr>
              <w:t xml:space="preserve"> </w:t>
            </w:r>
            <w:r>
              <w:rPr>
                <w:spacing w:val="-5"/>
                <w:sz w:val="24"/>
              </w:rPr>
              <w:t>to</w:t>
            </w:r>
          </w:p>
          <w:p w14:paraId="2FEDCE4A" w14:textId="77777777" w:rsidR="009F2FEF" w:rsidRDefault="009F2FEF" w:rsidP="00060BA1">
            <w:pPr>
              <w:pStyle w:val="TableParagraph"/>
              <w:spacing w:before="19" w:line="254" w:lineRule="auto"/>
              <w:ind w:right="49"/>
              <w:rPr>
                <w:sz w:val="24"/>
              </w:rPr>
            </w:pPr>
            <w:r>
              <w:rPr>
                <w:sz w:val="24"/>
              </w:rPr>
              <w:t>support</w:t>
            </w:r>
            <w:r>
              <w:rPr>
                <w:spacing w:val="-14"/>
                <w:sz w:val="24"/>
              </w:rPr>
              <w:t xml:space="preserve"> </w:t>
            </w:r>
            <w:r>
              <w:rPr>
                <w:sz w:val="24"/>
              </w:rPr>
              <w:t>you</w:t>
            </w:r>
            <w:r>
              <w:rPr>
                <w:spacing w:val="-11"/>
                <w:sz w:val="24"/>
              </w:rPr>
              <w:t xml:space="preserve"> </w:t>
            </w:r>
            <w:r>
              <w:rPr>
                <w:sz w:val="24"/>
              </w:rPr>
              <w:t>in</w:t>
            </w:r>
            <w:r>
              <w:rPr>
                <w:spacing w:val="-11"/>
                <w:sz w:val="24"/>
              </w:rPr>
              <w:t xml:space="preserve"> </w:t>
            </w:r>
            <w:r>
              <w:rPr>
                <w:sz w:val="24"/>
              </w:rPr>
              <w:t>research,</w:t>
            </w:r>
            <w:r>
              <w:rPr>
                <w:spacing w:val="-11"/>
                <w:sz w:val="24"/>
              </w:rPr>
              <w:t xml:space="preserve"> </w:t>
            </w:r>
            <w:r>
              <w:rPr>
                <w:sz w:val="24"/>
              </w:rPr>
              <w:t>including</w:t>
            </w:r>
            <w:r>
              <w:rPr>
                <w:spacing w:val="-16"/>
                <w:sz w:val="24"/>
              </w:rPr>
              <w:t xml:space="preserve"> </w:t>
            </w:r>
            <w:r>
              <w:rPr>
                <w:sz w:val="24"/>
              </w:rPr>
              <w:t>searching</w:t>
            </w:r>
            <w:r>
              <w:rPr>
                <w:spacing w:val="-10"/>
                <w:sz w:val="24"/>
              </w:rPr>
              <w:t xml:space="preserve"> </w:t>
            </w:r>
            <w:r>
              <w:rPr>
                <w:sz w:val="24"/>
              </w:rPr>
              <w:t xml:space="preserve">for </w:t>
            </w:r>
            <w:r>
              <w:rPr>
                <w:spacing w:val="-2"/>
                <w:sz w:val="24"/>
              </w:rPr>
              <w:t>bibliography,</w:t>
            </w:r>
            <w:r>
              <w:rPr>
                <w:spacing w:val="-17"/>
                <w:sz w:val="24"/>
              </w:rPr>
              <w:t xml:space="preserve"> </w:t>
            </w:r>
            <w:r>
              <w:rPr>
                <w:spacing w:val="-2"/>
                <w:sz w:val="24"/>
              </w:rPr>
              <w:t>using</w:t>
            </w:r>
            <w:r>
              <w:rPr>
                <w:spacing w:val="-21"/>
                <w:sz w:val="24"/>
              </w:rPr>
              <w:t xml:space="preserve"> </w:t>
            </w:r>
            <w:r>
              <w:rPr>
                <w:spacing w:val="-2"/>
                <w:sz w:val="24"/>
              </w:rPr>
              <w:t>tools</w:t>
            </w:r>
            <w:r>
              <w:rPr>
                <w:spacing w:val="-16"/>
                <w:sz w:val="24"/>
              </w:rPr>
              <w:t xml:space="preserve"> </w:t>
            </w:r>
            <w:r>
              <w:rPr>
                <w:spacing w:val="-2"/>
                <w:sz w:val="24"/>
              </w:rPr>
              <w:t>to</w:t>
            </w:r>
            <w:r>
              <w:rPr>
                <w:spacing w:val="-21"/>
                <w:sz w:val="24"/>
              </w:rPr>
              <w:t xml:space="preserve"> </w:t>
            </w:r>
            <w:r>
              <w:rPr>
                <w:spacing w:val="-2"/>
                <w:sz w:val="24"/>
              </w:rPr>
              <w:t>summarise,</w:t>
            </w:r>
            <w:r>
              <w:rPr>
                <w:spacing w:val="-17"/>
                <w:sz w:val="24"/>
              </w:rPr>
              <w:t xml:space="preserve"> </w:t>
            </w:r>
            <w:r>
              <w:rPr>
                <w:spacing w:val="-2"/>
                <w:sz w:val="24"/>
              </w:rPr>
              <w:t xml:space="preserve">compare </w:t>
            </w:r>
            <w:r>
              <w:rPr>
                <w:sz w:val="24"/>
              </w:rPr>
              <w:t>and interrogate materials.</w:t>
            </w:r>
          </w:p>
        </w:tc>
        <w:tc>
          <w:tcPr>
            <w:tcW w:w="1349" w:type="dxa"/>
          </w:tcPr>
          <w:p w14:paraId="510FB9C2" w14:textId="77777777" w:rsidR="009F2FEF" w:rsidRDefault="009F2FEF" w:rsidP="00060BA1">
            <w:pPr>
              <w:pStyle w:val="TableParagraph"/>
              <w:spacing w:before="156"/>
              <w:ind w:left="0"/>
              <w:rPr>
                <w:sz w:val="24"/>
              </w:rPr>
            </w:pPr>
          </w:p>
          <w:p w14:paraId="63562F40" w14:textId="77777777" w:rsidR="009F2FEF" w:rsidRDefault="009F2FEF" w:rsidP="00060BA1">
            <w:pPr>
              <w:pStyle w:val="TableParagraph"/>
              <w:ind w:left="0" w:right="9"/>
              <w:jc w:val="center"/>
              <w:rPr>
                <w:sz w:val="24"/>
              </w:rPr>
            </w:pPr>
            <w:r>
              <w:rPr>
                <w:spacing w:val="-10"/>
                <w:sz w:val="24"/>
              </w:rPr>
              <w:t>Yes</w:t>
            </w:r>
            <w:r>
              <w:rPr>
                <w:spacing w:val="-15"/>
                <w:sz w:val="24"/>
              </w:rPr>
              <w:t xml:space="preserve"> </w:t>
            </w:r>
            <w:r>
              <w:rPr>
                <w:spacing w:val="-10"/>
                <w:sz w:val="24"/>
              </w:rPr>
              <w:t>☐No</w:t>
            </w:r>
            <w:r>
              <w:rPr>
                <w:spacing w:val="-14"/>
                <w:sz w:val="24"/>
              </w:rPr>
              <w:t xml:space="preserve"> </w:t>
            </w:r>
            <w:r>
              <w:rPr>
                <w:spacing w:val="-10"/>
                <w:sz w:val="24"/>
              </w:rPr>
              <w:t>☐</w:t>
            </w:r>
          </w:p>
        </w:tc>
      </w:tr>
      <w:tr w:rsidR="009F2FEF" w14:paraId="7A012109" w14:textId="77777777" w:rsidTr="00060BA1">
        <w:trPr>
          <w:trHeight w:val="1516"/>
        </w:trPr>
        <w:tc>
          <w:tcPr>
            <w:tcW w:w="2122" w:type="dxa"/>
          </w:tcPr>
          <w:p w14:paraId="7AA57222" w14:textId="77777777" w:rsidR="009F2FEF" w:rsidRDefault="009F2FEF" w:rsidP="00060BA1">
            <w:pPr>
              <w:pStyle w:val="TableParagraph"/>
              <w:spacing w:before="156"/>
              <w:ind w:left="0"/>
              <w:rPr>
                <w:sz w:val="24"/>
              </w:rPr>
            </w:pPr>
          </w:p>
          <w:p w14:paraId="38186FF9" w14:textId="77777777" w:rsidR="009F2FEF" w:rsidRDefault="009F2FEF" w:rsidP="00060BA1">
            <w:pPr>
              <w:pStyle w:val="TableParagraph"/>
              <w:rPr>
                <w:sz w:val="24"/>
              </w:rPr>
            </w:pPr>
            <w:r>
              <w:rPr>
                <w:spacing w:val="-2"/>
                <w:sz w:val="24"/>
              </w:rPr>
              <w:t>STRUCTURE</w:t>
            </w:r>
          </w:p>
        </w:tc>
        <w:tc>
          <w:tcPr>
            <w:tcW w:w="5530" w:type="dxa"/>
          </w:tcPr>
          <w:p w14:paraId="1C8C7368" w14:textId="77777777" w:rsidR="009F2FEF" w:rsidRDefault="009F2FEF" w:rsidP="00060BA1">
            <w:pPr>
              <w:pStyle w:val="TableParagraph"/>
              <w:spacing w:line="286" w:lineRule="exact"/>
              <w:rPr>
                <w:sz w:val="24"/>
              </w:rPr>
            </w:pPr>
            <w:r>
              <w:rPr>
                <w:sz w:val="24"/>
              </w:rPr>
              <w:t>For</w:t>
            </w:r>
            <w:r>
              <w:rPr>
                <w:spacing w:val="-20"/>
                <w:sz w:val="24"/>
              </w:rPr>
              <w:t xml:space="preserve"> </w:t>
            </w:r>
            <w:r>
              <w:rPr>
                <w:sz w:val="24"/>
              </w:rPr>
              <w:t>this</w:t>
            </w:r>
            <w:r>
              <w:rPr>
                <w:spacing w:val="-15"/>
                <w:sz w:val="24"/>
              </w:rPr>
              <w:t xml:space="preserve"> </w:t>
            </w:r>
            <w:r>
              <w:rPr>
                <w:sz w:val="24"/>
              </w:rPr>
              <w:t>assessment,</w:t>
            </w:r>
            <w:r>
              <w:rPr>
                <w:spacing w:val="-15"/>
                <w:sz w:val="24"/>
              </w:rPr>
              <w:t xml:space="preserve"> </w:t>
            </w:r>
            <w:r>
              <w:rPr>
                <w:sz w:val="24"/>
              </w:rPr>
              <w:t>you</w:t>
            </w:r>
            <w:r>
              <w:rPr>
                <w:spacing w:val="-16"/>
                <w:sz w:val="24"/>
              </w:rPr>
              <w:t xml:space="preserve"> </w:t>
            </w:r>
            <w:r>
              <w:rPr>
                <w:sz w:val="24"/>
              </w:rPr>
              <w:t>can</w:t>
            </w:r>
            <w:r>
              <w:rPr>
                <w:spacing w:val="-15"/>
                <w:sz w:val="24"/>
              </w:rPr>
              <w:t xml:space="preserve"> </w:t>
            </w:r>
            <w:r>
              <w:rPr>
                <w:sz w:val="24"/>
              </w:rPr>
              <w:t>use</w:t>
            </w:r>
            <w:r>
              <w:rPr>
                <w:spacing w:val="-15"/>
                <w:sz w:val="24"/>
              </w:rPr>
              <w:t xml:space="preserve"> </w:t>
            </w:r>
            <w:r>
              <w:rPr>
                <w:sz w:val="24"/>
              </w:rPr>
              <w:t>Generative</w:t>
            </w:r>
            <w:r>
              <w:rPr>
                <w:spacing w:val="-15"/>
                <w:sz w:val="24"/>
              </w:rPr>
              <w:t xml:space="preserve"> </w:t>
            </w:r>
            <w:r>
              <w:rPr>
                <w:sz w:val="24"/>
              </w:rPr>
              <w:t>AI</w:t>
            </w:r>
            <w:r>
              <w:rPr>
                <w:spacing w:val="-13"/>
                <w:sz w:val="24"/>
              </w:rPr>
              <w:t xml:space="preserve"> </w:t>
            </w:r>
            <w:r>
              <w:rPr>
                <w:spacing w:val="-5"/>
                <w:sz w:val="24"/>
              </w:rPr>
              <w:t>to</w:t>
            </w:r>
          </w:p>
          <w:p w14:paraId="53342F5A" w14:textId="77777777" w:rsidR="009F2FEF" w:rsidRDefault="009F2FEF" w:rsidP="00060BA1">
            <w:pPr>
              <w:pStyle w:val="TableParagraph"/>
              <w:spacing w:before="21" w:line="254" w:lineRule="auto"/>
              <w:ind w:right="754"/>
              <w:rPr>
                <w:sz w:val="24"/>
              </w:rPr>
            </w:pPr>
            <w:r>
              <w:rPr>
                <w:sz w:val="24"/>
              </w:rPr>
              <w:t>support you in structuring</w:t>
            </w:r>
            <w:r>
              <w:rPr>
                <w:spacing w:val="-2"/>
                <w:sz w:val="24"/>
              </w:rPr>
              <w:t xml:space="preserve"> </w:t>
            </w:r>
            <w:r>
              <w:rPr>
                <w:sz w:val="24"/>
              </w:rPr>
              <w:t xml:space="preserve">your submission, </w:t>
            </w:r>
            <w:r>
              <w:rPr>
                <w:spacing w:val="-2"/>
                <w:sz w:val="24"/>
              </w:rPr>
              <w:t>including</w:t>
            </w:r>
            <w:r>
              <w:rPr>
                <w:spacing w:val="-21"/>
                <w:sz w:val="24"/>
              </w:rPr>
              <w:t xml:space="preserve"> </w:t>
            </w:r>
            <w:r>
              <w:rPr>
                <w:spacing w:val="-2"/>
                <w:sz w:val="24"/>
              </w:rPr>
              <w:t>creating</w:t>
            </w:r>
            <w:r>
              <w:rPr>
                <w:spacing w:val="-21"/>
                <w:sz w:val="24"/>
              </w:rPr>
              <w:t xml:space="preserve"> </w:t>
            </w:r>
            <w:r>
              <w:rPr>
                <w:spacing w:val="-2"/>
                <w:sz w:val="24"/>
              </w:rPr>
              <w:t>a</w:t>
            </w:r>
            <w:r>
              <w:rPr>
                <w:spacing w:val="-15"/>
                <w:sz w:val="24"/>
              </w:rPr>
              <w:t xml:space="preserve"> </w:t>
            </w:r>
            <w:r>
              <w:rPr>
                <w:spacing w:val="-2"/>
                <w:sz w:val="24"/>
              </w:rPr>
              <w:t>draft</w:t>
            </w:r>
            <w:r>
              <w:rPr>
                <w:spacing w:val="-17"/>
                <w:sz w:val="24"/>
              </w:rPr>
              <w:t xml:space="preserve"> </w:t>
            </w:r>
            <w:r>
              <w:rPr>
                <w:spacing w:val="-2"/>
                <w:sz w:val="24"/>
              </w:rPr>
              <w:t>argument</w:t>
            </w:r>
            <w:r>
              <w:rPr>
                <w:spacing w:val="-17"/>
                <w:sz w:val="24"/>
              </w:rPr>
              <w:t xml:space="preserve"> </w:t>
            </w:r>
            <w:r>
              <w:rPr>
                <w:spacing w:val="-2"/>
                <w:sz w:val="24"/>
              </w:rPr>
              <w:t xml:space="preserve">structure, </w:t>
            </w:r>
            <w:r>
              <w:rPr>
                <w:sz w:val="24"/>
              </w:rPr>
              <w:t>identifying parts and headings, etc.</w:t>
            </w:r>
          </w:p>
        </w:tc>
        <w:tc>
          <w:tcPr>
            <w:tcW w:w="1349" w:type="dxa"/>
          </w:tcPr>
          <w:p w14:paraId="14096FFB" w14:textId="77777777" w:rsidR="009F2FEF" w:rsidRDefault="009F2FEF" w:rsidP="00060BA1">
            <w:pPr>
              <w:pStyle w:val="TableParagraph"/>
              <w:spacing w:before="156"/>
              <w:ind w:left="0"/>
              <w:rPr>
                <w:sz w:val="24"/>
              </w:rPr>
            </w:pPr>
          </w:p>
          <w:p w14:paraId="4919B352" w14:textId="77777777" w:rsidR="009F2FEF" w:rsidRDefault="009F2FEF" w:rsidP="00060BA1">
            <w:pPr>
              <w:pStyle w:val="TableParagraph"/>
              <w:ind w:left="0" w:right="9"/>
              <w:jc w:val="center"/>
              <w:rPr>
                <w:sz w:val="24"/>
              </w:rPr>
            </w:pPr>
            <w:r>
              <w:rPr>
                <w:spacing w:val="-10"/>
                <w:sz w:val="24"/>
              </w:rPr>
              <w:t>Yes</w:t>
            </w:r>
            <w:r>
              <w:rPr>
                <w:spacing w:val="-15"/>
                <w:sz w:val="24"/>
              </w:rPr>
              <w:t xml:space="preserve"> </w:t>
            </w:r>
            <w:r>
              <w:rPr>
                <w:spacing w:val="-10"/>
                <w:sz w:val="24"/>
              </w:rPr>
              <w:t>☐No</w:t>
            </w:r>
            <w:r>
              <w:rPr>
                <w:spacing w:val="-14"/>
                <w:sz w:val="24"/>
              </w:rPr>
              <w:t xml:space="preserve"> </w:t>
            </w:r>
            <w:r>
              <w:rPr>
                <w:spacing w:val="-10"/>
                <w:sz w:val="24"/>
              </w:rPr>
              <w:t>☐</w:t>
            </w:r>
          </w:p>
        </w:tc>
      </w:tr>
      <w:tr w:rsidR="009F2FEF" w14:paraId="5AA66B44" w14:textId="77777777" w:rsidTr="00060BA1">
        <w:trPr>
          <w:trHeight w:val="1518"/>
        </w:trPr>
        <w:tc>
          <w:tcPr>
            <w:tcW w:w="2122" w:type="dxa"/>
          </w:tcPr>
          <w:p w14:paraId="185D44B7" w14:textId="77777777" w:rsidR="009F2FEF" w:rsidRDefault="009F2FEF" w:rsidP="00060BA1">
            <w:pPr>
              <w:pStyle w:val="TableParagraph"/>
              <w:spacing w:before="158"/>
              <w:ind w:left="0"/>
              <w:rPr>
                <w:sz w:val="24"/>
              </w:rPr>
            </w:pPr>
          </w:p>
          <w:p w14:paraId="4D21F06E" w14:textId="77777777" w:rsidR="009F2FEF" w:rsidRDefault="009F2FEF" w:rsidP="00060BA1">
            <w:pPr>
              <w:pStyle w:val="TableParagraph"/>
              <w:rPr>
                <w:sz w:val="24"/>
              </w:rPr>
            </w:pPr>
            <w:r>
              <w:rPr>
                <w:spacing w:val="-2"/>
                <w:sz w:val="24"/>
              </w:rPr>
              <w:t>PROOFREADING</w:t>
            </w:r>
          </w:p>
        </w:tc>
        <w:tc>
          <w:tcPr>
            <w:tcW w:w="5530" w:type="dxa"/>
          </w:tcPr>
          <w:p w14:paraId="2A117E89" w14:textId="77777777" w:rsidR="009F2FEF" w:rsidRDefault="009F2FEF" w:rsidP="00060BA1">
            <w:pPr>
              <w:pStyle w:val="TableParagraph"/>
              <w:spacing w:line="288" w:lineRule="exact"/>
              <w:jc w:val="both"/>
              <w:rPr>
                <w:sz w:val="24"/>
              </w:rPr>
            </w:pPr>
            <w:r>
              <w:rPr>
                <w:sz w:val="24"/>
              </w:rPr>
              <w:t>For</w:t>
            </w:r>
            <w:r>
              <w:rPr>
                <w:spacing w:val="-20"/>
                <w:sz w:val="24"/>
              </w:rPr>
              <w:t xml:space="preserve"> </w:t>
            </w:r>
            <w:r>
              <w:rPr>
                <w:sz w:val="24"/>
              </w:rPr>
              <w:t>this</w:t>
            </w:r>
            <w:r>
              <w:rPr>
                <w:spacing w:val="-15"/>
                <w:sz w:val="24"/>
              </w:rPr>
              <w:t xml:space="preserve"> </w:t>
            </w:r>
            <w:r>
              <w:rPr>
                <w:sz w:val="24"/>
              </w:rPr>
              <w:t>assessment,</w:t>
            </w:r>
            <w:r>
              <w:rPr>
                <w:spacing w:val="-15"/>
                <w:sz w:val="24"/>
              </w:rPr>
              <w:t xml:space="preserve"> </w:t>
            </w:r>
            <w:r>
              <w:rPr>
                <w:sz w:val="24"/>
              </w:rPr>
              <w:t>you</w:t>
            </w:r>
            <w:r>
              <w:rPr>
                <w:spacing w:val="-16"/>
                <w:sz w:val="24"/>
              </w:rPr>
              <w:t xml:space="preserve"> </w:t>
            </w:r>
            <w:r>
              <w:rPr>
                <w:sz w:val="24"/>
              </w:rPr>
              <w:t>can</w:t>
            </w:r>
            <w:r>
              <w:rPr>
                <w:spacing w:val="-15"/>
                <w:sz w:val="24"/>
              </w:rPr>
              <w:t xml:space="preserve"> </w:t>
            </w:r>
            <w:r>
              <w:rPr>
                <w:sz w:val="24"/>
              </w:rPr>
              <w:t>use</w:t>
            </w:r>
            <w:r>
              <w:rPr>
                <w:spacing w:val="-15"/>
                <w:sz w:val="24"/>
              </w:rPr>
              <w:t xml:space="preserve"> </w:t>
            </w:r>
            <w:r>
              <w:rPr>
                <w:sz w:val="24"/>
              </w:rPr>
              <w:t>Generative</w:t>
            </w:r>
            <w:r>
              <w:rPr>
                <w:spacing w:val="-15"/>
                <w:sz w:val="24"/>
              </w:rPr>
              <w:t xml:space="preserve"> </w:t>
            </w:r>
            <w:r>
              <w:rPr>
                <w:sz w:val="24"/>
              </w:rPr>
              <w:t>AI</w:t>
            </w:r>
            <w:r>
              <w:rPr>
                <w:spacing w:val="-13"/>
                <w:sz w:val="24"/>
              </w:rPr>
              <w:t xml:space="preserve"> </w:t>
            </w:r>
            <w:r>
              <w:rPr>
                <w:spacing w:val="-5"/>
                <w:sz w:val="24"/>
              </w:rPr>
              <w:t>to</w:t>
            </w:r>
          </w:p>
          <w:p w14:paraId="7C3007B0" w14:textId="77777777" w:rsidR="009F2FEF" w:rsidRDefault="009F2FEF" w:rsidP="00060BA1">
            <w:pPr>
              <w:pStyle w:val="TableParagraph"/>
              <w:spacing w:before="19" w:line="254" w:lineRule="auto"/>
              <w:ind w:right="319"/>
              <w:jc w:val="both"/>
              <w:rPr>
                <w:sz w:val="24"/>
              </w:rPr>
            </w:pPr>
            <w:r>
              <w:rPr>
                <w:spacing w:val="-4"/>
                <w:sz w:val="24"/>
              </w:rPr>
              <w:t>check</w:t>
            </w:r>
            <w:r>
              <w:rPr>
                <w:spacing w:val="-12"/>
                <w:sz w:val="24"/>
              </w:rPr>
              <w:t xml:space="preserve"> </w:t>
            </w:r>
            <w:r>
              <w:rPr>
                <w:spacing w:val="-4"/>
                <w:sz w:val="24"/>
              </w:rPr>
              <w:t>your</w:t>
            </w:r>
            <w:r>
              <w:rPr>
                <w:spacing w:val="-12"/>
                <w:sz w:val="24"/>
              </w:rPr>
              <w:t xml:space="preserve"> </w:t>
            </w:r>
            <w:r>
              <w:rPr>
                <w:spacing w:val="-4"/>
                <w:sz w:val="24"/>
              </w:rPr>
              <w:t>own</w:t>
            </w:r>
            <w:r>
              <w:rPr>
                <w:spacing w:val="-9"/>
                <w:sz w:val="24"/>
              </w:rPr>
              <w:t xml:space="preserve"> </w:t>
            </w:r>
            <w:r>
              <w:rPr>
                <w:spacing w:val="-4"/>
                <w:sz w:val="24"/>
              </w:rPr>
              <w:t>text/creation</w:t>
            </w:r>
            <w:r>
              <w:rPr>
                <w:spacing w:val="-9"/>
                <w:sz w:val="24"/>
              </w:rPr>
              <w:t xml:space="preserve"> </w:t>
            </w:r>
            <w:r>
              <w:rPr>
                <w:spacing w:val="-4"/>
                <w:sz w:val="24"/>
              </w:rPr>
              <w:t>for</w:t>
            </w:r>
            <w:r>
              <w:rPr>
                <w:spacing w:val="-13"/>
                <w:sz w:val="24"/>
              </w:rPr>
              <w:t xml:space="preserve"> </w:t>
            </w:r>
            <w:r>
              <w:rPr>
                <w:spacing w:val="-4"/>
                <w:sz w:val="24"/>
              </w:rPr>
              <w:t>grammatical</w:t>
            </w:r>
            <w:r>
              <w:rPr>
                <w:spacing w:val="-8"/>
                <w:sz w:val="24"/>
              </w:rPr>
              <w:t xml:space="preserve"> </w:t>
            </w:r>
            <w:r>
              <w:rPr>
                <w:spacing w:val="-4"/>
                <w:sz w:val="24"/>
              </w:rPr>
              <w:t xml:space="preserve">and </w:t>
            </w:r>
            <w:r>
              <w:rPr>
                <w:spacing w:val="-2"/>
                <w:sz w:val="24"/>
              </w:rPr>
              <w:t>syntactical</w:t>
            </w:r>
            <w:r>
              <w:rPr>
                <w:spacing w:val="-13"/>
                <w:sz w:val="24"/>
              </w:rPr>
              <w:t xml:space="preserve"> </w:t>
            </w:r>
            <w:r>
              <w:rPr>
                <w:spacing w:val="-2"/>
                <w:sz w:val="24"/>
              </w:rPr>
              <w:t>mistakes,</w:t>
            </w:r>
            <w:r>
              <w:rPr>
                <w:spacing w:val="-8"/>
                <w:sz w:val="24"/>
              </w:rPr>
              <w:t xml:space="preserve"> </w:t>
            </w:r>
            <w:r>
              <w:rPr>
                <w:spacing w:val="-2"/>
                <w:sz w:val="24"/>
              </w:rPr>
              <w:t>including</w:t>
            </w:r>
            <w:r>
              <w:rPr>
                <w:spacing w:val="-13"/>
                <w:sz w:val="24"/>
              </w:rPr>
              <w:t xml:space="preserve"> </w:t>
            </w:r>
            <w:r>
              <w:rPr>
                <w:spacing w:val="-2"/>
                <w:sz w:val="24"/>
              </w:rPr>
              <w:t>rephrasing</w:t>
            </w:r>
            <w:r>
              <w:rPr>
                <w:spacing w:val="-8"/>
                <w:sz w:val="24"/>
              </w:rPr>
              <w:t xml:space="preserve"> </w:t>
            </w:r>
            <w:r>
              <w:rPr>
                <w:spacing w:val="-2"/>
                <w:sz w:val="24"/>
              </w:rPr>
              <w:t>of</w:t>
            </w:r>
            <w:r>
              <w:rPr>
                <w:spacing w:val="-8"/>
                <w:sz w:val="24"/>
              </w:rPr>
              <w:t xml:space="preserve"> </w:t>
            </w:r>
            <w:r>
              <w:rPr>
                <w:spacing w:val="-2"/>
                <w:sz w:val="24"/>
              </w:rPr>
              <w:t xml:space="preserve">your </w:t>
            </w:r>
            <w:r>
              <w:rPr>
                <w:sz w:val="24"/>
              </w:rPr>
              <w:t>own work within specific standards.</w:t>
            </w:r>
          </w:p>
        </w:tc>
        <w:tc>
          <w:tcPr>
            <w:tcW w:w="1349" w:type="dxa"/>
          </w:tcPr>
          <w:p w14:paraId="59A3D46F" w14:textId="77777777" w:rsidR="009F2FEF" w:rsidRDefault="009F2FEF" w:rsidP="00060BA1">
            <w:pPr>
              <w:pStyle w:val="TableParagraph"/>
              <w:spacing w:before="158"/>
              <w:ind w:left="0"/>
              <w:rPr>
                <w:sz w:val="24"/>
              </w:rPr>
            </w:pPr>
          </w:p>
          <w:p w14:paraId="7D199CEF" w14:textId="77777777" w:rsidR="009F2FEF" w:rsidRDefault="009F2FEF" w:rsidP="00060BA1">
            <w:pPr>
              <w:pStyle w:val="TableParagraph"/>
              <w:ind w:left="0" w:right="9"/>
              <w:jc w:val="center"/>
              <w:rPr>
                <w:sz w:val="24"/>
              </w:rPr>
            </w:pPr>
            <w:r>
              <w:rPr>
                <w:spacing w:val="-10"/>
                <w:sz w:val="24"/>
              </w:rPr>
              <w:t>Yes</w:t>
            </w:r>
            <w:r>
              <w:rPr>
                <w:spacing w:val="-15"/>
                <w:sz w:val="24"/>
              </w:rPr>
              <w:t xml:space="preserve"> </w:t>
            </w:r>
            <w:r>
              <w:rPr>
                <w:spacing w:val="-10"/>
                <w:sz w:val="24"/>
              </w:rPr>
              <w:t>☐No</w:t>
            </w:r>
            <w:r>
              <w:rPr>
                <w:spacing w:val="-14"/>
                <w:sz w:val="24"/>
              </w:rPr>
              <w:t xml:space="preserve"> </w:t>
            </w:r>
            <w:r>
              <w:rPr>
                <w:spacing w:val="-10"/>
                <w:sz w:val="24"/>
              </w:rPr>
              <w:t>☐</w:t>
            </w:r>
          </w:p>
        </w:tc>
      </w:tr>
      <w:tr w:rsidR="009F2FEF" w14:paraId="55A69665" w14:textId="77777777" w:rsidTr="00060BA1">
        <w:trPr>
          <w:trHeight w:val="839"/>
        </w:trPr>
        <w:tc>
          <w:tcPr>
            <w:tcW w:w="2122" w:type="dxa"/>
          </w:tcPr>
          <w:p w14:paraId="3D6E0604" w14:textId="77777777" w:rsidR="009F2FEF" w:rsidRDefault="009F2FEF" w:rsidP="00060BA1">
            <w:pPr>
              <w:pStyle w:val="TableParagraph"/>
              <w:spacing w:before="137"/>
              <w:rPr>
                <w:sz w:val="24"/>
              </w:rPr>
            </w:pPr>
            <w:r>
              <w:rPr>
                <w:spacing w:val="-2"/>
                <w:sz w:val="24"/>
              </w:rPr>
              <w:t>WRITING</w:t>
            </w:r>
          </w:p>
        </w:tc>
        <w:tc>
          <w:tcPr>
            <w:tcW w:w="5530" w:type="dxa"/>
          </w:tcPr>
          <w:p w14:paraId="40E99A06" w14:textId="77777777" w:rsidR="009F2FEF" w:rsidRDefault="009F2FEF" w:rsidP="00060BA1">
            <w:pPr>
              <w:pStyle w:val="TableParagraph"/>
              <w:spacing w:line="286" w:lineRule="exact"/>
              <w:rPr>
                <w:sz w:val="24"/>
              </w:rPr>
            </w:pPr>
            <w:r>
              <w:rPr>
                <w:sz w:val="24"/>
              </w:rPr>
              <w:t>For</w:t>
            </w:r>
            <w:r>
              <w:rPr>
                <w:spacing w:val="-20"/>
                <w:sz w:val="24"/>
              </w:rPr>
              <w:t xml:space="preserve"> </w:t>
            </w:r>
            <w:r>
              <w:rPr>
                <w:sz w:val="24"/>
              </w:rPr>
              <w:t>this</w:t>
            </w:r>
            <w:r>
              <w:rPr>
                <w:spacing w:val="-15"/>
                <w:sz w:val="24"/>
              </w:rPr>
              <w:t xml:space="preserve"> </w:t>
            </w:r>
            <w:r>
              <w:rPr>
                <w:sz w:val="24"/>
              </w:rPr>
              <w:t>assessment,</w:t>
            </w:r>
            <w:r>
              <w:rPr>
                <w:spacing w:val="-15"/>
                <w:sz w:val="24"/>
              </w:rPr>
              <w:t xml:space="preserve"> </w:t>
            </w:r>
            <w:r>
              <w:rPr>
                <w:sz w:val="24"/>
              </w:rPr>
              <w:t>you</w:t>
            </w:r>
            <w:r>
              <w:rPr>
                <w:spacing w:val="-16"/>
                <w:sz w:val="24"/>
              </w:rPr>
              <w:t xml:space="preserve"> </w:t>
            </w:r>
            <w:r>
              <w:rPr>
                <w:sz w:val="24"/>
              </w:rPr>
              <w:t>can</w:t>
            </w:r>
            <w:r>
              <w:rPr>
                <w:spacing w:val="-15"/>
                <w:sz w:val="24"/>
              </w:rPr>
              <w:t xml:space="preserve"> </w:t>
            </w:r>
            <w:r>
              <w:rPr>
                <w:sz w:val="24"/>
              </w:rPr>
              <w:t>use</w:t>
            </w:r>
            <w:r>
              <w:rPr>
                <w:spacing w:val="-15"/>
                <w:sz w:val="24"/>
              </w:rPr>
              <w:t xml:space="preserve"> </w:t>
            </w:r>
            <w:r>
              <w:rPr>
                <w:sz w:val="24"/>
              </w:rPr>
              <w:t>Generative</w:t>
            </w:r>
            <w:r>
              <w:rPr>
                <w:spacing w:val="-15"/>
                <w:sz w:val="24"/>
              </w:rPr>
              <w:t xml:space="preserve"> </w:t>
            </w:r>
            <w:r>
              <w:rPr>
                <w:sz w:val="24"/>
              </w:rPr>
              <w:t>AI</w:t>
            </w:r>
            <w:r>
              <w:rPr>
                <w:spacing w:val="-13"/>
                <w:sz w:val="24"/>
              </w:rPr>
              <w:t xml:space="preserve"> </w:t>
            </w:r>
            <w:r>
              <w:rPr>
                <w:spacing w:val="-5"/>
                <w:sz w:val="24"/>
              </w:rPr>
              <w:t>to</w:t>
            </w:r>
          </w:p>
          <w:p w14:paraId="5CC6B876" w14:textId="77777777" w:rsidR="009F2FEF" w:rsidRDefault="009F2FEF" w:rsidP="00060BA1">
            <w:pPr>
              <w:pStyle w:val="TableParagraph"/>
              <w:spacing w:before="19"/>
              <w:rPr>
                <w:sz w:val="24"/>
              </w:rPr>
            </w:pPr>
            <w:r>
              <w:rPr>
                <w:spacing w:val="-4"/>
                <w:sz w:val="24"/>
              </w:rPr>
              <w:t>create</w:t>
            </w:r>
            <w:r>
              <w:rPr>
                <w:spacing w:val="-11"/>
                <w:sz w:val="24"/>
              </w:rPr>
              <w:t xml:space="preserve"> </w:t>
            </w:r>
            <w:r>
              <w:rPr>
                <w:spacing w:val="-4"/>
                <w:sz w:val="24"/>
              </w:rPr>
              <w:t>text</w:t>
            </w:r>
            <w:r>
              <w:rPr>
                <w:spacing w:val="-13"/>
                <w:sz w:val="24"/>
              </w:rPr>
              <w:t xml:space="preserve"> </w:t>
            </w:r>
            <w:r>
              <w:rPr>
                <w:spacing w:val="-4"/>
                <w:sz w:val="24"/>
              </w:rPr>
              <w:t>for</w:t>
            </w:r>
            <w:r>
              <w:rPr>
                <w:spacing w:val="-9"/>
                <w:sz w:val="24"/>
              </w:rPr>
              <w:t xml:space="preserve"> </w:t>
            </w:r>
            <w:r>
              <w:rPr>
                <w:spacing w:val="-4"/>
                <w:sz w:val="24"/>
              </w:rPr>
              <w:t>submission.</w:t>
            </w:r>
          </w:p>
        </w:tc>
        <w:tc>
          <w:tcPr>
            <w:tcW w:w="1349" w:type="dxa"/>
          </w:tcPr>
          <w:p w14:paraId="4E9F705E" w14:textId="77777777" w:rsidR="009F2FEF" w:rsidRDefault="009F2FEF" w:rsidP="00060BA1">
            <w:pPr>
              <w:pStyle w:val="TableParagraph"/>
              <w:spacing w:before="137"/>
              <w:ind w:left="0" w:right="9"/>
              <w:jc w:val="center"/>
              <w:rPr>
                <w:sz w:val="24"/>
              </w:rPr>
            </w:pPr>
            <w:r>
              <w:rPr>
                <w:spacing w:val="-10"/>
                <w:sz w:val="24"/>
              </w:rPr>
              <w:t>Yes</w:t>
            </w:r>
            <w:r>
              <w:rPr>
                <w:spacing w:val="-15"/>
                <w:sz w:val="24"/>
              </w:rPr>
              <w:t xml:space="preserve"> </w:t>
            </w:r>
            <w:r>
              <w:rPr>
                <w:spacing w:val="-10"/>
                <w:sz w:val="24"/>
              </w:rPr>
              <w:t>☐No</w:t>
            </w:r>
            <w:r>
              <w:rPr>
                <w:spacing w:val="-14"/>
                <w:sz w:val="24"/>
              </w:rPr>
              <w:t xml:space="preserve"> </w:t>
            </w:r>
            <w:r>
              <w:rPr>
                <w:spacing w:val="-10"/>
                <w:sz w:val="24"/>
              </w:rPr>
              <w:t>☐</w:t>
            </w:r>
          </w:p>
        </w:tc>
      </w:tr>
      <w:tr w:rsidR="009F2FEF" w14:paraId="3C36D418" w14:textId="77777777" w:rsidTr="00060BA1">
        <w:trPr>
          <w:trHeight w:val="837"/>
        </w:trPr>
        <w:tc>
          <w:tcPr>
            <w:tcW w:w="2122" w:type="dxa"/>
          </w:tcPr>
          <w:p w14:paraId="72E48F22" w14:textId="77777777" w:rsidR="009F2FEF" w:rsidRDefault="009F2FEF" w:rsidP="00060BA1">
            <w:pPr>
              <w:pStyle w:val="TableParagraph"/>
              <w:spacing w:before="134"/>
              <w:rPr>
                <w:sz w:val="24"/>
              </w:rPr>
            </w:pPr>
            <w:r>
              <w:rPr>
                <w:spacing w:val="-2"/>
                <w:sz w:val="24"/>
              </w:rPr>
              <w:t>CREATIVE</w:t>
            </w:r>
          </w:p>
        </w:tc>
        <w:tc>
          <w:tcPr>
            <w:tcW w:w="5530" w:type="dxa"/>
          </w:tcPr>
          <w:p w14:paraId="45540183" w14:textId="77777777" w:rsidR="009F2FEF" w:rsidRDefault="009F2FEF" w:rsidP="00060BA1">
            <w:pPr>
              <w:pStyle w:val="TableParagraph"/>
              <w:spacing w:line="286" w:lineRule="exact"/>
              <w:rPr>
                <w:sz w:val="24"/>
              </w:rPr>
            </w:pPr>
            <w:r>
              <w:rPr>
                <w:sz w:val="24"/>
              </w:rPr>
              <w:t>For</w:t>
            </w:r>
            <w:r>
              <w:rPr>
                <w:spacing w:val="-20"/>
                <w:sz w:val="24"/>
              </w:rPr>
              <w:t xml:space="preserve"> </w:t>
            </w:r>
            <w:r>
              <w:rPr>
                <w:sz w:val="24"/>
              </w:rPr>
              <w:t>this</w:t>
            </w:r>
            <w:r>
              <w:rPr>
                <w:spacing w:val="-15"/>
                <w:sz w:val="24"/>
              </w:rPr>
              <w:t xml:space="preserve"> </w:t>
            </w:r>
            <w:r>
              <w:rPr>
                <w:sz w:val="24"/>
              </w:rPr>
              <w:t>assessment,</w:t>
            </w:r>
            <w:r>
              <w:rPr>
                <w:spacing w:val="-15"/>
                <w:sz w:val="24"/>
              </w:rPr>
              <w:t xml:space="preserve"> </w:t>
            </w:r>
            <w:r>
              <w:rPr>
                <w:sz w:val="24"/>
              </w:rPr>
              <w:t>you</w:t>
            </w:r>
            <w:r>
              <w:rPr>
                <w:spacing w:val="-16"/>
                <w:sz w:val="24"/>
              </w:rPr>
              <w:t xml:space="preserve"> </w:t>
            </w:r>
            <w:r>
              <w:rPr>
                <w:sz w:val="24"/>
              </w:rPr>
              <w:t>can</w:t>
            </w:r>
            <w:r>
              <w:rPr>
                <w:spacing w:val="-15"/>
                <w:sz w:val="24"/>
              </w:rPr>
              <w:t xml:space="preserve"> </w:t>
            </w:r>
            <w:r>
              <w:rPr>
                <w:sz w:val="24"/>
              </w:rPr>
              <w:t>use</w:t>
            </w:r>
            <w:r>
              <w:rPr>
                <w:spacing w:val="-15"/>
                <w:sz w:val="24"/>
              </w:rPr>
              <w:t xml:space="preserve"> </w:t>
            </w:r>
            <w:r>
              <w:rPr>
                <w:sz w:val="24"/>
              </w:rPr>
              <w:t>Generative</w:t>
            </w:r>
            <w:r>
              <w:rPr>
                <w:spacing w:val="-15"/>
                <w:sz w:val="24"/>
              </w:rPr>
              <w:t xml:space="preserve"> </w:t>
            </w:r>
            <w:r>
              <w:rPr>
                <w:sz w:val="24"/>
              </w:rPr>
              <w:t>AI</w:t>
            </w:r>
            <w:r>
              <w:rPr>
                <w:spacing w:val="-13"/>
                <w:sz w:val="24"/>
              </w:rPr>
              <w:t xml:space="preserve"> </w:t>
            </w:r>
            <w:r>
              <w:rPr>
                <w:spacing w:val="-5"/>
                <w:sz w:val="24"/>
              </w:rPr>
              <w:t>to</w:t>
            </w:r>
          </w:p>
          <w:p w14:paraId="42CAE9AA" w14:textId="77777777" w:rsidR="009F2FEF" w:rsidRDefault="009F2FEF" w:rsidP="00060BA1">
            <w:pPr>
              <w:pStyle w:val="TableParagraph"/>
              <w:spacing w:before="19"/>
              <w:rPr>
                <w:sz w:val="24"/>
              </w:rPr>
            </w:pPr>
            <w:r>
              <w:rPr>
                <w:sz w:val="24"/>
              </w:rPr>
              <w:t>create</w:t>
            </w:r>
            <w:r>
              <w:rPr>
                <w:spacing w:val="-8"/>
                <w:sz w:val="24"/>
              </w:rPr>
              <w:t xml:space="preserve"> </w:t>
            </w:r>
            <w:r>
              <w:rPr>
                <w:sz w:val="24"/>
              </w:rPr>
              <w:t>creative</w:t>
            </w:r>
            <w:r>
              <w:rPr>
                <w:spacing w:val="-4"/>
                <w:sz w:val="24"/>
              </w:rPr>
              <w:t xml:space="preserve"> </w:t>
            </w:r>
            <w:r>
              <w:rPr>
                <w:sz w:val="24"/>
              </w:rPr>
              <w:t>materials,</w:t>
            </w:r>
            <w:r>
              <w:rPr>
                <w:spacing w:val="-6"/>
                <w:sz w:val="24"/>
              </w:rPr>
              <w:t xml:space="preserve"> </w:t>
            </w:r>
            <w:r>
              <w:rPr>
                <w:sz w:val="24"/>
              </w:rPr>
              <w:t>such</w:t>
            </w:r>
            <w:r>
              <w:rPr>
                <w:spacing w:val="-5"/>
                <w:sz w:val="24"/>
              </w:rPr>
              <w:t xml:space="preserve"> </w:t>
            </w:r>
            <w:r>
              <w:rPr>
                <w:sz w:val="24"/>
              </w:rPr>
              <w:t>as</w:t>
            </w:r>
            <w:r>
              <w:rPr>
                <w:spacing w:val="-4"/>
                <w:sz w:val="24"/>
              </w:rPr>
              <w:t xml:space="preserve"> </w:t>
            </w:r>
            <w:r>
              <w:rPr>
                <w:spacing w:val="-2"/>
                <w:sz w:val="24"/>
              </w:rPr>
              <w:t>images.</w:t>
            </w:r>
          </w:p>
        </w:tc>
        <w:tc>
          <w:tcPr>
            <w:tcW w:w="1349" w:type="dxa"/>
          </w:tcPr>
          <w:p w14:paraId="7D72E7E2" w14:textId="77777777" w:rsidR="009F2FEF" w:rsidRDefault="009F2FEF" w:rsidP="00060BA1">
            <w:pPr>
              <w:pStyle w:val="TableParagraph"/>
              <w:spacing w:before="134"/>
              <w:ind w:left="0" w:right="9"/>
              <w:jc w:val="center"/>
              <w:rPr>
                <w:sz w:val="24"/>
              </w:rPr>
            </w:pPr>
            <w:r>
              <w:rPr>
                <w:spacing w:val="-10"/>
                <w:sz w:val="24"/>
              </w:rPr>
              <w:t>Yes</w:t>
            </w:r>
            <w:r>
              <w:rPr>
                <w:spacing w:val="-15"/>
                <w:sz w:val="24"/>
              </w:rPr>
              <w:t xml:space="preserve"> </w:t>
            </w:r>
            <w:r>
              <w:rPr>
                <w:spacing w:val="-10"/>
                <w:sz w:val="24"/>
              </w:rPr>
              <w:t>☐No</w:t>
            </w:r>
            <w:r>
              <w:rPr>
                <w:spacing w:val="-14"/>
                <w:sz w:val="24"/>
              </w:rPr>
              <w:t xml:space="preserve"> </w:t>
            </w:r>
            <w:r>
              <w:rPr>
                <w:spacing w:val="-10"/>
                <w:sz w:val="24"/>
              </w:rPr>
              <w:t>☐</w:t>
            </w:r>
          </w:p>
        </w:tc>
      </w:tr>
      <w:tr w:rsidR="009F2FEF" w14:paraId="3914141D" w14:textId="77777777" w:rsidTr="00060BA1">
        <w:trPr>
          <w:trHeight w:val="839"/>
        </w:trPr>
        <w:tc>
          <w:tcPr>
            <w:tcW w:w="2122" w:type="dxa"/>
          </w:tcPr>
          <w:p w14:paraId="1E737476" w14:textId="77777777" w:rsidR="009F2FEF" w:rsidRDefault="009F2FEF" w:rsidP="00060BA1">
            <w:pPr>
              <w:pStyle w:val="TableParagraph"/>
              <w:spacing w:before="137"/>
              <w:rPr>
                <w:sz w:val="24"/>
              </w:rPr>
            </w:pPr>
            <w:r>
              <w:rPr>
                <w:spacing w:val="-2"/>
                <w:sz w:val="24"/>
              </w:rPr>
              <w:t>PROGRAMING</w:t>
            </w:r>
          </w:p>
        </w:tc>
        <w:tc>
          <w:tcPr>
            <w:tcW w:w="5530" w:type="dxa"/>
          </w:tcPr>
          <w:p w14:paraId="4E47A13E" w14:textId="77777777" w:rsidR="009F2FEF" w:rsidRDefault="009F2FEF" w:rsidP="00060BA1">
            <w:pPr>
              <w:pStyle w:val="TableParagraph"/>
              <w:spacing w:line="286" w:lineRule="exact"/>
              <w:rPr>
                <w:sz w:val="24"/>
              </w:rPr>
            </w:pPr>
            <w:r>
              <w:rPr>
                <w:sz w:val="24"/>
              </w:rPr>
              <w:t>For</w:t>
            </w:r>
            <w:r>
              <w:rPr>
                <w:spacing w:val="-20"/>
                <w:sz w:val="24"/>
              </w:rPr>
              <w:t xml:space="preserve"> </w:t>
            </w:r>
            <w:r>
              <w:rPr>
                <w:sz w:val="24"/>
              </w:rPr>
              <w:t>this</w:t>
            </w:r>
            <w:r>
              <w:rPr>
                <w:spacing w:val="-15"/>
                <w:sz w:val="24"/>
              </w:rPr>
              <w:t xml:space="preserve"> </w:t>
            </w:r>
            <w:r>
              <w:rPr>
                <w:sz w:val="24"/>
              </w:rPr>
              <w:t>assessment,</w:t>
            </w:r>
            <w:r>
              <w:rPr>
                <w:spacing w:val="-15"/>
                <w:sz w:val="24"/>
              </w:rPr>
              <w:t xml:space="preserve"> </w:t>
            </w:r>
            <w:r>
              <w:rPr>
                <w:sz w:val="24"/>
              </w:rPr>
              <w:t>you</w:t>
            </w:r>
            <w:r>
              <w:rPr>
                <w:spacing w:val="-16"/>
                <w:sz w:val="24"/>
              </w:rPr>
              <w:t xml:space="preserve"> </w:t>
            </w:r>
            <w:r>
              <w:rPr>
                <w:sz w:val="24"/>
              </w:rPr>
              <w:t>can</w:t>
            </w:r>
            <w:r>
              <w:rPr>
                <w:spacing w:val="-15"/>
                <w:sz w:val="24"/>
              </w:rPr>
              <w:t xml:space="preserve"> </w:t>
            </w:r>
            <w:r>
              <w:rPr>
                <w:sz w:val="24"/>
              </w:rPr>
              <w:t>use</w:t>
            </w:r>
            <w:r>
              <w:rPr>
                <w:spacing w:val="-15"/>
                <w:sz w:val="24"/>
              </w:rPr>
              <w:t xml:space="preserve"> </w:t>
            </w:r>
            <w:r>
              <w:rPr>
                <w:sz w:val="24"/>
              </w:rPr>
              <w:t>Generative</w:t>
            </w:r>
            <w:r>
              <w:rPr>
                <w:spacing w:val="-15"/>
                <w:sz w:val="24"/>
              </w:rPr>
              <w:t xml:space="preserve"> </w:t>
            </w:r>
            <w:r>
              <w:rPr>
                <w:sz w:val="24"/>
              </w:rPr>
              <w:t>AI</w:t>
            </w:r>
            <w:r>
              <w:rPr>
                <w:spacing w:val="-13"/>
                <w:sz w:val="24"/>
              </w:rPr>
              <w:t xml:space="preserve"> </w:t>
            </w:r>
            <w:r>
              <w:rPr>
                <w:spacing w:val="-5"/>
                <w:sz w:val="24"/>
              </w:rPr>
              <w:t>to</w:t>
            </w:r>
          </w:p>
          <w:p w14:paraId="2D01A137" w14:textId="77777777" w:rsidR="009F2FEF" w:rsidRDefault="009F2FEF" w:rsidP="00060BA1">
            <w:pPr>
              <w:pStyle w:val="TableParagraph"/>
              <w:spacing w:before="21"/>
              <w:rPr>
                <w:sz w:val="24"/>
              </w:rPr>
            </w:pPr>
            <w:r>
              <w:rPr>
                <w:sz w:val="24"/>
              </w:rPr>
              <w:t>create</w:t>
            </w:r>
            <w:r>
              <w:rPr>
                <w:spacing w:val="-13"/>
                <w:sz w:val="24"/>
              </w:rPr>
              <w:t xml:space="preserve"> </w:t>
            </w:r>
            <w:r>
              <w:rPr>
                <w:sz w:val="24"/>
              </w:rPr>
              <w:t>and</w:t>
            </w:r>
            <w:r>
              <w:rPr>
                <w:spacing w:val="-11"/>
                <w:sz w:val="24"/>
              </w:rPr>
              <w:t xml:space="preserve"> </w:t>
            </w:r>
            <w:r>
              <w:rPr>
                <w:sz w:val="24"/>
              </w:rPr>
              <w:t>check</w:t>
            </w:r>
            <w:r>
              <w:rPr>
                <w:spacing w:val="-11"/>
                <w:sz w:val="24"/>
              </w:rPr>
              <w:t xml:space="preserve"> </w:t>
            </w:r>
            <w:r>
              <w:rPr>
                <w:spacing w:val="-4"/>
                <w:sz w:val="24"/>
              </w:rPr>
              <w:t>code.</w:t>
            </w:r>
          </w:p>
        </w:tc>
        <w:tc>
          <w:tcPr>
            <w:tcW w:w="1349" w:type="dxa"/>
          </w:tcPr>
          <w:p w14:paraId="32927EB7" w14:textId="77777777" w:rsidR="009F2FEF" w:rsidRDefault="009F2FEF" w:rsidP="00060BA1">
            <w:pPr>
              <w:pStyle w:val="TableParagraph"/>
              <w:spacing w:before="137"/>
              <w:ind w:left="0" w:right="9"/>
              <w:jc w:val="center"/>
              <w:rPr>
                <w:sz w:val="24"/>
              </w:rPr>
            </w:pPr>
            <w:r>
              <w:rPr>
                <w:spacing w:val="-10"/>
                <w:sz w:val="24"/>
              </w:rPr>
              <w:t>Yes</w:t>
            </w:r>
            <w:r>
              <w:rPr>
                <w:spacing w:val="-15"/>
                <w:sz w:val="24"/>
              </w:rPr>
              <w:t xml:space="preserve"> </w:t>
            </w:r>
            <w:r>
              <w:rPr>
                <w:spacing w:val="-10"/>
                <w:sz w:val="24"/>
              </w:rPr>
              <w:t>☐No</w:t>
            </w:r>
            <w:r>
              <w:rPr>
                <w:spacing w:val="-14"/>
                <w:sz w:val="24"/>
              </w:rPr>
              <w:t xml:space="preserve"> </w:t>
            </w:r>
            <w:r>
              <w:rPr>
                <w:spacing w:val="-10"/>
                <w:sz w:val="24"/>
              </w:rPr>
              <w:t>☐</w:t>
            </w:r>
          </w:p>
        </w:tc>
      </w:tr>
      <w:tr w:rsidR="009F2FEF" w14:paraId="70072806" w14:textId="77777777" w:rsidTr="00060BA1">
        <w:trPr>
          <w:trHeight w:val="1516"/>
        </w:trPr>
        <w:tc>
          <w:tcPr>
            <w:tcW w:w="2122" w:type="dxa"/>
          </w:tcPr>
          <w:p w14:paraId="52546A03" w14:textId="77777777" w:rsidR="009F2FEF" w:rsidRDefault="009F2FEF" w:rsidP="00060BA1">
            <w:pPr>
              <w:pStyle w:val="TableParagraph"/>
              <w:spacing w:before="156"/>
              <w:ind w:left="0"/>
              <w:rPr>
                <w:sz w:val="24"/>
              </w:rPr>
            </w:pPr>
          </w:p>
          <w:p w14:paraId="0B73C7E4" w14:textId="77777777" w:rsidR="009F2FEF" w:rsidRDefault="009F2FEF" w:rsidP="00060BA1">
            <w:pPr>
              <w:pStyle w:val="TableParagraph"/>
              <w:rPr>
                <w:sz w:val="24"/>
              </w:rPr>
            </w:pPr>
            <w:r>
              <w:rPr>
                <w:spacing w:val="-4"/>
                <w:sz w:val="24"/>
              </w:rPr>
              <w:t>NONE</w:t>
            </w:r>
          </w:p>
        </w:tc>
        <w:tc>
          <w:tcPr>
            <w:tcW w:w="5530" w:type="dxa"/>
          </w:tcPr>
          <w:p w14:paraId="73C81E49" w14:textId="77777777" w:rsidR="009F2FEF" w:rsidRDefault="009F2FEF" w:rsidP="00060BA1">
            <w:pPr>
              <w:pStyle w:val="TableParagraph"/>
              <w:spacing w:line="286" w:lineRule="exact"/>
              <w:rPr>
                <w:rFonts w:ascii="Trebuchet MS"/>
                <w:b/>
                <w:sz w:val="24"/>
              </w:rPr>
            </w:pPr>
            <w:r>
              <w:rPr>
                <w:spacing w:val="-2"/>
                <w:sz w:val="24"/>
              </w:rPr>
              <w:t>For</w:t>
            </w:r>
            <w:r>
              <w:rPr>
                <w:spacing w:val="-14"/>
                <w:sz w:val="24"/>
              </w:rPr>
              <w:t xml:space="preserve"> </w:t>
            </w:r>
            <w:r>
              <w:rPr>
                <w:spacing w:val="-2"/>
                <w:sz w:val="24"/>
              </w:rPr>
              <w:t>this</w:t>
            </w:r>
            <w:r>
              <w:rPr>
                <w:spacing w:val="-8"/>
                <w:sz w:val="24"/>
              </w:rPr>
              <w:t xml:space="preserve"> </w:t>
            </w:r>
            <w:r>
              <w:rPr>
                <w:spacing w:val="-2"/>
                <w:sz w:val="24"/>
              </w:rPr>
              <w:t>assessment,</w:t>
            </w:r>
            <w:r>
              <w:rPr>
                <w:spacing w:val="-9"/>
                <w:sz w:val="24"/>
              </w:rPr>
              <w:t xml:space="preserve"> </w:t>
            </w:r>
            <w:r>
              <w:rPr>
                <w:spacing w:val="-2"/>
                <w:sz w:val="24"/>
              </w:rPr>
              <w:t>you</w:t>
            </w:r>
            <w:r>
              <w:rPr>
                <w:spacing w:val="-9"/>
                <w:sz w:val="24"/>
              </w:rPr>
              <w:t xml:space="preserve"> </w:t>
            </w:r>
            <w:r>
              <w:rPr>
                <w:spacing w:val="-2"/>
                <w:sz w:val="24"/>
              </w:rPr>
              <w:t>are</w:t>
            </w:r>
            <w:r>
              <w:rPr>
                <w:spacing w:val="-8"/>
                <w:sz w:val="24"/>
              </w:rPr>
              <w:t xml:space="preserve"> </w:t>
            </w:r>
            <w:r>
              <w:rPr>
                <w:spacing w:val="-2"/>
                <w:sz w:val="24"/>
              </w:rPr>
              <w:t>not</w:t>
            </w:r>
            <w:r>
              <w:rPr>
                <w:spacing w:val="-14"/>
                <w:sz w:val="24"/>
              </w:rPr>
              <w:t xml:space="preserve"> </w:t>
            </w:r>
            <w:r>
              <w:rPr>
                <w:spacing w:val="-2"/>
                <w:sz w:val="24"/>
              </w:rPr>
              <w:t>allowed</w:t>
            </w:r>
            <w:r>
              <w:rPr>
                <w:spacing w:val="-9"/>
                <w:sz w:val="24"/>
              </w:rPr>
              <w:t xml:space="preserve"> </w:t>
            </w:r>
            <w:r>
              <w:rPr>
                <w:spacing w:val="-2"/>
                <w:sz w:val="24"/>
              </w:rPr>
              <w:t>to</w:t>
            </w:r>
            <w:r>
              <w:rPr>
                <w:spacing w:val="-9"/>
                <w:sz w:val="24"/>
              </w:rPr>
              <w:t xml:space="preserve"> </w:t>
            </w:r>
            <w:r>
              <w:rPr>
                <w:spacing w:val="-2"/>
                <w:sz w:val="24"/>
              </w:rPr>
              <w:t>use</w:t>
            </w:r>
            <w:r>
              <w:rPr>
                <w:spacing w:val="-7"/>
                <w:sz w:val="24"/>
              </w:rPr>
              <w:t xml:space="preserve"> </w:t>
            </w:r>
            <w:r>
              <w:rPr>
                <w:rFonts w:ascii="Trebuchet MS"/>
                <w:b/>
                <w:spacing w:val="-5"/>
                <w:sz w:val="24"/>
              </w:rPr>
              <w:t>any</w:t>
            </w:r>
          </w:p>
          <w:p w14:paraId="5F3EDA04" w14:textId="77777777" w:rsidR="009F2FEF" w:rsidRDefault="009F2FEF" w:rsidP="00060BA1">
            <w:pPr>
              <w:pStyle w:val="TableParagraph"/>
              <w:spacing w:before="19" w:line="254" w:lineRule="auto"/>
              <w:rPr>
                <w:sz w:val="24"/>
              </w:rPr>
            </w:pPr>
            <w:r>
              <w:rPr>
                <w:sz w:val="24"/>
              </w:rPr>
              <w:t>type of</w:t>
            </w:r>
            <w:r>
              <w:rPr>
                <w:spacing w:val="-4"/>
                <w:sz w:val="24"/>
              </w:rPr>
              <w:t xml:space="preserve"> </w:t>
            </w:r>
            <w:r>
              <w:rPr>
                <w:sz w:val="24"/>
              </w:rPr>
              <w:t xml:space="preserve">Generative AI support. This includes research support, structure support, </w:t>
            </w:r>
            <w:r>
              <w:rPr>
                <w:spacing w:val="-4"/>
                <w:sz w:val="24"/>
              </w:rPr>
              <w:t>writing/proofreading</w:t>
            </w:r>
            <w:r>
              <w:rPr>
                <w:spacing w:val="-17"/>
                <w:sz w:val="24"/>
              </w:rPr>
              <w:t xml:space="preserve"> </w:t>
            </w:r>
            <w:r>
              <w:rPr>
                <w:spacing w:val="-4"/>
                <w:sz w:val="24"/>
              </w:rPr>
              <w:t>support</w:t>
            </w:r>
            <w:r>
              <w:rPr>
                <w:spacing w:val="-17"/>
                <w:sz w:val="24"/>
              </w:rPr>
              <w:t xml:space="preserve"> </w:t>
            </w:r>
            <w:r>
              <w:rPr>
                <w:spacing w:val="-4"/>
                <w:sz w:val="24"/>
              </w:rPr>
              <w:t>and</w:t>
            </w:r>
            <w:r>
              <w:rPr>
                <w:spacing w:val="-16"/>
                <w:sz w:val="24"/>
              </w:rPr>
              <w:t xml:space="preserve"> </w:t>
            </w:r>
            <w:r>
              <w:rPr>
                <w:spacing w:val="-4"/>
                <w:sz w:val="24"/>
              </w:rPr>
              <w:t>creative</w:t>
            </w:r>
            <w:r>
              <w:rPr>
                <w:spacing w:val="-16"/>
                <w:sz w:val="24"/>
              </w:rPr>
              <w:t xml:space="preserve"> </w:t>
            </w:r>
            <w:r>
              <w:rPr>
                <w:spacing w:val="-4"/>
                <w:sz w:val="24"/>
              </w:rPr>
              <w:t>support.</w:t>
            </w:r>
          </w:p>
        </w:tc>
        <w:tc>
          <w:tcPr>
            <w:tcW w:w="1349" w:type="dxa"/>
          </w:tcPr>
          <w:p w14:paraId="093EC344" w14:textId="77777777" w:rsidR="009F2FEF" w:rsidRDefault="009F2FEF" w:rsidP="00060BA1">
            <w:pPr>
              <w:pStyle w:val="TableParagraph"/>
              <w:spacing w:before="156"/>
              <w:ind w:left="0"/>
              <w:rPr>
                <w:sz w:val="24"/>
              </w:rPr>
            </w:pPr>
          </w:p>
          <w:p w14:paraId="47D5CC30" w14:textId="77777777" w:rsidR="009F2FEF" w:rsidRDefault="009F2FEF" w:rsidP="00060BA1">
            <w:pPr>
              <w:pStyle w:val="TableParagraph"/>
              <w:ind w:left="0" w:right="9"/>
              <w:jc w:val="center"/>
              <w:rPr>
                <w:sz w:val="24"/>
              </w:rPr>
            </w:pPr>
            <w:r>
              <w:rPr>
                <w:spacing w:val="-10"/>
                <w:sz w:val="24"/>
              </w:rPr>
              <w:t>Yes</w:t>
            </w:r>
            <w:r>
              <w:rPr>
                <w:spacing w:val="-15"/>
                <w:sz w:val="24"/>
              </w:rPr>
              <w:t xml:space="preserve"> </w:t>
            </w:r>
            <w:r>
              <w:rPr>
                <w:spacing w:val="-10"/>
                <w:sz w:val="24"/>
              </w:rPr>
              <w:t>☐No</w:t>
            </w:r>
            <w:r>
              <w:rPr>
                <w:spacing w:val="-14"/>
                <w:sz w:val="24"/>
              </w:rPr>
              <w:t xml:space="preserve"> </w:t>
            </w:r>
            <w:r>
              <w:rPr>
                <w:spacing w:val="-10"/>
                <w:sz w:val="24"/>
              </w:rPr>
              <w:t>☐</w:t>
            </w:r>
          </w:p>
        </w:tc>
      </w:tr>
    </w:tbl>
    <w:p w14:paraId="5D975F2C" w14:textId="77777777" w:rsidR="009F2FEF" w:rsidRDefault="009F2FEF" w:rsidP="009F2FEF">
      <w:pPr>
        <w:jc w:val="center"/>
        <w:rPr>
          <w:b/>
          <w:bCs/>
        </w:rPr>
      </w:pPr>
    </w:p>
    <w:p w14:paraId="6E74BE0B" w14:textId="77777777" w:rsidR="00647D75" w:rsidRDefault="00647D75" w:rsidP="009F2FEF">
      <w:pPr>
        <w:jc w:val="center"/>
        <w:rPr>
          <w:b/>
          <w:bCs/>
        </w:rPr>
      </w:pPr>
    </w:p>
    <w:p w14:paraId="444DFC7D" w14:textId="77777777" w:rsidR="00647D75" w:rsidRDefault="00647D75" w:rsidP="009F2FEF">
      <w:pPr>
        <w:jc w:val="center"/>
        <w:rPr>
          <w:b/>
          <w:bCs/>
        </w:rPr>
      </w:pPr>
    </w:p>
    <w:p w14:paraId="132AF188" w14:textId="77777777" w:rsidR="009F2FEF" w:rsidRPr="008B74D1" w:rsidRDefault="009F2FEF" w:rsidP="008B74D1">
      <w:pPr>
        <w:rPr>
          <w:b/>
          <w:bCs/>
          <w:color w:val="1F497D" w:themeColor="text2"/>
        </w:rPr>
      </w:pPr>
      <w:bookmarkStart w:id="0" w:name="_Toc228179395"/>
      <w:bookmarkStart w:id="1" w:name="_Toc228273783"/>
      <w:r w:rsidRPr="008B74D1">
        <w:rPr>
          <w:b/>
          <w:bCs/>
          <w:color w:val="1F497D" w:themeColor="text2"/>
          <w:w w:val="90"/>
        </w:rPr>
        <w:t>Basic</w:t>
      </w:r>
      <w:r w:rsidRPr="008B74D1">
        <w:rPr>
          <w:b/>
          <w:bCs/>
          <w:color w:val="1F497D" w:themeColor="text2"/>
          <w:spacing w:val="-13"/>
          <w:w w:val="90"/>
        </w:rPr>
        <w:t xml:space="preserve"> </w:t>
      </w:r>
      <w:r w:rsidRPr="008B74D1">
        <w:rPr>
          <w:b/>
          <w:bCs/>
          <w:color w:val="1F497D" w:themeColor="text2"/>
          <w:w w:val="90"/>
        </w:rPr>
        <w:t>Acknowledgement</w:t>
      </w:r>
      <w:r w:rsidRPr="008B74D1">
        <w:rPr>
          <w:b/>
          <w:bCs/>
          <w:color w:val="1F497D" w:themeColor="text2"/>
          <w:spacing w:val="-15"/>
          <w:w w:val="90"/>
        </w:rPr>
        <w:t xml:space="preserve"> </w:t>
      </w:r>
      <w:r w:rsidRPr="008B74D1">
        <w:rPr>
          <w:b/>
          <w:bCs/>
          <w:color w:val="1F497D" w:themeColor="text2"/>
          <w:w w:val="90"/>
        </w:rPr>
        <w:t>format</w:t>
      </w:r>
      <w:r w:rsidRPr="008B74D1">
        <w:rPr>
          <w:b/>
          <w:bCs/>
          <w:color w:val="1F497D" w:themeColor="text2"/>
          <w:spacing w:val="-14"/>
          <w:w w:val="90"/>
        </w:rPr>
        <w:t xml:space="preserve"> </w:t>
      </w:r>
      <w:r w:rsidRPr="008B74D1">
        <w:rPr>
          <w:b/>
          <w:bCs/>
          <w:color w:val="1F497D" w:themeColor="text2"/>
          <w:w w:val="90"/>
        </w:rPr>
        <w:t>of</w:t>
      </w:r>
      <w:r w:rsidRPr="008B74D1">
        <w:rPr>
          <w:b/>
          <w:bCs/>
          <w:color w:val="1F497D" w:themeColor="text2"/>
          <w:spacing w:val="-15"/>
          <w:w w:val="90"/>
        </w:rPr>
        <w:t xml:space="preserve"> </w:t>
      </w:r>
      <w:r w:rsidRPr="008B74D1">
        <w:rPr>
          <w:b/>
          <w:bCs/>
          <w:color w:val="1F497D" w:themeColor="text2"/>
          <w:w w:val="90"/>
        </w:rPr>
        <w:t>AI</w:t>
      </w:r>
      <w:r w:rsidRPr="008B74D1">
        <w:rPr>
          <w:b/>
          <w:bCs/>
          <w:color w:val="1F497D" w:themeColor="text2"/>
          <w:spacing w:val="-12"/>
          <w:w w:val="90"/>
        </w:rPr>
        <w:t xml:space="preserve"> </w:t>
      </w:r>
      <w:r w:rsidRPr="008B74D1">
        <w:rPr>
          <w:b/>
          <w:bCs/>
          <w:color w:val="1F497D" w:themeColor="text2"/>
          <w:w w:val="90"/>
        </w:rPr>
        <w:t>tool</w:t>
      </w:r>
      <w:r w:rsidRPr="008B74D1">
        <w:rPr>
          <w:b/>
          <w:bCs/>
          <w:color w:val="1F497D" w:themeColor="text2"/>
          <w:spacing w:val="-15"/>
          <w:w w:val="90"/>
        </w:rPr>
        <w:t xml:space="preserve"> </w:t>
      </w:r>
      <w:r w:rsidRPr="008B74D1">
        <w:rPr>
          <w:b/>
          <w:bCs/>
          <w:color w:val="1F497D" w:themeColor="text2"/>
          <w:spacing w:val="-5"/>
          <w:w w:val="90"/>
        </w:rPr>
        <w:t>use</w:t>
      </w:r>
      <w:bookmarkEnd w:id="0"/>
      <w:bookmarkEnd w:id="1"/>
    </w:p>
    <w:p w14:paraId="71809A03" w14:textId="77777777" w:rsidR="009F2FEF" w:rsidRDefault="009F2FEF" w:rsidP="009F2FEF">
      <w:pPr>
        <w:pStyle w:val="BodyText"/>
        <w:spacing w:before="0"/>
        <w:ind w:left="0"/>
      </w:pPr>
    </w:p>
    <w:p w14:paraId="6DA15A5A" w14:textId="77777777" w:rsidR="009F2FEF" w:rsidRDefault="009F2FEF" w:rsidP="009F2FEF">
      <w:pPr>
        <w:pStyle w:val="BodyText"/>
        <w:spacing w:before="58"/>
        <w:ind w:left="0"/>
      </w:pPr>
    </w:p>
    <w:p w14:paraId="621412DF" w14:textId="77777777" w:rsidR="009F2FEF" w:rsidRDefault="009F2FEF" w:rsidP="009F2FEF">
      <w:pPr>
        <w:pStyle w:val="BodyText"/>
        <w:spacing w:before="187" w:line="254" w:lineRule="auto"/>
        <w:ind w:right="83"/>
      </w:pPr>
      <w:r>
        <w:rPr>
          <w:spacing w:val="-2"/>
        </w:rPr>
        <w:t>I</w:t>
      </w:r>
      <w:r>
        <w:rPr>
          <w:spacing w:val="-19"/>
        </w:rPr>
        <w:t xml:space="preserve"> </w:t>
      </w:r>
      <w:r>
        <w:rPr>
          <w:spacing w:val="-2"/>
        </w:rPr>
        <w:t>acknowledge</w:t>
      </w:r>
      <w:r>
        <w:rPr>
          <w:spacing w:val="-17"/>
        </w:rPr>
        <w:t xml:space="preserve"> </w:t>
      </w:r>
      <w:r>
        <w:rPr>
          <w:spacing w:val="-2"/>
        </w:rPr>
        <w:t>the</w:t>
      </w:r>
      <w:r>
        <w:rPr>
          <w:spacing w:val="-16"/>
        </w:rPr>
        <w:t xml:space="preserve"> </w:t>
      </w:r>
      <w:r>
        <w:rPr>
          <w:spacing w:val="-2"/>
        </w:rPr>
        <w:t>use</w:t>
      </w:r>
      <w:r>
        <w:rPr>
          <w:spacing w:val="-16"/>
        </w:rPr>
        <w:t xml:space="preserve"> </w:t>
      </w:r>
      <w:r>
        <w:rPr>
          <w:spacing w:val="-2"/>
        </w:rPr>
        <w:t>of</w:t>
      </w:r>
      <w:r>
        <w:rPr>
          <w:spacing w:val="-17"/>
        </w:rPr>
        <w:t xml:space="preserve"> </w:t>
      </w:r>
      <w:r>
        <w:rPr>
          <w:spacing w:val="-2"/>
        </w:rPr>
        <w:t>Grammarly</w:t>
      </w:r>
      <w:r>
        <w:rPr>
          <w:spacing w:val="-17"/>
        </w:rPr>
        <w:t xml:space="preserve"> </w:t>
      </w:r>
      <w:r>
        <w:rPr>
          <w:spacing w:val="-2"/>
        </w:rPr>
        <w:t>(</w:t>
      </w:r>
      <w:hyperlink r:id="rId9">
        <w:r>
          <w:rPr>
            <w:spacing w:val="-2"/>
          </w:rPr>
          <w:t>https://www.grammarly.com/</w:t>
        </w:r>
      </w:hyperlink>
      <w:r>
        <w:rPr>
          <w:spacing w:val="-2"/>
        </w:rPr>
        <w:t>)</w:t>
      </w:r>
      <w:r>
        <w:rPr>
          <w:spacing w:val="-16"/>
        </w:rPr>
        <w:t xml:space="preserve"> </w:t>
      </w:r>
      <w:r>
        <w:rPr>
          <w:spacing w:val="-2"/>
        </w:rPr>
        <w:t>on</w:t>
      </w:r>
      <w:r>
        <w:rPr>
          <w:spacing w:val="-20"/>
        </w:rPr>
        <w:t xml:space="preserve"> </w:t>
      </w:r>
      <w:r>
        <w:rPr>
          <w:spacing w:val="-2"/>
        </w:rPr>
        <w:t>1</w:t>
      </w:r>
      <w:r w:rsidRPr="0097577D">
        <w:rPr>
          <w:spacing w:val="-2"/>
          <w:vertAlign w:val="superscript"/>
        </w:rPr>
        <w:t>st</w:t>
      </w:r>
      <w:r>
        <w:rPr>
          <w:spacing w:val="-2"/>
        </w:rPr>
        <w:t xml:space="preserve"> May 2026</w:t>
      </w:r>
      <w:r>
        <w:rPr>
          <w:spacing w:val="-7"/>
        </w:rPr>
        <w:t xml:space="preserve"> </w:t>
      </w:r>
      <w:r>
        <w:t>to check</w:t>
      </w:r>
      <w:r>
        <w:rPr>
          <w:spacing w:val="-1"/>
        </w:rPr>
        <w:t xml:space="preserve"> </w:t>
      </w:r>
      <w:r>
        <w:t>my</w:t>
      </w:r>
      <w:r>
        <w:rPr>
          <w:spacing w:val="-4"/>
        </w:rPr>
        <w:t xml:space="preserve"> </w:t>
      </w:r>
      <w:r>
        <w:t>work using</w:t>
      </w:r>
      <w:r>
        <w:rPr>
          <w:spacing w:val="-7"/>
        </w:rPr>
        <w:t xml:space="preserve"> </w:t>
      </w:r>
      <w:r>
        <w:t>the</w:t>
      </w:r>
      <w:r>
        <w:rPr>
          <w:spacing w:val="-1"/>
        </w:rPr>
        <w:t xml:space="preserve"> </w:t>
      </w:r>
      <w:r>
        <w:t>prompt(s):</w:t>
      </w:r>
    </w:p>
    <w:p w14:paraId="3724EFAC" w14:textId="77777777" w:rsidR="009F2FEF" w:rsidRPr="00F2417F" w:rsidRDefault="009F2FEF" w:rsidP="009F2FEF">
      <w:pPr>
        <w:tabs>
          <w:tab w:val="left" w:pos="268"/>
        </w:tabs>
      </w:pPr>
    </w:p>
    <w:p w14:paraId="1F0B5A3A" w14:textId="75AD5B28" w:rsidR="009F2FEF" w:rsidRDefault="009F2FEF" w:rsidP="009F2FEF">
      <w:pPr>
        <w:pStyle w:val="BodyText"/>
        <w:spacing w:line="254" w:lineRule="auto"/>
        <w:ind w:right="83"/>
      </w:pPr>
      <w:r>
        <w:t>I</w:t>
      </w:r>
      <w:r>
        <w:rPr>
          <w:spacing w:val="-17"/>
        </w:rPr>
        <w:t xml:space="preserve"> </w:t>
      </w:r>
      <w:r>
        <w:t>confirm</w:t>
      </w:r>
      <w:r>
        <w:rPr>
          <w:spacing w:val="-17"/>
        </w:rPr>
        <w:t xml:space="preserve"> </w:t>
      </w:r>
      <w:r>
        <w:t>that</w:t>
      </w:r>
      <w:r>
        <w:rPr>
          <w:spacing w:val="-16"/>
        </w:rPr>
        <w:t xml:space="preserve"> </w:t>
      </w:r>
      <w:r>
        <w:t>I</w:t>
      </w:r>
      <w:r>
        <w:rPr>
          <w:spacing w:val="-20"/>
        </w:rPr>
        <w:t xml:space="preserve"> </w:t>
      </w:r>
      <w:r>
        <w:t>have</w:t>
      </w:r>
      <w:r>
        <w:rPr>
          <w:spacing w:val="-17"/>
        </w:rPr>
        <w:t xml:space="preserve"> </w:t>
      </w:r>
      <w:r>
        <w:t>not</w:t>
      </w:r>
      <w:r>
        <w:rPr>
          <w:spacing w:val="-17"/>
        </w:rPr>
        <w:t xml:space="preserve"> </w:t>
      </w:r>
      <w:r>
        <w:t>presented</w:t>
      </w:r>
      <w:r>
        <w:rPr>
          <w:spacing w:val="-17"/>
        </w:rPr>
        <w:t xml:space="preserve"> </w:t>
      </w:r>
      <w:r>
        <w:t>any</w:t>
      </w:r>
      <w:r>
        <w:rPr>
          <w:spacing w:val="-17"/>
        </w:rPr>
        <w:t xml:space="preserve"> </w:t>
      </w:r>
      <w:r>
        <w:t>AI-generated</w:t>
      </w:r>
      <w:r>
        <w:rPr>
          <w:spacing w:val="-17"/>
        </w:rPr>
        <w:t xml:space="preserve"> </w:t>
      </w:r>
      <w:r>
        <w:t>text</w:t>
      </w:r>
      <w:r>
        <w:rPr>
          <w:spacing w:val="-21"/>
        </w:rPr>
        <w:t xml:space="preserve"> </w:t>
      </w:r>
      <w:r>
        <w:t>as</w:t>
      </w:r>
      <w:r>
        <w:rPr>
          <w:spacing w:val="-17"/>
        </w:rPr>
        <w:t xml:space="preserve"> </w:t>
      </w:r>
      <w:r>
        <w:t>my</w:t>
      </w:r>
      <w:r>
        <w:rPr>
          <w:spacing w:val="-16"/>
        </w:rPr>
        <w:t xml:space="preserve"> </w:t>
      </w:r>
      <w:r>
        <w:t>own</w:t>
      </w:r>
      <w:r>
        <w:rPr>
          <w:spacing w:val="-16"/>
        </w:rPr>
        <w:t xml:space="preserve"> </w:t>
      </w:r>
      <w:r>
        <w:t>work.</w:t>
      </w:r>
      <w:r>
        <w:rPr>
          <w:spacing w:val="-16"/>
        </w:rPr>
        <w:t xml:space="preserve"> </w:t>
      </w:r>
      <w:r>
        <w:t>I</w:t>
      </w:r>
      <w:r>
        <w:rPr>
          <w:spacing w:val="-17"/>
        </w:rPr>
        <w:t xml:space="preserve"> </w:t>
      </w:r>
      <w:r>
        <w:t>confirm</w:t>
      </w:r>
      <w:r>
        <w:rPr>
          <w:spacing w:val="-21"/>
        </w:rPr>
        <w:t xml:space="preserve"> that </w:t>
      </w:r>
      <w:r>
        <w:t xml:space="preserve">I </w:t>
      </w:r>
      <w:r>
        <w:rPr>
          <w:spacing w:val="-2"/>
        </w:rPr>
        <w:t>have</w:t>
      </w:r>
      <w:r>
        <w:rPr>
          <w:spacing w:val="-12"/>
        </w:rPr>
        <w:t xml:space="preserve"> </w:t>
      </w:r>
      <w:r>
        <w:rPr>
          <w:spacing w:val="-2"/>
        </w:rPr>
        <w:t>copies</w:t>
      </w:r>
      <w:r>
        <w:rPr>
          <w:spacing w:val="-11"/>
        </w:rPr>
        <w:t xml:space="preserve"> </w:t>
      </w:r>
      <w:r>
        <w:rPr>
          <w:spacing w:val="-2"/>
        </w:rPr>
        <w:t>of</w:t>
      </w:r>
      <w:r>
        <w:rPr>
          <w:spacing w:val="-10"/>
        </w:rPr>
        <w:t xml:space="preserve"> </w:t>
      </w:r>
      <w:r>
        <w:rPr>
          <w:spacing w:val="-2"/>
        </w:rPr>
        <w:t>my</w:t>
      </w:r>
      <w:r>
        <w:rPr>
          <w:spacing w:val="-12"/>
        </w:rPr>
        <w:t xml:space="preserve"> </w:t>
      </w:r>
      <w:r>
        <w:rPr>
          <w:spacing w:val="-2"/>
        </w:rPr>
        <w:t>drafts,</w:t>
      </w:r>
      <w:r>
        <w:rPr>
          <w:spacing w:val="-11"/>
        </w:rPr>
        <w:t xml:space="preserve"> </w:t>
      </w:r>
      <w:r>
        <w:rPr>
          <w:spacing w:val="-2"/>
        </w:rPr>
        <w:t>notes,</w:t>
      </w:r>
      <w:r>
        <w:rPr>
          <w:spacing w:val="-11"/>
        </w:rPr>
        <w:t xml:space="preserve"> </w:t>
      </w:r>
      <w:r>
        <w:rPr>
          <w:spacing w:val="-2"/>
        </w:rPr>
        <w:t>and</w:t>
      </w:r>
      <w:r>
        <w:rPr>
          <w:spacing w:val="-17"/>
        </w:rPr>
        <w:t xml:space="preserve"> </w:t>
      </w:r>
      <w:r>
        <w:rPr>
          <w:spacing w:val="-2"/>
        </w:rPr>
        <w:t>other</w:t>
      </w:r>
      <w:r>
        <w:rPr>
          <w:spacing w:val="-12"/>
        </w:rPr>
        <w:t xml:space="preserve"> </w:t>
      </w:r>
      <w:r>
        <w:rPr>
          <w:spacing w:val="-2"/>
        </w:rPr>
        <w:t>resources</w:t>
      </w:r>
      <w:r>
        <w:rPr>
          <w:spacing w:val="-12"/>
        </w:rPr>
        <w:t xml:space="preserve"> </w:t>
      </w:r>
      <w:r>
        <w:rPr>
          <w:spacing w:val="-2"/>
        </w:rPr>
        <w:t>I</w:t>
      </w:r>
      <w:r>
        <w:rPr>
          <w:spacing w:val="-12"/>
        </w:rPr>
        <w:t xml:space="preserve"> </w:t>
      </w:r>
      <w:r>
        <w:rPr>
          <w:spacing w:val="-2"/>
        </w:rPr>
        <w:t>used</w:t>
      </w:r>
      <w:r>
        <w:rPr>
          <w:spacing w:val="-10"/>
        </w:rPr>
        <w:t xml:space="preserve"> </w:t>
      </w:r>
      <w:r>
        <w:rPr>
          <w:spacing w:val="-2"/>
        </w:rPr>
        <w:t>before</w:t>
      </w:r>
      <w:r>
        <w:rPr>
          <w:spacing w:val="-11"/>
        </w:rPr>
        <w:t xml:space="preserve"> </w:t>
      </w:r>
      <w:r>
        <w:rPr>
          <w:spacing w:val="-2"/>
        </w:rPr>
        <w:t>and</w:t>
      </w:r>
      <w:r>
        <w:rPr>
          <w:spacing w:val="-12"/>
        </w:rPr>
        <w:t xml:space="preserve"> </w:t>
      </w:r>
      <w:r>
        <w:rPr>
          <w:spacing w:val="-2"/>
        </w:rPr>
        <w:t>after</w:t>
      </w:r>
      <w:r>
        <w:rPr>
          <w:spacing w:val="-12"/>
        </w:rPr>
        <w:t xml:space="preserve"> </w:t>
      </w:r>
      <w:r w:rsidR="002B58A5">
        <w:rPr>
          <w:spacing w:val="-2"/>
        </w:rPr>
        <w:t>using</w:t>
      </w:r>
      <w:r>
        <w:rPr>
          <w:spacing w:val="-2"/>
        </w:rPr>
        <w:t xml:space="preserve"> </w:t>
      </w:r>
      <w:r>
        <w:t>AI</w:t>
      </w:r>
      <w:r>
        <w:rPr>
          <w:spacing w:val="-8"/>
        </w:rPr>
        <w:t xml:space="preserve"> </w:t>
      </w:r>
      <w:r>
        <w:t>tools,</w:t>
      </w:r>
      <w:r>
        <w:rPr>
          <w:spacing w:val="-7"/>
        </w:rPr>
        <w:t xml:space="preserve"> </w:t>
      </w:r>
      <w:r>
        <w:t>which</w:t>
      </w:r>
      <w:r>
        <w:rPr>
          <w:spacing w:val="-8"/>
        </w:rPr>
        <w:t xml:space="preserve"> </w:t>
      </w:r>
      <w:r>
        <w:t>I</w:t>
      </w:r>
      <w:r>
        <w:rPr>
          <w:spacing w:val="-8"/>
        </w:rPr>
        <w:t xml:space="preserve"> </w:t>
      </w:r>
      <w:r>
        <w:t>may</w:t>
      </w:r>
      <w:r>
        <w:rPr>
          <w:spacing w:val="-7"/>
        </w:rPr>
        <w:t xml:space="preserve"> </w:t>
      </w:r>
      <w:r>
        <w:t>be</w:t>
      </w:r>
      <w:r>
        <w:rPr>
          <w:spacing w:val="-4"/>
        </w:rPr>
        <w:t xml:space="preserve"> </w:t>
      </w:r>
      <w:r>
        <w:t>asked</w:t>
      </w:r>
      <w:r>
        <w:rPr>
          <w:spacing w:val="-8"/>
        </w:rPr>
        <w:t xml:space="preserve"> </w:t>
      </w:r>
      <w:r>
        <w:t>to</w:t>
      </w:r>
      <w:r>
        <w:rPr>
          <w:spacing w:val="-13"/>
        </w:rPr>
        <w:t xml:space="preserve"> </w:t>
      </w:r>
      <w:r>
        <w:t>provide</w:t>
      </w:r>
      <w:r>
        <w:rPr>
          <w:spacing w:val="-7"/>
        </w:rPr>
        <w:t xml:space="preserve"> </w:t>
      </w:r>
      <w:r>
        <w:t>as</w:t>
      </w:r>
      <w:r>
        <w:rPr>
          <w:spacing w:val="-8"/>
        </w:rPr>
        <w:t xml:space="preserve"> </w:t>
      </w:r>
      <w:r>
        <w:t>evidence.</w:t>
      </w:r>
    </w:p>
    <w:p w14:paraId="55A0C03E" w14:textId="77777777" w:rsidR="009F2FEF" w:rsidRPr="009F2FEF" w:rsidRDefault="009F2FEF" w:rsidP="00D966A3">
      <w:pPr>
        <w:rPr>
          <w:b/>
          <w:bCs/>
          <w:lang w:val="en-US"/>
        </w:rPr>
      </w:pPr>
    </w:p>
    <w:p w14:paraId="67883205" w14:textId="77777777" w:rsidR="009F2FEF" w:rsidRDefault="009F2FEF" w:rsidP="00D966A3">
      <w:pPr>
        <w:rPr>
          <w:b/>
          <w:bCs/>
        </w:rPr>
      </w:pPr>
    </w:p>
    <w:p w14:paraId="1BD630FA" w14:textId="77777777" w:rsidR="009F2FEF" w:rsidRDefault="009F2FEF" w:rsidP="00D966A3">
      <w:pPr>
        <w:rPr>
          <w:b/>
          <w:bCs/>
        </w:rPr>
      </w:pPr>
    </w:p>
    <w:p w14:paraId="3DF20735" w14:textId="77777777" w:rsidR="009F2FEF" w:rsidRDefault="009F2FEF" w:rsidP="00D966A3">
      <w:pPr>
        <w:rPr>
          <w:b/>
          <w:bCs/>
        </w:rPr>
      </w:pPr>
    </w:p>
    <w:p w14:paraId="14F26860" w14:textId="77777777" w:rsidR="009F2FEF" w:rsidRDefault="009F2FEF" w:rsidP="00D966A3">
      <w:pPr>
        <w:rPr>
          <w:b/>
          <w:bCs/>
        </w:rPr>
      </w:pPr>
    </w:p>
    <w:p w14:paraId="7DF16A97" w14:textId="77777777" w:rsidR="009F2FEF" w:rsidRDefault="009F2FEF" w:rsidP="00D966A3">
      <w:pPr>
        <w:rPr>
          <w:b/>
          <w:bCs/>
        </w:rPr>
      </w:pPr>
    </w:p>
    <w:p w14:paraId="766114D9" w14:textId="77777777" w:rsidR="009F2FEF" w:rsidRDefault="009F2FEF" w:rsidP="00D966A3">
      <w:pPr>
        <w:rPr>
          <w:b/>
          <w:bCs/>
        </w:rPr>
      </w:pPr>
    </w:p>
    <w:p w14:paraId="46385141" w14:textId="77777777" w:rsidR="009F2FEF" w:rsidRDefault="009F2FEF" w:rsidP="00D966A3">
      <w:pPr>
        <w:rPr>
          <w:b/>
          <w:bCs/>
        </w:rPr>
      </w:pPr>
    </w:p>
    <w:p w14:paraId="739632BB" w14:textId="77777777" w:rsidR="009F2FEF" w:rsidRDefault="009F2FEF" w:rsidP="00D966A3">
      <w:pPr>
        <w:rPr>
          <w:b/>
          <w:bCs/>
        </w:rPr>
      </w:pPr>
    </w:p>
    <w:p w14:paraId="7EB7E2DC" w14:textId="77777777" w:rsidR="009F2FEF" w:rsidRDefault="009F2FEF" w:rsidP="00D966A3">
      <w:pPr>
        <w:rPr>
          <w:b/>
          <w:bCs/>
        </w:rPr>
      </w:pPr>
    </w:p>
    <w:p w14:paraId="2A56983D" w14:textId="77777777" w:rsidR="009F2FEF" w:rsidRDefault="009F2FEF" w:rsidP="00D966A3">
      <w:pPr>
        <w:rPr>
          <w:b/>
          <w:bCs/>
        </w:rPr>
      </w:pPr>
    </w:p>
    <w:p w14:paraId="4A4F6B88" w14:textId="77777777" w:rsidR="009F2FEF" w:rsidRDefault="009F2FEF" w:rsidP="00D966A3">
      <w:pPr>
        <w:rPr>
          <w:b/>
          <w:bCs/>
        </w:rPr>
      </w:pPr>
    </w:p>
    <w:p w14:paraId="376F5017" w14:textId="77777777" w:rsidR="009F2FEF" w:rsidRDefault="009F2FEF" w:rsidP="00D966A3">
      <w:pPr>
        <w:rPr>
          <w:b/>
          <w:bCs/>
        </w:rPr>
      </w:pPr>
    </w:p>
    <w:p w14:paraId="3DFD5003" w14:textId="77777777" w:rsidR="009F2FEF" w:rsidRDefault="009F2FEF" w:rsidP="00D966A3">
      <w:pPr>
        <w:rPr>
          <w:b/>
          <w:bCs/>
        </w:rPr>
      </w:pPr>
    </w:p>
    <w:p w14:paraId="46CB38F2" w14:textId="77777777" w:rsidR="009F2FEF" w:rsidRDefault="009F2FEF" w:rsidP="00D966A3">
      <w:pPr>
        <w:rPr>
          <w:b/>
          <w:bCs/>
        </w:rPr>
      </w:pPr>
    </w:p>
    <w:p w14:paraId="2BF141E4" w14:textId="77777777" w:rsidR="009F2FEF" w:rsidRDefault="009F2FEF" w:rsidP="00D966A3">
      <w:pPr>
        <w:rPr>
          <w:b/>
          <w:bCs/>
        </w:rPr>
      </w:pPr>
    </w:p>
    <w:p w14:paraId="0FC38B3F" w14:textId="77777777" w:rsidR="009F2FEF" w:rsidRDefault="009F2FEF" w:rsidP="00D966A3">
      <w:pPr>
        <w:rPr>
          <w:b/>
          <w:bCs/>
        </w:rPr>
      </w:pPr>
    </w:p>
    <w:p w14:paraId="32370F55" w14:textId="77777777" w:rsidR="009F2FEF" w:rsidRDefault="009F2FEF" w:rsidP="00D966A3">
      <w:pPr>
        <w:rPr>
          <w:b/>
          <w:bCs/>
        </w:rPr>
      </w:pPr>
    </w:p>
    <w:p w14:paraId="0308B4E6" w14:textId="77777777" w:rsidR="009F2FEF" w:rsidRDefault="009F2FEF" w:rsidP="00D966A3">
      <w:pPr>
        <w:rPr>
          <w:b/>
          <w:bCs/>
        </w:rPr>
      </w:pPr>
    </w:p>
    <w:p w14:paraId="18D59A5B" w14:textId="77777777" w:rsidR="009F2FEF" w:rsidRDefault="009F2FEF" w:rsidP="00D966A3">
      <w:pPr>
        <w:rPr>
          <w:b/>
          <w:bCs/>
        </w:rPr>
      </w:pPr>
    </w:p>
    <w:p w14:paraId="76A7558A" w14:textId="77777777" w:rsidR="009F2FEF" w:rsidRDefault="009F2FEF" w:rsidP="00D966A3">
      <w:pPr>
        <w:rPr>
          <w:b/>
          <w:bCs/>
        </w:rPr>
      </w:pPr>
    </w:p>
    <w:p w14:paraId="15D67633" w14:textId="77777777" w:rsidR="009F2FEF" w:rsidRDefault="009F2FEF" w:rsidP="00D966A3">
      <w:pPr>
        <w:rPr>
          <w:b/>
          <w:bCs/>
        </w:rPr>
      </w:pPr>
    </w:p>
    <w:p w14:paraId="1995A022" w14:textId="77777777" w:rsidR="009F2FEF" w:rsidRDefault="009F2FEF" w:rsidP="00D966A3">
      <w:pPr>
        <w:rPr>
          <w:b/>
          <w:bCs/>
        </w:rPr>
      </w:pPr>
    </w:p>
    <w:p w14:paraId="5A8EBD63" w14:textId="77777777" w:rsidR="004E1F4D" w:rsidRDefault="004E1F4D" w:rsidP="00D966A3">
      <w:pPr>
        <w:rPr>
          <w:b/>
          <w:bCs/>
        </w:rPr>
      </w:pPr>
    </w:p>
    <w:p w14:paraId="42D056A0" w14:textId="77777777" w:rsidR="004E1F4D" w:rsidRDefault="004E1F4D" w:rsidP="00D966A3">
      <w:pPr>
        <w:rPr>
          <w:b/>
          <w:bCs/>
        </w:rPr>
      </w:pPr>
    </w:p>
    <w:p w14:paraId="5BF6596C" w14:textId="77777777" w:rsidR="004E1F4D" w:rsidRDefault="004E1F4D" w:rsidP="007D7CCE">
      <w:pPr>
        <w:jc w:val="center"/>
        <w:rPr>
          <w:b/>
          <w:bCs/>
        </w:rPr>
      </w:pPr>
    </w:p>
    <w:p w14:paraId="3FB3C955" w14:textId="77777777" w:rsidR="004E1F4D" w:rsidRDefault="004E1F4D" w:rsidP="00D966A3">
      <w:pPr>
        <w:rPr>
          <w:b/>
          <w:bCs/>
        </w:rPr>
      </w:pPr>
    </w:p>
    <w:p w14:paraId="4DAD0BF0" w14:textId="77777777" w:rsidR="00AC34F1" w:rsidRDefault="00AC34F1" w:rsidP="00D966A3">
      <w:pPr>
        <w:rPr>
          <w:b/>
          <w:bCs/>
        </w:rPr>
      </w:pPr>
    </w:p>
    <w:p w14:paraId="39E30FDF" w14:textId="4F53CCEA" w:rsidR="00464F92" w:rsidRDefault="002831B2">
      <w:pPr>
        <w:jc w:val="center"/>
        <w:rPr>
          <w:b/>
          <w:bCs/>
        </w:rPr>
      </w:pPr>
      <w:r>
        <w:rPr>
          <w:b/>
          <w:bCs/>
        </w:rPr>
        <w:t>Acknowledgment</w:t>
      </w:r>
    </w:p>
    <w:p w14:paraId="56E4A844" w14:textId="2D995997" w:rsidR="00464F92" w:rsidRDefault="006A0F0F">
      <w:r>
        <w:t>First, I would like to convey my heartfelt thanks to my supervisor for their invaluable advice, constructive criticism,</w:t>
      </w:r>
      <w:r w:rsidR="002831B2">
        <w:t xml:space="preserve"> and constant support throughout this thesis. </w:t>
      </w:r>
      <w:r w:rsidR="003F3097">
        <w:t>Second, I would like to thank my institution for providing the educational facilities that helped me complete</w:t>
      </w:r>
      <w:r w:rsidR="002831B2">
        <w:t xml:space="preserve"> this study. Lastly, I would like to extend my gratitude to my family members and friends for being patient with me throughout the research process.</w:t>
      </w:r>
    </w:p>
    <w:p w14:paraId="1D1812C5" w14:textId="77777777" w:rsidR="00464F92" w:rsidRDefault="00464F92"/>
    <w:p w14:paraId="0F75EA29" w14:textId="77777777" w:rsidR="007D7CCE" w:rsidRDefault="002831B2" w:rsidP="00D645AD">
      <w:r>
        <w:t>Thank You</w:t>
      </w:r>
    </w:p>
    <w:p w14:paraId="0493BD9A" w14:textId="77777777" w:rsidR="007D7CCE" w:rsidRDefault="007D7CCE" w:rsidP="00D645AD"/>
    <w:p w14:paraId="7342FB82" w14:textId="77777777" w:rsidR="007D7CCE" w:rsidRDefault="007D7CCE" w:rsidP="00D645AD"/>
    <w:p w14:paraId="7EE71D27" w14:textId="77777777" w:rsidR="007D7CCE" w:rsidRDefault="007D7CCE" w:rsidP="00D645AD"/>
    <w:p w14:paraId="25DC3480" w14:textId="77777777" w:rsidR="007D7CCE" w:rsidRDefault="007D7CCE" w:rsidP="00D645AD"/>
    <w:p w14:paraId="4AF9E808" w14:textId="77777777" w:rsidR="007D7CCE" w:rsidRDefault="007D7CCE" w:rsidP="00D645AD"/>
    <w:p w14:paraId="7E56B4DA" w14:textId="77777777" w:rsidR="007D7CCE" w:rsidRDefault="007D7CCE" w:rsidP="00D645AD"/>
    <w:p w14:paraId="4470FDC4" w14:textId="77777777" w:rsidR="007D7CCE" w:rsidRDefault="007D7CCE" w:rsidP="00D645AD"/>
    <w:p w14:paraId="277D7BA1" w14:textId="77777777" w:rsidR="007D7CCE" w:rsidRDefault="007D7CCE" w:rsidP="00D645AD"/>
    <w:p w14:paraId="5AB75E33" w14:textId="77777777" w:rsidR="007D7CCE" w:rsidRDefault="007D7CCE" w:rsidP="00D645AD"/>
    <w:p w14:paraId="3CA76D65" w14:textId="77777777" w:rsidR="007D7CCE" w:rsidRDefault="007D7CCE" w:rsidP="00D645AD"/>
    <w:p w14:paraId="26515A3B" w14:textId="77777777" w:rsidR="007D7CCE" w:rsidRDefault="007D7CCE" w:rsidP="00D645AD"/>
    <w:p w14:paraId="73B8DB4F" w14:textId="77777777" w:rsidR="007D7CCE" w:rsidRDefault="007D7CCE" w:rsidP="00D645AD"/>
    <w:p w14:paraId="00033A67" w14:textId="395CE086" w:rsidR="00CF6F6D" w:rsidRDefault="002831B2" w:rsidP="008F7BAB">
      <w:r>
        <w:br w:type="page"/>
      </w:r>
    </w:p>
    <w:p w14:paraId="4CD0BB3A" w14:textId="663FD1B4" w:rsidR="00CF6F6D" w:rsidRPr="008F7BAB" w:rsidRDefault="00CF6F6D" w:rsidP="00CF6F6D">
      <w:pPr>
        <w:jc w:val="center"/>
        <w:rPr>
          <w:b/>
          <w:bCs/>
          <w:sz w:val="32"/>
          <w:szCs w:val="32"/>
        </w:rPr>
      </w:pPr>
      <w:r w:rsidRPr="008F7BAB">
        <w:rPr>
          <w:b/>
          <w:bCs/>
          <w:sz w:val="32"/>
          <w:szCs w:val="32"/>
        </w:rPr>
        <w:lastRenderedPageBreak/>
        <w:t xml:space="preserve">Abstract  </w:t>
      </w:r>
    </w:p>
    <w:p w14:paraId="7EAB6DA8" w14:textId="0C48B392" w:rsidR="00CF6F6D" w:rsidRDefault="006D3B5E" w:rsidP="00CF6F6D">
      <w:r>
        <w:t>This chapter introduces the research, outlining</w:t>
      </w:r>
      <w:r w:rsidR="00CF6F6D">
        <w:t xml:space="preserve"> the background, rationale, and research problem concerning ESG practices and foreign investment attraction. It is also associated with the research aim, objectives, questions, and significance of the study. The chapter also points out the dissertation structure that provides a foundation for the subsequent chapters. </w:t>
      </w:r>
    </w:p>
    <w:p w14:paraId="119AB66D" w14:textId="6129B989" w:rsidR="00CF6F6D" w:rsidRDefault="008F7BAB" w:rsidP="00CF6F6D">
      <w:r>
        <w:t>The</w:t>
      </w:r>
      <w:r w:rsidR="00CF6F6D">
        <w:t xml:space="preserve"> literature review examines the impact of Environmental, Social and Governance (ESG) practices on attracting foreign investment to the UK renewable energy industry. It addresses the environmental, social and governance issues that influence investors, investment decisions and investment flows toward renewable energy organisations. The study pinpoints gaps in the literature and recommends concrete measures to improve ESG practices, with a view to strengthening the attractiveness of investing internationally and to promote sustainable growth in the sector.</w:t>
      </w:r>
    </w:p>
    <w:p w14:paraId="775538C1" w14:textId="77777777" w:rsidR="00CF6F6D" w:rsidRDefault="00CF6F6D" w:rsidP="00CF6F6D">
      <w:r w:rsidRPr="008F7BAB">
        <w:rPr>
          <w:color w:val="000000" w:themeColor="text1"/>
        </w:rPr>
        <w:t>The methodology includes the philosophy, approach, method, design, strategy, data collection, sampling, analysis, time horizon, ethics, and limitations.</w:t>
      </w:r>
      <w:r>
        <w:t xml:space="preserve"> This is used in the investigation of the effect of ESG practices, which is related to foreign investment attraction in the renewable energy sector in the United Kingdom. It uses an interpretivist philosophy of study, an exploratory design, and a secondary qualitative approach. The chapter also provides proper information on data collection, data analysis, ethical issues and limitations of the methodology that guarantee the credibility and systematic research process.</w:t>
      </w:r>
    </w:p>
    <w:p w14:paraId="1B6F370E" w14:textId="28E23BBA" w:rsidR="00CF6F6D" w:rsidRPr="00D645AD" w:rsidRDefault="00CF6F6D" w:rsidP="00CF6F6D">
      <w:pPr>
        <w:rPr>
          <w:b/>
          <w:bCs/>
        </w:rPr>
      </w:pPr>
      <w:r w:rsidRPr="008F7BAB">
        <w:rPr>
          <w:color w:val="000000" w:themeColor="text1"/>
        </w:rPr>
        <w:t xml:space="preserve">This study </w:t>
      </w:r>
      <w:r>
        <w:t xml:space="preserve">therefore presents the findings from the literature review through thematic analysis of secondary qualitative data on ESG practice and foreign investment actions in the renewable energy sector of the UK. Five themes have emerged: environmental practice, social practice, governance practice, ESG reporting and disclosure and finally the integrated ESG performance. Overall findings indicate that strong environmental performance of the renewable organisations can minimise risk and attract foreign investors. Moreover, effective social and governance </w:t>
      </w:r>
      <w:r w:rsidR="006F295C">
        <w:t>practices</w:t>
      </w:r>
      <w:r>
        <w:t xml:space="preserve"> can strengthen stakeholder relationships. This study therefore concluded that integrated ESG performance can improve investment attractiveness by creating sustainable value for the organisations. Based on these findings, the study recommended developing an integrated strategy, improving reporting procedures, and broader accountability for social performance, governance and transparency.</w:t>
      </w:r>
    </w:p>
    <w:p w14:paraId="629342CE" w14:textId="77777777" w:rsidR="007D7CCE" w:rsidRDefault="007D7CCE" w:rsidP="00D645AD"/>
    <w:p w14:paraId="6DBB4998" w14:textId="77777777" w:rsidR="007D7CCE" w:rsidRDefault="007D7CCE" w:rsidP="00D645AD"/>
    <w:p w14:paraId="5570D562" w14:textId="77777777" w:rsidR="006D3B5E" w:rsidRDefault="006D3B5E" w:rsidP="00D645AD"/>
    <w:p w14:paraId="14519E95" w14:textId="4EC435E8" w:rsidR="00464F92" w:rsidRPr="008F7BAB" w:rsidRDefault="002831B2" w:rsidP="008F7BAB">
      <w:pPr>
        <w:jc w:val="center"/>
        <w:rPr>
          <w:sz w:val="28"/>
          <w:szCs w:val="28"/>
        </w:rPr>
      </w:pPr>
      <w:r w:rsidRPr="008F7BAB">
        <w:rPr>
          <w:b/>
          <w:bCs/>
          <w:color w:val="000000"/>
          <w:sz w:val="28"/>
          <w:szCs w:val="28"/>
        </w:rPr>
        <w:lastRenderedPageBreak/>
        <w:t>Table of Contents</w:t>
      </w:r>
    </w:p>
    <w:sdt>
      <w:sdtPr>
        <w:id w:val="1622082344"/>
        <w:docPartObj>
          <w:docPartGallery w:val="Table of Contents"/>
          <w:docPartUnique/>
        </w:docPartObj>
      </w:sdtPr>
      <w:sdtContent>
        <w:p w14:paraId="1A048885" w14:textId="25ECB1F7" w:rsidR="008B74D1" w:rsidRDefault="002831B2">
          <w:pPr>
            <w:pStyle w:val="TOC1"/>
            <w:tabs>
              <w:tab w:val="right" w:pos="9019"/>
            </w:tabs>
            <w:rPr>
              <w:rFonts w:asciiTheme="minorHAnsi" w:eastAsiaTheme="minorEastAsia" w:hAnsiTheme="minorHAnsi" w:cstheme="minorBidi"/>
              <w:noProof/>
              <w:kern w:val="2"/>
              <w:lang w:val="en-IN" w:eastAsia="en-IN"/>
              <w14:ligatures w14:val="standardContextual"/>
            </w:rPr>
          </w:pPr>
          <w:r>
            <w:fldChar w:fldCharType="begin"/>
          </w:r>
          <w:r>
            <w:instrText xml:space="preserve"> TOC \h \u \z \t "Heading 1,1,Heading 2,2,Heading 3,3,"</w:instrText>
          </w:r>
          <w:r>
            <w:fldChar w:fldCharType="separate"/>
          </w:r>
          <w:hyperlink w:anchor="_Toc240715228" w:history="1">
            <w:r w:rsidR="008B74D1" w:rsidRPr="00CF2850">
              <w:rPr>
                <w:rStyle w:val="Hyperlink"/>
                <w:noProof/>
              </w:rPr>
              <w:t>Chapter 1: Introduction</w:t>
            </w:r>
            <w:r w:rsidR="008B74D1">
              <w:rPr>
                <w:noProof/>
                <w:webHidden/>
              </w:rPr>
              <w:tab/>
            </w:r>
            <w:r w:rsidR="008B74D1">
              <w:rPr>
                <w:noProof/>
                <w:webHidden/>
              </w:rPr>
              <w:fldChar w:fldCharType="begin"/>
            </w:r>
            <w:r w:rsidR="008B74D1">
              <w:rPr>
                <w:noProof/>
                <w:webHidden/>
              </w:rPr>
              <w:instrText xml:space="preserve"> PAGEREF _Toc240715228 \h </w:instrText>
            </w:r>
            <w:r w:rsidR="008B74D1">
              <w:rPr>
                <w:noProof/>
                <w:webHidden/>
              </w:rPr>
            </w:r>
            <w:r w:rsidR="008B74D1">
              <w:rPr>
                <w:noProof/>
                <w:webHidden/>
              </w:rPr>
              <w:fldChar w:fldCharType="separate"/>
            </w:r>
            <w:r w:rsidR="00B916F6">
              <w:rPr>
                <w:noProof/>
                <w:webHidden/>
              </w:rPr>
              <w:t>11</w:t>
            </w:r>
            <w:r w:rsidR="008B74D1">
              <w:rPr>
                <w:noProof/>
                <w:webHidden/>
              </w:rPr>
              <w:fldChar w:fldCharType="end"/>
            </w:r>
          </w:hyperlink>
        </w:p>
        <w:p w14:paraId="3AF62751" w14:textId="523ACC40"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29" w:history="1">
            <w:r w:rsidRPr="00CF2850">
              <w:rPr>
                <w:rStyle w:val="Hyperlink"/>
                <w:noProof/>
              </w:rPr>
              <w:t>1.1 Background of the Study</w:t>
            </w:r>
            <w:r>
              <w:rPr>
                <w:noProof/>
                <w:webHidden/>
              </w:rPr>
              <w:tab/>
            </w:r>
            <w:r>
              <w:rPr>
                <w:noProof/>
                <w:webHidden/>
              </w:rPr>
              <w:fldChar w:fldCharType="begin"/>
            </w:r>
            <w:r>
              <w:rPr>
                <w:noProof/>
                <w:webHidden/>
              </w:rPr>
              <w:instrText xml:space="preserve"> PAGEREF _Toc240715229 \h </w:instrText>
            </w:r>
            <w:r>
              <w:rPr>
                <w:noProof/>
                <w:webHidden/>
              </w:rPr>
            </w:r>
            <w:r>
              <w:rPr>
                <w:noProof/>
                <w:webHidden/>
              </w:rPr>
              <w:fldChar w:fldCharType="separate"/>
            </w:r>
            <w:r w:rsidR="00B916F6">
              <w:rPr>
                <w:noProof/>
                <w:webHidden/>
              </w:rPr>
              <w:t>11</w:t>
            </w:r>
            <w:r>
              <w:rPr>
                <w:noProof/>
                <w:webHidden/>
              </w:rPr>
              <w:fldChar w:fldCharType="end"/>
            </w:r>
          </w:hyperlink>
        </w:p>
        <w:p w14:paraId="104F0F77" w14:textId="701C0497"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30" w:history="1">
            <w:r w:rsidRPr="00CF2850">
              <w:rPr>
                <w:rStyle w:val="Hyperlink"/>
                <w:noProof/>
              </w:rPr>
              <w:t>1.2 Research Rationale</w:t>
            </w:r>
            <w:r>
              <w:rPr>
                <w:noProof/>
                <w:webHidden/>
              </w:rPr>
              <w:tab/>
            </w:r>
            <w:r>
              <w:rPr>
                <w:noProof/>
                <w:webHidden/>
              </w:rPr>
              <w:fldChar w:fldCharType="begin"/>
            </w:r>
            <w:r>
              <w:rPr>
                <w:noProof/>
                <w:webHidden/>
              </w:rPr>
              <w:instrText xml:space="preserve"> PAGEREF _Toc240715230 \h </w:instrText>
            </w:r>
            <w:r>
              <w:rPr>
                <w:noProof/>
                <w:webHidden/>
              </w:rPr>
            </w:r>
            <w:r>
              <w:rPr>
                <w:noProof/>
                <w:webHidden/>
              </w:rPr>
              <w:fldChar w:fldCharType="separate"/>
            </w:r>
            <w:r w:rsidR="00B916F6">
              <w:rPr>
                <w:noProof/>
                <w:webHidden/>
              </w:rPr>
              <w:t>12</w:t>
            </w:r>
            <w:r>
              <w:rPr>
                <w:noProof/>
                <w:webHidden/>
              </w:rPr>
              <w:fldChar w:fldCharType="end"/>
            </w:r>
          </w:hyperlink>
        </w:p>
        <w:p w14:paraId="4411152F" w14:textId="01EA34FE"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31" w:history="1">
            <w:r w:rsidRPr="00CF2850">
              <w:rPr>
                <w:rStyle w:val="Hyperlink"/>
                <w:noProof/>
              </w:rPr>
              <w:t>1.3 Research Problem</w:t>
            </w:r>
            <w:r>
              <w:rPr>
                <w:noProof/>
                <w:webHidden/>
              </w:rPr>
              <w:tab/>
            </w:r>
            <w:r>
              <w:rPr>
                <w:noProof/>
                <w:webHidden/>
              </w:rPr>
              <w:fldChar w:fldCharType="begin"/>
            </w:r>
            <w:r>
              <w:rPr>
                <w:noProof/>
                <w:webHidden/>
              </w:rPr>
              <w:instrText xml:space="preserve"> PAGEREF _Toc240715231 \h </w:instrText>
            </w:r>
            <w:r>
              <w:rPr>
                <w:noProof/>
                <w:webHidden/>
              </w:rPr>
            </w:r>
            <w:r>
              <w:rPr>
                <w:noProof/>
                <w:webHidden/>
              </w:rPr>
              <w:fldChar w:fldCharType="separate"/>
            </w:r>
            <w:r w:rsidR="00B916F6">
              <w:rPr>
                <w:noProof/>
                <w:webHidden/>
              </w:rPr>
              <w:t>13</w:t>
            </w:r>
            <w:r>
              <w:rPr>
                <w:noProof/>
                <w:webHidden/>
              </w:rPr>
              <w:fldChar w:fldCharType="end"/>
            </w:r>
          </w:hyperlink>
        </w:p>
        <w:p w14:paraId="5E667474" w14:textId="74DAA732"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32" w:history="1">
            <w:r w:rsidRPr="00CF2850">
              <w:rPr>
                <w:rStyle w:val="Hyperlink"/>
                <w:noProof/>
              </w:rPr>
              <w:t>1.4 Research Aim</w:t>
            </w:r>
            <w:r>
              <w:rPr>
                <w:noProof/>
                <w:webHidden/>
              </w:rPr>
              <w:tab/>
            </w:r>
            <w:r>
              <w:rPr>
                <w:noProof/>
                <w:webHidden/>
              </w:rPr>
              <w:fldChar w:fldCharType="begin"/>
            </w:r>
            <w:r>
              <w:rPr>
                <w:noProof/>
                <w:webHidden/>
              </w:rPr>
              <w:instrText xml:space="preserve"> PAGEREF _Toc240715232 \h </w:instrText>
            </w:r>
            <w:r>
              <w:rPr>
                <w:noProof/>
                <w:webHidden/>
              </w:rPr>
            </w:r>
            <w:r>
              <w:rPr>
                <w:noProof/>
                <w:webHidden/>
              </w:rPr>
              <w:fldChar w:fldCharType="separate"/>
            </w:r>
            <w:r w:rsidR="00B916F6">
              <w:rPr>
                <w:noProof/>
                <w:webHidden/>
              </w:rPr>
              <w:t>13</w:t>
            </w:r>
            <w:r>
              <w:rPr>
                <w:noProof/>
                <w:webHidden/>
              </w:rPr>
              <w:fldChar w:fldCharType="end"/>
            </w:r>
          </w:hyperlink>
        </w:p>
        <w:p w14:paraId="1B8E71D1" w14:textId="58B6042D"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33" w:history="1">
            <w:r w:rsidRPr="00CF2850">
              <w:rPr>
                <w:rStyle w:val="Hyperlink"/>
                <w:noProof/>
              </w:rPr>
              <w:t>1.5 Research Objectives</w:t>
            </w:r>
            <w:r>
              <w:rPr>
                <w:noProof/>
                <w:webHidden/>
              </w:rPr>
              <w:tab/>
            </w:r>
            <w:r>
              <w:rPr>
                <w:noProof/>
                <w:webHidden/>
              </w:rPr>
              <w:fldChar w:fldCharType="begin"/>
            </w:r>
            <w:r>
              <w:rPr>
                <w:noProof/>
                <w:webHidden/>
              </w:rPr>
              <w:instrText xml:space="preserve"> PAGEREF _Toc240715233 \h </w:instrText>
            </w:r>
            <w:r>
              <w:rPr>
                <w:noProof/>
                <w:webHidden/>
              </w:rPr>
            </w:r>
            <w:r>
              <w:rPr>
                <w:noProof/>
                <w:webHidden/>
              </w:rPr>
              <w:fldChar w:fldCharType="separate"/>
            </w:r>
            <w:r w:rsidR="00B916F6">
              <w:rPr>
                <w:noProof/>
                <w:webHidden/>
              </w:rPr>
              <w:t>13</w:t>
            </w:r>
            <w:r>
              <w:rPr>
                <w:noProof/>
                <w:webHidden/>
              </w:rPr>
              <w:fldChar w:fldCharType="end"/>
            </w:r>
          </w:hyperlink>
        </w:p>
        <w:p w14:paraId="42B11313" w14:textId="7989975B"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34" w:history="1">
            <w:r w:rsidRPr="00CF2850">
              <w:rPr>
                <w:rStyle w:val="Hyperlink"/>
                <w:noProof/>
              </w:rPr>
              <w:t>1.6 Research Questions</w:t>
            </w:r>
            <w:r>
              <w:rPr>
                <w:noProof/>
                <w:webHidden/>
              </w:rPr>
              <w:tab/>
            </w:r>
            <w:r>
              <w:rPr>
                <w:noProof/>
                <w:webHidden/>
              </w:rPr>
              <w:fldChar w:fldCharType="begin"/>
            </w:r>
            <w:r>
              <w:rPr>
                <w:noProof/>
                <w:webHidden/>
              </w:rPr>
              <w:instrText xml:space="preserve"> PAGEREF _Toc240715234 \h </w:instrText>
            </w:r>
            <w:r>
              <w:rPr>
                <w:noProof/>
                <w:webHidden/>
              </w:rPr>
            </w:r>
            <w:r>
              <w:rPr>
                <w:noProof/>
                <w:webHidden/>
              </w:rPr>
              <w:fldChar w:fldCharType="separate"/>
            </w:r>
            <w:r w:rsidR="00B916F6">
              <w:rPr>
                <w:noProof/>
                <w:webHidden/>
              </w:rPr>
              <w:t>14</w:t>
            </w:r>
            <w:r>
              <w:rPr>
                <w:noProof/>
                <w:webHidden/>
              </w:rPr>
              <w:fldChar w:fldCharType="end"/>
            </w:r>
          </w:hyperlink>
        </w:p>
        <w:p w14:paraId="1E35A9EE" w14:textId="27F0138C"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35" w:history="1">
            <w:r w:rsidRPr="00CF2850">
              <w:rPr>
                <w:rStyle w:val="Hyperlink"/>
                <w:noProof/>
              </w:rPr>
              <w:t>1.7 Significance of the Study</w:t>
            </w:r>
            <w:r>
              <w:rPr>
                <w:noProof/>
                <w:webHidden/>
              </w:rPr>
              <w:tab/>
            </w:r>
            <w:r>
              <w:rPr>
                <w:noProof/>
                <w:webHidden/>
              </w:rPr>
              <w:fldChar w:fldCharType="begin"/>
            </w:r>
            <w:r>
              <w:rPr>
                <w:noProof/>
                <w:webHidden/>
              </w:rPr>
              <w:instrText xml:space="preserve"> PAGEREF _Toc240715235 \h </w:instrText>
            </w:r>
            <w:r>
              <w:rPr>
                <w:noProof/>
                <w:webHidden/>
              </w:rPr>
            </w:r>
            <w:r>
              <w:rPr>
                <w:noProof/>
                <w:webHidden/>
              </w:rPr>
              <w:fldChar w:fldCharType="separate"/>
            </w:r>
            <w:r w:rsidR="00B916F6">
              <w:rPr>
                <w:noProof/>
                <w:webHidden/>
              </w:rPr>
              <w:t>14</w:t>
            </w:r>
            <w:r>
              <w:rPr>
                <w:noProof/>
                <w:webHidden/>
              </w:rPr>
              <w:fldChar w:fldCharType="end"/>
            </w:r>
          </w:hyperlink>
        </w:p>
        <w:p w14:paraId="0BC4C3C4" w14:textId="12FB2EAC"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36" w:history="1">
            <w:r w:rsidRPr="00CF2850">
              <w:rPr>
                <w:rStyle w:val="Hyperlink"/>
                <w:noProof/>
              </w:rPr>
              <w:t>1.8 Structure of the Dissertation</w:t>
            </w:r>
            <w:r>
              <w:rPr>
                <w:noProof/>
                <w:webHidden/>
              </w:rPr>
              <w:tab/>
            </w:r>
            <w:r>
              <w:rPr>
                <w:noProof/>
                <w:webHidden/>
              </w:rPr>
              <w:fldChar w:fldCharType="begin"/>
            </w:r>
            <w:r>
              <w:rPr>
                <w:noProof/>
                <w:webHidden/>
              </w:rPr>
              <w:instrText xml:space="preserve"> PAGEREF _Toc240715236 \h </w:instrText>
            </w:r>
            <w:r>
              <w:rPr>
                <w:noProof/>
                <w:webHidden/>
              </w:rPr>
            </w:r>
            <w:r>
              <w:rPr>
                <w:noProof/>
                <w:webHidden/>
              </w:rPr>
              <w:fldChar w:fldCharType="separate"/>
            </w:r>
            <w:r w:rsidR="00B916F6">
              <w:rPr>
                <w:noProof/>
                <w:webHidden/>
              </w:rPr>
              <w:t>15</w:t>
            </w:r>
            <w:r>
              <w:rPr>
                <w:noProof/>
                <w:webHidden/>
              </w:rPr>
              <w:fldChar w:fldCharType="end"/>
            </w:r>
          </w:hyperlink>
        </w:p>
        <w:p w14:paraId="1696E171" w14:textId="5F601D02" w:rsidR="008B74D1" w:rsidRDefault="008B74D1">
          <w:pPr>
            <w:pStyle w:val="TOC1"/>
            <w:tabs>
              <w:tab w:val="right" w:pos="9019"/>
            </w:tabs>
            <w:rPr>
              <w:rFonts w:asciiTheme="minorHAnsi" w:eastAsiaTheme="minorEastAsia" w:hAnsiTheme="minorHAnsi" w:cstheme="minorBidi"/>
              <w:noProof/>
              <w:kern w:val="2"/>
              <w:lang w:val="en-IN" w:eastAsia="en-IN"/>
              <w14:ligatures w14:val="standardContextual"/>
            </w:rPr>
          </w:pPr>
          <w:hyperlink w:anchor="_Toc240715237" w:history="1">
            <w:r w:rsidRPr="00CF2850">
              <w:rPr>
                <w:rStyle w:val="Hyperlink"/>
                <w:noProof/>
              </w:rPr>
              <w:t>Chapter 2: Literature Review</w:t>
            </w:r>
            <w:r>
              <w:rPr>
                <w:noProof/>
                <w:webHidden/>
              </w:rPr>
              <w:tab/>
            </w:r>
            <w:r>
              <w:rPr>
                <w:noProof/>
                <w:webHidden/>
              </w:rPr>
              <w:fldChar w:fldCharType="begin"/>
            </w:r>
            <w:r>
              <w:rPr>
                <w:noProof/>
                <w:webHidden/>
              </w:rPr>
              <w:instrText xml:space="preserve"> PAGEREF _Toc240715237 \h </w:instrText>
            </w:r>
            <w:r>
              <w:rPr>
                <w:noProof/>
                <w:webHidden/>
              </w:rPr>
            </w:r>
            <w:r>
              <w:rPr>
                <w:noProof/>
                <w:webHidden/>
              </w:rPr>
              <w:fldChar w:fldCharType="separate"/>
            </w:r>
            <w:r w:rsidR="00B916F6">
              <w:rPr>
                <w:noProof/>
                <w:webHidden/>
              </w:rPr>
              <w:t>16</w:t>
            </w:r>
            <w:r>
              <w:rPr>
                <w:noProof/>
                <w:webHidden/>
              </w:rPr>
              <w:fldChar w:fldCharType="end"/>
            </w:r>
          </w:hyperlink>
        </w:p>
        <w:p w14:paraId="3553581C" w14:textId="602A110B"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38" w:history="1">
            <w:r w:rsidRPr="00CF2850">
              <w:rPr>
                <w:rStyle w:val="Hyperlink"/>
                <w:noProof/>
              </w:rPr>
              <w:t>2.1 Introduction</w:t>
            </w:r>
            <w:r>
              <w:rPr>
                <w:noProof/>
                <w:webHidden/>
              </w:rPr>
              <w:tab/>
            </w:r>
            <w:r>
              <w:rPr>
                <w:noProof/>
                <w:webHidden/>
              </w:rPr>
              <w:fldChar w:fldCharType="begin"/>
            </w:r>
            <w:r>
              <w:rPr>
                <w:noProof/>
                <w:webHidden/>
              </w:rPr>
              <w:instrText xml:space="preserve"> PAGEREF _Toc240715238 \h </w:instrText>
            </w:r>
            <w:r>
              <w:rPr>
                <w:noProof/>
                <w:webHidden/>
              </w:rPr>
            </w:r>
            <w:r>
              <w:rPr>
                <w:noProof/>
                <w:webHidden/>
              </w:rPr>
              <w:fldChar w:fldCharType="separate"/>
            </w:r>
            <w:r w:rsidR="00B916F6">
              <w:rPr>
                <w:noProof/>
                <w:webHidden/>
              </w:rPr>
              <w:t>16</w:t>
            </w:r>
            <w:r>
              <w:rPr>
                <w:noProof/>
                <w:webHidden/>
              </w:rPr>
              <w:fldChar w:fldCharType="end"/>
            </w:r>
          </w:hyperlink>
        </w:p>
        <w:p w14:paraId="5967FC84" w14:textId="5F0C5661"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39" w:history="1">
            <w:r w:rsidRPr="00CF2850">
              <w:rPr>
                <w:rStyle w:val="Hyperlink"/>
                <w:noProof/>
              </w:rPr>
              <w:t>2.2 Empirical Studies</w:t>
            </w:r>
            <w:r>
              <w:rPr>
                <w:noProof/>
                <w:webHidden/>
              </w:rPr>
              <w:tab/>
            </w:r>
            <w:r>
              <w:rPr>
                <w:noProof/>
                <w:webHidden/>
              </w:rPr>
              <w:fldChar w:fldCharType="begin"/>
            </w:r>
            <w:r>
              <w:rPr>
                <w:noProof/>
                <w:webHidden/>
              </w:rPr>
              <w:instrText xml:space="preserve"> PAGEREF _Toc240715239 \h </w:instrText>
            </w:r>
            <w:r>
              <w:rPr>
                <w:noProof/>
                <w:webHidden/>
              </w:rPr>
            </w:r>
            <w:r>
              <w:rPr>
                <w:noProof/>
                <w:webHidden/>
              </w:rPr>
              <w:fldChar w:fldCharType="separate"/>
            </w:r>
            <w:r w:rsidR="00B916F6">
              <w:rPr>
                <w:noProof/>
                <w:webHidden/>
              </w:rPr>
              <w:t>16</w:t>
            </w:r>
            <w:r>
              <w:rPr>
                <w:noProof/>
                <w:webHidden/>
              </w:rPr>
              <w:fldChar w:fldCharType="end"/>
            </w:r>
          </w:hyperlink>
        </w:p>
        <w:p w14:paraId="054F45B3" w14:textId="5B157BAF"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40" w:history="1">
            <w:r w:rsidRPr="00CF2850">
              <w:rPr>
                <w:rStyle w:val="Hyperlink"/>
                <w:noProof/>
              </w:rPr>
              <w:t>2.3 Theoretical Framework</w:t>
            </w:r>
            <w:r>
              <w:rPr>
                <w:noProof/>
                <w:webHidden/>
              </w:rPr>
              <w:tab/>
            </w:r>
            <w:r>
              <w:rPr>
                <w:noProof/>
                <w:webHidden/>
              </w:rPr>
              <w:fldChar w:fldCharType="begin"/>
            </w:r>
            <w:r>
              <w:rPr>
                <w:noProof/>
                <w:webHidden/>
              </w:rPr>
              <w:instrText xml:space="preserve"> PAGEREF _Toc240715240 \h </w:instrText>
            </w:r>
            <w:r>
              <w:rPr>
                <w:noProof/>
                <w:webHidden/>
              </w:rPr>
            </w:r>
            <w:r>
              <w:rPr>
                <w:noProof/>
                <w:webHidden/>
              </w:rPr>
              <w:fldChar w:fldCharType="separate"/>
            </w:r>
            <w:r w:rsidR="00B916F6">
              <w:rPr>
                <w:noProof/>
                <w:webHidden/>
              </w:rPr>
              <w:t>30</w:t>
            </w:r>
            <w:r>
              <w:rPr>
                <w:noProof/>
                <w:webHidden/>
              </w:rPr>
              <w:fldChar w:fldCharType="end"/>
            </w:r>
          </w:hyperlink>
        </w:p>
        <w:p w14:paraId="4D318D2A" w14:textId="335A773F"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41" w:history="1">
            <w:r w:rsidRPr="00CF2850">
              <w:rPr>
                <w:rStyle w:val="Hyperlink"/>
                <w:noProof/>
              </w:rPr>
              <w:t>2.4 Conceptual Framework</w:t>
            </w:r>
            <w:r>
              <w:rPr>
                <w:noProof/>
                <w:webHidden/>
              </w:rPr>
              <w:tab/>
            </w:r>
            <w:r>
              <w:rPr>
                <w:noProof/>
                <w:webHidden/>
              </w:rPr>
              <w:fldChar w:fldCharType="begin"/>
            </w:r>
            <w:r>
              <w:rPr>
                <w:noProof/>
                <w:webHidden/>
              </w:rPr>
              <w:instrText xml:space="preserve"> PAGEREF _Toc240715241 \h </w:instrText>
            </w:r>
            <w:r>
              <w:rPr>
                <w:noProof/>
                <w:webHidden/>
              </w:rPr>
            </w:r>
            <w:r>
              <w:rPr>
                <w:noProof/>
                <w:webHidden/>
              </w:rPr>
              <w:fldChar w:fldCharType="separate"/>
            </w:r>
            <w:r w:rsidR="00B916F6">
              <w:rPr>
                <w:noProof/>
                <w:webHidden/>
              </w:rPr>
              <w:t>32</w:t>
            </w:r>
            <w:r>
              <w:rPr>
                <w:noProof/>
                <w:webHidden/>
              </w:rPr>
              <w:fldChar w:fldCharType="end"/>
            </w:r>
          </w:hyperlink>
        </w:p>
        <w:p w14:paraId="01015363" w14:textId="3D771F55"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42" w:history="1">
            <w:r w:rsidRPr="00CF2850">
              <w:rPr>
                <w:rStyle w:val="Hyperlink"/>
                <w:noProof/>
              </w:rPr>
              <w:t>2.5 Literature Gap</w:t>
            </w:r>
            <w:r>
              <w:rPr>
                <w:noProof/>
                <w:webHidden/>
              </w:rPr>
              <w:tab/>
            </w:r>
            <w:r>
              <w:rPr>
                <w:noProof/>
                <w:webHidden/>
              </w:rPr>
              <w:fldChar w:fldCharType="begin"/>
            </w:r>
            <w:r>
              <w:rPr>
                <w:noProof/>
                <w:webHidden/>
              </w:rPr>
              <w:instrText xml:space="preserve"> PAGEREF _Toc240715242 \h </w:instrText>
            </w:r>
            <w:r>
              <w:rPr>
                <w:noProof/>
                <w:webHidden/>
              </w:rPr>
            </w:r>
            <w:r>
              <w:rPr>
                <w:noProof/>
                <w:webHidden/>
              </w:rPr>
              <w:fldChar w:fldCharType="separate"/>
            </w:r>
            <w:r w:rsidR="00B916F6">
              <w:rPr>
                <w:noProof/>
                <w:webHidden/>
              </w:rPr>
              <w:t>32</w:t>
            </w:r>
            <w:r>
              <w:rPr>
                <w:noProof/>
                <w:webHidden/>
              </w:rPr>
              <w:fldChar w:fldCharType="end"/>
            </w:r>
          </w:hyperlink>
        </w:p>
        <w:p w14:paraId="2AE8A940" w14:textId="5D452FF9"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43" w:history="1">
            <w:r w:rsidRPr="00CF2850">
              <w:rPr>
                <w:rStyle w:val="Hyperlink"/>
                <w:noProof/>
              </w:rPr>
              <w:t>2.6 Chapter Summary</w:t>
            </w:r>
            <w:r>
              <w:rPr>
                <w:noProof/>
                <w:webHidden/>
              </w:rPr>
              <w:tab/>
            </w:r>
            <w:r>
              <w:rPr>
                <w:noProof/>
                <w:webHidden/>
              </w:rPr>
              <w:fldChar w:fldCharType="begin"/>
            </w:r>
            <w:r>
              <w:rPr>
                <w:noProof/>
                <w:webHidden/>
              </w:rPr>
              <w:instrText xml:space="preserve"> PAGEREF _Toc240715243 \h </w:instrText>
            </w:r>
            <w:r>
              <w:rPr>
                <w:noProof/>
                <w:webHidden/>
              </w:rPr>
            </w:r>
            <w:r>
              <w:rPr>
                <w:noProof/>
                <w:webHidden/>
              </w:rPr>
              <w:fldChar w:fldCharType="separate"/>
            </w:r>
            <w:r w:rsidR="00B916F6">
              <w:rPr>
                <w:noProof/>
                <w:webHidden/>
              </w:rPr>
              <w:t>33</w:t>
            </w:r>
            <w:r>
              <w:rPr>
                <w:noProof/>
                <w:webHidden/>
              </w:rPr>
              <w:fldChar w:fldCharType="end"/>
            </w:r>
          </w:hyperlink>
        </w:p>
        <w:p w14:paraId="3AB1BD24" w14:textId="2BBB838B" w:rsidR="008B74D1" w:rsidRDefault="008B74D1">
          <w:pPr>
            <w:pStyle w:val="TOC1"/>
            <w:tabs>
              <w:tab w:val="right" w:pos="9019"/>
            </w:tabs>
            <w:rPr>
              <w:rFonts w:asciiTheme="minorHAnsi" w:eastAsiaTheme="minorEastAsia" w:hAnsiTheme="minorHAnsi" w:cstheme="minorBidi"/>
              <w:noProof/>
              <w:kern w:val="2"/>
              <w:lang w:val="en-IN" w:eastAsia="en-IN"/>
              <w14:ligatures w14:val="standardContextual"/>
            </w:rPr>
          </w:pPr>
          <w:hyperlink w:anchor="_Toc240715244" w:history="1">
            <w:r w:rsidRPr="00CF2850">
              <w:rPr>
                <w:rStyle w:val="Hyperlink"/>
                <w:noProof/>
              </w:rPr>
              <w:t>Chapter 3: Methodology</w:t>
            </w:r>
            <w:r>
              <w:rPr>
                <w:noProof/>
                <w:webHidden/>
              </w:rPr>
              <w:tab/>
            </w:r>
            <w:r>
              <w:rPr>
                <w:noProof/>
                <w:webHidden/>
              </w:rPr>
              <w:fldChar w:fldCharType="begin"/>
            </w:r>
            <w:r>
              <w:rPr>
                <w:noProof/>
                <w:webHidden/>
              </w:rPr>
              <w:instrText xml:space="preserve"> PAGEREF _Toc240715244 \h </w:instrText>
            </w:r>
            <w:r>
              <w:rPr>
                <w:noProof/>
                <w:webHidden/>
              </w:rPr>
            </w:r>
            <w:r>
              <w:rPr>
                <w:noProof/>
                <w:webHidden/>
              </w:rPr>
              <w:fldChar w:fldCharType="separate"/>
            </w:r>
            <w:r w:rsidR="00B916F6">
              <w:rPr>
                <w:noProof/>
                <w:webHidden/>
              </w:rPr>
              <w:t>34</w:t>
            </w:r>
            <w:r>
              <w:rPr>
                <w:noProof/>
                <w:webHidden/>
              </w:rPr>
              <w:fldChar w:fldCharType="end"/>
            </w:r>
          </w:hyperlink>
        </w:p>
        <w:p w14:paraId="4FB1D898" w14:textId="021688B8"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45" w:history="1">
            <w:r w:rsidRPr="00CF2850">
              <w:rPr>
                <w:rStyle w:val="Hyperlink"/>
                <w:noProof/>
              </w:rPr>
              <w:t>3.1 Introduction</w:t>
            </w:r>
            <w:r>
              <w:rPr>
                <w:noProof/>
                <w:webHidden/>
              </w:rPr>
              <w:tab/>
            </w:r>
            <w:r>
              <w:rPr>
                <w:noProof/>
                <w:webHidden/>
              </w:rPr>
              <w:fldChar w:fldCharType="begin"/>
            </w:r>
            <w:r>
              <w:rPr>
                <w:noProof/>
                <w:webHidden/>
              </w:rPr>
              <w:instrText xml:space="preserve"> PAGEREF _Toc240715245 \h </w:instrText>
            </w:r>
            <w:r>
              <w:rPr>
                <w:noProof/>
                <w:webHidden/>
              </w:rPr>
            </w:r>
            <w:r>
              <w:rPr>
                <w:noProof/>
                <w:webHidden/>
              </w:rPr>
              <w:fldChar w:fldCharType="separate"/>
            </w:r>
            <w:r w:rsidR="00B916F6">
              <w:rPr>
                <w:noProof/>
                <w:webHidden/>
              </w:rPr>
              <w:t>34</w:t>
            </w:r>
            <w:r>
              <w:rPr>
                <w:noProof/>
                <w:webHidden/>
              </w:rPr>
              <w:fldChar w:fldCharType="end"/>
            </w:r>
          </w:hyperlink>
        </w:p>
        <w:p w14:paraId="74CF1E86" w14:textId="136B5E82"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46" w:history="1">
            <w:r w:rsidRPr="00CF2850">
              <w:rPr>
                <w:rStyle w:val="Hyperlink"/>
                <w:noProof/>
              </w:rPr>
              <w:t>3.2 Research Philosophy</w:t>
            </w:r>
            <w:r>
              <w:rPr>
                <w:noProof/>
                <w:webHidden/>
              </w:rPr>
              <w:tab/>
            </w:r>
            <w:r>
              <w:rPr>
                <w:noProof/>
                <w:webHidden/>
              </w:rPr>
              <w:fldChar w:fldCharType="begin"/>
            </w:r>
            <w:r>
              <w:rPr>
                <w:noProof/>
                <w:webHidden/>
              </w:rPr>
              <w:instrText xml:space="preserve"> PAGEREF _Toc240715246 \h </w:instrText>
            </w:r>
            <w:r>
              <w:rPr>
                <w:noProof/>
                <w:webHidden/>
              </w:rPr>
            </w:r>
            <w:r>
              <w:rPr>
                <w:noProof/>
                <w:webHidden/>
              </w:rPr>
              <w:fldChar w:fldCharType="separate"/>
            </w:r>
            <w:r w:rsidR="00B916F6">
              <w:rPr>
                <w:noProof/>
                <w:webHidden/>
              </w:rPr>
              <w:t>34</w:t>
            </w:r>
            <w:r>
              <w:rPr>
                <w:noProof/>
                <w:webHidden/>
              </w:rPr>
              <w:fldChar w:fldCharType="end"/>
            </w:r>
          </w:hyperlink>
        </w:p>
        <w:p w14:paraId="48D2FCAE" w14:textId="4CBD6C68"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47" w:history="1">
            <w:r w:rsidRPr="00CF2850">
              <w:rPr>
                <w:rStyle w:val="Hyperlink"/>
                <w:noProof/>
              </w:rPr>
              <w:t>3.3 Research Approach</w:t>
            </w:r>
            <w:r>
              <w:rPr>
                <w:noProof/>
                <w:webHidden/>
              </w:rPr>
              <w:tab/>
            </w:r>
            <w:r>
              <w:rPr>
                <w:noProof/>
                <w:webHidden/>
              </w:rPr>
              <w:fldChar w:fldCharType="begin"/>
            </w:r>
            <w:r>
              <w:rPr>
                <w:noProof/>
                <w:webHidden/>
              </w:rPr>
              <w:instrText xml:space="preserve"> PAGEREF _Toc240715247 \h </w:instrText>
            </w:r>
            <w:r>
              <w:rPr>
                <w:noProof/>
                <w:webHidden/>
              </w:rPr>
            </w:r>
            <w:r>
              <w:rPr>
                <w:noProof/>
                <w:webHidden/>
              </w:rPr>
              <w:fldChar w:fldCharType="separate"/>
            </w:r>
            <w:r w:rsidR="00B916F6">
              <w:rPr>
                <w:noProof/>
                <w:webHidden/>
              </w:rPr>
              <w:t>35</w:t>
            </w:r>
            <w:r>
              <w:rPr>
                <w:noProof/>
                <w:webHidden/>
              </w:rPr>
              <w:fldChar w:fldCharType="end"/>
            </w:r>
          </w:hyperlink>
        </w:p>
        <w:p w14:paraId="61347EBE" w14:textId="54F804C8"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48" w:history="1">
            <w:r w:rsidRPr="00CF2850">
              <w:rPr>
                <w:rStyle w:val="Hyperlink"/>
                <w:noProof/>
              </w:rPr>
              <w:t>3.4 Research Method</w:t>
            </w:r>
            <w:r>
              <w:rPr>
                <w:noProof/>
                <w:webHidden/>
              </w:rPr>
              <w:tab/>
            </w:r>
            <w:r>
              <w:rPr>
                <w:noProof/>
                <w:webHidden/>
              </w:rPr>
              <w:fldChar w:fldCharType="begin"/>
            </w:r>
            <w:r>
              <w:rPr>
                <w:noProof/>
                <w:webHidden/>
              </w:rPr>
              <w:instrText xml:space="preserve"> PAGEREF _Toc240715248 \h </w:instrText>
            </w:r>
            <w:r>
              <w:rPr>
                <w:noProof/>
                <w:webHidden/>
              </w:rPr>
            </w:r>
            <w:r>
              <w:rPr>
                <w:noProof/>
                <w:webHidden/>
              </w:rPr>
              <w:fldChar w:fldCharType="separate"/>
            </w:r>
            <w:r w:rsidR="00B916F6">
              <w:rPr>
                <w:noProof/>
                <w:webHidden/>
              </w:rPr>
              <w:t>35</w:t>
            </w:r>
            <w:r>
              <w:rPr>
                <w:noProof/>
                <w:webHidden/>
              </w:rPr>
              <w:fldChar w:fldCharType="end"/>
            </w:r>
          </w:hyperlink>
        </w:p>
        <w:p w14:paraId="35EF2F91" w14:textId="5BC699D5"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49" w:history="1">
            <w:r w:rsidRPr="00CF2850">
              <w:rPr>
                <w:rStyle w:val="Hyperlink"/>
                <w:noProof/>
              </w:rPr>
              <w:t>3.5 Research Design</w:t>
            </w:r>
            <w:r>
              <w:rPr>
                <w:noProof/>
                <w:webHidden/>
              </w:rPr>
              <w:tab/>
            </w:r>
            <w:r>
              <w:rPr>
                <w:noProof/>
                <w:webHidden/>
              </w:rPr>
              <w:fldChar w:fldCharType="begin"/>
            </w:r>
            <w:r>
              <w:rPr>
                <w:noProof/>
                <w:webHidden/>
              </w:rPr>
              <w:instrText xml:space="preserve"> PAGEREF _Toc240715249 \h </w:instrText>
            </w:r>
            <w:r>
              <w:rPr>
                <w:noProof/>
                <w:webHidden/>
              </w:rPr>
            </w:r>
            <w:r>
              <w:rPr>
                <w:noProof/>
                <w:webHidden/>
              </w:rPr>
              <w:fldChar w:fldCharType="separate"/>
            </w:r>
            <w:r w:rsidR="00B916F6">
              <w:rPr>
                <w:noProof/>
                <w:webHidden/>
              </w:rPr>
              <w:t>36</w:t>
            </w:r>
            <w:r>
              <w:rPr>
                <w:noProof/>
                <w:webHidden/>
              </w:rPr>
              <w:fldChar w:fldCharType="end"/>
            </w:r>
          </w:hyperlink>
        </w:p>
        <w:p w14:paraId="3400A0C6" w14:textId="56594430"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50" w:history="1">
            <w:r w:rsidRPr="00CF2850">
              <w:rPr>
                <w:rStyle w:val="Hyperlink"/>
                <w:noProof/>
              </w:rPr>
              <w:t>3.5.1 Significance of Research Design</w:t>
            </w:r>
            <w:r>
              <w:rPr>
                <w:noProof/>
                <w:webHidden/>
              </w:rPr>
              <w:tab/>
            </w:r>
            <w:r>
              <w:rPr>
                <w:noProof/>
                <w:webHidden/>
              </w:rPr>
              <w:fldChar w:fldCharType="begin"/>
            </w:r>
            <w:r>
              <w:rPr>
                <w:noProof/>
                <w:webHidden/>
              </w:rPr>
              <w:instrText xml:space="preserve"> PAGEREF _Toc240715250 \h </w:instrText>
            </w:r>
            <w:r>
              <w:rPr>
                <w:noProof/>
                <w:webHidden/>
              </w:rPr>
            </w:r>
            <w:r>
              <w:rPr>
                <w:noProof/>
                <w:webHidden/>
              </w:rPr>
              <w:fldChar w:fldCharType="separate"/>
            </w:r>
            <w:r w:rsidR="00B916F6">
              <w:rPr>
                <w:noProof/>
                <w:webHidden/>
              </w:rPr>
              <w:t>36</w:t>
            </w:r>
            <w:r>
              <w:rPr>
                <w:noProof/>
                <w:webHidden/>
              </w:rPr>
              <w:fldChar w:fldCharType="end"/>
            </w:r>
          </w:hyperlink>
        </w:p>
        <w:p w14:paraId="17249044" w14:textId="409B2307"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51" w:history="1">
            <w:r w:rsidRPr="00CF2850">
              <w:rPr>
                <w:rStyle w:val="Hyperlink"/>
                <w:noProof/>
              </w:rPr>
              <w:t>3.6 Research Strategy</w:t>
            </w:r>
            <w:r>
              <w:rPr>
                <w:noProof/>
                <w:webHidden/>
              </w:rPr>
              <w:tab/>
            </w:r>
            <w:r>
              <w:rPr>
                <w:noProof/>
                <w:webHidden/>
              </w:rPr>
              <w:fldChar w:fldCharType="begin"/>
            </w:r>
            <w:r>
              <w:rPr>
                <w:noProof/>
                <w:webHidden/>
              </w:rPr>
              <w:instrText xml:space="preserve"> PAGEREF _Toc240715251 \h </w:instrText>
            </w:r>
            <w:r>
              <w:rPr>
                <w:noProof/>
                <w:webHidden/>
              </w:rPr>
            </w:r>
            <w:r>
              <w:rPr>
                <w:noProof/>
                <w:webHidden/>
              </w:rPr>
              <w:fldChar w:fldCharType="separate"/>
            </w:r>
            <w:r w:rsidR="00B916F6">
              <w:rPr>
                <w:noProof/>
                <w:webHidden/>
              </w:rPr>
              <w:t>36</w:t>
            </w:r>
            <w:r>
              <w:rPr>
                <w:noProof/>
                <w:webHidden/>
              </w:rPr>
              <w:fldChar w:fldCharType="end"/>
            </w:r>
          </w:hyperlink>
        </w:p>
        <w:p w14:paraId="70BF4D5A" w14:textId="6DFEE913"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52" w:history="1">
            <w:r w:rsidRPr="00CF2850">
              <w:rPr>
                <w:rStyle w:val="Hyperlink"/>
                <w:noProof/>
              </w:rPr>
              <w:t>3.7 Data Collection Method</w:t>
            </w:r>
            <w:r>
              <w:rPr>
                <w:noProof/>
                <w:webHidden/>
              </w:rPr>
              <w:tab/>
            </w:r>
            <w:r>
              <w:rPr>
                <w:noProof/>
                <w:webHidden/>
              </w:rPr>
              <w:fldChar w:fldCharType="begin"/>
            </w:r>
            <w:r>
              <w:rPr>
                <w:noProof/>
                <w:webHidden/>
              </w:rPr>
              <w:instrText xml:space="preserve"> PAGEREF _Toc240715252 \h </w:instrText>
            </w:r>
            <w:r>
              <w:rPr>
                <w:noProof/>
                <w:webHidden/>
              </w:rPr>
            </w:r>
            <w:r>
              <w:rPr>
                <w:noProof/>
                <w:webHidden/>
              </w:rPr>
              <w:fldChar w:fldCharType="separate"/>
            </w:r>
            <w:r w:rsidR="00B916F6">
              <w:rPr>
                <w:noProof/>
                <w:webHidden/>
              </w:rPr>
              <w:t>37</w:t>
            </w:r>
            <w:r>
              <w:rPr>
                <w:noProof/>
                <w:webHidden/>
              </w:rPr>
              <w:fldChar w:fldCharType="end"/>
            </w:r>
          </w:hyperlink>
        </w:p>
        <w:p w14:paraId="76076EED" w14:textId="36D7A527"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53" w:history="1">
            <w:r w:rsidRPr="00CF2850">
              <w:rPr>
                <w:rStyle w:val="Hyperlink"/>
                <w:noProof/>
              </w:rPr>
              <w:t>3.7.1 Significance of Data Collection</w:t>
            </w:r>
            <w:r>
              <w:rPr>
                <w:noProof/>
                <w:webHidden/>
              </w:rPr>
              <w:tab/>
            </w:r>
            <w:r>
              <w:rPr>
                <w:noProof/>
                <w:webHidden/>
              </w:rPr>
              <w:fldChar w:fldCharType="begin"/>
            </w:r>
            <w:r>
              <w:rPr>
                <w:noProof/>
                <w:webHidden/>
              </w:rPr>
              <w:instrText xml:space="preserve"> PAGEREF _Toc240715253 \h </w:instrText>
            </w:r>
            <w:r>
              <w:rPr>
                <w:noProof/>
                <w:webHidden/>
              </w:rPr>
            </w:r>
            <w:r>
              <w:rPr>
                <w:noProof/>
                <w:webHidden/>
              </w:rPr>
              <w:fldChar w:fldCharType="separate"/>
            </w:r>
            <w:r w:rsidR="00B916F6">
              <w:rPr>
                <w:noProof/>
                <w:webHidden/>
              </w:rPr>
              <w:t>37</w:t>
            </w:r>
            <w:r>
              <w:rPr>
                <w:noProof/>
                <w:webHidden/>
              </w:rPr>
              <w:fldChar w:fldCharType="end"/>
            </w:r>
          </w:hyperlink>
        </w:p>
        <w:p w14:paraId="16377668" w14:textId="207F9563"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54" w:history="1">
            <w:r w:rsidRPr="00CF2850">
              <w:rPr>
                <w:rStyle w:val="Hyperlink"/>
                <w:noProof/>
              </w:rPr>
              <w:t>3.8 Sampling Strategy</w:t>
            </w:r>
            <w:r>
              <w:rPr>
                <w:noProof/>
                <w:webHidden/>
              </w:rPr>
              <w:tab/>
            </w:r>
            <w:r>
              <w:rPr>
                <w:noProof/>
                <w:webHidden/>
              </w:rPr>
              <w:fldChar w:fldCharType="begin"/>
            </w:r>
            <w:r>
              <w:rPr>
                <w:noProof/>
                <w:webHidden/>
              </w:rPr>
              <w:instrText xml:space="preserve"> PAGEREF _Toc240715254 \h </w:instrText>
            </w:r>
            <w:r>
              <w:rPr>
                <w:noProof/>
                <w:webHidden/>
              </w:rPr>
            </w:r>
            <w:r>
              <w:rPr>
                <w:noProof/>
                <w:webHidden/>
              </w:rPr>
              <w:fldChar w:fldCharType="separate"/>
            </w:r>
            <w:r w:rsidR="00B916F6">
              <w:rPr>
                <w:noProof/>
                <w:webHidden/>
              </w:rPr>
              <w:t>38</w:t>
            </w:r>
            <w:r>
              <w:rPr>
                <w:noProof/>
                <w:webHidden/>
              </w:rPr>
              <w:fldChar w:fldCharType="end"/>
            </w:r>
          </w:hyperlink>
        </w:p>
        <w:p w14:paraId="68C63471" w14:textId="027CF7A6"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55" w:history="1">
            <w:r w:rsidRPr="00CF2850">
              <w:rPr>
                <w:rStyle w:val="Hyperlink"/>
                <w:noProof/>
              </w:rPr>
              <w:t>3.9 Data Analysis Method</w:t>
            </w:r>
            <w:r>
              <w:rPr>
                <w:noProof/>
                <w:webHidden/>
              </w:rPr>
              <w:tab/>
            </w:r>
            <w:r>
              <w:rPr>
                <w:noProof/>
                <w:webHidden/>
              </w:rPr>
              <w:fldChar w:fldCharType="begin"/>
            </w:r>
            <w:r>
              <w:rPr>
                <w:noProof/>
                <w:webHidden/>
              </w:rPr>
              <w:instrText xml:space="preserve"> PAGEREF _Toc240715255 \h </w:instrText>
            </w:r>
            <w:r>
              <w:rPr>
                <w:noProof/>
                <w:webHidden/>
              </w:rPr>
            </w:r>
            <w:r>
              <w:rPr>
                <w:noProof/>
                <w:webHidden/>
              </w:rPr>
              <w:fldChar w:fldCharType="separate"/>
            </w:r>
            <w:r w:rsidR="00B916F6">
              <w:rPr>
                <w:noProof/>
                <w:webHidden/>
              </w:rPr>
              <w:t>39</w:t>
            </w:r>
            <w:r>
              <w:rPr>
                <w:noProof/>
                <w:webHidden/>
              </w:rPr>
              <w:fldChar w:fldCharType="end"/>
            </w:r>
          </w:hyperlink>
        </w:p>
        <w:p w14:paraId="16D6C9E4" w14:textId="12D5A57E"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56" w:history="1">
            <w:r w:rsidRPr="00CF2850">
              <w:rPr>
                <w:rStyle w:val="Hyperlink"/>
                <w:noProof/>
              </w:rPr>
              <w:t>3.10 Time Horizon</w:t>
            </w:r>
            <w:r>
              <w:rPr>
                <w:noProof/>
                <w:webHidden/>
              </w:rPr>
              <w:tab/>
            </w:r>
            <w:r>
              <w:rPr>
                <w:noProof/>
                <w:webHidden/>
              </w:rPr>
              <w:fldChar w:fldCharType="begin"/>
            </w:r>
            <w:r>
              <w:rPr>
                <w:noProof/>
                <w:webHidden/>
              </w:rPr>
              <w:instrText xml:space="preserve"> PAGEREF _Toc240715256 \h </w:instrText>
            </w:r>
            <w:r>
              <w:rPr>
                <w:noProof/>
                <w:webHidden/>
              </w:rPr>
            </w:r>
            <w:r>
              <w:rPr>
                <w:noProof/>
                <w:webHidden/>
              </w:rPr>
              <w:fldChar w:fldCharType="separate"/>
            </w:r>
            <w:r w:rsidR="00B916F6">
              <w:rPr>
                <w:noProof/>
                <w:webHidden/>
              </w:rPr>
              <w:t>39</w:t>
            </w:r>
            <w:r>
              <w:rPr>
                <w:noProof/>
                <w:webHidden/>
              </w:rPr>
              <w:fldChar w:fldCharType="end"/>
            </w:r>
          </w:hyperlink>
        </w:p>
        <w:p w14:paraId="490BE673" w14:textId="45BEE63E"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57" w:history="1">
            <w:r w:rsidRPr="00CF2850">
              <w:rPr>
                <w:rStyle w:val="Hyperlink"/>
                <w:noProof/>
              </w:rPr>
              <w:t>3.11 Research Ethics</w:t>
            </w:r>
            <w:r>
              <w:rPr>
                <w:noProof/>
                <w:webHidden/>
              </w:rPr>
              <w:tab/>
            </w:r>
            <w:r>
              <w:rPr>
                <w:noProof/>
                <w:webHidden/>
              </w:rPr>
              <w:fldChar w:fldCharType="begin"/>
            </w:r>
            <w:r>
              <w:rPr>
                <w:noProof/>
                <w:webHidden/>
              </w:rPr>
              <w:instrText xml:space="preserve"> PAGEREF _Toc240715257 \h </w:instrText>
            </w:r>
            <w:r>
              <w:rPr>
                <w:noProof/>
                <w:webHidden/>
              </w:rPr>
            </w:r>
            <w:r>
              <w:rPr>
                <w:noProof/>
                <w:webHidden/>
              </w:rPr>
              <w:fldChar w:fldCharType="separate"/>
            </w:r>
            <w:r w:rsidR="00B916F6">
              <w:rPr>
                <w:noProof/>
                <w:webHidden/>
              </w:rPr>
              <w:t>40</w:t>
            </w:r>
            <w:r>
              <w:rPr>
                <w:noProof/>
                <w:webHidden/>
              </w:rPr>
              <w:fldChar w:fldCharType="end"/>
            </w:r>
          </w:hyperlink>
        </w:p>
        <w:p w14:paraId="6894B393" w14:textId="28B67AA3"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58" w:history="1">
            <w:r w:rsidRPr="00CF2850">
              <w:rPr>
                <w:rStyle w:val="Hyperlink"/>
                <w:noProof/>
              </w:rPr>
              <w:t>3.12 Methodology Limitations</w:t>
            </w:r>
            <w:r>
              <w:rPr>
                <w:noProof/>
                <w:webHidden/>
              </w:rPr>
              <w:tab/>
            </w:r>
            <w:r>
              <w:rPr>
                <w:noProof/>
                <w:webHidden/>
              </w:rPr>
              <w:fldChar w:fldCharType="begin"/>
            </w:r>
            <w:r>
              <w:rPr>
                <w:noProof/>
                <w:webHidden/>
              </w:rPr>
              <w:instrText xml:space="preserve"> PAGEREF _Toc240715258 \h </w:instrText>
            </w:r>
            <w:r>
              <w:rPr>
                <w:noProof/>
                <w:webHidden/>
              </w:rPr>
            </w:r>
            <w:r>
              <w:rPr>
                <w:noProof/>
                <w:webHidden/>
              </w:rPr>
              <w:fldChar w:fldCharType="separate"/>
            </w:r>
            <w:r w:rsidR="00B916F6">
              <w:rPr>
                <w:noProof/>
                <w:webHidden/>
              </w:rPr>
              <w:t>41</w:t>
            </w:r>
            <w:r>
              <w:rPr>
                <w:noProof/>
                <w:webHidden/>
              </w:rPr>
              <w:fldChar w:fldCharType="end"/>
            </w:r>
          </w:hyperlink>
        </w:p>
        <w:p w14:paraId="2BB9FA87" w14:textId="381FC3C9"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59" w:history="1">
            <w:r w:rsidRPr="00CF2850">
              <w:rPr>
                <w:rStyle w:val="Hyperlink"/>
                <w:noProof/>
              </w:rPr>
              <w:t>3.13 Chapter Summary</w:t>
            </w:r>
            <w:r>
              <w:rPr>
                <w:noProof/>
                <w:webHidden/>
              </w:rPr>
              <w:tab/>
            </w:r>
            <w:r>
              <w:rPr>
                <w:noProof/>
                <w:webHidden/>
              </w:rPr>
              <w:fldChar w:fldCharType="begin"/>
            </w:r>
            <w:r>
              <w:rPr>
                <w:noProof/>
                <w:webHidden/>
              </w:rPr>
              <w:instrText xml:space="preserve"> PAGEREF _Toc240715259 \h </w:instrText>
            </w:r>
            <w:r>
              <w:rPr>
                <w:noProof/>
                <w:webHidden/>
              </w:rPr>
            </w:r>
            <w:r>
              <w:rPr>
                <w:noProof/>
                <w:webHidden/>
              </w:rPr>
              <w:fldChar w:fldCharType="separate"/>
            </w:r>
            <w:r w:rsidR="00B916F6">
              <w:rPr>
                <w:noProof/>
                <w:webHidden/>
              </w:rPr>
              <w:t>41</w:t>
            </w:r>
            <w:r>
              <w:rPr>
                <w:noProof/>
                <w:webHidden/>
              </w:rPr>
              <w:fldChar w:fldCharType="end"/>
            </w:r>
          </w:hyperlink>
        </w:p>
        <w:p w14:paraId="18CCC4A4" w14:textId="435D49AE" w:rsidR="008B74D1" w:rsidRDefault="008B74D1">
          <w:pPr>
            <w:pStyle w:val="TOC1"/>
            <w:tabs>
              <w:tab w:val="right" w:pos="9019"/>
            </w:tabs>
            <w:rPr>
              <w:rFonts w:asciiTheme="minorHAnsi" w:eastAsiaTheme="minorEastAsia" w:hAnsiTheme="minorHAnsi" w:cstheme="minorBidi"/>
              <w:noProof/>
              <w:kern w:val="2"/>
              <w:lang w:val="en-IN" w:eastAsia="en-IN"/>
              <w14:ligatures w14:val="standardContextual"/>
            </w:rPr>
          </w:pPr>
          <w:hyperlink w:anchor="_Toc240715260" w:history="1">
            <w:r w:rsidRPr="00CF2850">
              <w:rPr>
                <w:rStyle w:val="Hyperlink"/>
                <w:noProof/>
              </w:rPr>
              <w:t>Chapter 4: Findings and Analysis</w:t>
            </w:r>
            <w:r>
              <w:rPr>
                <w:noProof/>
                <w:webHidden/>
              </w:rPr>
              <w:tab/>
            </w:r>
            <w:r>
              <w:rPr>
                <w:noProof/>
                <w:webHidden/>
              </w:rPr>
              <w:fldChar w:fldCharType="begin"/>
            </w:r>
            <w:r>
              <w:rPr>
                <w:noProof/>
                <w:webHidden/>
              </w:rPr>
              <w:instrText xml:space="preserve"> PAGEREF _Toc240715260 \h </w:instrText>
            </w:r>
            <w:r>
              <w:rPr>
                <w:noProof/>
                <w:webHidden/>
              </w:rPr>
            </w:r>
            <w:r>
              <w:rPr>
                <w:noProof/>
                <w:webHidden/>
              </w:rPr>
              <w:fldChar w:fldCharType="separate"/>
            </w:r>
            <w:r w:rsidR="00B916F6">
              <w:rPr>
                <w:noProof/>
                <w:webHidden/>
              </w:rPr>
              <w:t>42</w:t>
            </w:r>
            <w:r>
              <w:rPr>
                <w:noProof/>
                <w:webHidden/>
              </w:rPr>
              <w:fldChar w:fldCharType="end"/>
            </w:r>
          </w:hyperlink>
        </w:p>
        <w:p w14:paraId="02A098E1" w14:textId="226610FE"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61" w:history="1">
            <w:r w:rsidRPr="00CF2850">
              <w:rPr>
                <w:rStyle w:val="Hyperlink"/>
                <w:noProof/>
              </w:rPr>
              <w:t>4.1 Introduction</w:t>
            </w:r>
            <w:r>
              <w:rPr>
                <w:noProof/>
                <w:webHidden/>
              </w:rPr>
              <w:tab/>
            </w:r>
            <w:r>
              <w:rPr>
                <w:noProof/>
                <w:webHidden/>
              </w:rPr>
              <w:fldChar w:fldCharType="begin"/>
            </w:r>
            <w:r>
              <w:rPr>
                <w:noProof/>
                <w:webHidden/>
              </w:rPr>
              <w:instrText xml:space="preserve"> PAGEREF _Toc240715261 \h </w:instrText>
            </w:r>
            <w:r>
              <w:rPr>
                <w:noProof/>
                <w:webHidden/>
              </w:rPr>
            </w:r>
            <w:r>
              <w:rPr>
                <w:noProof/>
                <w:webHidden/>
              </w:rPr>
              <w:fldChar w:fldCharType="separate"/>
            </w:r>
            <w:r w:rsidR="00B916F6">
              <w:rPr>
                <w:noProof/>
                <w:webHidden/>
              </w:rPr>
              <w:t>42</w:t>
            </w:r>
            <w:r>
              <w:rPr>
                <w:noProof/>
                <w:webHidden/>
              </w:rPr>
              <w:fldChar w:fldCharType="end"/>
            </w:r>
          </w:hyperlink>
        </w:p>
        <w:p w14:paraId="6615A649" w14:textId="3D6DE19D"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62" w:history="1">
            <w:r w:rsidRPr="00CF2850">
              <w:rPr>
                <w:rStyle w:val="Hyperlink"/>
                <w:noProof/>
              </w:rPr>
              <w:t>4.2 Overview of Findings and Thematic Analysis</w:t>
            </w:r>
            <w:r>
              <w:rPr>
                <w:noProof/>
                <w:webHidden/>
              </w:rPr>
              <w:tab/>
            </w:r>
            <w:r>
              <w:rPr>
                <w:noProof/>
                <w:webHidden/>
              </w:rPr>
              <w:fldChar w:fldCharType="begin"/>
            </w:r>
            <w:r>
              <w:rPr>
                <w:noProof/>
                <w:webHidden/>
              </w:rPr>
              <w:instrText xml:space="preserve"> PAGEREF _Toc240715262 \h </w:instrText>
            </w:r>
            <w:r>
              <w:rPr>
                <w:noProof/>
                <w:webHidden/>
              </w:rPr>
            </w:r>
            <w:r>
              <w:rPr>
                <w:noProof/>
                <w:webHidden/>
              </w:rPr>
              <w:fldChar w:fldCharType="separate"/>
            </w:r>
            <w:r w:rsidR="00B916F6">
              <w:rPr>
                <w:noProof/>
                <w:webHidden/>
              </w:rPr>
              <w:t>42</w:t>
            </w:r>
            <w:r>
              <w:rPr>
                <w:noProof/>
                <w:webHidden/>
              </w:rPr>
              <w:fldChar w:fldCharType="end"/>
            </w:r>
          </w:hyperlink>
        </w:p>
        <w:p w14:paraId="6799215A" w14:textId="0D50080F"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63" w:history="1">
            <w:r w:rsidRPr="00CF2850">
              <w:rPr>
                <w:rStyle w:val="Hyperlink"/>
                <w:noProof/>
              </w:rPr>
              <w:t>4.3 Theme 1: Environmental Practices and Foreign Investment Attraction</w:t>
            </w:r>
            <w:r>
              <w:rPr>
                <w:noProof/>
                <w:webHidden/>
              </w:rPr>
              <w:tab/>
            </w:r>
            <w:r>
              <w:rPr>
                <w:noProof/>
                <w:webHidden/>
              </w:rPr>
              <w:fldChar w:fldCharType="begin"/>
            </w:r>
            <w:r>
              <w:rPr>
                <w:noProof/>
                <w:webHidden/>
              </w:rPr>
              <w:instrText xml:space="preserve"> PAGEREF _Toc240715263 \h </w:instrText>
            </w:r>
            <w:r>
              <w:rPr>
                <w:noProof/>
                <w:webHidden/>
              </w:rPr>
            </w:r>
            <w:r>
              <w:rPr>
                <w:noProof/>
                <w:webHidden/>
              </w:rPr>
              <w:fldChar w:fldCharType="separate"/>
            </w:r>
            <w:r w:rsidR="00B916F6">
              <w:rPr>
                <w:noProof/>
                <w:webHidden/>
              </w:rPr>
              <w:t>44</w:t>
            </w:r>
            <w:r>
              <w:rPr>
                <w:noProof/>
                <w:webHidden/>
              </w:rPr>
              <w:fldChar w:fldCharType="end"/>
            </w:r>
          </w:hyperlink>
        </w:p>
        <w:p w14:paraId="78A15A93" w14:textId="4812082A"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64" w:history="1">
            <w:r w:rsidRPr="00CF2850">
              <w:rPr>
                <w:rStyle w:val="Hyperlink"/>
              </w:rPr>
              <w:t>4.3.1 Environmental Performance and Investment Attractiveness</w:t>
            </w:r>
            <w:r>
              <w:rPr>
                <w:webHidden/>
              </w:rPr>
              <w:tab/>
            </w:r>
            <w:r>
              <w:rPr>
                <w:webHidden/>
              </w:rPr>
              <w:fldChar w:fldCharType="begin"/>
            </w:r>
            <w:r>
              <w:rPr>
                <w:webHidden/>
              </w:rPr>
              <w:instrText xml:space="preserve"> PAGEREF _Toc240715264 \h </w:instrText>
            </w:r>
            <w:r>
              <w:rPr>
                <w:webHidden/>
              </w:rPr>
            </w:r>
            <w:r>
              <w:rPr>
                <w:webHidden/>
              </w:rPr>
              <w:fldChar w:fldCharType="separate"/>
            </w:r>
            <w:r w:rsidR="00B916F6">
              <w:rPr>
                <w:webHidden/>
              </w:rPr>
              <w:t>45</w:t>
            </w:r>
            <w:r>
              <w:rPr>
                <w:webHidden/>
              </w:rPr>
              <w:fldChar w:fldCharType="end"/>
            </w:r>
          </w:hyperlink>
        </w:p>
        <w:p w14:paraId="611CB448" w14:textId="3B41F584"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65" w:history="1">
            <w:r w:rsidRPr="00CF2850">
              <w:rPr>
                <w:rStyle w:val="Hyperlink"/>
              </w:rPr>
              <w:t>4.3.2 Critical Analysis of Findings and Relation to the Literature</w:t>
            </w:r>
            <w:r>
              <w:rPr>
                <w:webHidden/>
              </w:rPr>
              <w:tab/>
            </w:r>
            <w:r>
              <w:rPr>
                <w:webHidden/>
              </w:rPr>
              <w:fldChar w:fldCharType="begin"/>
            </w:r>
            <w:r>
              <w:rPr>
                <w:webHidden/>
              </w:rPr>
              <w:instrText xml:space="preserve"> PAGEREF _Toc240715265 \h </w:instrText>
            </w:r>
            <w:r>
              <w:rPr>
                <w:webHidden/>
              </w:rPr>
            </w:r>
            <w:r>
              <w:rPr>
                <w:webHidden/>
              </w:rPr>
              <w:fldChar w:fldCharType="separate"/>
            </w:r>
            <w:r w:rsidR="00B916F6">
              <w:rPr>
                <w:webHidden/>
              </w:rPr>
              <w:t>47</w:t>
            </w:r>
            <w:r>
              <w:rPr>
                <w:webHidden/>
              </w:rPr>
              <w:fldChar w:fldCharType="end"/>
            </w:r>
          </w:hyperlink>
        </w:p>
        <w:p w14:paraId="253D2A2A" w14:textId="709F84C5"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66" w:history="1">
            <w:r w:rsidRPr="00CF2850">
              <w:rPr>
                <w:rStyle w:val="Hyperlink"/>
                <w:noProof/>
              </w:rPr>
              <w:t>4.4 Theme 2: Social Practices and Investor Confidence</w:t>
            </w:r>
            <w:r>
              <w:rPr>
                <w:noProof/>
                <w:webHidden/>
              </w:rPr>
              <w:tab/>
            </w:r>
            <w:r>
              <w:rPr>
                <w:noProof/>
                <w:webHidden/>
              </w:rPr>
              <w:fldChar w:fldCharType="begin"/>
            </w:r>
            <w:r>
              <w:rPr>
                <w:noProof/>
                <w:webHidden/>
              </w:rPr>
              <w:instrText xml:space="preserve"> PAGEREF _Toc240715266 \h </w:instrText>
            </w:r>
            <w:r>
              <w:rPr>
                <w:noProof/>
                <w:webHidden/>
              </w:rPr>
            </w:r>
            <w:r>
              <w:rPr>
                <w:noProof/>
                <w:webHidden/>
              </w:rPr>
              <w:fldChar w:fldCharType="separate"/>
            </w:r>
            <w:r w:rsidR="00B916F6">
              <w:rPr>
                <w:noProof/>
                <w:webHidden/>
              </w:rPr>
              <w:t>47</w:t>
            </w:r>
            <w:r>
              <w:rPr>
                <w:noProof/>
                <w:webHidden/>
              </w:rPr>
              <w:fldChar w:fldCharType="end"/>
            </w:r>
          </w:hyperlink>
        </w:p>
        <w:p w14:paraId="36875856" w14:textId="71D2ABDE"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67" w:history="1">
            <w:r w:rsidRPr="00CF2850">
              <w:rPr>
                <w:rStyle w:val="Hyperlink"/>
              </w:rPr>
              <w:t>4.4.1 Social Performance and Investor Confidence</w:t>
            </w:r>
            <w:r>
              <w:rPr>
                <w:webHidden/>
              </w:rPr>
              <w:tab/>
            </w:r>
            <w:r>
              <w:rPr>
                <w:webHidden/>
              </w:rPr>
              <w:fldChar w:fldCharType="begin"/>
            </w:r>
            <w:r>
              <w:rPr>
                <w:webHidden/>
              </w:rPr>
              <w:instrText xml:space="preserve"> PAGEREF _Toc240715267 \h </w:instrText>
            </w:r>
            <w:r>
              <w:rPr>
                <w:webHidden/>
              </w:rPr>
            </w:r>
            <w:r>
              <w:rPr>
                <w:webHidden/>
              </w:rPr>
              <w:fldChar w:fldCharType="separate"/>
            </w:r>
            <w:r w:rsidR="00B916F6">
              <w:rPr>
                <w:webHidden/>
              </w:rPr>
              <w:t>48</w:t>
            </w:r>
            <w:r>
              <w:rPr>
                <w:webHidden/>
              </w:rPr>
              <w:fldChar w:fldCharType="end"/>
            </w:r>
          </w:hyperlink>
        </w:p>
        <w:p w14:paraId="0154B53C" w14:textId="721FB492"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68" w:history="1">
            <w:r w:rsidRPr="00CF2850">
              <w:rPr>
                <w:rStyle w:val="Hyperlink"/>
              </w:rPr>
              <w:t>4.4.2 Critical Analysis of Findings and Relation to Literature</w:t>
            </w:r>
            <w:r>
              <w:rPr>
                <w:webHidden/>
              </w:rPr>
              <w:tab/>
            </w:r>
            <w:r>
              <w:rPr>
                <w:webHidden/>
              </w:rPr>
              <w:fldChar w:fldCharType="begin"/>
            </w:r>
            <w:r>
              <w:rPr>
                <w:webHidden/>
              </w:rPr>
              <w:instrText xml:space="preserve"> PAGEREF _Toc240715268 \h </w:instrText>
            </w:r>
            <w:r>
              <w:rPr>
                <w:webHidden/>
              </w:rPr>
            </w:r>
            <w:r>
              <w:rPr>
                <w:webHidden/>
              </w:rPr>
              <w:fldChar w:fldCharType="separate"/>
            </w:r>
            <w:r w:rsidR="00B916F6">
              <w:rPr>
                <w:webHidden/>
              </w:rPr>
              <w:t>49</w:t>
            </w:r>
            <w:r>
              <w:rPr>
                <w:webHidden/>
              </w:rPr>
              <w:fldChar w:fldCharType="end"/>
            </w:r>
          </w:hyperlink>
        </w:p>
        <w:p w14:paraId="29B9780B" w14:textId="0F57155B"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69" w:history="1">
            <w:r w:rsidRPr="00CF2850">
              <w:rPr>
                <w:rStyle w:val="Hyperlink"/>
                <w:noProof/>
              </w:rPr>
              <w:t>4.5 Theme 3: Governance Practices and Capital Attraction</w:t>
            </w:r>
            <w:r>
              <w:rPr>
                <w:noProof/>
                <w:webHidden/>
              </w:rPr>
              <w:tab/>
            </w:r>
            <w:r>
              <w:rPr>
                <w:noProof/>
                <w:webHidden/>
              </w:rPr>
              <w:fldChar w:fldCharType="begin"/>
            </w:r>
            <w:r>
              <w:rPr>
                <w:noProof/>
                <w:webHidden/>
              </w:rPr>
              <w:instrText xml:space="preserve"> PAGEREF _Toc240715269 \h </w:instrText>
            </w:r>
            <w:r>
              <w:rPr>
                <w:noProof/>
                <w:webHidden/>
              </w:rPr>
            </w:r>
            <w:r>
              <w:rPr>
                <w:noProof/>
                <w:webHidden/>
              </w:rPr>
              <w:fldChar w:fldCharType="separate"/>
            </w:r>
            <w:r w:rsidR="00B916F6">
              <w:rPr>
                <w:noProof/>
                <w:webHidden/>
              </w:rPr>
              <w:t>50</w:t>
            </w:r>
            <w:r>
              <w:rPr>
                <w:noProof/>
                <w:webHidden/>
              </w:rPr>
              <w:fldChar w:fldCharType="end"/>
            </w:r>
          </w:hyperlink>
        </w:p>
        <w:p w14:paraId="4B3F0F25" w14:textId="2A31A576"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70" w:history="1">
            <w:r w:rsidRPr="00CF2850">
              <w:rPr>
                <w:rStyle w:val="Hyperlink"/>
              </w:rPr>
              <w:t>4.5.1 Governance Quality and Investor Confidence</w:t>
            </w:r>
            <w:r>
              <w:rPr>
                <w:webHidden/>
              </w:rPr>
              <w:tab/>
            </w:r>
            <w:r>
              <w:rPr>
                <w:webHidden/>
              </w:rPr>
              <w:fldChar w:fldCharType="begin"/>
            </w:r>
            <w:r>
              <w:rPr>
                <w:webHidden/>
              </w:rPr>
              <w:instrText xml:space="preserve"> PAGEREF _Toc240715270 \h </w:instrText>
            </w:r>
            <w:r>
              <w:rPr>
                <w:webHidden/>
              </w:rPr>
            </w:r>
            <w:r>
              <w:rPr>
                <w:webHidden/>
              </w:rPr>
              <w:fldChar w:fldCharType="separate"/>
            </w:r>
            <w:r w:rsidR="00B916F6">
              <w:rPr>
                <w:webHidden/>
              </w:rPr>
              <w:t>51</w:t>
            </w:r>
            <w:r>
              <w:rPr>
                <w:webHidden/>
              </w:rPr>
              <w:fldChar w:fldCharType="end"/>
            </w:r>
          </w:hyperlink>
        </w:p>
        <w:p w14:paraId="4D34D8EB" w14:textId="174CA6F5"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71" w:history="1">
            <w:r w:rsidRPr="00CF2850">
              <w:rPr>
                <w:rStyle w:val="Hyperlink"/>
              </w:rPr>
              <w:t>4.5.2 Critical Analysis of Findings and Relation to Literature</w:t>
            </w:r>
            <w:r>
              <w:rPr>
                <w:webHidden/>
              </w:rPr>
              <w:tab/>
            </w:r>
            <w:r>
              <w:rPr>
                <w:webHidden/>
              </w:rPr>
              <w:fldChar w:fldCharType="begin"/>
            </w:r>
            <w:r>
              <w:rPr>
                <w:webHidden/>
              </w:rPr>
              <w:instrText xml:space="preserve"> PAGEREF _Toc240715271 \h </w:instrText>
            </w:r>
            <w:r>
              <w:rPr>
                <w:webHidden/>
              </w:rPr>
            </w:r>
            <w:r>
              <w:rPr>
                <w:webHidden/>
              </w:rPr>
              <w:fldChar w:fldCharType="separate"/>
            </w:r>
            <w:r w:rsidR="00B916F6">
              <w:rPr>
                <w:webHidden/>
              </w:rPr>
              <w:t>52</w:t>
            </w:r>
            <w:r>
              <w:rPr>
                <w:webHidden/>
              </w:rPr>
              <w:fldChar w:fldCharType="end"/>
            </w:r>
          </w:hyperlink>
        </w:p>
        <w:p w14:paraId="7F7282B0" w14:textId="1199FC20"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72" w:history="1">
            <w:r w:rsidRPr="00CF2850">
              <w:rPr>
                <w:rStyle w:val="Hyperlink"/>
                <w:noProof/>
              </w:rPr>
              <w:t>4.6 Theme 4: ESG Reporting, Disclosure and Investment Transparency</w:t>
            </w:r>
            <w:r>
              <w:rPr>
                <w:noProof/>
                <w:webHidden/>
              </w:rPr>
              <w:tab/>
            </w:r>
            <w:r>
              <w:rPr>
                <w:noProof/>
                <w:webHidden/>
              </w:rPr>
              <w:fldChar w:fldCharType="begin"/>
            </w:r>
            <w:r>
              <w:rPr>
                <w:noProof/>
                <w:webHidden/>
              </w:rPr>
              <w:instrText xml:space="preserve"> PAGEREF _Toc240715272 \h </w:instrText>
            </w:r>
            <w:r>
              <w:rPr>
                <w:noProof/>
                <w:webHidden/>
              </w:rPr>
            </w:r>
            <w:r>
              <w:rPr>
                <w:noProof/>
                <w:webHidden/>
              </w:rPr>
              <w:fldChar w:fldCharType="separate"/>
            </w:r>
            <w:r w:rsidR="00B916F6">
              <w:rPr>
                <w:noProof/>
                <w:webHidden/>
              </w:rPr>
              <w:t>53</w:t>
            </w:r>
            <w:r>
              <w:rPr>
                <w:noProof/>
                <w:webHidden/>
              </w:rPr>
              <w:fldChar w:fldCharType="end"/>
            </w:r>
          </w:hyperlink>
        </w:p>
        <w:p w14:paraId="670C998A" w14:textId="1AD0E6CC"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73" w:history="1">
            <w:r w:rsidRPr="00CF2850">
              <w:rPr>
                <w:rStyle w:val="Hyperlink"/>
              </w:rPr>
              <w:t>4.6.1 ESG Disclosure and Investor Confidence</w:t>
            </w:r>
            <w:r>
              <w:rPr>
                <w:webHidden/>
              </w:rPr>
              <w:tab/>
            </w:r>
            <w:r>
              <w:rPr>
                <w:webHidden/>
              </w:rPr>
              <w:fldChar w:fldCharType="begin"/>
            </w:r>
            <w:r>
              <w:rPr>
                <w:webHidden/>
              </w:rPr>
              <w:instrText xml:space="preserve"> PAGEREF _Toc240715273 \h </w:instrText>
            </w:r>
            <w:r>
              <w:rPr>
                <w:webHidden/>
              </w:rPr>
            </w:r>
            <w:r>
              <w:rPr>
                <w:webHidden/>
              </w:rPr>
              <w:fldChar w:fldCharType="separate"/>
            </w:r>
            <w:r w:rsidR="00B916F6">
              <w:rPr>
                <w:webHidden/>
              </w:rPr>
              <w:t>54</w:t>
            </w:r>
            <w:r>
              <w:rPr>
                <w:webHidden/>
              </w:rPr>
              <w:fldChar w:fldCharType="end"/>
            </w:r>
          </w:hyperlink>
        </w:p>
        <w:p w14:paraId="696B29DB" w14:textId="040E0D4A"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74" w:history="1">
            <w:r w:rsidRPr="00CF2850">
              <w:rPr>
                <w:rStyle w:val="Hyperlink"/>
              </w:rPr>
              <w:t>4.6.2 Critical Analysis of Findings and Relation to Literature</w:t>
            </w:r>
            <w:r>
              <w:rPr>
                <w:webHidden/>
              </w:rPr>
              <w:tab/>
            </w:r>
            <w:r>
              <w:rPr>
                <w:webHidden/>
              </w:rPr>
              <w:fldChar w:fldCharType="begin"/>
            </w:r>
            <w:r>
              <w:rPr>
                <w:webHidden/>
              </w:rPr>
              <w:instrText xml:space="preserve"> PAGEREF _Toc240715274 \h </w:instrText>
            </w:r>
            <w:r>
              <w:rPr>
                <w:webHidden/>
              </w:rPr>
            </w:r>
            <w:r>
              <w:rPr>
                <w:webHidden/>
              </w:rPr>
              <w:fldChar w:fldCharType="separate"/>
            </w:r>
            <w:r w:rsidR="00B916F6">
              <w:rPr>
                <w:webHidden/>
              </w:rPr>
              <w:t>56</w:t>
            </w:r>
            <w:r>
              <w:rPr>
                <w:webHidden/>
              </w:rPr>
              <w:fldChar w:fldCharType="end"/>
            </w:r>
          </w:hyperlink>
        </w:p>
        <w:p w14:paraId="4F31B7E2" w14:textId="0915BA35"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75" w:history="1">
            <w:r w:rsidRPr="00CF2850">
              <w:rPr>
                <w:rStyle w:val="Hyperlink"/>
                <w:noProof/>
              </w:rPr>
              <w:t>4.7 Theme 5: Integrated ESG Performance and Foreign Investment Decisions</w:t>
            </w:r>
            <w:r>
              <w:rPr>
                <w:noProof/>
                <w:webHidden/>
              </w:rPr>
              <w:tab/>
            </w:r>
            <w:r>
              <w:rPr>
                <w:noProof/>
                <w:webHidden/>
              </w:rPr>
              <w:fldChar w:fldCharType="begin"/>
            </w:r>
            <w:r>
              <w:rPr>
                <w:noProof/>
                <w:webHidden/>
              </w:rPr>
              <w:instrText xml:space="preserve"> PAGEREF _Toc240715275 \h </w:instrText>
            </w:r>
            <w:r>
              <w:rPr>
                <w:noProof/>
                <w:webHidden/>
              </w:rPr>
            </w:r>
            <w:r>
              <w:rPr>
                <w:noProof/>
                <w:webHidden/>
              </w:rPr>
              <w:fldChar w:fldCharType="separate"/>
            </w:r>
            <w:r w:rsidR="00B916F6">
              <w:rPr>
                <w:noProof/>
                <w:webHidden/>
              </w:rPr>
              <w:t>56</w:t>
            </w:r>
            <w:r>
              <w:rPr>
                <w:noProof/>
                <w:webHidden/>
              </w:rPr>
              <w:fldChar w:fldCharType="end"/>
            </w:r>
          </w:hyperlink>
        </w:p>
        <w:p w14:paraId="41684692" w14:textId="5B24A3A6"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76" w:history="1">
            <w:r w:rsidRPr="00CF2850">
              <w:rPr>
                <w:rStyle w:val="Hyperlink"/>
              </w:rPr>
              <w:t>4.7.1 Integrated ESG Performance and Investor Confidence</w:t>
            </w:r>
            <w:r>
              <w:rPr>
                <w:webHidden/>
              </w:rPr>
              <w:tab/>
            </w:r>
            <w:r>
              <w:rPr>
                <w:webHidden/>
              </w:rPr>
              <w:fldChar w:fldCharType="begin"/>
            </w:r>
            <w:r>
              <w:rPr>
                <w:webHidden/>
              </w:rPr>
              <w:instrText xml:space="preserve"> PAGEREF _Toc240715276 \h </w:instrText>
            </w:r>
            <w:r>
              <w:rPr>
                <w:webHidden/>
              </w:rPr>
            </w:r>
            <w:r>
              <w:rPr>
                <w:webHidden/>
              </w:rPr>
              <w:fldChar w:fldCharType="separate"/>
            </w:r>
            <w:r w:rsidR="00B916F6">
              <w:rPr>
                <w:webHidden/>
              </w:rPr>
              <w:t>58</w:t>
            </w:r>
            <w:r>
              <w:rPr>
                <w:webHidden/>
              </w:rPr>
              <w:fldChar w:fldCharType="end"/>
            </w:r>
          </w:hyperlink>
        </w:p>
        <w:p w14:paraId="58683757" w14:textId="4C36A57D"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77" w:history="1">
            <w:r w:rsidRPr="00CF2850">
              <w:rPr>
                <w:rStyle w:val="Hyperlink"/>
              </w:rPr>
              <w:t>4.7.2 Critical Analysis of Findings and Relation to Literature</w:t>
            </w:r>
            <w:r>
              <w:rPr>
                <w:webHidden/>
              </w:rPr>
              <w:tab/>
            </w:r>
            <w:r>
              <w:rPr>
                <w:webHidden/>
              </w:rPr>
              <w:fldChar w:fldCharType="begin"/>
            </w:r>
            <w:r>
              <w:rPr>
                <w:webHidden/>
              </w:rPr>
              <w:instrText xml:space="preserve"> PAGEREF _Toc240715277 \h </w:instrText>
            </w:r>
            <w:r>
              <w:rPr>
                <w:webHidden/>
              </w:rPr>
            </w:r>
            <w:r>
              <w:rPr>
                <w:webHidden/>
              </w:rPr>
              <w:fldChar w:fldCharType="separate"/>
            </w:r>
            <w:r w:rsidR="00B916F6">
              <w:rPr>
                <w:webHidden/>
              </w:rPr>
              <w:t>59</w:t>
            </w:r>
            <w:r>
              <w:rPr>
                <w:webHidden/>
              </w:rPr>
              <w:fldChar w:fldCharType="end"/>
            </w:r>
          </w:hyperlink>
        </w:p>
        <w:p w14:paraId="311FD874" w14:textId="3638E7E7"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78" w:history="1">
            <w:r w:rsidRPr="00CF2850">
              <w:rPr>
                <w:rStyle w:val="Hyperlink"/>
                <w:noProof/>
              </w:rPr>
              <w:t>4.8 Cross-Theme Analysis Against Research Objectives</w:t>
            </w:r>
            <w:r>
              <w:rPr>
                <w:noProof/>
                <w:webHidden/>
              </w:rPr>
              <w:tab/>
            </w:r>
            <w:r>
              <w:rPr>
                <w:noProof/>
                <w:webHidden/>
              </w:rPr>
              <w:fldChar w:fldCharType="begin"/>
            </w:r>
            <w:r>
              <w:rPr>
                <w:noProof/>
                <w:webHidden/>
              </w:rPr>
              <w:instrText xml:space="preserve"> PAGEREF _Toc240715278 \h </w:instrText>
            </w:r>
            <w:r>
              <w:rPr>
                <w:noProof/>
                <w:webHidden/>
              </w:rPr>
            </w:r>
            <w:r>
              <w:rPr>
                <w:noProof/>
                <w:webHidden/>
              </w:rPr>
              <w:fldChar w:fldCharType="separate"/>
            </w:r>
            <w:r w:rsidR="00B916F6">
              <w:rPr>
                <w:noProof/>
                <w:webHidden/>
              </w:rPr>
              <w:t>60</w:t>
            </w:r>
            <w:r>
              <w:rPr>
                <w:noProof/>
                <w:webHidden/>
              </w:rPr>
              <w:fldChar w:fldCharType="end"/>
            </w:r>
          </w:hyperlink>
        </w:p>
        <w:p w14:paraId="2DBF976F" w14:textId="63B80340"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79" w:history="1">
            <w:r w:rsidRPr="00CF2850">
              <w:rPr>
                <w:rStyle w:val="Hyperlink"/>
                <w:noProof/>
              </w:rPr>
              <w:t>4.9 Chapter Summary</w:t>
            </w:r>
            <w:r>
              <w:rPr>
                <w:noProof/>
                <w:webHidden/>
              </w:rPr>
              <w:tab/>
            </w:r>
            <w:r>
              <w:rPr>
                <w:noProof/>
                <w:webHidden/>
              </w:rPr>
              <w:fldChar w:fldCharType="begin"/>
            </w:r>
            <w:r>
              <w:rPr>
                <w:noProof/>
                <w:webHidden/>
              </w:rPr>
              <w:instrText xml:space="preserve"> PAGEREF _Toc240715279 \h </w:instrText>
            </w:r>
            <w:r>
              <w:rPr>
                <w:noProof/>
                <w:webHidden/>
              </w:rPr>
            </w:r>
            <w:r>
              <w:rPr>
                <w:noProof/>
                <w:webHidden/>
              </w:rPr>
              <w:fldChar w:fldCharType="separate"/>
            </w:r>
            <w:r w:rsidR="00B916F6">
              <w:rPr>
                <w:noProof/>
                <w:webHidden/>
              </w:rPr>
              <w:t>61</w:t>
            </w:r>
            <w:r>
              <w:rPr>
                <w:noProof/>
                <w:webHidden/>
              </w:rPr>
              <w:fldChar w:fldCharType="end"/>
            </w:r>
          </w:hyperlink>
        </w:p>
        <w:p w14:paraId="2A214721" w14:textId="132333A6" w:rsidR="008B74D1" w:rsidRDefault="008B74D1">
          <w:pPr>
            <w:pStyle w:val="TOC1"/>
            <w:tabs>
              <w:tab w:val="right" w:pos="9019"/>
            </w:tabs>
            <w:rPr>
              <w:rFonts w:asciiTheme="minorHAnsi" w:eastAsiaTheme="minorEastAsia" w:hAnsiTheme="minorHAnsi" w:cstheme="minorBidi"/>
              <w:noProof/>
              <w:kern w:val="2"/>
              <w:lang w:val="en-IN" w:eastAsia="en-IN"/>
              <w14:ligatures w14:val="standardContextual"/>
            </w:rPr>
          </w:pPr>
          <w:hyperlink w:anchor="_Toc240715280" w:history="1">
            <w:r w:rsidRPr="00CF2850">
              <w:rPr>
                <w:rStyle w:val="Hyperlink"/>
                <w:noProof/>
              </w:rPr>
              <w:t>Chapter 5: Conclusion and Recommendations</w:t>
            </w:r>
            <w:r>
              <w:rPr>
                <w:noProof/>
                <w:webHidden/>
              </w:rPr>
              <w:tab/>
            </w:r>
            <w:r>
              <w:rPr>
                <w:noProof/>
                <w:webHidden/>
              </w:rPr>
              <w:fldChar w:fldCharType="begin"/>
            </w:r>
            <w:r>
              <w:rPr>
                <w:noProof/>
                <w:webHidden/>
              </w:rPr>
              <w:instrText xml:space="preserve"> PAGEREF _Toc240715280 \h </w:instrText>
            </w:r>
            <w:r>
              <w:rPr>
                <w:noProof/>
                <w:webHidden/>
              </w:rPr>
            </w:r>
            <w:r>
              <w:rPr>
                <w:noProof/>
                <w:webHidden/>
              </w:rPr>
              <w:fldChar w:fldCharType="separate"/>
            </w:r>
            <w:r w:rsidR="00B916F6">
              <w:rPr>
                <w:noProof/>
                <w:webHidden/>
              </w:rPr>
              <w:t>62</w:t>
            </w:r>
            <w:r>
              <w:rPr>
                <w:noProof/>
                <w:webHidden/>
              </w:rPr>
              <w:fldChar w:fldCharType="end"/>
            </w:r>
          </w:hyperlink>
        </w:p>
        <w:p w14:paraId="59B2939B" w14:textId="68E33F12"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81" w:history="1">
            <w:r w:rsidRPr="00CF2850">
              <w:rPr>
                <w:rStyle w:val="Hyperlink"/>
                <w:noProof/>
              </w:rPr>
              <w:t>5.0 Introduction</w:t>
            </w:r>
            <w:r>
              <w:rPr>
                <w:noProof/>
                <w:webHidden/>
              </w:rPr>
              <w:tab/>
            </w:r>
            <w:r>
              <w:rPr>
                <w:noProof/>
                <w:webHidden/>
              </w:rPr>
              <w:fldChar w:fldCharType="begin"/>
            </w:r>
            <w:r>
              <w:rPr>
                <w:noProof/>
                <w:webHidden/>
              </w:rPr>
              <w:instrText xml:space="preserve"> PAGEREF _Toc240715281 \h </w:instrText>
            </w:r>
            <w:r>
              <w:rPr>
                <w:noProof/>
                <w:webHidden/>
              </w:rPr>
            </w:r>
            <w:r>
              <w:rPr>
                <w:noProof/>
                <w:webHidden/>
              </w:rPr>
              <w:fldChar w:fldCharType="separate"/>
            </w:r>
            <w:r w:rsidR="00B916F6">
              <w:rPr>
                <w:noProof/>
                <w:webHidden/>
              </w:rPr>
              <w:t>62</w:t>
            </w:r>
            <w:r>
              <w:rPr>
                <w:noProof/>
                <w:webHidden/>
              </w:rPr>
              <w:fldChar w:fldCharType="end"/>
            </w:r>
          </w:hyperlink>
        </w:p>
        <w:p w14:paraId="32D57A40" w14:textId="0B14BC7B"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82" w:history="1">
            <w:r w:rsidRPr="00CF2850">
              <w:rPr>
                <w:rStyle w:val="Hyperlink"/>
                <w:noProof/>
              </w:rPr>
              <w:t>5.1 Overall Findings and Research Aim</w:t>
            </w:r>
            <w:r>
              <w:rPr>
                <w:noProof/>
                <w:webHidden/>
              </w:rPr>
              <w:tab/>
            </w:r>
            <w:r>
              <w:rPr>
                <w:noProof/>
                <w:webHidden/>
              </w:rPr>
              <w:fldChar w:fldCharType="begin"/>
            </w:r>
            <w:r>
              <w:rPr>
                <w:noProof/>
                <w:webHidden/>
              </w:rPr>
              <w:instrText xml:space="preserve"> PAGEREF _Toc240715282 \h </w:instrText>
            </w:r>
            <w:r>
              <w:rPr>
                <w:noProof/>
                <w:webHidden/>
              </w:rPr>
            </w:r>
            <w:r>
              <w:rPr>
                <w:noProof/>
                <w:webHidden/>
              </w:rPr>
              <w:fldChar w:fldCharType="separate"/>
            </w:r>
            <w:r w:rsidR="00B916F6">
              <w:rPr>
                <w:noProof/>
                <w:webHidden/>
              </w:rPr>
              <w:t>62</w:t>
            </w:r>
            <w:r>
              <w:rPr>
                <w:noProof/>
                <w:webHidden/>
              </w:rPr>
              <w:fldChar w:fldCharType="end"/>
            </w:r>
          </w:hyperlink>
        </w:p>
        <w:p w14:paraId="42BFB407" w14:textId="02EDC044"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83" w:history="1">
            <w:r w:rsidRPr="00CF2850">
              <w:rPr>
                <w:rStyle w:val="Hyperlink"/>
                <w:noProof/>
              </w:rPr>
              <w:t>5.2 Summary of Key Findings</w:t>
            </w:r>
            <w:r>
              <w:rPr>
                <w:noProof/>
                <w:webHidden/>
              </w:rPr>
              <w:tab/>
            </w:r>
            <w:r>
              <w:rPr>
                <w:noProof/>
                <w:webHidden/>
              </w:rPr>
              <w:fldChar w:fldCharType="begin"/>
            </w:r>
            <w:r>
              <w:rPr>
                <w:noProof/>
                <w:webHidden/>
              </w:rPr>
              <w:instrText xml:space="preserve"> PAGEREF _Toc240715283 \h </w:instrText>
            </w:r>
            <w:r>
              <w:rPr>
                <w:noProof/>
                <w:webHidden/>
              </w:rPr>
            </w:r>
            <w:r>
              <w:rPr>
                <w:noProof/>
                <w:webHidden/>
              </w:rPr>
              <w:fldChar w:fldCharType="separate"/>
            </w:r>
            <w:r w:rsidR="00B916F6">
              <w:rPr>
                <w:noProof/>
                <w:webHidden/>
              </w:rPr>
              <w:t>62</w:t>
            </w:r>
            <w:r>
              <w:rPr>
                <w:noProof/>
                <w:webHidden/>
              </w:rPr>
              <w:fldChar w:fldCharType="end"/>
            </w:r>
          </w:hyperlink>
        </w:p>
        <w:p w14:paraId="4F6A5505" w14:textId="01986FDC"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84" w:history="1">
            <w:r w:rsidRPr="00CF2850">
              <w:rPr>
                <w:rStyle w:val="Hyperlink"/>
                <w:noProof/>
              </w:rPr>
              <w:t>5.3 Conclusion on ESG disclosure</w:t>
            </w:r>
            <w:r>
              <w:rPr>
                <w:noProof/>
                <w:webHidden/>
              </w:rPr>
              <w:tab/>
            </w:r>
            <w:r>
              <w:rPr>
                <w:noProof/>
                <w:webHidden/>
              </w:rPr>
              <w:fldChar w:fldCharType="begin"/>
            </w:r>
            <w:r>
              <w:rPr>
                <w:noProof/>
                <w:webHidden/>
              </w:rPr>
              <w:instrText xml:space="preserve"> PAGEREF _Toc240715284 \h </w:instrText>
            </w:r>
            <w:r>
              <w:rPr>
                <w:noProof/>
                <w:webHidden/>
              </w:rPr>
            </w:r>
            <w:r>
              <w:rPr>
                <w:noProof/>
                <w:webHidden/>
              </w:rPr>
              <w:fldChar w:fldCharType="separate"/>
            </w:r>
            <w:r w:rsidR="00B916F6">
              <w:rPr>
                <w:noProof/>
                <w:webHidden/>
              </w:rPr>
              <w:t>63</w:t>
            </w:r>
            <w:r>
              <w:rPr>
                <w:noProof/>
                <w:webHidden/>
              </w:rPr>
              <w:fldChar w:fldCharType="end"/>
            </w:r>
          </w:hyperlink>
        </w:p>
        <w:p w14:paraId="3D4C90E9" w14:textId="5A1CFB2D"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85" w:history="1">
            <w:r w:rsidRPr="00CF2850">
              <w:rPr>
                <w:rStyle w:val="Hyperlink"/>
                <w:noProof/>
              </w:rPr>
              <w:t>5.4 Overall Implication and Contribution</w:t>
            </w:r>
            <w:r>
              <w:rPr>
                <w:noProof/>
                <w:webHidden/>
              </w:rPr>
              <w:tab/>
            </w:r>
            <w:r>
              <w:rPr>
                <w:noProof/>
                <w:webHidden/>
              </w:rPr>
              <w:fldChar w:fldCharType="begin"/>
            </w:r>
            <w:r>
              <w:rPr>
                <w:noProof/>
                <w:webHidden/>
              </w:rPr>
              <w:instrText xml:space="preserve"> PAGEREF _Toc240715285 \h </w:instrText>
            </w:r>
            <w:r>
              <w:rPr>
                <w:noProof/>
                <w:webHidden/>
              </w:rPr>
            </w:r>
            <w:r>
              <w:rPr>
                <w:noProof/>
                <w:webHidden/>
              </w:rPr>
              <w:fldChar w:fldCharType="separate"/>
            </w:r>
            <w:r w:rsidR="00B916F6">
              <w:rPr>
                <w:noProof/>
                <w:webHidden/>
              </w:rPr>
              <w:t>63</w:t>
            </w:r>
            <w:r>
              <w:rPr>
                <w:noProof/>
                <w:webHidden/>
              </w:rPr>
              <w:fldChar w:fldCharType="end"/>
            </w:r>
          </w:hyperlink>
        </w:p>
        <w:p w14:paraId="3D600A4B" w14:textId="457BB314" w:rsidR="008B74D1" w:rsidRDefault="008B74D1">
          <w:pPr>
            <w:pStyle w:val="TOC2"/>
            <w:tabs>
              <w:tab w:val="right" w:pos="9019"/>
            </w:tabs>
            <w:rPr>
              <w:rFonts w:asciiTheme="minorHAnsi" w:eastAsiaTheme="minorEastAsia" w:hAnsiTheme="minorHAnsi" w:cstheme="minorBidi"/>
              <w:noProof/>
              <w:kern w:val="2"/>
              <w:lang w:val="en-IN" w:eastAsia="en-IN"/>
              <w14:ligatures w14:val="standardContextual"/>
            </w:rPr>
          </w:pPr>
          <w:hyperlink w:anchor="_Toc240715286" w:history="1">
            <w:r w:rsidRPr="00CF2850">
              <w:rPr>
                <w:rStyle w:val="Hyperlink"/>
                <w:noProof/>
              </w:rPr>
              <w:t>5.5 Recommendations</w:t>
            </w:r>
            <w:r>
              <w:rPr>
                <w:noProof/>
                <w:webHidden/>
              </w:rPr>
              <w:tab/>
            </w:r>
            <w:r>
              <w:rPr>
                <w:noProof/>
                <w:webHidden/>
              </w:rPr>
              <w:fldChar w:fldCharType="begin"/>
            </w:r>
            <w:r>
              <w:rPr>
                <w:noProof/>
                <w:webHidden/>
              </w:rPr>
              <w:instrText xml:space="preserve"> PAGEREF _Toc240715286 \h </w:instrText>
            </w:r>
            <w:r>
              <w:rPr>
                <w:noProof/>
                <w:webHidden/>
              </w:rPr>
            </w:r>
            <w:r>
              <w:rPr>
                <w:noProof/>
                <w:webHidden/>
              </w:rPr>
              <w:fldChar w:fldCharType="separate"/>
            </w:r>
            <w:r w:rsidR="00B916F6">
              <w:rPr>
                <w:noProof/>
                <w:webHidden/>
              </w:rPr>
              <w:t>64</w:t>
            </w:r>
            <w:r>
              <w:rPr>
                <w:noProof/>
                <w:webHidden/>
              </w:rPr>
              <w:fldChar w:fldCharType="end"/>
            </w:r>
          </w:hyperlink>
        </w:p>
        <w:p w14:paraId="2877BC4F" w14:textId="16BEA0AA"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87" w:history="1">
            <w:r w:rsidRPr="00CF2850">
              <w:rPr>
                <w:rStyle w:val="Hyperlink"/>
              </w:rPr>
              <w:t>5.5.1 Develop an Integrated ESG Strategy</w:t>
            </w:r>
            <w:r>
              <w:rPr>
                <w:webHidden/>
              </w:rPr>
              <w:tab/>
            </w:r>
            <w:r>
              <w:rPr>
                <w:webHidden/>
              </w:rPr>
              <w:fldChar w:fldCharType="begin"/>
            </w:r>
            <w:r>
              <w:rPr>
                <w:webHidden/>
              </w:rPr>
              <w:instrText xml:space="preserve"> PAGEREF _Toc240715287 \h </w:instrText>
            </w:r>
            <w:r>
              <w:rPr>
                <w:webHidden/>
              </w:rPr>
            </w:r>
            <w:r>
              <w:rPr>
                <w:webHidden/>
              </w:rPr>
              <w:fldChar w:fldCharType="separate"/>
            </w:r>
            <w:r w:rsidR="00B916F6">
              <w:rPr>
                <w:webHidden/>
              </w:rPr>
              <w:t>64</w:t>
            </w:r>
            <w:r>
              <w:rPr>
                <w:webHidden/>
              </w:rPr>
              <w:fldChar w:fldCharType="end"/>
            </w:r>
          </w:hyperlink>
        </w:p>
        <w:p w14:paraId="147FED1B" w14:textId="7DAF0C00"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88" w:history="1">
            <w:r w:rsidRPr="00CF2850">
              <w:rPr>
                <w:rStyle w:val="Hyperlink"/>
              </w:rPr>
              <w:t>5.5.2 Improve ESG Reporting and Transparency</w:t>
            </w:r>
            <w:r>
              <w:rPr>
                <w:webHidden/>
              </w:rPr>
              <w:tab/>
            </w:r>
            <w:r>
              <w:rPr>
                <w:webHidden/>
              </w:rPr>
              <w:fldChar w:fldCharType="begin"/>
            </w:r>
            <w:r>
              <w:rPr>
                <w:webHidden/>
              </w:rPr>
              <w:instrText xml:space="preserve"> PAGEREF _Toc240715288 \h </w:instrText>
            </w:r>
            <w:r>
              <w:rPr>
                <w:webHidden/>
              </w:rPr>
            </w:r>
            <w:r>
              <w:rPr>
                <w:webHidden/>
              </w:rPr>
              <w:fldChar w:fldCharType="separate"/>
            </w:r>
            <w:r w:rsidR="00B916F6">
              <w:rPr>
                <w:webHidden/>
              </w:rPr>
              <w:t>64</w:t>
            </w:r>
            <w:r>
              <w:rPr>
                <w:webHidden/>
              </w:rPr>
              <w:fldChar w:fldCharType="end"/>
            </w:r>
          </w:hyperlink>
        </w:p>
        <w:p w14:paraId="0AB7E673" w14:textId="232673B0"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89" w:history="1">
            <w:r w:rsidRPr="00CF2850">
              <w:rPr>
                <w:rStyle w:val="Hyperlink"/>
              </w:rPr>
              <w:t>5.5.3 Strengthen Governance and Board Accountability</w:t>
            </w:r>
            <w:r>
              <w:rPr>
                <w:webHidden/>
              </w:rPr>
              <w:tab/>
            </w:r>
            <w:r>
              <w:rPr>
                <w:webHidden/>
              </w:rPr>
              <w:fldChar w:fldCharType="begin"/>
            </w:r>
            <w:r>
              <w:rPr>
                <w:webHidden/>
              </w:rPr>
              <w:instrText xml:space="preserve"> PAGEREF _Toc240715289 \h </w:instrText>
            </w:r>
            <w:r>
              <w:rPr>
                <w:webHidden/>
              </w:rPr>
            </w:r>
            <w:r>
              <w:rPr>
                <w:webHidden/>
              </w:rPr>
              <w:fldChar w:fldCharType="separate"/>
            </w:r>
            <w:r w:rsidR="00B916F6">
              <w:rPr>
                <w:webHidden/>
              </w:rPr>
              <w:t>65</w:t>
            </w:r>
            <w:r>
              <w:rPr>
                <w:webHidden/>
              </w:rPr>
              <w:fldChar w:fldCharType="end"/>
            </w:r>
          </w:hyperlink>
        </w:p>
        <w:p w14:paraId="4C1081C0" w14:textId="595A2DB7"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90" w:history="1">
            <w:r w:rsidRPr="00CF2850">
              <w:rPr>
                <w:rStyle w:val="Hyperlink"/>
              </w:rPr>
              <w:t>5.5.4 Strengthen Social Performance and Stakeholder Engagement</w:t>
            </w:r>
            <w:r>
              <w:rPr>
                <w:webHidden/>
              </w:rPr>
              <w:tab/>
            </w:r>
            <w:r>
              <w:rPr>
                <w:webHidden/>
              </w:rPr>
              <w:fldChar w:fldCharType="begin"/>
            </w:r>
            <w:r>
              <w:rPr>
                <w:webHidden/>
              </w:rPr>
              <w:instrText xml:space="preserve"> PAGEREF _Toc240715290 \h </w:instrText>
            </w:r>
            <w:r>
              <w:rPr>
                <w:webHidden/>
              </w:rPr>
            </w:r>
            <w:r>
              <w:rPr>
                <w:webHidden/>
              </w:rPr>
              <w:fldChar w:fldCharType="separate"/>
            </w:r>
            <w:r w:rsidR="00B916F6">
              <w:rPr>
                <w:webHidden/>
              </w:rPr>
              <w:t>65</w:t>
            </w:r>
            <w:r>
              <w:rPr>
                <w:webHidden/>
              </w:rPr>
              <w:fldChar w:fldCharType="end"/>
            </w:r>
          </w:hyperlink>
        </w:p>
        <w:p w14:paraId="304E7087" w14:textId="12158093"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91" w:history="1">
            <w:r w:rsidRPr="00CF2850">
              <w:rPr>
                <w:rStyle w:val="Hyperlink"/>
              </w:rPr>
              <w:t>5.5.5 Build ESG Capabilities and Measurement Systems</w:t>
            </w:r>
            <w:r>
              <w:rPr>
                <w:webHidden/>
              </w:rPr>
              <w:tab/>
            </w:r>
            <w:r>
              <w:rPr>
                <w:webHidden/>
              </w:rPr>
              <w:fldChar w:fldCharType="begin"/>
            </w:r>
            <w:r>
              <w:rPr>
                <w:webHidden/>
              </w:rPr>
              <w:instrText xml:space="preserve"> PAGEREF _Toc240715291 \h </w:instrText>
            </w:r>
            <w:r>
              <w:rPr>
                <w:webHidden/>
              </w:rPr>
            </w:r>
            <w:r>
              <w:rPr>
                <w:webHidden/>
              </w:rPr>
              <w:fldChar w:fldCharType="separate"/>
            </w:r>
            <w:r w:rsidR="00B916F6">
              <w:rPr>
                <w:webHidden/>
              </w:rPr>
              <w:t>66</w:t>
            </w:r>
            <w:r>
              <w:rPr>
                <w:webHidden/>
              </w:rPr>
              <w:fldChar w:fldCharType="end"/>
            </w:r>
          </w:hyperlink>
        </w:p>
        <w:p w14:paraId="4C3FB359" w14:textId="433DF629"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92" w:history="1">
            <w:r w:rsidRPr="00CF2850">
              <w:rPr>
                <w:rStyle w:val="Hyperlink"/>
              </w:rPr>
              <w:t>5.5.6 Improve Communication with Foreign Investors</w:t>
            </w:r>
            <w:r>
              <w:rPr>
                <w:webHidden/>
              </w:rPr>
              <w:tab/>
            </w:r>
            <w:r>
              <w:rPr>
                <w:webHidden/>
              </w:rPr>
              <w:fldChar w:fldCharType="begin"/>
            </w:r>
            <w:r>
              <w:rPr>
                <w:webHidden/>
              </w:rPr>
              <w:instrText xml:space="preserve"> PAGEREF _Toc240715292 \h </w:instrText>
            </w:r>
            <w:r>
              <w:rPr>
                <w:webHidden/>
              </w:rPr>
            </w:r>
            <w:r>
              <w:rPr>
                <w:webHidden/>
              </w:rPr>
              <w:fldChar w:fldCharType="separate"/>
            </w:r>
            <w:r w:rsidR="00B916F6">
              <w:rPr>
                <w:webHidden/>
              </w:rPr>
              <w:t>66</w:t>
            </w:r>
            <w:r>
              <w:rPr>
                <w:webHidden/>
              </w:rPr>
              <w:fldChar w:fldCharType="end"/>
            </w:r>
          </w:hyperlink>
        </w:p>
        <w:p w14:paraId="42D04209" w14:textId="6026F83F"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93" w:history="1">
            <w:r w:rsidRPr="00CF2850">
              <w:rPr>
                <w:rStyle w:val="Hyperlink"/>
              </w:rPr>
              <w:t>5.5.7 Limitation of the study</w:t>
            </w:r>
            <w:r>
              <w:rPr>
                <w:webHidden/>
              </w:rPr>
              <w:tab/>
            </w:r>
            <w:r>
              <w:rPr>
                <w:webHidden/>
              </w:rPr>
              <w:fldChar w:fldCharType="begin"/>
            </w:r>
            <w:r>
              <w:rPr>
                <w:webHidden/>
              </w:rPr>
              <w:instrText xml:space="preserve"> PAGEREF _Toc240715293 \h </w:instrText>
            </w:r>
            <w:r>
              <w:rPr>
                <w:webHidden/>
              </w:rPr>
            </w:r>
            <w:r>
              <w:rPr>
                <w:webHidden/>
              </w:rPr>
              <w:fldChar w:fldCharType="separate"/>
            </w:r>
            <w:r w:rsidR="00B916F6">
              <w:rPr>
                <w:webHidden/>
              </w:rPr>
              <w:t>67</w:t>
            </w:r>
            <w:r>
              <w:rPr>
                <w:webHidden/>
              </w:rPr>
              <w:fldChar w:fldCharType="end"/>
            </w:r>
          </w:hyperlink>
        </w:p>
        <w:p w14:paraId="4A8231E7" w14:textId="448E07E8" w:rsidR="008B74D1" w:rsidRDefault="008B74D1">
          <w:pPr>
            <w:pStyle w:val="TOC3"/>
            <w:rPr>
              <w:rFonts w:asciiTheme="minorHAnsi" w:eastAsiaTheme="minorEastAsia" w:hAnsiTheme="minorHAnsi" w:cstheme="minorBidi"/>
              <w:color w:val="auto"/>
              <w:kern w:val="2"/>
              <w:lang w:val="en-IN" w:eastAsia="en-IN"/>
              <w14:ligatures w14:val="standardContextual"/>
            </w:rPr>
          </w:pPr>
          <w:hyperlink w:anchor="_Toc240715294" w:history="1">
            <w:r w:rsidRPr="00CF2850">
              <w:rPr>
                <w:rStyle w:val="Hyperlink"/>
              </w:rPr>
              <w:t>5.5.8 Recommendations for Future Research</w:t>
            </w:r>
            <w:r>
              <w:rPr>
                <w:webHidden/>
              </w:rPr>
              <w:tab/>
            </w:r>
            <w:r>
              <w:rPr>
                <w:webHidden/>
              </w:rPr>
              <w:fldChar w:fldCharType="begin"/>
            </w:r>
            <w:r>
              <w:rPr>
                <w:webHidden/>
              </w:rPr>
              <w:instrText xml:space="preserve"> PAGEREF _Toc240715294 \h </w:instrText>
            </w:r>
            <w:r>
              <w:rPr>
                <w:webHidden/>
              </w:rPr>
            </w:r>
            <w:r>
              <w:rPr>
                <w:webHidden/>
              </w:rPr>
              <w:fldChar w:fldCharType="separate"/>
            </w:r>
            <w:r w:rsidR="00B916F6">
              <w:rPr>
                <w:webHidden/>
              </w:rPr>
              <w:t>67</w:t>
            </w:r>
            <w:r>
              <w:rPr>
                <w:webHidden/>
              </w:rPr>
              <w:fldChar w:fldCharType="end"/>
            </w:r>
          </w:hyperlink>
        </w:p>
        <w:p w14:paraId="7FC15490" w14:textId="7057C2E6" w:rsidR="008B74D1" w:rsidRDefault="008B74D1">
          <w:pPr>
            <w:pStyle w:val="TOC1"/>
            <w:tabs>
              <w:tab w:val="right" w:pos="9019"/>
            </w:tabs>
            <w:rPr>
              <w:rFonts w:asciiTheme="minorHAnsi" w:eastAsiaTheme="minorEastAsia" w:hAnsiTheme="minorHAnsi" w:cstheme="minorBidi"/>
              <w:noProof/>
              <w:kern w:val="2"/>
              <w:lang w:val="en-IN" w:eastAsia="en-IN"/>
              <w14:ligatures w14:val="standardContextual"/>
            </w:rPr>
          </w:pPr>
          <w:hyperlink w:anchor="_Toc240715295" w:history="1">
            <w:r w:rsidRPr="00CF2850">
              <w:rPr>
                <w:rStyle w:val="Hyperlink"/>
                <w:noProof/>
              </w:rPr>
              <w:t>References</w:t>
            </w:r>
            <w:r>
              <w:rPr>
                <w:noProof/>
                <w:webHidden/>
              </w:rPr>
              <w:tab/>
            </w:r>
            <w:r>
              <w:rPr>
                <w:noProof/>
                <w:webHidden/>
              </w:rPr>
              <w:fldChar w:fldCharType="begin"/>
            </w:r>
            <w:r>
              <w:rPr>
                <w:noProof/>
                <w:webHidden/>
              </w:rPr>
              <w:instrText xml:space="preserve"> PAGEREF _Toc240715295 \h </w:instrText>
            </w:r>
            <w:r>
              <w:rPr>
                <w:noProof/>
                <w:webHidden/>
              </w:rPr>
            </w:r>
            <w:r>
              <w:rPr>
                <w:noProof/>
                <w:webHidden/>
              </w:rPr>
              <w:fldChar w:fldCharType="separate"/>
            </w:r>
            <w:r w:rsidR="00B916F6">
              <w:rPr>
                <w:noProof/>
                <w:webHidden/>
              </w:rPr>
              <w:t>68</w:t>
            </w:r>
            <w:r>
              <w:rPr>
                <w:noProof/>
                <w:webHidden/>
              </w:rPr>
              <w:fldChar w:fldCharType="end"/>
            </w:r>
          </w:hyperlink>
        </w:p>
        <w:p w14:paraId="084C05CD" w14:textId="36D61CDD" w:rsidR="00464F92" w:rsidRDefault="002831B2" w:rsidP="009F75CD">
          <w:r>
            <w:fldChar w:fldCharType="end"/>
          </w:r>
        </w:p>
      </w:sdtContent>
    </w:sdt>
    <w:p w14:paraId="67872C89" w14:textId="77777777" w:rsidR="00464F92" w:rsidRDefault="00464F92">
      <w:pPr>
        <w:rPr>
          <w:b/>
          <w:bCs/>
          <w:sz w:val="26"/>
          <w:szCs w:val="26"/>
        </w:rPr>
      </w:pPr>
    </w:p>
    <w:p w14:paraId="47C48445" w14:textId="77777777" w:rsidR="00464F92" w:rsidRDefault="00464F92">
      <w:pPr>
        <w:rPr>
          <w:b/>
          <w:bCs/>
          <w:color w:val="000000"/>
          <w:sz w:val="28"/>
          <w:szCs w:val="28"/>
        </w:rPr>
      </w:pPr>
    </w:p>
    <w:p w14:paraId="3F37AAB5" w14:textId="77777777" w:rsidR="008B74D1" w:rsidRDefault="008B74D1">
      <w:pPr>
        <w:rPr>
          <w:b/>
          <w:bCs/>
        </w:rPr>
      </w:pPr>
      <w:r>
        <w:rPr>
          <w:b/>
          <w:bCs/>
        </w:rPr>
        <w:br w:type="page"/>
      </w:r>
    </w:p>
    <w:p w14:paraId="5913389C" w14:textId="7A2A2E1B" w:rsidR="00464F92" w:rsidRDefault="002831B2">
      <w:pPr>
        <w:jc w:val="center"/>
        <w:rPr>
          <w:b/>
          <w:bCs/>
        </w:rPr>
      </w:pPr>
      <w:r>
        <w:rPr>
          <w:b/>
          <w:bCs/>
        </w:rPr>
        <w:lastRenderedPageBreak/>
        <w:t>List of Figures</w:t>
      </w:r>
    </w:p>
    <w:sdt>
      <w:sdtPr>
        <w:id w:val="971925387"/>
        <w:docPartObj>
          <w:docPartGallery w:val="Table of Contents"/>
          <w:docPartUnique/>
        </w:docPartObj>
      </w:sdtPr>
      <w:sdtContent>
        <w:p w14:paraId="516FA7F1" w14:textId="77777777" w:rsidR="00464F92" w:rsidRDefault="002831B2">
          <w:pPr>
            <w:pBdr>
              <w:top w:val="nil"/>
              <w:left w:val="nil"/>
              <w:bottom w:val="nil"/>
              <w:right w:val="nil"/>
              <w:between w:val="nil"/>
            </w:pBdr>
            <w:tabs>
              <w:tab w:val="right" w:pos="9019"/>
            </w:tabs>
            <w:rPr>
              <w:color w:val="000000"/>
            </w:rPr>
          </w:pPr>
          <w:r>
            <w:fldChar w:fldCharType="begin"/>
          </w:r>
          <w:r>
            <w:instrText xml:space="preserve"> TOC \h \u \z \t "Heading 1,1,Heading 2,2,Heading 3,3,Heading 4,4,Heading 5,5,Heading 6,6,"</w:instrText>
          </w:r>
          <w:r>
            <w:fldChar w:fldCharType="separate"/>
          </w:r>
          <w:hyperlink w:anchor="_8q3d3t7wrelh">
            <w:r>
              <w:rPr>
                <w:color w:val="000000"/>
              </w:rPr>
              <w:t>Figure 1.1: Global investment in clean energy and fossil fuels</w:t>
            </w:r>
            <w:r>
              <w:rPr>
                <w:color w:val="000000"/>
              </w:rPr>
              <w:tab/>
              <w:t>7</w:t>
            </w:r>
          </w:hyperlink>
        </w:p>
        <w:p w14:paraId="438A9846" w14:textId="77777777" w:rsidR="00464F92" w:rsidRDefault="002831B2">
          <w:pPr>
            <w:pBdr>
              <w:top w:val="nil"/>
              <w:left w:val="nil"/>
              <w:bottom w:val="nil"/>
              <w:right w:val="nil"/>
              <w:between w:val="nil"/>
            </w:pBdr>
            <w:tabs>
              <w:tab w:val="right" w:pos="9019"/>
            </w:tabs>
            <w:rPr>
              <w:color w:val="000000"/>
            </w:rPr>
          </w:pPr>
          <w:hyperlink w:anchor="_p3n1663ksf8n">
            <w:r>
              <w:rPr>
                <w:color w:val="000000"/>
              </w:rPr>
              <w:t>Figure 1.2: Structure of Dissertation</w:t>
            </w:r>
            <w:r>
              <w:rPr>
                <w:color w:val="000000"/>
              </w:rPr>
              <w:tab/>
              <w:t>11</w:t>
            </w:r>
          </w:hyperlink>
        </w:p>
        <w:p w14:paraId="37009976" w14:textId="77777777" w:rsidR="00464F92" w:rsidRDefault="002831B2">
          <w:pPr>
            <w:pBdr>
              <w:top w:val="nil"/>
              <w:left w:val="nil"/>
              <w:bottom w:val="nil"/>
              <w:right w:val="nil"/>
              <w:between w:val="nil"/>
            </w:pBdr>
            <w:tabs>
              <w:tab w:val="right" w:pos="9019"/>
            </w:tabs>
            <w:rPr>
              <w:color w:val="000000"/>
            </w:rPr>
          </w:pPr>
          <w:hyperlink w:anchor="_iiryzyage7ff">
            <w:r>
              <w:rPr>
                <w:color w:val="000000"/>
              </w:rPr>
              <w:t>Figure 2.1: Implementing Stakeholder Theory for Business Success</w:t>
            </w:r>
            <w:r>
              <w:rPr>
                <w:color w:val="000000"/>
              </w:rPr>
              <w:tab/>
              <w:t>25</w:t>
            </w:r>
          </w:hyperlink>
        </w:p>
        <w:p w14:paraId="2D0C0A27" w14:textId="77777777" w:rsidR="00464F92" w:rsidRDefault="002831B2">
          <w:pPr>
            <w:pBdr>
              <w:top w:val="nil"/>
              <w:left w:val="nil"/>
              <w:bottom w:val="nil"/>
              <w:right w:val="nil"/>
              <w:between w:val="nil"/>
            </w:pBdr>
            <w:tabs>
              <w:tab w:val="right" w:pos="9019"/>
            </w:tabs>
            <w:rPr>
              <w:color w:val="000000"/>
            </w:rPr>
          </w:pPr>
          <w:hyperlink w:anchor="_j0ee3edrdj5k">
            <w:r>
              <w:rPr>
                <w:color w:val="000000"/>
              </w:rPr>
              <w:t>Figure 2.2: Institutional Theory Analysis</w:t>
            </w:r>
            <w:r>
              <w:rPr>
                <w:color w:val="000000"/>
              </w:rPr>
              <w:tab/>
              <w:t>26</w:t>
            </w:r>
          </w:hyperlink>
        </w:p>
        <w:p w14:paraId="41EE3C2E" w14:textId="77777777" w:rsidR="00464F92" w:rsidRDefault="002831B2">
          <w:pPr>
            <w:pBdr>
              <w:top w:val="nil"/>
              <w:left w:val="nil"/>
              <w:bottom w:val="nil"/>
              <w:right w:val="nil"/>
              <w:between w:val="nil"/>
            </w:pBdr>
            <w:tabs>
              <w:tab w:val="right" w:pos="9019"/>
            </w:tabs>
            <w:rPr>
              <w:color w:val="000000"/>
            </w:rPr>
          </w:pPr>
          <w:hyperlink w:anchor="_dtkjb6uem3u9">
            <w:r>
              <w:rPr>
                <w:color w:val="000000"/>
              </w:rPr>
              <w:t>Figure 2.3: Conceptual Framework Analysis</w:t>
            </w:r>
            <w:r>
              <w:rPr>
                <w:color w:val="000000"/>
              </w:rPr>
              <w:tab/>
              <w:t>27</w:t>
            </w:r>
          </w:hyperlink>
        </w:p>
        <w:p w14:paraId="6B878B86" w14:textId="77777777" w:rsidR="00464F92" w:rsidRDefault="002831B2">
          <w:pPr>
            <w:pBdr>
              <w:top w:val="nil"/>
              <w:left w:val="nil"/>
              <w:bottom w:val="nil"/>
              <w:right w:val="nil"/>
              <w:between w:val="nil"/>
            </w:pBdr>
            <w:tabs>
              <w:tab w:val="right" w:pos="9019"/>
            </w:tabs>
            <w:rPr>
              <w:color w:val="000000"/>
            </w:rPr>
          </w:pPr>
          <w:hyperlink w:anchor="_ie3tyml31o8s">
            <w:r>
              <w:rPr>
                <w:color w:val="000000"/>
              </w:rPr>
              <w:t>Figure 4.1: Synthesis of Theme 1</w:t>
            </w:r>
            <w:r>
              <w:rPr>
                <w:color w:val="000000"/>
              </w:rPr>
              <w:tab/>
              <w:t>39</w:t>
            </w:r>
          </w:hyperlink>
        </w:p>
        <w:p w14:paraId="4A007337" w14:textId="77777777" w:rsidR="00464F92" w:rsidRDefault="002831B2">
          <w:pPr>
            <w:pBdr>
              <w:top w:val="nil"/>
              <w:left w:val="nil"/>
              <w:bottom w:val="nil"/>
              <w:right w:val="nil"/>
              <w:between w:val="nil"/>
            </w:pBdr>
            <w:tabs>
              <w:tab w:val="right" w:pos="9019"/>
            </w:tabs>
            <w:rPr>
              <w:color w:val="000000"/>
            </w:rPr>
          </w:pPr>
          <w:hyperlink w:anchor="_x541so5d98qp">
            <w:r>
              <w:rPr>
                <w:color w:val="000000"/>
              </w:rPr>
              <w:t>Figure 4.2: Synthesis of Theme 2</w:t>
            </w:r>
            <w:r>
              <w:rPr>
                <w:color w:val="000000"/>
              </w:rPr>
              <w:tab/>
              <w:t>41</w:t>
            </w:r>
          </w:hyperlink>
        </w:p>
        <w:p w14:paraId="0E50CF3D" w14:textId="77777777" w:rsidR="00464F92" w:rsidRDefault="002831B2">
          <w:pPr>
            <w:pBdr>
              <w:top w:val="nil"/>
              <w:left w:val="nil"/>
              <w:bottom w:val="nil"/>
              <w:right w:val="nil"/>
              <w:between w:val="nil"/>
            </w:pBdr>
            <w:tabs>
              <w:tab w:val="right" w:pos="9019"/>
            </w:tabs>
            <w:rPr>
              <w:color w:val="000000"/>
            </w:rPr>
          </w:pPr>
          <w:hyperlink w:anchor="_vn1yamvh1q1i">
            <w:r>
              <w:rPr>
                <w:color w:val="000000"/>
              </w:rPr>
              <w:t>Figure 4.3: Synthesis of Theme 3 and outcome</w:t>
            </w:r>
            <w:r>
              <w:rPr>
                <w:color w:val="000000"/>
              </w:rPr>
              <w:tab/>
              <w:t>43</w:t>
            </w:r>
          </w:hyperlink>
        </w:p>
        <w:p w14:paraId="4D2B0ADC" w14:textId="77777777" w:rsidR="00464F92" w:rsidRDefault="002831B2">
          <w:pPr>
            <w:pBdr>
              <w:top w:val="nil"/>
              <w:left w:val="nil"/>
              <w:bottom w:val="nil"/>
              <w:right w:val="nil"/>
              <w:between w:val="nil"/>
            </w:pBdr>
            <w:tabs>
              <w:tab w:val="right" w:pos="9019"/>
            </w:tabs>
            <w:rPr>
              <w:color w:val="000000"/>
            </w:rPr>
          </w:pPr>
          <w:hyperlink w:anchor="_rbn0r7cmm0ji">
            <w:r>
              <w:rPr>
                <w:color w:val="000000"/>
              </w:rPr>
              <w:t>Figure 4.4: Synthesis of Theme 4 and outcome</w:t>
            </w:r>
            <w:r>
              <w:rPr>
                <w:color w:val="000000"/>
              </w:rPr>
              <w:tab/>
              <w:t>46</w:t>
            </w:r>
          </w:hyperlink>
        </w:p>
        <w:p w14:paraId="074C8081" w14:textId="77777777" w:rsidR="00464F92" w:rsidRDefault="002831B2">
          <w:pPr>
            <w:pBdr>
              <w:top w:val="nil"/>
              <w:left w:val="nil"/>
              <w:bottom w:val="nil"/>
              <w:right w:val="nil"/>
              <w:between w:val="nil"/>
            </w:pBdr>
            <w:tabs>
              <w:tab w:val="right" w:pos="9019"/>
            </w:tabs>
            <w:rPr>
              <w:color w:val="000000"/>
            </w:rPr>
          </w:pPr>
          <w:hyperlink w:anchor="_6li6awjc6y7c">
            <w:r>
              <w:rPr>
                <w:color w:val="000000"/>
              </w:rPr>
              <w:t>Figure 4.5: Synthesis of Theme 5</w:t>
            </w:r>
            <w:r>
              <w:rPr>
                <w:color w:val="000000"/>
              </w:rPr>
              <w:tab/>
              <w:t>48</w:t>
            </w:r>
          </w:hyperlink>
          <w:r>
            <w:fldChar w:fldCharType="end"/>
          </w:r>
        </w:p>
      </w:sdtContent>
    </w:sdt>
    <w:p w14:paraId="1CEA7B87" w14:textId="77777777" w:rsidR="00464F92" w:rsidRDefault="002831B2">
      <w:pPr>
        <w:rPr>
          <w:b/>
          <w:bCs/>
          <w:sz w:val="28"/>
          <w:szCs w:val="28"/>
        </w:rPr>
      </w:pPr>
      <w:r>
        <w:br w:type="page"/>
      </w:r>
    </w:p>
    <w:p w14:paraId="6A91B964" w14:textId="77777777" w:rsidR="00464F92" w:rsidRDefault="002831B2">
      <w:pPr>
        <w:pStyle w:val="Heading1"/>
      </w:pPr>
      <w:bookmarkStart w:id="2" w:name="_Toc240715228"/>
      <w:r>
        <w:lastRenderedPageBreak/>
        <w:t>Chapter 1: Introduction</w:t>
      </w:r>
      <w:bookmarkEnd w:id="2"/>
    </w:p>
    <w:p w14:paraId="738218E0" w14:textId="77777777" w:rsidR="00464F92" w:rsidRDefault="002831B2">
      <w:pPr>
        <w:pStyle w:val="Heading2"/>
        <w:spacing w:before="0" w:after="0"/>
      </w:pPr>
      <w:bookmarkStart w:id="3" w:name="_Toc240715229"/>
      <w:r>
        <w:t>1.1 Background of the Study</w:t>
      </w:r>
      <w:bookmarkEnd w:id="3"/>
    </w:p>
    <w:p w14:paraId="61014AA0" w14:textId="7FC24335" w:rsidR="00464F92" w:rsidRDefault="002831B2">
      <w:r>
        <w:t xml:space="preserve">Environmental, Social and Governance (ESG) is important for assessing a company’s ethical behaviour, governance, and sustainability across industries. ESG provides a framework for how organisations balance the triple bottom line of environmental, social, and corporate governance, which drives long-term value creation. According to Liton </w:t>
      </w:r>
      <w:r>
        <w:rPr>
          <w:i/>
          <w:iCs/>
        </w:rPr>
        <w:t>et al</w:t>
      </w:r>
      <w:r>
        <w:t xml:space="preserve">. (2023), Foreign Direct Investment (FDI), by contrast, refers to investments by foreign investors in foreign companies. It also plays an important role in economic growth, technology exchange, and job creation in the host country. The renewable energy industry is now considered strategic in the United Kingdom, as it supports the low-carbon economy through higher investment in wind, solar, offshore energy, and other clean energy technologies. International investors are increasingly considering ESG factors, which relate to transparency, risk management, compliance, and sustainability. This also makes </w:t>
      </w:r>
      <w:r w:rsidR="006C294A">
        <w:t xml:space="preserve">investing in renewable energy </w:t>
      </w:r>
      <w:r>
        <w:t>more attractive.</w:t>
      </w:r>
    </w:p>
    <w:p w14:paraId="0998C2B5" w14:textId="77777777" w:rsidR="00464F92" w:rsidRDefault="002831B2">
      <w:r>
        <w:rPr>
          <w:noProof/>
        </w:rPr>
        <w:drawing>
          <wp:inline distT="114300" distB="114300" distL="114300" distR="114300" wp14:anchorId="0F247D19" wp14:editId="05DFD6FE">
            <wp:extent cx="5731200" cy="2654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2654300"/>
                    </a:xfrm>
                    <a:prstGeom prst="rect">
                      <a:avLst/>
                    </a:prstGeom>
                    <a:ln/>
                  </pic:spPr>
                </pic:pic>
              </a:graphicData>
            </a:graphic>
          </wp:inline>
        </w:drawing>
      </w:r>
    </w:p>
    <w:p w14:paraId="4472406B" w14:textId="77777777" w:rsidR="00464F92" w:rsidRDefault="002831B2">
      <w:pPr>
        <w:pStyle w:val="Heading5"/>
      </w:pPr>
      <w:bookmarkStart w:id="4" w:name="_8q3d3t7wrelh" w:colFirst="0" w:colLast="0"/>
      <w:bookmarkEnd w:id="4"/>
      <w:r>
        <w:t>Figure 1.1: Global investment in clean energy and fossil fuels</w:t>
      </w:r>
    </w:p>
    <w:p w14:paraId="6E1E1838" w14:textId="77777777" w:rsidR="00464F92" w:rsidRDefault="002831B2">
      <w:pPr>
        <w:jc w:val="center"/>
      </w:pPr>
      <w:r>
        <w:t>(Source: IEA, 2024)</w:t>
      </w:r>
    </w:p>
    <w:p w14:paraId="139403E6" w14:textId="293DE00D" w:rsidR="00464F92" w:rsidRDefault="002831B2">
      <w:r>
        <w:t xml:space="preserve">The increased focus on sustainable finance has improved ESG performance, which is linked with foreign investment in the UK renewable energy sector. The rise of sustainable finance has reinforced the ties between ESG performance and the UK renewable energy sector. The UK Government aims to be a net-zero greenhouse gas emitter by 2050, </w:t>
      </w:r>
      <w:r w:rsidR="000830A5">
        <w:t>driving investment</w:t>
      </w:r>
      <w:r>
        <w:t xml:space="preserve"> in renewable energy and sustainable business practices. The world is also projected to invest more than $2 trillion in clean energy in 2024 (IEA, 2024). This trend </w:t>
      </w:r>
      <w:r w:rsidR="000830A5">
        <w:t>suggests that ESG practices are becoming more important for</w:t>
      </w:r>
      <w:r>
        <w:t xml:space="preserve"> attracting foreign investment. This also increases investor </w:t>
      </w:r>
      <w:r>
        <w:lastRenderedPageBreak/>
        <w:t>confidence, which supports the long-term competitiveness and sustainability of the UK renewable energy industry.</w:t>
      </w:r>
    </w:p>
    <w:p w14:paraId="6640AC49" w14:textId="77777777" w:rsidR="008C10B6" w:rsidRDefault="008C10B6"/>
    <w:p w14:paraId="30664315" w14:textId="77777777" w:rsidR="00464F92" w:rsidRDefault="002831B2">
      <w:pPr>
        <w:pStyle w:val="Heading2"/>
        <w:spacing w:before="0" w:after="0"/>
      </w:pPr>
      <w:bookmarkStart w:id="5" w:name="_Toc240715230"/>
      <w:r>
        <w:t>1.2 Research Rationale</w:t>
      </w:r>
      <w:bookmarkEnd w:id="5"/>
    </w:p>
    <w:p w14:paraId="5E283CC4" w14:textId="77777777" w:rsidR="00464F92" w:rsidRPr="001C4B47" w:rsidRDefault="002831B2">
      <w:pPr>
        <w:rPr>
          <w:b/>
          <w:bCs/>
          <w:sz w:val="28"/>
          <w:szCs w:val="28"/>
        </w:rPr>
      </w:pPr>
      <w:r w:rsidRPr="001C4B47">
        <w:rPr>
          <w:b/>
          <w:bCs/>
          <w:sz w:val="28"/>
          <w:szCs w:val="28"/>
        </w:rPr>
        <w:t>What is the issue?</w:t>
      </w:r>
    </w:p>
    <w:p w14:paraId="48B017A0" w14:textId="77777777" w:rsidR="00464F92" w:rsidRDefault="002831B2">
      <w:r>
        <w:t xml:space="preserve">International investors need opportunities to invest in renewable energy in the global market.  It mainly focuses on environmental, social, and governance (ESG) practices related to renewable energy. Investors have come to look beyond financial metrics. According to Landi </w:t>
      </w:r>
      <w:r>
        <w:rPr>
          <w:i/>
          <w:iCs/>
        </w:rPr>
        <w:t>et al</w:t>
      </w:r>
      <w:r>
        <w:t>. (2022), Environmental stewardship is related to activities, social engagement, and governance. The application of ESG principles differs significantly for renewable energy firms in the UK. Sustainable development has become a well-rounded policy, and the reporting on it is clear for some organisations, but not for others.  Environmental, social, and economic issues and activities are not integrated. These differences make it challenging for foreign investors to judge organisations.  This also affects the risk rating of the investment.  In this context, inconsistent ESG application has become a major problem for investment decisions in the UK renewables sector.</w:t>
      </w:r>
    </w:p>
    <w:p w14:paraId="2C7ED2D7" w14:textId="77777777" w:rsidR="008C10B6" w:rsidRDefault="008C10B6"/>
    <w:p w14:paraId="26872899" w14:textId="77777777" w:rsidR="00464F92" w:rsidRPr="001C4B47" w:rsidRDefault="002831B2">
      <w:pPr>
        <w:rPr>
          <w:b/>
          <w:bCs/>
          <w:sz w:val="28"/>
          <w:szCs w:val="28"/>
        </w:rPr>
      </w:pPr>
      <w:r w:rsidRPr="001C4B47">
        <w:rPr>
          <w:b/>
          <w:bCs/>
          <w:sz w:val="28"/>
          <w:szCs w:val="28"/>
        </w:rPr>
        <w:t>Why is it an issue?</w:t>
      </w:r>
    </w:p>
    <w:p w14:paraId="2A2D3666" w14:textId="049BEDAF" w:rsidR="00464F92" w:rsidRDefault="002831B2">
      <w:r>
        <w:t xml:space="preserve">Investors investing outside the country and renewable energy businesses face issues because ESG is implemented differently. According to Ambili </w:t>
      </w:r>
      <w:r>
        <w:rPr>
          <w:i/>
          <w:iCs/>
        </w:rPr>
        <w:t>et al.</w:t>
      </w:r>
      <w:r>
        <w:t xml:space="preserve"> (2025), a poor ESG report also harms reputation for environmental compliance, corporate governance, transparency, and sustainability. The lack of transparent and comparable ESG reporting reduces the availability of useful information for investment strategies. According to Ye and Dela (2023), value growth in sustainable and socially responsible business practices is associated with renewable energy firms.  In an organisation, profitability is important and helps in creating investments in environmental protection. Employee well-being is </w:t>
      </w:r>
      <w:r w:rsidR="00BF1C6F">
        <w:t>linked to better strategic governance</w:t>
      </w:r>
      <w:r>
        <w:t>. Fewer opportunities for foreign investment for organisations with poor ESG impact the global renewables market.</w:t>
      </w:r>
    </w:p>
    <w:p w14:paraId="4320E48B" w14:textId="77777777" w:rsidR="008C10B6" w:rsidRDefault="008C10B6"/>
    <w:p w14:paraId="238C9F1A" w14:textId="77777777" w:rsidR="00464F92" w:rsidRPr="001C4B47" w:rsidRDefault="002831B2">
      <w:pPr>
        <w:rPr>
          <w:b/>
          <w:bCs/>
          <w:sz w:val="28"/>
          <w:szCs w:val="28"/>
        </w:rPr>
      </w:pPr>
      <w:r w:rsidRPr="001C4B47">
        <w:rPr>
          <w:b/>
          <w:bCs/>
          <w:sz w:val="28"/>
          <w:szCs w:val="28"/>
        </w:rPr>
        <w:t>Why is it an issue now?</w:t>
      </w:r>
    </w:p>
    <w:p w14:paraId="64C07D30" w14:textId="77777777" w:rsidR="00464F92" w:rsidRDefault="002831B2">
      <w:r>
        <w:t xml:space="preserve">The rise in ESG practices has increased attention to sustainable finance. This also highlights the priorities of governments, financial institutions, and global investors. According to Maka </w:t>
      </w:r>
      <w:r>
        <w:rPr>
          <w:i/>
          <w:iCs/>
        </w:rPr>
        <w:t>et al</w:t>
      </w:r>
      <w:r>
        <w:t xml:space="preserve">. (2024), UK as a country is looking for the net zero greenhouse gas emitter by 2050. This </w:t>
      </w:r>
      <w:r>
        <w:lastRenderedPageBreak/>
        <w:t>has put pressure on UK businesses to transition towards a more sustainable approach to energy production. Regulatory measures on ESG reporting have been tightened to provide greater transparency and accountability for companies.  This has also increased international investors' focus on ESG performance before making long-term investments in organisations. Countries worldwide are competing to attract foreign investment in the renewable energy sector by creating sustainable business environments. These developments have created a real challenge for the UK renewable energy sector and help it remain competitive in attracting investment.</w:t>
      </w:r>
    </w:p>
    <w:p w14:paraId="0FF4C78C" w14:textId="77777777" w:rsidR="008C10B6" w:rsidRDefault="008C10B6"/>
    <w:p w14:paraId="478F84FC" w14:textId="77777777" w:rsidR="00464F92" w:rsidRPr="002566B4" w:rsidRDefault="002831B2">
      <w:pPr>
        <w:rPr>
          <w:b/>
          <w:bCs/>
          <w:sz w:val="28"/>
          <w:szCs w:val="28"/>
        </w:rPr>
      </w:pPr>
      <w:r w:rsidRPr="002566B4">
        <w:rPr>
          <w:b/>
          <w:bCs/>
          <w:sz w:val="28"/>
          <w:szCs w:val="28"/>
        </w:rPr>
        <w:t>What does the research shed light upon?</w:t>
      </w:r>
    </w:p>
    <w:p w14:paraId="67ED9C9F" w14:textId="77777777" w:rsidR="00464F92" w:rsidRDefault="002831B2">
      <w:r>
        <w:t xml:space="preserve">The study provides a clear understanding of how ESG implementation attracts foreign investment. This relates to the UK renewable energy sector and will help in the future. It also highlights the environmental, social, and governance issues associated with international investors, which relate to investments in any organisation. According to Mason-Jones </w:t>
      </w:r>
      <w:r>
        <w:rPr>
          <w:i/>
          <w:iCs/>
        </w:rPr>
        <w:t>et al</w:t>
      </w:r>
      <w:r>
        <w:t>. (2022), the study also highlights the constraints renewable energy operators face, which are linked to ESG strategies such as reporting consistency, governance enhancements, and sustainability integration. The research also links strong ESG performance to building investor trust. In this, organisational reputation is important for long-term investment and also helps the organisation financially. ESG implementation also helps renewable energy companies improve ESG performance and transparency.  This also supports sustainable business practices for the UK's renewables transition that attract foreign investment.</w:t>
      </w:r>
    </w:p>
    <w:p w14:paraId="78DCAC7B" w14:textId="77777777" w:rsidR="002566B4" w:rsidRDefault="002566B4"/>
    <w:p w14:paraId="219E813D" w14:textId="77777777" w:rsidR="00464F92" w:rsidRPr="001C4B47" w:rsidRDefault="002831B2">
      <w:pPr>
        <w:pStyle w:val="Heading2"/>
        <w:spacing w:before="0" w:after="0"/>
        <w:rPr>
          <w:sz w:val="28"/>
          <w:szCs w:val="28"/>
        </w:rPr>
      </w:pPr>
      <w:bookmarkStart w:id="6" w:name="_Toc240715231"/>
      <w:r w:rsidRPr="001C4B47">
        <w:rPr>
          <w:sz w:val="28"/>
          <w:szCs w:val="28"/>
        </w:rPr>
        <w:t>1.3 Research Problem</w:t>
      </w:r>
      <w:bookmarkEnd w:id="6"/>
    </w:p>
    <w:p w14:paraId="30851870" w14:textId="081A19A2" w:rsidR="00486BD0" w:rsidRDefault="002831B2">
      <w:r>
        <w:t>There is insufficient information on how ESG practices affect investor confidence in the UK renewable energy sector and how this relates to foreign investment decisions.</w:t>
      </w:r>
    </w:p>
    <w:p w14:paraId="390DF7D9" w14:textId="723DA8C7" w:rsidR="002566B4" w:rsidRPr="002566B4" w:rsidRDefault="002831B2" w:rsidP="002566B4">
      <w:pPr>
        <w:pStyle w:val="Heading2"/>
        <w:spacing w:before="0" w:after="0"/>
        <w:rPr>
          <w:sz w:val="28"/>
          <w:szCs w:val="28"/>
        </w:rPr>
      </w:pPr>
      <w:bookmarkStart w:id="7" w:name="_Toc240715232"/>
      <w:r w:rsidRPr="001C4B47">
        <w:rPr>
          <w:sz w:val="28"/>
          <w:szCs w:val="28"/>
        </w:rPr>
        <w:t>1.4 Research Aim</w:t>
      </w:r>
      <w:bookmarkEnd w:id="7"/>
    </w:p>
    <w:p w14:paraId="07523107" w14:textId="20D05496" w:rsidR="002566B4" w:rsidRDefault="002831B2">
      <w:r>
        <w:t>To evaluate the influence of ESG practices on foreign investment in the UK energy sector.</w:t>
      </w:r>
    </w:p>
    <w:p w14:paraId="4C32CE45" w14:textId="4C1077B3" w:rsidR="00486BD0" w:rsidRPr="00486BD0" w:rsidRDefault="002831B2" w:rsidP="002566B4">
      <w:pPr>
        <w:pStyle w:val="Heading2"/>
        <w:spacing w:before="0" w:after="0"/>
      </w:pPr>
      <w:bookmarkStart w:id="8" w:name="_Toc240715233"/>
      <w:r>
        <w:t>1.5 Research Objectives</w:t>
      </w:r>
      <w:bookmarkEnd w:id="8"/>
    </w:p>
    <w:p w14:paraId="62BE4215" w14:textId="59F2B252" w:rsidR="00464F92" w:rsidRDefault="002831B2">
      <w:pPr>
        <w:numPr>
          <w:ilvl w:val="0"/>
          <w:numId w:val="1"/>
        </w:numPr>
      </w:pPr>
      <w:r>
        <w:t xml:space="preserve">To analyse how ESG </w:t>
      </w:r>
      <w:r w:rsidR="000830A5">
        <w:t>practices</w:t>
      </w:r>
      <w:r>
        <w:t xml:space="preserve"> impact foreign investment choices in the renewable energy market in the UK.</w:t>
      </w:r>
    </w:p>
    <w:p w14:paraId="37F9FA11" w14:textId="17AD97EA" w:rsidR="00464F92" w:rsidRDefault="002831B2">
      <w:pPr>
        <w:numPr>
          <w:ilvl w:val="0"/>
          <w:numId w:val="1"/>
        </w:numPr>
      </w:pPr>
      <w:r>
        <w:t>To measure the effect of the social and governance practice aspects on investor confidence and capital attraction.</w:t>
      </w:r>
    </w:p>
    <w:p w14:paraId="0BFB413C" w14:textId="77777777" w:rsidR="00464F92" w:rsidRDefault="002831B2">
      <w:pPr>
        <w:numPr>
          <w:ilvl w:val="0"/>
          <w:numId w:val="1"/>
        </w:numPr>
      </w:pPr>
      <w:r>
        <w:t>To recommend strategies to improve ESG practices to attract foreign investments to the renewable energy sector.</w:t>
      </w:r>
    </w:p>
    <w:p w14:paraId="10C28AE9" w14:textId="77777777" w:rsidR="00486BD0" w:rsidRDefault="00486BD0" w:rsidP="00486BD0">
      <w:pPr>
        <w:ind w:left="720"/>
      </w:pPr>
    </w:p>
    <w:p w14:paraId="41025338" w14:textId="77777777" w:rsidR="00464F92" w:rsidRDefault="002831B2">
      <w:pPr>
        <w:pStyle w:val="Heading2"/>
        <w:spacing w:before="0" w:after="0"/>
      </w:pPr>
      <w:bookmarkStart w:id="9" w:name="_Toc240715234"/>
      <w:r>
        <w:t>1.6 Research Questions</w:t>
      </w:r>
      <w:bookmarkEnd w:id="9"/>
    </w:p>
    <w:p w14:paraId="113F5C92" w14:textId="77777777" w:rsidR="00464F92" w:rsidRDefault="002831B2">
      <w:pPr>
        <w:numPr>
          <w:ilvl w:val="0"/>
          <w:numId w:val="2"/>
        </w:numPr>
      </w:pPr>
      <w:r>
        <w:t>What is the effect of ESG practices on foreign investment in the UK renewable energy sector?</w:t>
      </w:r>
    </w:p>
    <w:p w14:paraId="46CEFC9E" w14:textId="39B02242" w:rsidR="00464F92" w:rsidRDefault="002831B2">
      <w:pPr>
        <w:numPr>
          <w:ilvl w:val="0"/>
          <w:numId w:val="2"/>
        </w:numPr>
      </w:pPr>
      <w:r>
        <w:t xml:space="preserve">What role do </w:t>
      </w:r>
      <w:r w:rsidR="00607985">
        <w:t>social</w:t>
      </w:r>
      <w:r>
        <w:t xml:space="preserve"> and governance issues play in placating investors and in raising capital?</w:t>
      </w:r>
    </w:p>
    <w:p w14:paraId="1507AF15" w14:textId="25E4B641" w:rsidR="00F81537" w:rsidRDefault="002831B2" w:rsidP="00F81537">
      <w:pPr>
        <w:numPr>
          <w:ilvl w:val="0"/>
          <w:numId w:val="2"/>
        </w:numPr>
      </w:pPr>
      <w:r>
        <w:t>How can ESG work better to attract more foreign investment into the renewables sector?</w:t>
      </w:r>
    </w:p>
    <w:p w14:paraId="51EBE633" w14:textId="77777777" w:rsidR="00464F92" w:rsidRDefault="002831B2">
      <w:pPr>
        <w:pStyle w:val="Heading2"/>
        <w:spacing w:before="0" w:after="0"/>
      </w:pPr>
      <w:bookmarkStart w:id="10" w:name="_Toc240715235"/>
      <w:r>
        <w:t>1.7 Significance of the Study</w:t>
      </w:r>
      <w:bookmarkEnd w:id="10"/>
    </w:p>
    <w:p w14:paraId="61EB13A2" w14:textId="77777777" w:rsidR="00464F92" w:rsidRDefault="002831B2">
      <w:r>
        <w:t>This research examines the correlation between Environmental, Social, and Governance (ESG) practices and foreign investment attraction in the UK renewable energy sector. It also highlights sustainable finance and the impact of ESG performance on investment in a rapidly expanding field. According to Wu and Jin (2022), the research also helps clarify the role of commitment to environmental sustainability, social responsibility, and governance quality. This relates to improving investment attractiveness. The results provide practical guidance for renewable energy companies to improve ESG implementation. It also helps foreign investors understand investment considerations when investing in ESG. It also helps policymakers design efficient policies that support sustainable foreign investment associated with renewable energy in the long run.</w:t>
      </w:r>
    </w:p>
    <w:p w14:paraId="125D1747" w14:textId="77777777" w:rsidR="00464F92" w:rsidRDefault="002831B2">
      <w:r>
        <w:t>The social implications relate to energy renewability, which helps the organisation build a bond among employees. Management highlights best-practice ideas linked to leaders, where ESG principles need to be maintained. Business strategies strengthen corporate governance, which is associated with sustainability performance and builds investor trust. The results support management's use of responsible decision-making to ensure the organisation's sustainability goals. From a societal perspective, the research supports sustainable economic development, which is linked to the business investment process. It encourages the United Kingdom to invest more in renewable energy projects to support the country's transition to a low-carbon economy. This study highlights the social and environmental benefits of good ESG practice associated with environmental protection. In this context, corporate responsibility is linked to long-term sustainable development goals.</w:t>
      </w:r>
    </w:p>
    <w:p w14:paraId="009CC53D" w14:textId="77777777" w:rsidR="001F58FD" w:rsidRDefault="001F58FD"/>
    <w:p w14:paraId="61865DE8" w14:textId="77777777" w:rsidR="001F58FD" w:rsidRDefault="001F58FD"/>
    <w:p w14:paraId="00E6B929" w14:textId="77777777" w:rsidR="001F58FD" w:rsidRDefault="001F58FD"/>
    <w:p w14:paraId="4F91C941" w14:textId="77777777" w:rsidR="001F58FD" w:rsidRDefault="001F58FD"/>
    <w:p w14:paraId="1852C813" w14:textId="77777777" w:rsidR="00464F92" w:rsidRDefault="002831B2">
      <w:pPr>
        <w:pStyle w:val="Heading2"/>
        <w:spacing w:before="0" w:after="0"/>
      </w:pPr>
      <w:bookmarkStart w:id="11" w:name="_Toc240715236"/>
      <w:r>
        <w:t>1.8 Structure of the Dissertation</w:t>
      </w:r>
      <w:bookmarkEnd w:id="11"/>
    </w:p>
    <w:p w14:paraId="3AD24D1B" w14:textId="77777777" w:rsidR="00464F92" w:rsidRDefault="00464F92"/>
    <w:p w14:paraId="30E4D43C" w14:textId="77777777" w:rsidR="00464F92" w:rsidRDefault="002831B2">
      <w:r>
        <w:rPr>
          <w:noProof/>
        </w:rPr>
        <w:drawing>
          <wp:inline distT="114300" distB="114300" distL="114300" distR="114300" wp14:anchorId="77477682" wp14:editId="0B9A47D3">
            <wp:extent cx="5162550" cy="41052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162550" cy="4105275"/>
                    </a:xfrm>
                    <a:prstGeom prst="rect">
                      <a:avLst/>
                    </a:prstGeom>
                    <a:ln/>
                  </pic:spPr>
                </pic:pic>
              </a:graphicData>
            </a:graphic>
          </wp:inline>
        </w:drawing>
      </w:r>
    </w:p>
    <w:p w14:paraId="55AEC9F4" w14:textId="77777777" w:rsidR="00464F92" w:rsidRDefault="002831B2">
      <w:pPr>
        <w:pStyle w:val="Heading5"/>
      </w:pPr>
      <w:bookmarkStart w:id="12" w:name="_p3n1663ksf8n" w:colFirst="0" w:colLast="0"/>
      <w:bookmarkEnd w:id="12"/>
      <w:r>
        <w:t>Figure 1.2: Structure of Dissertation</w:t>
      </w:r>
    </w:p>
    <w:p w14:paraId="2D866C69" w14:textId="77777777" w:rsidR="00464F92" w:rsidRDefault="002831B2">
      <w:pPr>
        <w:jc w:val="center"/>
      </w:pPr>
      <w:r>
        <w:t>(Source: self-created)</w:t>
      </w:r>
    </w:p>
    <w:p w14:paraId="18F9B8A9" w14:textId="77777777" w:rsidR="00464F92" w:rsidRDefault="00464F92"/>
    <w:p w14:paraId="3F2DEDEE" w14:textId="77777777" w:rsidR="00464F92" w:rsidRDefault="00464F92"/>
    <w:p w14:paraId="600DA8B0" w14:textId="77777777" w:rsidR="00464F92" w:rsidRDefault="002831B2">
      <w:r>
        <w:br w:type="page"/>
      </w:r>
    </w:p>
    <w:p w14:paraId="070D50FE" w14:textId="77777777" w:rsidR="00464F92" w:rsidRDefault="002831B2">
      <w:pPr>
        <w:pStyle w:val="Heading1"/>
      </w:pPr>
      <w:bookmarkStart w:id="13" w:name="_Toc240715237"/>
      <w:r>
        <w:lastRenderedPageBreak/>
        <w:t>Chapter 2: Literature Review</w:t>
      </w:r>
      <w:bookmarkEnd w:id="13"/>
      <w:r>
        <w:t xml:space="preserve"> </w:t>
      </w:r>
    </w:p>
    <w:p w14:paraId="24E8C6B7" w14:textId="77777777" w:rsidR="00464F92" w:rsidRDefault="002831B2">
      <w:pPr>
        <w:pStyle w:val="Heading2"/>
        <w:spacing w:before="0" w:after="0"/>
      </w:pPr>
      <w:bookmarkStart w:id="14" w:name="_Toc240715238"/>
      <w:r>
        <w:t>2.1 Introduction</w:t>
      </w:r>
      <w:bookmarkEnd w:id="14"/>
    </w:p>
    <w:p w14:paraId="111C14ED" w14:textId="77777777" w:rsidR="00464F92" w:rsidRDefault="002831B2">
      <w:r>
        <w:t>This chapter reviews the contribution of Environmental, Social and Governance (ESG) principles to securing foreign investment in the UK renewable energy sector. The literature review examines current empirical studies on the relationship between investor confidence, capital allocation, foreign investment decisions, and ESG performance. It also discusses environmental, social, and governance aspects individually and from a holistic investment-attraction perspective. The chapter also provides a theoretical basis and conceptual framework for the study, highlights gaps in the existing literature and summarises the main themes reviewed.</w:t>
      </w:r>
    </w:p>
    <w:p w14:paraId="7D5B95A5" w14:textId="77777777" w:rsidR="00464F92" w:rsidRDefault="002831B2">
      <w:pPr>
        <w:pStyle w:val="Heading2"/>
        <w:spacing w:before="0" w:after="0"/>
      </w:pPr>
      <w:bookmarkStart w:id="15" w:name="_Toc240715239"/>
      <w:r>
        <w:t>2.2 Empirical Studies</w:t>
      </w:r>
      <w:bookmarkEnd w:id="15"/>
    </w:p>
    <w:p w14:paraId="3D88DB12" w14:textId="77777777" w:rsidR="00464F92" w:rsidRDefault="002831B2">
      <w:pPr>
        <w:rPr>
          <w:b/>
          <w:bCs/>
        </w:rPr>
      </w:pPr>
      <w:r>
        <w:rPr>
          <w:b/>
          <w:bCs/>
        </w:rPr>
        <w:t>Table 2.1: Table of Literature</w:t>
      </w:r>
    </w:p>
    <w:tbl>
      <w:tblPr>
        <w:tblStyle w:val="a"/>
        <w:tblW w:w="9025" w:type="dxa"/>
        <w:tblInd w:w="1" w:type="dxa"/>
        <w:tblBorders>
          <w:top w:val="nil"/>
          <w:left w:val="nil"/>
          <w:bottom w:val="nil"/>
          <w:right w:val="nil"/>
          <w:insideH w:val="nil"/>
          <w:insideV w:val="nil"/>
        </w:tblBorders>
        <w:tblLayout w:type="fixed"/>
        <w:tblLook w:val="0600" w:firstRow="0" w:lastRow="0" w:firstColumn="0" w:lastColumn="0" w:noHBand="1" w:noVBand="1"/>
      </w:tblPr>
      <w:tblGrid>
        <w:gridCol w:w="1195"/>
        <w:gridCol w:w="1267"/>
        <w:gridCol w:w="1314"/>
        <w:gridCol w:w="1375"/>
        <w:gridCol w:w="1303"/>
        <w:gridCol w:w="1315"/>
        <w:gridCol w:w="1256"/>
      </w:tblGrid>
      <w:tr w:rsidR="00464F92" w14:paraId="3324C044" w14:textId="77777777">
        <w:trPr>
          <w:trHeight w:val="785"/>
        </w:trPr>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490C3E" w14:textId="77777777" w:rsidR="00464F92" w:rsidRDefault="002831B2">
            <w:pPr>
              <w:jc w:val="center"/>
            </w:pPr>
            <w:r>
              <w:rPr>
                <w:b/>
                <w:bCs/>
              </w:rPr>
              <w:t>Author</w:t>
            </w:r>
          </w:p>
        </w:tc>
        <w:tc>
          <w:tcPr>
            <w:tcW w:w="1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678408" w14:textId="77777777" w:rsidR="00464F92" w:rsidRDefault="002831B2">
            <w:pPr>
              <w:jc w:val="center"/>
            </w:pPr>
            <w:r>
              <w:rPr>
                <w:b/>
                <w:bCs/>
              </w:rPr>
              <w:t>Journal</w:t>
            </w:r>
          </w:p>
        </w:tc>
        <w:tc>
          <w:tcPr>
            <w:tcW w:w="13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411B1F" w14:textId="77777777" w:rsidR="00464F92" w:rsidRDefault="002831B2">
            <w:pPr>
              <w:jc w:val="center"/>
            </w:pPr>
            <w:r>
              <w:rPr>
                <w:b/>
                <w:bCs/>
              </w:rPr>
              <w:t>Title</w:t>
            </w:r>
          </w:p>
        </w:tc>
        <w:tc>
          <w:tcPr>
            <w:tcW w:w="1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BA439C" w14:textId="77777777" w:rsidR="00464F92" w:rsidRDefault="002831B2">
            <w:pPr>
              <w:jc w:val="center"/>
            </w:pPr>
            <w:r>
              <w:rPr>
                <w:b/>
                <w:bCs/>
              </w:rPr>
              <w:t>Methodology</w:t>
            </w:r>
          </w:p>
        </w:tc>
        <w:tc>
          <w:tcPr>
            <w:tcW w:w="13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C09F39" w14:textId="77777777" w:rsidR="00464F92" w:rsidRDefault="002831B2">
            <w:pPr>
              <w:jc w:val="center"/>
            </w:pPr>
            <w:r>
              <w:rPr>
                <w:b/>
                <w:bCs/>
              </w:rPr>
              <w:t>Coverage</w:t>
            </w:r>
          </w:p>
        </w:tc>
        <w:tc>
          <w:tcPr>
            <w:tcW w:w="1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92899" w14:textId="77777777" w:rsidR="00464F92" w:rsidRDefault="002831B2">
            <w:pPr>
              <w:jc w:val="center"/>
            </w:pPr>
            <w:r>
              <w:rPr>
                <w:b/>
                <w:bCs/>
              </w:rPr>
              <w:t>Summary of Findings</w:t>
            </w:r>
          </w:p>
        </w:tc>
        <w:tc>
          <w:tcPr>
            <w:tcW w:w="1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8735B8" w14:textId="77777777" w:rsidR="00464F92" w:rsidRDefault="002831B2">
            <w:pPr>
              <w:jc w:val="center"/>
            </w:pPr>
            <w:r>
              <w:rPr>
                <w:b/>
                <w:bCs/>
              </w:rPr>
              <w:t>Research Gaps</w:t>
            </w:r>
          </w:p>
        </w:tc>
      </w:tr>
      <w:tr w:rsidR="00464F92" w14:paraId="377D4558" w14:textId="77777777">
        <w:trPr>
          <w:trHeight w:val="4370"/>
        </w:trPr>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F0C42D" w14:textId="77777777" w:rsidR="00464F92" w:rsidRDefault="002831B2">
            <w:r>
              <w:t xml:space="preserve">Alkaraan </w:t>
            </w:r>
            <w:r>
              <w:rPr>
                <w:i/>
                <w:iCs/>
              </w:rPr>
              <w:t>et al</w:t>
            </w:r>
            <w:r>
              <w:t>. (2023)</w:t>
            </w:r>
          </w:p>
        </w:tc>
        <w:tc>
          <w:tcPr>
            <w:tcW w:w="1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A2B329" w14:textId="77777777" w:rsidR="00464F92" w:rsidRDefault="002831B2">
            <w:r>
              <w:t>Technological Forecasting and Social Chang</w:t>
            </w:r>
            <w:r>
              <w:rPr>
                <w:i/>
                <w:iCs/>
              </w:rPr>
              <w:t>e</w:t>
            </w:r>
          </w:p>
        </w:tc>
        <w:tc>
          <w:tcPr>
            <w:tcW w:w="13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C00A4F" w14:textId="77777777" w:rsidR="00464F92" w:rsidRDefault="002831B2">
            <w:r>
              <w:t>Sustainable Strategic Investment Decision-Making Practices in UK Companies</w:t>
            </w:r>
          </w:p>
        </w:tc>
        <w:tc>
          <w:tcPr>
            <w:tcW w:w="1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82715" w14:textId="77777777" w:rsidR="00464F92" w:rsidRDefault="002831B2">
            <w:r>
              <w:t>Quantitative empirical study using UK company data</w:t>
            </w:r>
          </w:p>
        </w:tc>
        <w:tc>
          <w:tcPr>
            <w:tcW w:w="13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E014D0" w14:textId="77777777" w:rsidR="00464F92" w:rsidRDefault="002831B2">
            <w:r>
              <w:t>UK firms implementing Industry 4.0, Circular Economy and governance mechanisms</w:t>
            </w:r>
          </w:p>
        </w:tc>
        <w:tc>
          <w:tcPr>
            <w:tcW w:w="1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8B54A4" w14:textId="77777777" w:rsidR="00464F92" w:rsidRDefault="002831B2">
            <w:r>
              <w:t>Strong governance enhances sustainable investment decisions by integrating Industry 4.0 with circular economy initiatives, improving long-term investment attractiven</w:t>
            </w:r>
            <w:r>
              <w:lastRenderedPageBreak/>
              <w:t xml:space="preserve">ess (Alkar </w:t>
            </w:r>
            <w:r>
              <w:rPr>
                <w:i/>
                <w:iCs/>
              </w:rPr>
              <w:t>et al</w:t>
            </w:r>
            <w:r>
              <w:t>., 2023).</w:t>
            </w:r>
          </w:p>
        </w:tc>
        <w:tc>
          <w:tcPr>
            <w:tcW w:w="1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3AF2B0" w14:textId="77777777" w:rsidR="00464F92" w:rsidRDefault="002831B2">
            <w:r>
              <w:lastRenderedPageBreak/>
              <w:t>Does not specifically investigate renewable energy firms or the influence of ESG on foreign direct investment (FDI).</w:t>
            </w:r>
          </w:p>
        </w:tc>
      </w:tr>
      <w:tr w:rsidR="00464F92" w14:paraId="60BEFEED" w14:textId="77777777">
        <w:trPr>
          <w:trHeight w:val="3260"/>
        </w:trPr>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DA211A" w14:textId="77777777" w:rsidR="00464F92" w:rsidRDefault="002831B2">
            <w:r>
              <w:t>Ayadi and Hunjra (2025)</w:t>
            </w:r>
          </w:p>
        </w:tc>
        <w:tc>
          <w:tcPr>
            <w:tcW w:w="1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34BE02" w14:textId="77777777" w:rsidR="00464F92" w:rsidRDefault="002831B2">
            <w:r>
              <w:t>Business Ethics, the Environment &amp; Responsibility</w:t>
            </w:r>
          </w:p>
        </w:tc>
        <w:tc>
          <w:tcPr>
            <w:tcW w:w="13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6A2B38" w14:textId="77777777" w:rsidR="00464F92" w:rsidRDefault="002831B2">
            <w:r>
              <w:t>Firms in Times of Economic Uncertainty: Digital Integration to Counter Information Asymmetry and ESG Controversies</w:t>
            </w:r>
          </w:p>
        </w:tc>
        <w:tc>
          <w:tcPr>
            <w:tcW w:w="1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08CAAC" w14:textId="77777777" w:rsidR="00464F92" w:rsidRDefault="002831B2">
            <w:r>
              <w:t>Quantitative analysis</w:t>
            </w:r>
          </w:p>
        </w:tc>
        <w:tc>
          <w:tcPr>
            <w:tcW w:w="13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5425B1" w14:textId="77777777" w:rsidR="00464F92" w:rsidRDefault="002831B2">
            <w:r>
              <w:t>Firms operating under economic uncertainty</w:t>
            </w:r>
          </w:p>
        </w:tc>
        <w:tc>
          <w:tcPr>
            <w:tcW w:w="1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36BEC9" w14:textId="77777777" w:rsidR="00464F92" w:rsidRDefault="002831B2">
            <w:r>
              <w:t>Digital integration reduces information asymmetry and mitigates ESG controversies, improving investor confidence (Ayadi and Hunjra, 2025).</w:t>
            </w:r>
          </w:p>
        </w:tc>
        <w:tc>
          <w:tcPr>
            <w:tcW w:w="1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41E370" w14:textId="77777777" w:rsidR="00464F92" w:rsidRDefault="002831B2">
            <w:r>
              <w:t>Focuses on digital integration rather than renewable energy investment or UK-specific FDI.</w:t>
            </w:r>
          </w:p>
        </w:tc>
      </w:tr>
      <w:tr w:rsidR="00464F92" w14:paraId="622959DB" w14:textId="77777777">
        <w:trPr>
          <w:trHeight w:val="3260"/>
        </w:trPr>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46AFA1" w14:textId="77777777" w:rsidR="00464F92" w:rsidRDefault="002831B2">
            <w:r>
              <w:lastRenderedPageBreak/>
              <w:t>Banerjee and David (2024)</w:t>
            </w:r>
          </w:p>
        </w:tc>
        <w:tc>
          <w:tcPr>
            <w:tcW w:w="1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CC6BB0" w14:textId="77777777" w:rsidR="00464F92" w:rsidRDefault="002831B2">
            <w:r>
              <w:t>Qualitative Research in Financial Markets</w:t>
            </w:r>
          </w:p>
        </w:tc>
        <w:tc>
          <w:tcPr>
            <w:tcW w:w="13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4BFB41" w14:textId="77777777" w:rsidR="00464F92" w:rsidRDefault="002831B2">
            <w:r>
              <w:t>Does ESG Really Matter? Assessing ESG in Indian Investors’ Decision-Making Dynamics</w:t>
            </w:r>
          </w:p>
        </w:tc>
        <w:tc>
          <w:tcPr>
            <w:tcW w:w="1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F2CEEB" w14:textId="77777777" w:rsidR="00464F92" w:rsidRDefault="002831B2">
            <w:r>
              <w:t>Qualitative interviews</w:t>
            </w:r>
          </w:p>
        </w:tc>
        <w:tc>
          <w:tcPr>
            <w:tcW w:w="13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F8F332" w14:textId="77777777" w:rsidR="00464F92" w:rsidRDefault="002831B2">
            <w:r>
              <w:t>Indian investment market</w:t>
            </w:r>
          </w:p>
        </w:tc>
        <w:tc>
          <w:tcPr>
            <w:tcW w:w="1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96BFAD" w14:textId="77777777" w:rsidR="00464F92" w:rsidRDefault="002831B2">
            <w:r>
              <w:t>ESG factors increasingly influence investor decisions, particularly environmental and governance dimensions (Banerjee &amp; David, 2024.</w:t>
            </w:r>
          </w:p>
        </w:tc>
        <w:tc>
          <w:tcPr>
            <w:tcW w:w="1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4402BA" w14:textId="77777777" w:rsidR="00464F92" w:rsidRDefault="002831B2">
            <w:r>
              <w:t>Context limited to India and domestic investors rather than international investment in UK renewable energy.</w:t>
            </w:r>
          </w:p>
        </w:tc>
      </w:tr>
      <w:tr w:rsidR="00464F92" w14:paraId="063FD867" w14:textId="77777777">
        <w:trPr>
          <w:trHeight w:val="2720"/>
        </w:trPr>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6920EA" w14:textId="77777777" w:rsidR="00464F92" w:rsidRDefault="002831B2">
            <w:r>
              <w:t>Basile and Ferrari (2024)</w:t>
            </w:r>
          </w:p>
        </w:tc>
        <w:tc>
          <w:tcPr>
            <w:tcW w:w="1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20A299" w14:textId="77777777" w:rsidR="00464F92" w:rsidRDefault="002831B2">
            <w:r>
              <w:t>Contributions to Finance and Accounting</w:t>
            </w:r>
          </w:p>
        </w:tc>
        <w:tc>
          <w:tcPr>
            <w:tcW w:w="13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0AAF82" w14:textId="77777777" w:rsidR="00464F92" w:rsidRDefault="002831B2">
            <w:r>
              <w:t>Integrating Sustainability Criteria into the Investment Process</w:t>
            </w:r>
          </w:p>
        </w:tc>
        <w:tc>
          <w:tcPr>
            <w:tcW w:w="1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FBE599" w14:textId="77777777" w:rsidR="00464F92" w:rsidRDefault="002831B2">
            <w:r>
              <w:t>Conceptual and literature-based analysis</w:t>
            </w:r>
          </w:p>
        </w:tc>
        <w:tc>
          <w:tcPr>
            <w:tcW w:w="13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A3CA1D" w14:textId="77777777" w:rsidR="00464F92" w:rsidRDefault="002831B2">
            <w:r>
              <w:t>Sustainable investment processes across financial markets</w:t>
            </w:r>
          </w:p>
        </w:tc>
        <w:tc>
          <w:tcPr>
            <w:tcW w:w="1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DA8D5" w14:textId="77777777" w:rsidR="00464F92" w:rsidRDefault="002831B2">
            <w:r>
              <w:t>ESG integration strengthens portfolio quality and supports responsible investment decisions (Basile &amp; Ferrari, 2024).</w:t>
            </w:r>
          </w:p>
        </w:tc>
        <w:tc>
          <w:tcPr>
            <w:tcW w:w="1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92B53E" w14:textId="77777777" w:rsidR="00464F92" w:rsidRDefault="002831B2">
            <w:r>
              <w:t>Lacks empirical evidence and does not analyse renewable energy FDI attraction.</w:t>
            </w:r>
          </w:p>
        </w:tc>
      </w:tr>
      <w:tr w:rsidR="00464F92" w14:paraId="4F4E30E3" w14:textId="77777777">
        <w:trPr>
          <w:trHeight w:val="2720"/>
        </w:trPr>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5DA8D4" w14:textId="77777777" w:rsidR="00464F92" w:rsidRDefault="002831B2">
            <w:r>
              <w:lastRenderedPageBreak/>
              <w:t>Bhandari and Chaudhry (2025)</w:t>
            </w:r>
          </w:p>
        </w:tc>
        <w:tc>
          <w:tcPr>
            <w:tcW w:w="1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22BCCF" w14:textId="712A313B" w:rsidR="00464F92" w:rsidRDefault="002831B2">
            <w:r>
              <w:t xml:space="preserve">Development and Learning in </w:t>
            </w:r>
            <w:r w:rsidR="000830A5">
              <w:t>Organisations</w:t>
            </w:r>
          </w:p>
        </w:tc>
        <w:tc>
          <w:tcPr>
            <w:tcW w:w="13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B22B57" w14:textId="77777777" w:rsidR="00464F92" w:rsidRDefault="002831B2">
            <w:r>
              <w:t>Inclusivity for a Diverse Workforce: Organisational Initiatives for a Sustainable Solution</w:t>
            </w:r>
          </w:p>
        </w:tc>
        <w:tc>
          <w:tcPr>
            <w:tcW w:w="1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356FCB" w14:textId="77777777" w:rsidR="00464F92" w:rsidRDefault="002831B2">
            <w:r>
              <w:t>Conceptual review</w:t>
            </w:r>
          </w:p>
        </w:tc>
        <w:tc>
          <w:tcPr>
            <w:tcW w:w="13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0E614A" w14:textId="77777777" w:rsidR="00464F92" w:rsidRDefault="002831B2">
            <w:r>
              <w:t>Organisational sustainability and workforce diversity</w:t>
            </w:r>
          </w:p>
        </w:tc>
        <w:tc>
          <w:tcPr>
            <w:tcW w:w="1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B7239B" w14:textId="77777777" w:rsidR="00464F92" w:rsidRDefault="002831B2">
            <w:r>
              <w:t>Workforce inclusivity strengthens social sustainability and organisational performance (Bhandari &amp; Chaudhry, 2025).</w:t>
            </w:r>
          </w:p>
        </w:tc>
        <w:tc>
          <w:tcPr>
            <w:tcW w:w="1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DDD556" w14:textId="77777777" w:rsidR="00464F92" w:rsidRDefault="002831B2">
            <w:r>
              <w:t>Does not examine investor behaviour, renewable energy or foreign investment attraction.</w:t>
            </w:r>
          </w:p>
        </w:tc>
      </w:tr>
      <w:tr w:rsidR="00464F92" w14:paraId="1AEFB6F7" w14:textId="77777777">
        <w:trPr>
          <w:trHeight w:val="3260"/>
        </w:trPr>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B65CD8" w14:textId="77777777" w:rsidR="00464F92" w:rsidRDefault="002831B2">
            <w:r>
              <w:t>Bridget and Acheampong (2024)</w:t>
            </w:r>
          </w:p>
        </w:tc>
        <w:tc>
          <w:tcPr>
            <w:tcW w:w="1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147EEB" w14:textId="77777777" w:rsidR="00464F92" w:rsidRDefault="002831B2">
            <w:r>
              <w:t>Energy Research &amp; Social Science</w:t>
            </w:r>
          </w:p>
        </w:tc>
        <w:tc>
          <w:tcPr>
            <w:tcW w:w="13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55DCE7" w14:textId="77777777" w:rsidR="00464F92" w:rsidRDefault="002831B2">
            <w:r>
              <w:t>Crowdfunding Renewable Energy Investments: Investor Perceptions and Decision-Making Factors</w:t>
            </w:r>
          </w:p>
        </w:tc>
        <w:tc>
          <w:tcPr>
            <w:tcW w:w="1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087A77" w14:textId="77777777" w:rsidR="00464F92" w:rsidRDefault="002831B2">
            <w:r>
              <w:t>Quantitative survey</w:t>
            </w:r>
          </w:p>
        </w:tc>
        <w:tc>
          <w:tcPr>
            <w:tcW w:w="13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4ED3F6" w14:textId="77777777" w:rsidR="00464F92" w:rsidRDefault="002831B2">
            <w:r>
              <w:t>Renewable energy investment in an emerging economy</w:t>
            </w:r>
          </w:p>
        </w:tc>
        <w:tc>
          <w:tcPr>
            <w:tcW w:w="1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266F10" w14:textId="77777777" w:rsidR="00464F92" w:rsidRDefault="002831B2">
            <w:r>
              <w:t>Environmental awareness, trust and financial returns significantly influence renewable energy investment decisions (Bridget &amp; Acheampong, 2024).</w:t>
            </w:r>
          </w:p>
        </w:tc>
        <w:tc>
          <w:tcPr>
            <w:tcW w:w="1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7FABD3" w14:textId="77777777" w:rsidR="00464F92" w:rsidRDefault="002831B2">
            <w:r>
              <w:t>Examines crowdfunding rather than institutional foreign investment and is outside the UK context.</w:t>
            </w:r>
          </w:p>
        </w:tc>
      </w:tr>
      <w:tr w:rsidR="00464F92" w14:paraId="36D20AAE" w14:textId="77777777">
        <w:trPr>
          <w:trHeight w:val="2435"/>
        </w:trPr>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4AD833" w14:textId="77777777" w:rsidR="00464F92" w:rsidRDefault="002831B2">
            <w:r>
              <w:lastRenderedPageBreak/>
              <w:t>Chan and Hazan (2022)</w:t>
            </w:r>
          </w:p>
        </w:tc>
        <w:tc>
          <w:tcPr>
            <w:tcW w:w="1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551EC1" w14:textId="77777777" w:rsidR="00464F92" w:rsidRDefault="002831B2">
            <w:r>
              <w:t>SSM - Mental Health</w:t>
            </w:r>
          </w:p>
        </w:tc>
        <w:tc>
          <w:tcPr>
            <w:tcW w:w="13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89A01E" w14:textId="77777777" w:rsidR="00464F92" w:rsidRDefault="002831B2">
            <w:r>
              <w:t>The Health Hexagon Model</w:t>
            </w:r>
          </w:p>
        </w:tc>
        <w:tc>
          <w:tcPr>
            <w:tcW w:w="1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D055BE" w14:textId="77777777" w:rsidR="00464F92" w:rsidRDefault="002831B2">
            <w:r>
              <w:t>Conceptual model</w:t>
            </w:r>
          </w:p>
        </w:tc>
        <w:tc>
          <w:tcPr>
            <w:tcW w:w="13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7658BB" w14:textId="77777777" w:rsidR="00464F92" w:rsidRDefault="002831B2">
            <w:r>
              <w:t>Public health and sustainability</w:t>
            </w:r>
          </w:p>
        </w:tc>
        <w:tc>
          <w:tcPr>
            <w:tcW w:w="1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36B754" w14:textId="77777777" w:rsidR="00464F92" w:rsidRDefault="002831B2">
            <w:r>
              <w:t>Introduces a holistic sustainability framework linking wellbeing and resilience (Chan &amp; Hazan, 2022).</w:t>
            </w:r>
          </w:p>
        </w:tc>
        <w:tc>
          <w:tcPr>
            <w:tcW w:w="1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23F09A" w14:textId="77777777" w:rsidR="00464F92" w:rsidRDefault="002831B2">
            <w:r>
              <w:t>Not related to ESG investment, renewable energy or foreign investment decisions.</w:t>
            </w:r>
          </w:p>
        </w:tc>
      </w:tr>
      <w:tr w:rsidR="00464F92" w14:paraId="1EA93164" w14:textId="77777777">
        <w:trPr>
          <w:trHeight w:val="2990"/>
        </w:trPr>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07AAC" w14:textId="77777777" w:rsidR="00464F92" w:rsidRDefault="002831B2">
            <w:r>
              <w:t>Cruz and Matos (2023)</w:t>
            </w:r>
          </w:p>
        </w:tc>
        <w:tc>
          <w:tcPr>
            <w:tcW w:w="1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9EDA92" w14:textId="77777777" w:rsidR="00464F92" w:rsidRDefault="002831B2">
            <w:r>
              <w:t>Sustainability</w:t>
            </w:r>
          </w:p>
        </w:tc>
        <w:tc>
          <w:tcPr>
            <w:tcW w:w="13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33F4D2" w14:textId="77777777" w:rsidR="00464F92" w:rsidRDefault="002831B2">
            <w:r>
              <w:t>ESG Maturity: A Software Framework for the Challenges of ESG Data in Investment</w:t>
            </w:r>
          </w:p>
        </w:tc>
        <w:tc>
          <w:tcPr>
            <w:tcW w:w="1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43F7B4" w14:textId="77777777" w:rsidR="00464F92" w:rsidRDefault="002831B2">
            <w:r>
              <w:t>Framework development</w:t>
            </w:r>
          </w:p>
        </w:tc>
        <w:tc>
          <w:tcPr>
            <w:tcW w:w="13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827EF2" w14:textId="77777777" w:rsidR="00464F92" w:rsidRDefault="002831B2">
            <w:r>
              <w:t>ESG data management and investment systems</w:t>
            </w:r>
          </w:p>
        </w:tc>
        <w:tc>
          <w:tcPr>
            <w:tcW w:w="1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4CD97D" w14:textId="77777777" w:rsidR="00464F92" w:rsidRDefault="002831B2">
            <w:r>
              <w:t>ESG data quality and maturity improve investment transparency and support better decision-making (Cruz and Matos, 2023).</w:t>
            </w:r>
          </w:p>
        </w:tc>
        <w:tc>
          <w:tcPr>
            <w:tcW w:w="1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406682" w14:textId="77777777" w:rsidR="00464F92" w:rsidRDefault="002831B2">
            <w:r>
              <w:t>Does not examine investor behaviour or renewable energy sector-specific investment.</w:t>
            </w:r>
          </w:p>
        </w:tc>
      </w:tr>
      <w:tr w:rsidR="00464F92" w14:paraId="7A9E9F50" w14:textId="77777777">
        <w:trPr>
          <w:trHeight w:val="2990"/>
        </w:trPr>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D88A97" w14:textId="77777777" w:rsidR="00464F92" w:rsidRDefault="002831B2">
            <w:r>
              <w:lastRenderedPageBreak/>
              <w:t>Daugaard and Ding (2022)</w:t>
            </w:r>
          </w:p>
        </w:tc>
        <w:tc>
          <w:tcPr>
            <w:tcW w:w="1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49B037" w14:textId="77777777" w:rsidR="00464F92" w:rsidRDefault="002831B2">
            <w:r>
              <w:t>Sustainability</w:t>
            </w:r>
          </w:p>
        </w:tc>
        <w:tc>
          <w:tcPr>
            <w:tcW w:w="13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F9F8AF" w14:textId="77777777" w:rsidR="00464F92" w:rsidRDefault="002831B2">
            <w:r>
              <w:t>Global Drivers for ESG Performance: The Body of Knowledge</w:t>
            </w:r>
          </w:p>
        </w:tc>
        <w:tc>
          <w:tcPr>
            <w:tcW w:w="1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C62F16" w14:textId="77777777" w:rsidR="00464F92" w:rsidRDefault="002831B2">
            <w:r>
              <w:t>Systematic literature review</w:t>
            </w:r>
          </w:p>
        </w:tc>
        <w:tc>
          <w:tcPr>
            <w:tcW w:w="13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092CD8" w14:textId="77777777" w:rsidR="00464F92" w:rsidRDefault="002831B2">
            <w:r>
              <w:t>Global ESG research</w:t>
            </w:r>
          </w:p>
        </w:tc>
        <w:tc>
          <w:tcPr>
            <w:tcW w:w="1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0A29BE" w14:textId="77777777" w:rsidR="00464F92" w:rsidRDefault="002831B2">
            <w:r>
              <w:t>Institutional regulations, governance quality, and stakeholder expectations are major drivers of ESG performance (Daugaard and Ding, 2022).</w:t>
            </w:r>
          </w:p>
        </w:tc>
        <w:tc>
          <w:tcPr>
            <w:tcW w:w="1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F03E9B" w14:textId="77777777" w:rsidR="00464F92" w:rsidRDefault="002831B2">
            <w:r>
              <w:t>Does not investigate ESG impacts on UK renewable energy FDI specifically.</w:t>
            </w:r>
          </w:p>
        </w:tc>
      </w:tr>
      <w:tr w:rsidR="00464F92" w14:paraId="1B2E7688" w14:textId="77777777">
        <w:trPr>
          <w:trHeight w:val="2990"/>
        </w:trPr>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52CC8E" w14:textId="77777777" w:rsidR="00464F92" w:rsidRDefault="002831B2">
            <w:r>
              <w:t xml:space="preserve">Davidescu </w:t>
            </w:r>
            <w:r>
              <w:rPr>
                <w:i/>
                <w:iCs/>
              </w:rPr>
              <w:t>et al</w:t>
            </w:r>
            <w:r>
              <w:t>. (2026)</w:t>
            </w:r>
          </w:p>
        </w:tc>
        <w:tc>
          <w:tcPr>
            <w:tcW w:w="1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7E2D3E" w14:textId="77777777" w:rsidR="00464F92" w:rsidRDefault="002831B2">
            <w:r>
              <w:t>Sustainability</w:t>
            </w:r>
          </w:p>
        </w:tc>
        <w:tc>
          <w:tcPr>
            <w:tcW w:w="13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9A6C34" w14:textId="77777777" w:rsidR="00464F92" w:rsidRDefault="002831B2">
            <w:r>
              <w:t>Detecting Greenwashing in ESG Disclosure</w:t>
            </w:r>
          </w:p>
        </w:tc>
        <w:tc>
          <w:tcPr>
            <w:tcW w:w="1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35E813" w14:textId="77777777" w:rsidR="00464F92" w:rsidRDefault="002831B2">
            <w:r>
              <w:t>NLP-based empirical analysis</w:t>
            </w:r>
          </w:p>
        </w:tc>
        <w:tc>
          <w:tcPr>
            <w:tcW w:w="13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14EAEE" w14:textId="77777777" w:rsidR="00464F92" w:rsidRDefault="002831B2">
            <w:r>
              <w:t>Central and Eastern European firms</w:t>
            </w:r>
          </w:p>
        </w:tc>
        <w:tc>
          <w:tcPr>
            <w:tcW w:w="1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8597FC" w14:textId="77777777" w:rsidR="00464F92" w:rsidRDefault="002831B2">
            <w:r>
              <w:t xml:space="preserve">AI techniques effectively identify greenwashing, thereby improving ESG disclosure reliability and investor trust (Davidescu </w:t>
            </w:r>
            <w:r>
              <w:rPr>
                <w:i/>
                <w:iCs/>
              </w:rPr>
              <w:lastRenderedPageBreak/>
              <w:t>et al</w:t>
            </w:r>
            <w:r>
              <w:t>. 2026).</w:t>
            </w:r>
          </w:p>
        </w:tc>
        <w:tc>
          <w:tcPr>
            <w:tcW w:w="1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246B21" w14:textId="77777777" w:rsidR="00464F92" w:rsidRDefault="002831B2">
            <w:r>
              <w:lastRenderedPageBreak/>
              <w:t>Limited geographical focus and does not evaluate implications for UK renewable energy investment.</w:t>
            </w:r>
          </w:p>
        </w:tc>
      </w:tr>
      <w:tr w:rsidR="00464F92" w14:paraId="08F084DF" w14:textId="77777777">
        <w:trPr>
          <w:trHeight w:val="2990"/>
        </w:trPr>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85F2F5" w14:textId="77777777" w:rsidR="00464F92" w:rsidRDefault="002831B2">
            <w:r>
              <w:t>Ferguson and Wollersheim (2022)</w:t>
            </w:r>
          </w:p>
        </w:tc>
        <w:tc>
          <w:tcPr>
            <w:tcW w:w="1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C679A6" w14:textId="77777777" w:rsidR="00464F92" w:rsidRDefault="002831B2">
            <w:r>
              <w:t>Sustainable Development</w:t>
            </w:r>
          </w:p>
        </w:tc>
        <w:tc>
          <w:tcPr>
            <w:tcW w:w="13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358437" w14:textId="77777777" w:rsidR="00464F92" w:rsidRDefault="002831B2">
            <w:r>
              <w:t>From Sustainable Development to Resilience?</w:t>
            </w:r>
          </w:p>
        </w:tc>
        <w:tc>
          <w:tcPr>
            <w:tcW w:w="1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1DDA38" w14:textId="77777777" w:rsidR="00464F92" w:rsidRDefault="002831B2">
            <w:r>
              <w:t>Qualitative policy discourse analysis</w:t>
            </w:r>
          </w:p>
        </w:tc>
        <w:tc>
          <w:tcPr>
            <w:tcW w:w="13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495E93" w14:textId="77777777" w:rsidR="00464F92" w:rsidRDefault="002831B2">
            <w:r>
              <w:t>International climate and development policy</w:t>
            </w:r>
          </w:p>
        </w:tc>
        <w:tc>
          <w:tcPr>
            <w:tcW w:w="1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BE0B23" w14:textId="77777777" w:rsidR="00464F92" w:rsidRDefault="002831B2">
            <w:r>
              <w:t>Climate governance increasingly emphasises resilience alongside sustainability, influencing policy frameworks (Ferguson and Wollersheim, 2022).</w:t>
            </w:r>
          </w:p>
        </w:tc>
        <w:tc>
          <w:tcPr>
            <w:tcW w:w="1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BE2079" w14:textId="77777777" w:rsidR="00464F92" w:rsidRDefault="002831B2">
            <w:r>
              <w:t>Does not investigate corporate ESG practices or foreign investment outcomes.</w:t>
            </w:r>
          </w:p>
        </w:tc>
      </w:tr>
      <w:tr w:rsidR="00464F92" w14:paraId="4FB51188" w14:textId="77777777">
        <w:trPr>
          <w:trHeight w:val="2720"/>
        </w:trPr>
        <w:tc>
          <w:tcPr>
            <w:tcW w:w="1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261A5C" w14:textId="77777777" w:rsidR="00464F92" w:rsidRDefault="002831B2">
            <w:r>
              <w:t xml:space="preserve">Gandomi </w:t>
            </w:r>
            <w:r>
              <w:rPr>
                <w:i/>
                <w:iCs/>
              </w:rPr>
              <w:t>et al</w:t>
            </w:r>
            <w:r>
              <w:t>., (2023)</w:t>
            </w:r>
          </w:p>
        </w:tc>
        <w:tc>
          <w:tcPr>
            <w:tcW w:w="12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CDE980" w14:textId="77777777" w:rsidR="00464F92" w:rsidRDefault="002831B2">
            <w:r>
              <w:t>Electronics</w:t>
            </w:r>
          </w:p>
        </w:tc>
        <w:tc>
          <w:tcPr>
            <w:tcW w:w="13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83C88B" w14:textId="77777777" w:rsidR="00464F92" w:rsidRDefault="002831B2">
            <w:r>
              <w:t>Big Data Analytics Using Artificial Intelligence</w:t>
            </w:r>
          </w:p>
        </w:tc>
        <w:tc>
          <w:tcPr>
            <w:tcW w:w="1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B12555" w14:textId="77777777" w:rsidR="00464F92" w:rsidRDefault="002831B2">
            <w:r>
              <w:t>Comprehensive review</w:t>
            </w:r>
          </w:p>
        </w:tc>
        <w:tc>
          <w:tcPr>
            <w:tcW w:w="13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F2077D" w14:textId="77777777" w:rsidR="00464F92" w:rsidRDefault="002831B2">
            <w:r>
              <w:t>Artificial intelligence and big data applications</w:t>
            </w:r>
          </w:p>
        </w:tc>
        <w:tc>
          <w:tcPr>
            <w:tcW w:w="1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164FE7" w14:textId="2D9CAAEC" w:rsidR="00464F92" w:rsidRDefault="002831B2">
            <w:r>
              <w:t xml:space="preserve">AI enhances organisational decision-making through improved </w:t>
            </w:r>
            <w:r>
              <w:lastRenderedPageBreak/>
              <w:t xml:space="preserve">data analytics and predictive capabilities (Gandomi </w:t>
            </w:r>
            <w:r>
              <w:rPr>
                <w:i/>
                <w:iCs/>
              </w:rPr>
              <w:t>et al</w:t>
            </w:r>
            <w:r w:rsidR="009C1B0E">
              <w:rPr>
                <w:i/>
                <w:iCs/>
              </w:rPr>
              <w:t>.</w:t>
            </w:r>
            <w:r>
              <w:t>, 2023)</w:t>
            </w:r>
          </w:p>
        </w:tc>
        <w:tc>
          <w:tcPr>
            <w:tcW w:w="1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0436BF" w14:textId="77777777" w:rsidR="00464F92" w:rsidRDefault="002831B2">
            <w:r>
              <w:lastRenderedPageBreak/>
              <w:t xml:space="preserve">Does not examine ESG performance, renewable energy or foreign </w:t>
            </w:r>
            <w:r>
              <w:lastRenderedPageBreak/>
              <w:t>investment attraction.</w:t>
            </w:r>
          </w:p>
        </w:tc>
      </w:tr>
    </w:tbl>
    <w:p w14:paraId="706E6791" w14:textId="77777777" w:rsidR="00464F92" w:rsidRDefault="00464F92"/>
    <w:p w14:paraId="56882BB9" w14:textId="77777777" w:rsidR="00464F92" w:rsidRDefault="002831B2">
      <w:pPr>
        <w:jc w:val="center"/>
      </w:pPr>
      <w:r>
        <w:t xml:space="preserve"> (Source: self-created)</w:t>
      </w:r>
    </w:p>
    <w:p w14:paraId="2E58FE72" w14:textId="77777777" w:rsidR="00585758" w:rsidRDefault="00585758">
      <w:pPr>
        <w:jc w:val="center"/>
      </w:pPr>
    </w:p>
    <w:p w14:paraId="41023066" w14:textId="77777777" w:rsidR="00464F92" w:rsidRDefault="002831B2">
      <w:r w:rsidRPr="001C4B47">
        <w:rPr>
          <w:b/>
          <w:bCs/>
        </w:rPr>
        <w:t>ESG Practices and Foreign Investment Attraction in the UK Renewable Energy Sector</w:t>
      </w:r>
      <w:r>
        <w:rPr>
          <w:b/>
          <w:bCs/>
        </w:rPr>
        <w:br/>
      </w:r>
      <w:r>
        <w:t xml:space="preserve">Environmental, Social and Governance (ESG) practices are standards used to assess an organisation's sustainability beyond financial metrics. According to Madero-Gómez </w:t>
      </w:r>
      <w:r>
        <w:rPr>
          <w:i/>
          <w:iCs/>
        </w:rPr>
        <w:t>et al</w:t>
      </w:r>
      <w:r>
        <w:t xml:space="preserve">. (2023), the environment includes climate change measures, carbon emissions, renewable energy usage and resource efficiency, while Social encompasses employee wellness, diversity, human rights, and community involvement. Governance focuses on ethical leadership, board effectiveness, transparency, and regulatory compliance. Kandpal </w:t>
      </w:r>
      <w:r>
        <w:rPr>
          <w:i/>
          <w:iCs/>
        </w:rPr>
        <w:t>et al</w:t>
      </w:r>
      <w:r>
        <w:t>. (2024) note that ESG practices are changing more rapidly in the UK renewable energy sector than in other sectors, as several governments have announced targets to achieve Net Zero and become more sustainable. Companies are making greater efforts to report sustainability information and comply with internationally recognised ESG reporting standards. It also highlights the importance of the UK renewable energy market for responsible investors abroad.</w:t>
      </w:r>
    </w:p>
    <w:p w14:paraId="56C0ACB7" w14:textId="7737EB1F" w:rsidR="00037729" w:rsidRDefault="002831B2">
      <w:r>
        <w:t xml:space="preserve">Foreign investors increasingly consider ESG performance when deciding on investments in renewable energy markets. According to Daugaard and Ding (2022), foreign investors are increasingly paying attention to ESG performance as a sign of organisational stability when choosing investment opportunities in renewable energy, while also reducing investment risk and increasing long-term value creation. On the other hand, Ayadi and Hunjra (2025), high-quality ESG disclosures, which address information asymmetries, increase transparency and boost investor confidence. This also leads to better international investment flows into companies adopting sustainable business practices. Companies that perform better on sustainability are generally more likely to obtain increased capital from green finance, </w:t>
      </w:r>
      <w:r>
        <w:lastRenderedPageBreak/>
        <w:t>institutional investors and wider</w:t>
      </w:r>
      <w:r w:rsidR="00831BF6">
        <w:t xml:space="preserve"> investors</w:t>
      </w:r>
      <w:r>
        <w:t>. In this context, cross-border capital sources are more likely to invest in companies that perform poorly on sustainability.</w:t>
      </w:r>
    </w:p>
    <w:p w14:paraId="0C078AE1" w14:textId="1FB0A543" w:rsidR="00464F92" w:rsidRDefault="002831B2">
      <w:r>
        <w:t xml:space="preserve"> </w:t>
      </w:r>
    </w:p>
    <w:p w14:paraId="18679AB4" w14:textId="77777777" w:rsidR="00464F92" w:rsidRPr="00037729" w:rsidRDefault="002831B2">
      <w:pPr>
        <w:rPr>
          <w:b/>
          <w:bCs/>
          <w:sz w:val="28"/>
          <w:szCs w:val="28"/>
        </w:rPr>
      </w:pPr>
      <w:r w:rsidRPr="00037729">
        <w:rPr>
          <w:b/>
          <w:bCs/>
          <w:sz w:val="28"/>
          <w:szCs w:val="28"/>
        </w:rPr>
        <w:t>Environmental Practices and Their Influence on Foreign Investment Decisions</w:t>
      </w:r>
    </w:p>
    <w:p w14:paraId="59A6B15F" w14:textId="77777777" w:rsidR="00464F92" w:rsidRDefault="002831B2">
      <w:r>
        <w:t>Environmental practices have become an important factor in attracting foreign investment in the UK renewable energy sector. According to Serpa and Sá (2025), they also show an organisation's dedication to sustainable development and climate resilience. Reducing carbon emissions is one of many measures used to gauge responsible environmental management, such as investment in clean technologies, energy efficiency, and low-carbon operations. Wind, solar, hydroelectric, and other renewable energy sources strengthen an organisation's environmental actions and support national and international climate commitments. In contrast, Ferguson and Wollersheim (2022) argue that UK Net Zero Targets and environmental policies have driven the adoption of sustainability in the strategic planning and operations of renewable energy companies. These measures not only help lower GHG emissions but also increase regulatory compliance and boost the future competitiveness of companies in the renewable energy industry.</w:t>
      </w:r>
    </w:p>
    <w:p w14:paraId="6AEF7C60" w14:textId="77777777" w:rsidR="00464F92" w:rsidRDefault="002831B2">
      <w:r>
        <w:t xml:space="preserve">Environmental performance critically impacts foreign investors' confidence by reducing perceived investment risk and proving investors' long-term financial sustainability. According to Zhu </w:t>
      </w:r>
      <w:r>
        <w:rPr>
          <w:i/>
          <w:iCs/>
        </w:rPr>
        <w:t>et al</w:t>
      </w:r>
      <w:r>
        <w:t xml:space="preserve">. (2023), through innovative renewable technologies and ecologically sustainable production processes, an organisation can become more competitive and compete for investors interested in sustainable investments. Complete environmental disclosures, environmental reporting, carbon reporting, climate risks, sustainability risks and performance. This also increases transparency and lowers information asymmetry between organisations and international investors. Environmental awards like ISO 14001 Environmental Management Systems and other sustainability awards are valid indicators of an organisation's environmental cleverness. However, Lutfi </w:t>
      </w:r>
      <w:r>
        <w:rPr>
          <w:i/>
          <w:iCs/>
        </w:rPr>
        <w:t>et al</w:t>
      </w:r>
      <w:r>
        <w:t>. (2023), organisations with extensive environmental management, reporting, and ongoing green innovation efforts.  This also attracts foreign investment, builds investor confidence, and guarantees access to global investment and capital in the highly competitive UK renewable energy industry.</w:t>
      </w:r>
    </w:p>
    <w:p w14:paraId="71AD4804" w14:textId="77777777" w:rsidR="00037729" w:rsidRDefault="00037729"/>
    <w:p w14:paraId="00835A2D" w14:textId="77777777" w:rsidR="00464F92" w:rsidRPr="00037729" w:rsidRDefault="002831B2">
      <w:pPr>
        <w:rPr>
          <w:b/>
          <w:bCs/>
          <w:sz w:val="28"/>
          <w:szCs w:val="28"/>
        </w:rPr>
      </w:pPr>
      <w:r w:rsidRPr="00037729">
        <w:rPr>
          <w:b/>
          <w:bCs/>
          <w:sz w:val="28"/>
          <w:szCs w:val="28"/>
        </w:rPr>
        <w:t>Social Practices and Investor Confidence</w:t>
      </w:r>
    </w:p>
    <w:p w14:paraId="4A272805" w14:textId="315B2CFD" w:rsidR="00464F92" w:rsidRDefault="002831B2">
      <w:r>
        <w:lastRenderedPageBreak/>
        <w:t xml:space="preserve">Social practices are also an integral part of ESG performance and are significant factors in investor confidence in the UK renewable energy sector. According to Sadiq </w:t>
      </w:r>
      <w:r>
        <w:rPr>
          <w:i/>
          <w:iCs/>
        </w:rPr>
        <w:t>et al</w:t>
      </w:r>
      <w:r>
        <w:t>. (2025), these include employee welfare, occupational health and safety, Diversity, Equity and Inclusion (DEI) measures, community engagement, and wider corporate social responsibility (CSR) programmes. It also shows that diversity and inclusion are woven into leadership and the workforce</w:t>
      </w:r>
      <w:r w:rsidR="000830A5">
        <w:t>,</w:t>
      </w:r>
      <w:r>
        <w:t xml:space="preserve"> </w:t>
      </w:r>
      <w:r w:rsidR="000830A5">
        <w:t>which</w:t>
      </w:r>
      <w:r>
        <w:t xml:space="preserve"> creates innovation, decision-making, and organisational reputation. In contrast</w:t>
      </w:r>
      <w:r w:rsidR="000830A5">
        <w:t>,</w:t>
      </w:r>
      <w:r>
        <w:t xml:space="preserve"> Bhandari and Chaudhry (2025), workplaces that ensure staff work in a safe environment, are fairly paid, and receive ongoing training and development are more likely to increase staff productivity and maintain stability within organisations.</w:t>
      </w:r>
      <w:r w:rsidR="000830A5">
        <w:t xml:space="preserve"> </w:t>
      </w:r>
      <w:r>
        <w:t>These social practices reflect responsible corporate actions that are more crucial than ever for international investors seeking sustainable and responsible investment opportunities.</w:t>
      </w:r>
    </w:p>
    <w:p w14:paraId="5B372015" w14:textId="4FCD2321" w:rsidR="00464F92" w:rsidRDefault="002831B2">
      <w:r>
        <w:t xml:space="preserve">Renewable energy companies are becoming increasingly mindful of CSR and weighing its merits and demerits in relation to foreign investment. According to Grishunin </w:t>
      </w:r>
      <w:r>
        <w:rPr>
          <w:i/>
          <w:iCs/>
        </w:rPr>
        <w:t>et al</w:t>
      </w:r>
      <w:r>
        <w:t xml:space="preserve">. (2022), it also suggests that strong social performance positively influences investor confidence. Foreign investors are becoming more of a watchdog for CSR projects, stakeholder relationships, and workforce management.  Foreign investors are increasingly looking for the benefits of investing in renewable energy organisations that incorporate good social practice and transparency in reporting. On the other </w:t>
      </w:r>
      <w:r w:rsidR="000830A5">
        <w:t>hand,</w:t>
      </w:r>
      <w:r>
        <w:t xml:space="preserve"> Vinay (2024) notes growing recognition among international investors of the benefits of investing in renewable energy organisations that demonstrate social good practices and ensure transparent </w:t>
      </w:r>
      <w:r w:rsidR="000830A5">
        <w:t>reporting. Social</w:t>
      </w:r>
      <w:r>
        <w:t xml:space="preserve"> sustainability reporting has also become relevant as organisations share data on employees' health and wellbeing, diversity results, employment practices, and community benefits in sustainability reports. </w:t>
      </w:r>
    </w:p>
    <w:p w14:paraId="639CC907" w14:textId="77777777" w:rsidR="00037729" w:rsidRDefault="00037729">
      <w:pPr>
        <w:rPr>
          <w:color w:val="FF0000"/>
        </w:rPr>
      </w:pPr>
    </w:p>
    <w:p w14:paraId="6CD6A9E1" w14:textId="77777777" w:rsidR="00464F92" w:rsidRPr="00E80200" w:rsidRDefault="002831B2">
      <w:pPr>
        <w:rPr>
          <w:b/>
          <w:bCs/>
          <w:sz w:val="28"/>
          <w:szCs w:val="28"/>
        </w:rPr>
      </w:pPr>
      <w:r w:rsidRPr="00E80200">
        <w:rPr>
          <w:b/>
          <w:bCs/>
          <w:sz w:val="28"/>
          <w:szCs w:val="28"/>
        </w:rPr>
        <w:t>Governance Practices and Capital Attraction</w:t>
      </w:r>
    </w:p>
    <w:p w14:paraId="02401E4B" w14:textId="5A740075" w:rsidR="00464F92" w:rsidRDefault="002831B2">
      <w:r>
        <w:t>Strong corporate governance systems ensure transparent decision-making, risk management, and regulatory compliance, and improve organisational performance and accountability.</w:t>
      </w:r>
      <w:r w:rsidR="000830A5">
        <w:t xml:space="preserve"> </w:t>
      </w:r>
      <w:r>
        <w:t xml:space="preserve">Governance is a key ESG factor that affects an organisation's honesty and the likelihood of foreign investment in UK renewable energy. According to Salehi </w:t>
      </w:r>
      <w:r>
        <w:rPr>
          <w:i/>
          <w:iCs/>
        </w:rPr>
        <w:t>et al</w:t>
      </w:r>
      <w:r>
        <w:t>. (2022) are important aspects of good governance because they support balanced decision-making, strengthen strategic oversight, and reduce managerial bias.</w:t>
      </w:r>
      <w:r>
        <w:rPr>
          <w:color w:val="FF0000"/>
        </w:rPr>
        <w:t xml:space="preserve"> </w:t>
      </w:r>
      <w:r>
        <w:t xml:space="preserve">This also points out the governance frameworks that support good business practice, as they help companies to act within the law and in line with stakeholder needs and desires. and comparable sustainability information on </w:t>
      </w:r>
      <w:r>
        <w:lastRenderedPageBreak/>
        <w:t xml:space="preserve">which investors can base their decisions. On the other hand, Luo </w:t>
      </w:r>
      <w:r>
        <w:rPr>
          <w:i/>
          <w:iCs/>
        </w:rPr>
        <w:t>et al.</w:t>
      </w:r>
      <w:r>
        <w:t xml:space="preserve"> (2022) </w:t>
      </w:r>
      <w:r w:rsidR="000830A5">
        <w:t>found that</w:t>
      </w:r>
      <w:r>
        <w:t xml:space="preserve"> anti-corruption initiatives also increase organisational integrity by reducing governance risks and promoting responsible corporate management, while ethical leadership further reinforces this integrity. ESG reporting framework enhances governance quality by providing more consistent, reliable, and comparable sustainability information on which investors can base their decisions.</w:t>
      </w:r>
    </w:p>
    <w:p w14:paraId="70D6D8F8" w14:textId="487C0308" w:rsidR="00464F92" w:rsidRDefault="002831B2">
      <w:r>
        <w:t xml:space="preserve">In some </w:t>
      </w:r>
      <w:r w:rsidR="000830A5">
        <w:t>cases,</w:t>
      </w:r>
      <w:r>
        <w:t xml:space="preserve"> renewable energy organisations associated with strong governance</w:t>
      </w:r>
      <w:r w:rsidR="000830A5">
        <w:t>,</w:t>
      </w:r>
      <w:r>
        <w:t xml:space="preserve"> which is linked </w:t>
      </w:r>
      <w:r w:rsidR="008F7BAB">
        <w:t>to</w:t>
      </w:r>
      <w:r>
        <w:t xml:space="preserve"> internal control processes</w:t>
      </w:r>
      <w:r w:rsidR="000830A5">
        <w:t>,</w:t>
      </w:r>
      <w:r>
        <w:t xml:space="preserve"> are more attractive to investors. This also minimises information asymmetry and the perceived risk of investing in the business. According to Wu </w:t>
      </w:r>
      <w:r>
        <w:rPr>
          <w:i/>
          <w:iCs/>
        </w:rPr>
        <w:t>et al</w:t>
      </w:r>
      <w:r>
        <w:t>. (2025), foreign investors make decisions based on ESG considerations</w:t>
      </w:r>
      <w:r w:rsidR="000830A5">
        <w:t>;</w:t>
      </w:r>
      <w:r>
        <w:t xml:space="preserve"> high-quality ESG reporting improves transparency by providing reliable information about governance performance.  Governance quality consistently has significant, positive impacts on foreign investor confidence and capital attraction. </w:t>
      </w:r>
      <w:r w:rsidR="000830A5">
        <w:t>An</w:t>
      </w:r>
      <w:r>
        <w:t xml:space="preserve"> organisation with strong governance helps </w:t>
      </w:r>
      <w:r w:rsidR="00E80200">
        <w:t>increase</w:t>
      </w:r>
      <w:r>
        <w:t xml:space="preserve"> investor confidence, attract foreign capital, and gain a sustainable competitive advantage in a global investment environment.</w:t>
      </w:r>
      <w:r w:rsidR="000830A5">
        <w:t xml:space="preserve"> </w:t>
      </w:r>
      <w:r>
        <w:t>In contrast, Velte (2023</w:t>
      </w:r>
      <w:r w:rsidR="000830A5">
        <w:t>) points</w:t>
      </w:r>
      <w:r>
        <w:t xml:space="preserve"> out </w:t>
      </w:r>
      <w:r w:rsidR="000830A5">
        <w:t>that</w:t>
      </w:r>
      <w:r>
        <w:t xml:space="preserve"> governance is a significant issue in international investment assessments, especially for institutional investors focused on long-term sustainable, responsible corporate practice. An organisation with strong governance boosts investor confidence, attracts foreign capital, and </w:t>
      </w:r>
      <w:r w:rsidR="000830A5">
        <w:t>gains</w:t>
      </w:r>
      <w:r>
        <w:t xml:space="preserve"> a sustainable competitive advantage in a global investment environment.</w:t>
      </w:r>
    </w:p>
    <w:p w14:paraId="4C4A235F" w14:textId="77777777" w:rsidR="00E80200" w:rsidRDefault="00E80200"/>
    <w:p w14:paraId="7D4E84FF" w14:textId="77777777" w:rsidR="00464F92" w:rsidRDefault="002831B2">
      <w:pPr>
        <w:rPr>
          <w:b/>
          <w:bCs/>
        </w:rPr>
      </w:pPr>
      <w:r w:rsidRPr="00E80200">
        <w:rPr>
          <w:b/>
          <w:bCs/>
          <w:sz w:val="28"/>
          <w:szCs w:val="28"/>
        </w:rPr>
        <w:t>ESG Reporting, Disclosure Standards and Investment Transparency</w:t>
      </w:r>
    </w:p>
    <w:p w14:paraId="485138C7" w14:textId="1DAD8197" w:rsidR="00464F92" w:rsidRDefault="002831B2">
      <w:r>
        <w:t>The Global Reporting Initiative (GRI) provides detailed guidance on reporting sustainability impacts across the three pillars of sustainability</w:t>
      </w:r>
      <w:r w:rsidR="000830A5">
        <w:t>, such as</w:t>
      </w:r>
      <w:r>
        <w:t xml:space="preserve"> economy, environment, and society. This also creates confidence among foreign investors in the UK renewable energy sector. According to Bridget and Acheampong </w:t>
      </w:r>
      <w:r>
        <w:rPr>
          <w:i/>
          <w:iCs/>
        </w:rPr>
        <w:t>et al</w:t>
      </w:r>
      <w:r w:rsidR="008F7BAB">
        <w:rPr>
          <w:i/>
          <w:iCs/>
        </w:rPr>
        <w:t>.</w:t>
      </w:r>
      <w:r>
        <w:t xml:space="preserve"> (2024),</w:t>
      </w:r>
      <w:r w:rsidR="000830A5">
        <w:t xml:space="preserve"> </w:t>
      </w:r>
      <w:r>
        <w:t>Standardised reporting frameworks allow organisations to communicate performance in relation to environmental, social and governance (ESG) impacts, and to do so consistently and reliably. ESG reporting and disclosure standards have become more prominent, increasing transparency around investment goals. The Sustainability Accounting Standards Board (SASB) targets industry-specific sustainability information that is economically relevant to investors.</w:t>
      </w:r>
      <w:r w:rsidR="000830A5">
        <w:t xml:space="preserve"> </w:t>
      </w:r>
      <w:r>
        <w:t xml:space="preserve">Gebhardt </w:t>
      </w:r>
      <w:r>
        <w:rPr>
          <w:i/>
          <w:iCs/>
        </w:rPr>
        <w:t>et al</w:t>
      </w:r>
      <w:r>
        <w:t xml:space="preserve">. (2024) </w:t>
      </w:r>
      <w:r w:rsidR="000830A5">
        <w:t>point</w:t>
      </w:r>
      <w:r>
        <w:t xml:space="preserve"> out </w:t>
      </w:r>
      <w:r w:rsidR="000830A5">
        <w:t xml:space="preserve">that </w:t>
      </w:r>
      <w:r>
        <w:t xml:space="preserve">the International Sustainability Standards Board (ISSB) has established sustainability reporting standards that are harmonised and uniform across global markets to increase transparency and comparability. The International Sustainability Standards Board (ISSB) has established </w:t>
      </w:r>
      <w:r>
        <w:lastRenderedPageBreak/>
        <w:t>sustainability reporting standards that are harmonised and uniform across global markets to increase transparency and comparability.</w:t>
      </w:r>
      <w:r w:rsidR="000830A5">
        <w:t xml:space="preserve"> Organisations</w:t>
      </w:r>
      <w:r>
        <w:t xml:space="preserve"> are increasingly disclosing climate-related risks, governance, and strategies to become more resilient to climate change, with the Task Force on Climate-related Financial Disclosures (TCFD) urging such reporting. </w:t>
      </w:r>
      <w:r w:rsidR="000830A5">
        <w:t>Open</w:t>
      </w:r>
      <w:r>
        <w:t xml:space="preserve"> sustainability reporting enables investors to better assess the organisation's performance, climate change-related risks, and investment opportunities. </w:t>
      </w:r>
    </w:p>
    <w:p w14:paraId="6EFBF3CC" w14:textId="1F2C8D29" w:rsidR="00464F92" w:rsidRDefault="002831B2">
      <w:r>
        <w:t>The quality of ESG disclosures is a crucial factor in foreign investment decisions, as it alleviates information asymmetry and boosts investors' confidence.</w:t>
      </w:r>
      <w:r w:rsidR="006A1835">
        <w:t xml:space="preserve"> </w:t>
      </w:r>
      <w:r>
        <w:t xml:space="preserve">According to Misiuda and Lachmann (2022), ESG reporting also increases the organisation's credibility, as it shows the regulatory measures being taken, sustainable results, and risk management processes. On the other hand, a lack of disclosure or fragmented disclosure can create uncertainty, increase investment risk, and reduce investors' appetite to invest. It also shows that ESG disclosure quality is becoming more important for institutional investors when screening investments, especially for renewable energy (RE) companies in heavily regulated markets such as the UK. Such organisations will thus be better positioned to attract foreign capital, build stakeholder confidence and have a better competitive advantage in the global renewable energy market by implementing internationally recognised reporting frameworks and making ESG information transparent, reliable and </w:t>
      </w:r>
      <w:r w:rsidR="008F7BAB">
        <w:t>decision-relevant</w:t>
      </w:r>
      <w:r>
        <w:t>.</w:t>
      </w:r>
    </w:p>
    <w:p w14:paraId="72704F37" w14:textId="77777777" w:rsidR="00E80200" w:rsidRDefault="00E80200"/>
    <w:p w14:paraId="52C4BA37" w14:textId="77777777" w:rsidR="00464F92" w:rsidRPr="00D2048E" w:rsidRDefault="002831B2">
      <w:pPr>
        <w:rPr>
          <w:b/>
          <w:bCs/>
          <w:sz w:val="28"/>
          <w:szCs w:val="28"/>
        </w:rPr>
      </w:pPr>
      <w:r w:rsidRPr="00D2048E">
        <w:rPr>
          <w:b/>
          <w:bCs/>
          <w:sz w:val="28"/>
          <w:szCs w:val="28"/>
        </w:rPr>
        <w:t>Investor Behaviour and ESG-Based Investment Decision-Making</w:t>
      </w:r>
    </w:p>
    <w:p w14:paraId="6028B967" w14:textId="408BC904" w:rsidR="00464F92" w:rsidRDefault="002831B2">
      <w:r>
        <w:t>There is a growing trend to integrate sustainability aspects into the financial decision-making process in the renewable energy sector in the UK. According to Meng and Shaikh (2023), environmental, social and governance factors are built into the investment planning process of institutional investors such as asset management companies, pension funds and sovereign wealth funds. Green finance instruments have grown in number and offer renewable energy organisations greater access to international capital, including green bonds, sustainable investment funds, and climate-oriented financial instruments.</w:t>
      </w:r>
      <w:r w:rsidR="006A1835">
        <w:t xml:space="preserve"> </w:t>
      </w:r>
      <w:r>
        <w:t xml:space="preserve">On the other hand, Basile and Ferrari (2024), this also </w:t>
      </w:r>
      <w:r w:rsidR="006A1835">
        <w:t>point</w:t>
      </w:r>
      <w:r>
        <w:t xml:space="preserve"> to a growing number of investors making environmental and social issues a vital part of investment strategy and aiming to generate long-term value while reducing the risks associated with these factors. The ratings help in the standardised evaluation of environmental, social, and governance aspects.  This also identifies organisations that can meet responsible investment objectives and sustainability goals.</w:t>
      </w:r>
    </w:p>
    <w:p w14:paraId="155D9410" w14:textId="77777777" w:rsidR="00464F92" w:rsidRDefault="002831B2">
      <w:pPr>
        <w:rPr>
          <w:color w:val="FF0000"/>
        </w:rPr>
      </w:pPr>
      <w:r>
        <w:lastRenderedPageBreak/>
        <w:t xml:space="preserve">The specialist ESG rating agencies also play an important role in investment screening, allowing investors to compare organisations' sustainability ratings. </w:t>
      </w:r>
    </w:p>
    <w:p w14:paraId="4205F604" w14:textId="0862C091" w:rsidR="00464F92" w:rsidRDefault="002831B2">
      <w:r>
        <w:t xml:space="preserve">Behavioural aspects of foreign investment decision-making are related to investor values, awareness, corporate reputation, and trust in organisational transparency, </w:t>
      </w:r>
      <w:r w:rsidR="006A1835">
        <w:t xml:space="preserve">and </w:t>
      </w:r>
      <w:r>
        <w:t xml:space="preserve">also play a role. According to Banerjee and David (2024), financial and behavioural factors influence investor behaviour when assessing ESG </w:t>
      </w:r>
      <w:r w:rsidR="001D67E6">
        <w:t>performance’s</w:t>
      </w:r>
      <w:r>
        <w:t xml:space="preserve"> remains a key driver of investment decisions, and investors are increasingly aware that strong ESG performance can help mitigate regulatory, operational, and reputational risks and increase long-term investment stability. However, Jonsdottir </w:t>
      </w:r>
      <w:r>
        <w:rPr>
          <w:i/>
          <w:iCs/>
        </w:rPr>
        <w:t>et al</w:t>
      </w:r>
      <w:r>
        <w:t xml:space="preserve">. (2022) </w:t>
      </w:r>
      <w:r w:rsidR="006A1835">
        <w:t>point</w:t>
      </w:r>
      <w:r>
        <w:t xml:space="preserve"> out </w:t>
      </w:r>
      <w:r w:rsidR="006A1835">
        <w:t xml:space="preserve">that </w:t>
      </w:r>
      <w:r>
        <w:t xml:space="preserve">the importance of responsible investment principles is reflected in investors' increasing preference for organisations that successfully address financial, environmental, and social objectives. </w:t>
      </w:r>
      <w:r w:rsidR="006A1835">
        <w:t>Companies</w:t>
      </w:r>
      <w:r>
        <w:t xml:space="preserve"> with strong ESG scores and genuine sustainability reporting are viewed as less risky investments. </w:t>
      </w:r>
    </w:p>
    <w:p w14:paraId="7376A851" w14:textId="77777777" w:rsidR="00D2048E" w:rsidRDefault="00D2048E"/>
    <w:p w14:paraId="79BBC6E0" w14:textId="77777777" w:rsidR="00464F92" w:rsidRPr="004A382E" w:rsidRDefault="002831B2">
      <w:pPr>
        <w:rPr>
          <w:b/>
          <w:bCs/>
          <w:sz w:val="28"/>
          <w:szCs w:val="28"/>
        </w:rPr>
      </w:pPr>
      <w:r w:rsidRPr="004A382E">
        <w:rPr>
          <w:b/>
          <w:bCs/>
          <w:sz w:val="28"/>
          <w:szCs w:val="28"/>
        </w:rPr>
        <w:t>Challenges and Barriers to ESG Implementation in the UK Renewable Energy Industry</w:t>
      </w:r>
    </w:p>
    <w:p w14:paraId="33C96DE5" w14:textId="5CB10C19" w:rsidR="00464F92" w:rsidRDefault="002831B2">
      <w:r>
        <w:t>ESG has become important as renewable energy organisations in the UK face several challenges.</w:t>
      </w:r>
      <w:r w:rsidR="006A1835">
        <w:t xml:space="preserve"> </w:t>
      </w:r>
      <w:r>
        <w:t xml:space="preserve">Cost is one of the main limitations to adopting a full set of ESG practices, such as investing in sustainable technologies, environmental monitoring systems, employee development programs, and governance enhancements. SMEs are facing problems in implementing more sophisticated ESG practices that have limited funds available. According to Alkaraan </w:t>
      </w:r>
      <w:r>
        <w:rPr>
          <w:i/>
          <w:iCs/>
        </w:rPr>
        <w:t>et al</w:t>
      </w:r>
      <w:r>
        <w:t>. (2023),</w:t>
      </w:r>
      <w:r w:rsidR="006A1835">
        <w:t xml:space="preserve"> </w:t>
      </w:r>
      <w:r>
        <w:t xml:space="preserve">this also makes implementation difficult </w:t>
      </w:r>
      <w:r w:rsidR="006A1835">
        <w:t>and</w:t>
      </w:r>
      <w:r>
        <w:t xml:space="preserve"> </w:t>
      </w:r>
      <w:r w:rsidR="00165106">
        <w:t>makes them</w:t>
      </w:r>
      <w:r>
        <w:t xml:space="preserve"> less </w:t>
      </w:r>
      <w:r w:rsidR="00165106">
        <w:t xml:space="preserve">attractive </w:t>
      </w:r>
      <w:r>
        <w:t>to foreign investors. These standards require significant financial investment, technical know-how, and organisational commitment. In this</w:t>
      </w:r>
      <w:r w:rsidR="006A1835">
        <w:t xml:space="preserve"> regard,</w:t>
      </w:r>
      <w:r>
        <w:t xml:space="preserve"> regulatory compliance is also a challenge that organisations need to adjust to </w:t>
      </w:r>
      <w:r w:rsidR="00165106">
        <w:t>meet</w:t>
      </w:r>
      <w:r>
        <w:t xml:space="preserve"> sustainability regulations, disclosure requirements, and climate-related reporting obligations. However, </w:t>
      </w:r>
      <w:r w:rsidR="006A1835">
        <w:t xml:space="preserve">according to </w:t>
      </w:r>
      <w:r>
        <w:t xml:space="preserve">Nyakuwanika and Panicker (2025), the </w:t>
      </w:r>
      <w:r w:rsidR="006A1835">
        <w:t>collation</w:t>
      </w:r>
      <w:r>
        <w:t xml:space="preserve"> of reliable sustainability data that helps in measuring ESG performance can be challenging for organisations. These standards require significant financial investment for improvement </w:t>
      </w:r>
      <w:r w:rsidR="006A1835">
        <w:t>purposes,</w:t>
      </w:r>
      <w:r>
        <w:t xml:space="preserve"> as the organisation needs to grow in the domain it </w:t>
      </w:r>
      <w:r w:rsidR="00165106">
        <w:t>operates in</w:t>
      </w:r>
      <w:r>
        <w:t xml:space="preserve">. </w:t>
      </w:r>
    </w:p>
    <w:p w14:paraId="5189C108" w14:textId="705007C5" w:rsidR="00464F92" w:rsidRDefault="002831B2">
      <w:r>
        <w:t>ESG measurement practices and data gaps create additional challenges to effective ESG implementation and attracting foreign investment.</w:t>
      </w:r>
      <w:r w:rsidR="006A1835">
        <w:t xml:space="preserve"> </w:t>
      </w:r>
      <w:r>
        <w:t xml:space="preserve">There are many methods to measure these aspects, and no standardised metrics exist in the renewable industry. The reporting frameworks and rating systems also lead to different disclosures that are related to the project. According </w:t>
      </w:r>
      <w:r>
        <w:lastRenderedPageBreak/>
        <w:t xml:space="preserve">to Cruz and Matos (2023), investors also find it difficult to make accurate comparisons between organisations. It also notes that foreign investors seek transparency, standardisation, and verifiability of ESG information.  In this context, evaluating renewable energy investment opportunities is important for implementation. On the other hand, Davidescu </w:t>
      </w:r>
      <w:r>
        <w:rPr>
          <w:i/>
          <w:iCs/>
        </w:rPr>
        <w:t>et al</w:t>
      </w:r>
      <w:r>
        <w:t xml:space="preserve">. (2026) point out </w:t>
      </w:r>
      <w:r w:rsidR="00165106">
        <w:t>that</w:t>
      </w:r>
      <w:r>
        <w:t xml:space="preserve"> inconsistencies add to information asymmetry, which is linked to investment risk and lowers confidence among international investors. This also limits access to international capital for organisations that have historically struggled to make consistent and credible ESG disclosures.</w:t>
      </w:r>
    </w:p>
    <w:p w14:paraId="2CBF3DC1" w14:textId="77777777" w:rsidR="00464F92" w:rsidRPr="004A382E" w:rsidRDefault="002831B2">
      <w:pPr>
        <w:rPr>
          <w:b/>
          <w:bCs/>
          <w:sz w:val="28"/>
          <w:szCs w:val="28"/>
        </w:rPr>
      </w:pPr>
      <w:r w:rsidRPr="004A382E">
        <w:rPr>
          <w:b/>
          <w:bCs/>
          <w:sz w:val="28"/>
          <w:szCs w:val="28"/>
        </w:rPr>
        <w:t>Strategies to Strengthen ESG Practices for Enhancing Foreign Investment</w:t>
      </w:r>
    </w:p>
    <w:p w14:paraId="3FB0D387" w14:textId="186E6731" w:rsidR="00464F92" w:rsidRDefault="002831B2">
      <w:r>
        <w:t xml:space="preserve">The effective approach is to increase the quality, consistency and transparency of ESG disclosure. This also ensures investors have access to reliable information to support decision-making. According to Chan and Hazan (2022), high-quality sustainability reporting reduces information asymmetry for foreign investors, who can better value an organisation's performance. </w:t>
      </w:r>
      <w:r w:rsidR="006A1835">
        <w:t>Improving</w:t>
      </w:r>
      <w:r>
        <w:t xml:space="preserve"> ESG practices is important to strengthen the UK renewable energy sector's ability to attract foreign investment.  Independent board oversight, ethical leadership, effective risk management, and strong internal controls also strengthen corporate governance and, in turn, increase the organisation's credibility and accountability. The international </w:t>
      </w:r>
      <w:r w:rsidR="006A1835">
        <w:t>adoption of</w:t>
      </w:r>
      <w:r>
        <w:t xml:space="preserve"> ESG reporting frameworks such as the Global Reporting Initiative (GRI), the International Sustainability Standards Board (ISSB), and the Task Force on Climate-related Financial Disclosures (TCFD) </w:t>
      </w:r>
      <w:r w:rsidR="006A1835">
        <w:t>helps</w:t>
      </w:r>
      <w:r>
        <w:t xml:space="preserve"> drive comparability and consistency in sustainability reporting. In contrast, Khatri and Kjærland (2023) argue these actions help renewable energy companies demonstrate alignment with global best practice and build trust and resilience among stakeholders over the long term.</w:t>
      </w:r>
      <w:r w:rsidR="006A1835">
        <w:t xml:space="preserve"> Improving</w:t>
      </w:r>
      <w:r>
        <w:t xml:space="preserve"> ESG practices is important to strengthen the UK renewable energy sector's ability to attract foreign investment. </w:t>
      </w:r>
    </w:p>
    <w:p w14:paraId="7DAFC7A4" w14:textId="22E23CB3" w:rsidR="00464F92" w:rsidRDefault="002831B2">
      <w:r>
        <w:t>Government incentives, such as tax incentives, green financing schemes and the adoption of renewable energy policies, also help organisations to strengthen ESG practices and implement sustainable innovations.</w:t>
      </w:r>
      <w:r w:rsidR="006A1835">
        <w:t xml:space="preserve"> </w:t>
      </w:r>
      <w:r>
        <w:t>Artificial intelligence, big data analytics, blockchain, and cloud-based reporting systems can help organisations gather, analyse, and report sustainability data more effectively and minimise reporting inaccuracies.</w:t>
      </w:r>
      <w:r w:rsidR="006A1835">
        <w:t xml:space="preserve"> </w:t>
      </w:r>
      <w:r>
        <w:t>According to Gandomi</w:t>
      </w:r>
      <w:r>
        <w:rPr>
          <w:i/>
          <w:iCs/>
        </w:rPr>
        <w:t xml:space="preserve"> et al</w:t>
      </w:r>
      <w:r>
        <w:t>. (2023), ESG integration with digital technology can enhance data quality and investment transparency</w:t>
      </w:r>
      <w:r w:rsidR="006A1835">
        <w:t xml:space="preserve">, </w:t>
      </w:r>
      <w:r>
        <w:t xml:space="preserve">which is efficient and effective in ESG monitoring and reporting. The creation of partnerships with foreign interested parties and continuously improving sustainability performance are key. Ugwu </w:t>
      </w:r>
      <w:r>
        <w:rPr>
          <w:i/>
          <w:iCs/>
        </w:rPr>
        <w:t>et al</w:t>
      </w:r>
      <w:r>
        <w:t xml:space="preserve">. (2025) </w:t>
      </w:r>
      <w:r w:rsidR="006A1835">
        <w:t>point</w:t>
      </w:r>
      <w:r>
        <w:t xml:space="preserve"> out that regular engagement with investors is best practice for </w:t>
      </w:r>
      <w:r>
        <w:lastRenderedPageBreak/>
        <w:t>attracting foreign capital. Companies that apply these measures tend to foster investor confidence, minimise investment risks, and attract investment in the international capital market. </w:t>
      </w:r>
    </w:p>
    <w:p w14:paraId="292BA1C4" w14:textId="77777777" w:rsidR="004A382E" w:rsidRDefault="004A382E"/>
    <w:p w14:paraId="5B8AEA78" w14:textId="77777777" w:rsidR="00464F92" w:rsidRDefault="002831B2">
      <w:pPr>
        <w:pStyle w:val="Heading2"/>
        <w:spacing w:before="0" w:after="0"/>
      </w:pPr>
      <w:bookmarkStart w:id="16" w:name="_Toc240715240"/>
      <w:r>
        <w:t>2.3 Theoretical Framework</w:t>
      </w:r>
      <w:bookmarkEnd w:id="16"/>
    </w:p>
    <w:p w14:paraId="098D02F9" w14:textId="208A5672" w:rsidR="00451AF8" w:rsidRDefault="002831B2">
      <w:pPr>
        <w:rPr>
          <w:b/>
          <w:bCs/>
        </w:rPr>
      </w:pPr>
      <w:r>
        <w:rPr>
          <w:b/>
          <w:bCs/>
        </w:rPr>
        <w:t xml:space="preserve">2.3.1 Stakeholder Theory </w:t>
      </w:r>
    </w:p>
    <w:p w14:paraId="0E7A86B9" w14:textId="77777777" w:rsidR="00464F92" w:rsidRDefault="002831B2">
      <w:pPr>
        <w:jc w:val="center"/>
        <w:rPr>
          <w:b/>
          <w:bCs/>
        </w:rPr>
      </w:pPr>
      <w:r>
        <w:rPr>
          <w:b/>
          <w:bCs/>
          <w:noProof/>
        </w:rPr>
        <w:drawing>
          <wp:inline distT="114300" distB="114300" distL="114300" distR="114300" wp14:anchorId="38C22106" wp14:editId="0A79C5F0">
            <wp:extent cx="4038600" cy="254419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038600" cy="2544198"/>
                    </a:xfrm>
                    <a:prstGeom prst="rect">
                      <a:avLst/>
                    </a:prstGeom>
                    <a:ln/>
                  </pic:spPr>
                </pic:pic>
              </a:graphicData>
            </a:graphic>
          </wp:inline>
        </w:drawing>
      </w:r>
    </w:p>
    <w:p w14:paraId="0D8F1F08" w14:textId="77777777" w:rsidR="00464F92" w:rsidRDefault="002831B2">
      <w:pPr>
        <w:pStyle w:val="Heading5"/>
      </w:pPr>
      <w:bookmarkStart w:id="17" w:name="_iiryzyage7ff" w:colFirst="0" w:colLast="0"/>
      <w:bookmarkEnd w:id="17"/>
      <w:r>
        <w:t>Figure 2.1: Implementing Stakeholder Theory for Business Success</w:t>
      </w:r>
    </w:p>
    <w:p w14:paraId="46A635BF" w14:textId="77777777" w:rsidR="00464F92" w:rsidRDefault="002831B2">
      <w:pPr>
        <w:jc w:val="center"/>
      </w:pPr>
      <w:r>
        <w:t>(Source: George, 2024)</w:t>
      </w:r>
    </w:p>
    <w:p w14:paraId="7168B0EF" w14:textId="77777777" w:rsidR="00464F92" w:rsidRDefault="002831B2">
      <w:r>
        <w:t>Businesses can be more successful in the long term by using Stakeholder Theory, which states that companies should focus on providing value for all stakeholders, not just shareholders. Stakeholders are those with an interest in, or impact on, organisational operations and future sustainability, including investors, employees, customers, governments, suppliers, local communities, and regulatory bodies. In the United Kingdom (UK) renewable energy sector, this theory helps shape the concept of Environmental, Social and Governance (ESG) integration, viewed as an effective way to achieve transparency, accountability, environmental stewardship, and social wellbeing while building relationships with stakeholders. According to George (2024), effective stakeholder engagement improves an organisation's reputation, builds trust, and minimises potential disagreements, strengthening investor confidence. ESG principles integrated into strategic decision-making processes are said to be better equipped to attract foreign investment, with increasing numbers of international investors favouring organisations that show responsible governance, sustainable operations and long-term value creation. Thus, Stakeholder Theory seems applicable to understanding the role ESG practices play in attracting foreign investment.</w:t>
      </w:r>
    </w:p>
    <w:p w14:paraId="4AD9B65A" w14:textId="77777777" w:rsidR="004A382E" w:rsidRDefault="004A382E"/>
    <w:p w14:paraId="5858A4C7" w14:textId="77777777" w:rsidR="00464F92" w:rsidRDefault="002831B2">
      <w:pPr>
        <w:rPr>
          <w:b/>
          <w:bCs/>
        </w:rPr>
      </w:pPr>
      <w:r>
        <w:rPr>
          <w:b/>
          <w:bCs/>
        </w:rPr>
        <w:t>2.3.2 Institutional Theory</w:t>
      </w:r>
    </w:p>
    <w:p w14:paraId="5BB64BF8" w14:textId="77777777" w:rsidR="00464F92" w:rsidRDefault="00464F92"/>
    <w:p w14:paraId="7B8D5596" w14:textId="77777777" w:rsidR="00464F92" w:rsidRDefault="002831B2">
      <w:pPr>
        <w:jc w:val="center"/>
      </w:pPr>
      <w:r>
        <w:rPr>
          <w:noProof/>
        </w:rPr>
        <w:drawing>
          <wp:inline distT="114300" distB="114300" distL="114300" distR="114300" wp14:anchorId="7CAB4B18" wp14:editId="526CDFCA">
            <wp:extent cx="3962400" cy="287655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3962400" cy="2876550"/>
                    </a:xfrm>
                    <a:prstGeom prst="rect">
                      <a:avLst/>
                    </a:prstGeom>
                    <a:ln/>
                  </pic:spPr>
                </pic:pic>
              </a:graphicData>
            </a:graphic>
          </wp:inline>
        </w:drawing>
      </w:r>
    </w:p>
    <w:p w14:paraId="78195C4A" w14:textId="77777777" w:rsidR="00464F92" w:rsidRDefault="002831B2">
      <w:pPr>
        <w:pStyle w:val="Heading5"/>
      </w:pPr>
      <w:bookmarkStart w:id="18" w:name="_j0ee3edrdj5k" w:colFirst="0" w:colLast="0"/>
      <w:bookmarkEnd w:id="18"/>
      <w:r>
        <w:t>Figure 2.2: Institutional Theory Analysis</w:t>
      </w:r>
    </w:p>
    <w:p w14:paraId="7FF68C5F" w14:textId="77777777" w:rsidR="00464F92" w:rsidRDefault="002831B2">
      <w:pPr>
        <w:jc w:val="center"/>
      </w:pPr>
      <w:r>
        <w:t>(Source: Jonge, 2024)</w:t>
      </w:r>
    </w:p>
    <w:p w14:paraId="307424B4" w14:textId="3DC0B0A8" w:rsidR="00464F92" w:rsidRDefault="002831B2">
      <w:r>
        <w:t xml:space="preserve">Institutional theory focuses on the </w:t>
      </w:r>
      <w:r w:rsidR="002B5B24">
        <w:t>practices</w:t>
      </w:r>
      <w:r>
        <w:t xml:space="preserve"> organisations adopt in response to regulatory, normative, and competitive pressures from the external environment. In the UK renewable energy sector, businesses undertake Environmental, Social and Governance (ESG) practices to meet sustainability regulations, industry standards and stakeholder expectations. Environmental, Social and Governance (ESG) aspects are incorporated into organisations' work and strategic processes under regulations related to climate change, environmental protection, and corporate governance. According to Jonge (2024), the theory assumes that meeting institutional needs improves an institution's legitimacy, credibility, and public trust. Foreign investors therefore view renewable energy companies that adhere well to ESG and internationally accepted sustainability measures and agreements as less risky and more reliable. The Institutional Theory is therefore appropriate for this study as it is a way to explain the role that regulatory compliance and organisational legitimacy play in attracting foreign investment in the UK renewable energy sector.</w:t>
      </w:r>
    </w:p>
    <w:p w14:paraId="7B964EBC" w14:textId="77777777" w:rsidR="004A382E" w:rsidRDefault="004A382E"/>
    <w:p w14:paraId="72B0E188" w14:textId="77777777" w:rsidR="00464F92" w:rsidRDefault="002831B2">
      <w:pPr>
        <w:pStyle w:val="Heading2"/>
        <w:spacing w:before="0" w:after="0"/>
      </w:pPr>
      <w:bookmarkStart w:id="19" w:name="_Toc240715241"/>
      <w:r>
        <w:lastRenderedPageBreak/>
        <w:t>2.4 Conceptual Framework</w:t>
      </w:r>
      <w:bookmarkEnd w:id="19"/>
    </w:p>
    <w:p w14:paraId="06C91DF0" w14:textId="77777777" w:rsidR="00464F92" w:rsidRDefault="002831B2">
      <w:pPr>
        <w:rPr>
          <w:b/>
          <w:bCs/>
          <w:sz w:val="26"/>
          <w:szCs w:val="26"/>
        </w:rPr>
      </w:pPr>
      <w:r>
        <w:rPr>
          <w:b/>
          <w:bCs/>
          <w:noProof/>
          <w:sz w:val="26"/>
          <w:szCs w:val="26"/>
        </w:rPr>
        <w:drawing>
          <wp:inline distT="114300" distB="114300" distL="114300" distR="114300" wp14:anchorId="35D21CD4" wp14:editId="58A8BFB0">
            <wp:extent cx="5731200" cy="27432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1200" cy="2743200"/>
                    </a:xfrm>
                    <a:prstGeom prst="rect">
                      <a:avLst/>
                    </a:prstGeom>
                    <a:ln/>
                  </pic:spPr>
                </pic:pic>
              </a:graphicData>
            </a:graphic>
          </wp:inline>
        </w:drawing>
      </w:r>
    </w:p>
    <w:p w14:paraId="6C8E3981" w14:textId="77777777" w:rsidR="00464F92" w:rsidRDefault="002831B2">
      <w:pPr>
        <w:pStyle w:val="Heading5"/>
      </w:pPr>
      <w:bookmarkStart w:id="20" w:name="_dtkjb6uem3u9" w:colFirst="0" w:colLast="0"/>
      <w:bookmarkEnd w:id="20"/>
      <w:r>
        <w:t>Figure 2.3: Conceptual Framework Analysis</w:t>
      </w:r>
    </w:p>
    <w:p w14:paraId="27410858" w14:textId="77777777" w:rsidR="00464F92" w:rsidRDefault="002831B2">
      <w:pPr>
        <w:jc w:val="center"/>
      </w:pPr>
      <w:r>
        <w:t>(Source: self-created)</w:t>
      </w:r>
    </w:p>
    <w:p w14:paraId="04E9E2D3" w14:textId="77777777" w:rsidR="00464F92" w:rsidRDefault="002831B2">
      <w:r>
        <w:t>ESG practices and environmental management, responsible social initiatives, and robust governance mechanisms strengthen investor confidence and reduce perceived investment risk. The conceptual framework shows the relationship between the independent variables and dependent variables used in this study. According to Kim and Li (2021), foreign investment attraction is defined as the dependent variable, as it is the main outcome of the research. The independent variables include ESG practice, environmental factors, social factors, and governance factors, all of which are thought to affect foreign investment decision-making in the UK renewable energy industry. Companies with top ESG scores are likely to draw in foreign investment and enhance competitiveness. The conceptual framework then provides a structured basis for examining the relationships among the study variables and helps achieve the research aim and objectives.</w:t>
      </w:r>
    </w:p>
    <w:p w14:paraId="10D4E947" w14:textId="77777777" w:rsidR="0001624F" w:rsidRDefault="0001624F">
      <w:pPr>
        <w:rPr>
          <w:b/>
          <w:bCs/>
          <w:sz w:val="26"/>
          <w:szCs w:val="26"/>
        </w:rPr>
      </w:pPr>
    </w:p>
    <w:p w14:paraId="1BAF7DBD" w14:textId="77777777" w:rsidR="00464F92" w:rsidRDefault="002831B2">
      <w:pPr>
        <w:pStyle w:val="Heading2"/>
        <w:spacing w:before="0" w:after="0"/>
      </w:pPr>
      <w:bookmarkStart w:id="21" w:name="_Toc240715242"/>
      <w:r>
        <w:t>2.5 Literature Gap</w:t>
      </w:r>
      <w:bookmarkEnd w:id="21"/>
      <w:r>
        <w:t xml:space="preserve"> </w:t>
      </w:r>
    </w:p>
    <w:p w14:paraId="6098DFA5" w14:textId="55598FD7" w:rsidR="00A34169" w:rsidRDefault="00C667BB">
      <w:r>
        <w:t>Most</w:t>
      </w:r>
      <w:r w:rsidR="002831B2">
        <w:t xml:space="preserve"> previous studies have focused mainly on financial and operational performance, not foreign investor decision-making. It provides ample evidence of the link between Environmental, Social and Governance (ESG) practices and organisational performance</w:t>
      </w:r>
      <w:r>
        <w:t>,</w:t>
      </w:r>
      <w:r w:rsidR="002831B2">
        <w:t xml:space="preserve"> with some gaps remaining.</w:t>
      </w:r>
      <w:r>
        <w:t xml:space="preserve"> </w:t>
      </w:r>
      <w:r w:rsidR="002831B2">
        <w:t>Lee (2023) examines the effect of company ESG practices on foreign investment attraction in the UK’s renewable energy market.</w:t>
      </w:r>
      <w:r>
        <w:t xml:space="preserve"> </w:t>
      </w:r>
      <w:r w:rsidR="002831B2">
        <w:t>Scholars have paid more attention to the environmental aspect of ESG than to the social and governance dimensions</w:t>
      </w:r>
      <w:r w:rsidR="00A34169">
        <w:t>,</w:t>
      </w:r>
      <w:r w:rsidR="002831B2">
        <w:t xml:space="preserve"> where the </w:t>
      </w:r>
      <w:r w:rsidR="002831B2">
        <w:lastRenderedPageBreak/>
        <w:t xml:space="preserve">ESG impacts </w:t>
      </w:r>
      <w:r w:rsidR="00A34169">
        <w:t>on</w:t>
      </w:r>
      <w:r w:rsidR="002831B2">
        <w:t xml:space="preserve"> overall performance </w:t>
      </w:r>
      <w:r w:rsidR="00A34169">
        <w:t>are</w:t>
      </w:r>
      <w:r w:rsidR="002831B2">
        <w:t xml:space="preserve"> not fully understood. The focus is on the individual elements of ESG and how they influence investor confidence and the appeal of investments in isolation, without accounting for the combined influence of the three elements. According to Li </w:t>
      </w:r>
      <w:r w:rsidR="002831B2">
        <w:rPr>
          <w:i/>
          <w:iCs/>
        </w:rPr>
        <w:t>et al</w:t>
      </w:r>
      <w:r w:rsidR="002831B2">
        <w:t xml:space="preserve">. (2005), the recent developments in UK sustainability regulations and reporting standards for environmental, social and governance (ESG) issues </w:t>
      </w:r>
      <w:r w:rsidR="00A34169">
        <w:t>remain</w:t>
      </w:r>
      <w:r w:rsidR="002831B2">
        <w:t xml:space="preserve"> limited, and this gap needs to be addressed.</w:t>
      </w:r>
      <w:r w:rsidR="00A34169">
        <w:t xml:space="preserve"> </w:t>
      </w:r>
      <w:r w:rsidR="002831B2">
        <w:t>Few empirical studies and practical suggestions address how to implement ESG to attract international investors.</w:t>
      </w:r>
    </w:p>
    <w:p w14:paraId="36778145" w14:textId="7F184195" w:rsidR="00464F92" w:rsidRDefault="002831B2">
      <w:r>
        <w:t xml:space="preserve"> </w:t>
      </w:r>
    </w:p>
    <w:p w14:paraId="7533BF4B" w14:textId="418AA63D" w:rsidR="00451AF8" w:rsidRPr="00451AF8" w:rsidRDefault="002831B2" w:rsidP="00A34169">
      <w:pPr>
        <w:pStyle w:val="Heading2"/>
        <w:spacing w:before="0" w:after="0"/>
      </w:pPr>
      <w:bookmarkStart w:id="22" w:name="_Toc240715243"/>
      <w:r>
        <w:t>2.6 Chapter Summary</w:t>
      </w:r>
      <w:bookmarkEnd w:id="22"/>
    </w:p>
    <w:p w14:paraId="1F54BFE6" w14:textId="102C5F32" w:rsidR="00464F92" w:rsidRDefault="002831B2">
      <w:r>
        <w:t>The empirical review focused on the following themes</w:t>
      </w:r>
      <w:r w:rsidR="00A34169">
        <w:t>:</w:t>
      </w:r>
      <w:r>
        <w:t xml:space="preserve"> ESG elements, ESG reporting, investment behaviour, implementation hurdles and key approaches to improve ESG performance. The chapter also explored the theories supporting the study and provided a conceptual framework to show how ESG factors relate to the attraction of foreign investment.</w:t>
      </w:r>
      <w:r w:rsidR="00A34169">
        <w:t xml:space="preserve"> </w:t>
      </w:r>
      <w:r>
        <w:t>This chapter aimed to critically review the literature on ESG practices and their impact on attracting FDI to the UK renewable energy (RE) sector. This also identified gaps in the literature, most notably the limited evidence base supporting research in the UK and the lack of investigation into the combined effect of the ESG dimensions. These gaps provide the background for the present study, support the research aim and objectives, and will be discussed in the next chapter, Methodology.</w:t>
      </w:r>
    </w:p>
    <w:p w14:paraId="1152905B" w14:textId="77777777" w:rsidR="00464F92" w:rsidRDefault="002831B2">
      <w:r>
        <w:br w:type="page"/>
      </w:r>
    </w:p>
    <w:p w14:paraId="2778B692" w14:textId="77777777" w:rsidR="00464F92" w:rsidRDefault="002831B2">
      <w:pPr>
        <w:pStyle w:val="Heading1"/>
      </w:pPr>
      <w:bookmarkStart w:id="23" w:name="_Toc240715244"/>
      <w:r>
        <w:lastRenderedPageBreak/>
        <w:t>Chapter 3: Methodology</w:t>
      </w:r>
      <w:bookmarkEnd w:id="23"/>
    </w:p>
    <w:p w14:paraId="5D00CBC4" w14:textId="77777777" w:rsidR="00464F92" w:rsidRDefault="002831B2">
      <w:pPr>
        <w:pStyle w:val="Heading2"/>
      </w:pPr>
      <w:bookmarkStart w:id="24" w:name="_Toc240715245"/>
      <w:r>
        <w:t>3.1 Introduction</w:t>
      </w:r>
      <w:bookmarkEnd w:id="24"/>
    </w:p>
    <w:p w14:paraId="0295F80C" w14:textId="1697CFBE" w:rsidR="00464F92" w:rsidRDefault="002831B2">
      <w:r>
        <w:t xml:space="preserve">This chapter outlines the methodological approach used to explore how ESG impacts foreign investment inflows into the UK renewables industry. It clarifies the link between the chosen </w:t>
      </w:r>
      <w:r w:rsidR="005B106D">
        <w:t>methodology</w:t>
      </w:r>
      <w:r>
        <w:t xml:space="preserve"> and the research aim and objectives, providing a systematic process for gathering, analysing, and interpreting secondary qualitative data. The chapter also provides methodological limitations, research philosophy, research design, research strategy, data collection method, sampling strategy, data analysis method, time horizon and research ethics. These methodological elements provide clear information on the analysis and interpretation of the research findings in the following steps.</w:t>
      </w:r>
    </w:p>
    <w:p w14:paraId="132A0FC0" w14:textId="77777777" w:rsidR="00BD6789" w:rsidRDefault="00BD6789"/>
    <w:p w14:paraId="4E598FAB" w14:textId="77777777" w:rsidR="00464F92" w:rsidRDefault="002831B2">
      <w:pPr>
        <w:pStyle w:val="Heading2"/>
        <w:spacing w:before="0" w:after="0"/>
      </w:pPr>
      <w:bookmarkStart w:id="25" w:name="_Toc240715246"/>
      <w:r>
        <w:t>3.2 Research Philosophy</w:t>
      </w:r>
      <w:bookmarkEnd w:id="25"/>
      <w:r>
        <w:t xml:space="preserve"> </w:t>
      </w:r>
    </w:p>
    <w:p w14:paraId="5CE96C83" w14:textId="77777777" w:rsidR="00464F92" w:rsidRPr="004A382E" w:rsidRDefault="002831B2">
      <w:pPr>
        <w:rPr>
          <w:b/>
          <w:bCs/>
          <w:sz w:val="28"/>
          <w:szCs w:val="28"/>
        </w:rPr>
      </w:pPr>
      <w:r w:rsidRPr="004A382E">
        <w:rPr>
          <w:b/>
          <w:bCs/>
          <w:sz w:val="28"/>
          <w:szCs w:val="28"/>
        </w:rPr>
        <w:t>3.2.1 Significance of Research Philosophy</w:t>
      </w:r>
    </w:p>
    <w:p w14:paraId="5FB7D4B9" w14:textId="77777777" w:rsidR="0014744B" w:rsidRDefault="002831B2">
      <w:r>
        <w:t xml:space="preserve">Research philosophy is the system of beliefs and assumptions that guides the research process. According to Mbanaso </w:t>
      </w:r>
      <w:r>
        <w:rPr>
          <w:i/>
          <w:iCs/>
        </w:rPr>
        <w:t>et al</w:t>
      </w:r>
      <w:r>
        <w:t>. (2023), it provides a framework for choosing research methods and shapes the research aim and objectives, which are linked to the research methodology used. The philosophical aspects help in understanding and analysing the data, which helps increase the credibility, transparency, and trustworthiness of the research results.</w:t>
      </w:r>
    </w:p>
    <w:p w14:paraId="0961329E" w14:textId="07319AAE" w:rsidR="00BD6789" w:rsidRPr="004A382E" w:rsidRDefault="002831B2">
      <w:pPr>
        <w:rPr>
          <w:sz w:val="28"/>
          <w:szCs w:val="28"/>
        </w:rPr>
      </w:pPr>
      <w:r w:rsidRPr="004A382E">
        <w:rPr>
          <w:sz w:val="28"/>
          <w:szCs w:val="28"/>
        </w:rPr>
        <w:t xml:space="preserve"> </w:t>
      </w:r>
      <w:r w:rsidRPr="004A382E">
        <w:rPr>
          <w:b/>
          <w:bCs/>
          <w:sz w:val="28"/>
          <w:szCs w:val="28"/>
        </w:rPr>
        <w:t>3.2.2 Selected Research Philosophy and Justification</w:t>
      </w:r>
    </w:p>
    <w:p w14:paraId="0E4001F1" w14:textId="63A3D6AF" w:rsidR="0014744B" w:rsidRDefault="002831B2">
      <w:r>
        <w:t xml:space="preserve">This research adopts interpretivism to understand social phenomena by interpreting multiple meanings or common sense within the context. According to Irshaidat </w:t>
      </w:r>
      <w:r>
        <w:rPr>
          <w:i/>
          <w:iCs/>
        </w:rPr>
        <w:t>et al</w:t>
      </w:r>
      <w:r>
        <w:t>. (2022), the research focuses on the effect of ESG practices on foreign investment decisions.  It also considers a wide range of organisational, institutional, and investor viewpoints; interpretivism seems fitting. This philosophy allows in-depth interpretation of qualitative information gathered from secondary sources. This also examines a complex relationship between ESG performance and investment attraction.</w:t>
      </w:r>
    </w:p>
    <w:p w14:paraId="5C3C7692" w14:textId="77777777" w:rsidR="00464F92" w:rsidRPr="001877DE" w:rsidRDefault="002831B2">
      <w:pPr>
        <w:rPr>
          <w:b/>
          <w:bCs/>
          <w:sz w:val="28"/>
          <w:szCs w:val="28"/>
        </w:rPr>
      </w:pPr>
      <w:r w:rsidRPr="001877DE">
        <w:rPr>
          <w:b/>
          <w:bCs/>
          <w:sz w:val="28"/>
          <w:szCs w:val="28"/>
        </w:rPr>
        <w:t>3.2.3 Relevance to the Research Topic</w:t>
      </w:r>
    </w:p>
    <w:p w14:paraId="169DA9E4" w14:textId="77777777" w:rsidR="00464F92" w:rsidRDefault="002831B2">
      <w:r>
        <w:t>Interpretivism is highly applicable to exploring ESG practices and investor perceptions in the renewable energy industry in the United Kingdom. According to Garner and Charlotte (2024), it can also be used with qualitative secondary research to provide a wide range of interpretations of published academic evidence. This also helps identify trends and themes that explain the role of ESG implementation in attracting foreign investment.</w:t>
      </w:r>
    </w:p>
    <w:p w14:paraId="398B440E" w14:textId="77777777" w:rsidR="00464F92" w:rsidRDefault="002831B2">
      <w:pPr>
        <w:pStyle w:val="Heading2"/>
      </w:pPr>
      <w:bookmarkStart w:id="26" w:name="_Toc240715247"/>
      <w:r>
        <w:lastRenderedPageBreak/>
        <w:t>3.3 Research Approach</w:t>
      </w:r>
      <w:bookmarkEnd w:id="26"/>
    </w:p>
    <w:p w14:paraId="2EBE97B7" w14:textId="77777777" w:rsidR="00464F92" w:rsidRPr="001877DE" w:rsidRDefault="002831B2">
      <w:pPr>
        <w:rPr>
          <w:b/>
          <w:bCs/>
          <w:sz w:val="28"/>
          <w:szCs w:val="28"/>
        </w:rPr>
      </w:pPr>
      <w:r w:rsidRPr="001877DE">
        <w:rPr>
          <w:b/>
          <w:bCs/>
          <w:sz w:val="28"/>
          <w:szCs w:val="28"/>
        </w:rPr>
        <w:t>3.3.1 Significance of Research Approach</w:t>
      </w:r>
    </w:p>
    <w:p w14:paraId="60CF1E05" w14:textId="77777777" w:rsidR="00464F92" w:rsidRDefault="002831B2">
      <w:r>
        <w:t>Inductive research is a method that adds more patterns, themes or concepts to broader observations or evidence. It suits qualitative research by letting findings emerge from the collected data, rather than testing pre-made hypotheses. This approach allows for flexible treatment of ESG practices and their impact on attracting foreign investment.</w:t>
      </w:r>
    </w:p>
    <w:p w14:paraId="04BF9E28" w14:textId="77777777" w:rsidR="00464F92" w:rsidRPr="001877DE" w:rsidRDefault="002831B2">
      <w:pPr>
        <w:rPr>
          <w:b/>
          <w:bCs/>
          <w:sz w:val="28"/>
          <w:szCs w:val="28"/>
        </w:rPr>
      </w:pPr>
      <w:r w:rsidRPr="001877DE">
        <w:rPr>
          <w:b/>
          <w:bCs/>
          <w:sz w:val="28"/>
          <w:szCs w:val="28"/>
        </w:rPr>
        <w:t>3.3.2 Selected Research Approach and Justification</w:t>
      </w:r>
    </w:p>
    <w:p w14:paraId="46230D11" w14:textId="77777777" w:rsidR="00464F92" w:rsidRDefault="002831B2">
      <w:r>
        <w:t xml:space="preserve">The research is designed to identify themes and patterns in ESG practices and foreign investment decisions in the UK renewable energy sector, making it inductive in nature. According to Ngo </w:t>
      </w:r>
      <w:r>
        <w:rPr>
          <w:i/>
          <w:iCs/>
        </w:rPr>
        <w:t>et al</w:t>
      </w:r>
      <w:r>
        <w:t>. (2025), this method allows the study to analyse current academic studies, industry reports, and institutional publications.  It is an important factor that affects the ESG factors which are related to the investment process.</w:t>
      </w:r>
    </w:p>
    <w:p w14:paraId="49B92948" w14:textId="77777777" w:rsidR="00464F92" w:rsidRDefault="002831B2">
      <w:pPr>
        <w:rPr>
          <w:b/>
          <w:bCs/>
        </w:rPr>
      </w:pPr>
      <w:r w:rsidRPr="0040380D">
        <w:rPr>
          <w:b/>
          <w:bCs/>
          <w:sz w:val="28"/>
          <w:szCs w:val="28"/>
        </w:rPr>
        <w:t>3.3.3 Relevance to the Research Topic</w:t>
      </w:r>
    </w:p>
    <w:p w14:paraId="5F717C68" w14:textId="781F5391" w:rsidR="00464F92" w:rsidRDefault="001877DE">
      <w:r>
        <w:t>The inductive approach is important because it aligns ESG practices with those of foreign investors. Environmental, social, and governance considerations can, in some cases, affect foreign investors differently. Secondary data also highlight evidence themes, investor concerns, and industry patterns that help to understand ESG's role in attracting foreign capital.</w:t>
      </w:r>
    </w:p>
    <w:p w14:paraId="1FBE860A" w14:textId="77777777" w:rsidR="00464F92" w:rsidRDefault="002831B2">
      <w:pPr>
        <w:pStyle w:val="Heading2"/>
      </w:pPr>
      <w:bookmarkStart w:id="27" w:name="_Toc240715248"/>
      <w:r>
        <w:t>3.4 Research Method</w:t>
      </w:r>
      <w:bookmarkEnd w:id="27"/>
    </w:p>
    <w:p w14:paraId="6B28E274" w14:textId="77777777" w:rsidR="00464F92" w:rsidRPr="0040380D" w:rsidRDefault="002831B2">
      <w:pPr>
        <w:rPr>
          <w:b/>
          <w:bCs/>
          <w:sz w:val="28"/>
          <w:szCs w:val="28"/>
        </w:rPr>
      </w:pPr>
      <w:r w:rsidRPr="0040380D">
        <w:rPr>
          <w:b/>
          <w:bCs/>
          <w:sz w:val="28"/>
          <w:szCs w:val="28"/>
        </w:rPr>
        <w:t>3.4.1 Significance of Research Method</w:t>
      </w:r>
    </w:p>
    <w:p w14:paraId="1A847E85" w14:textId="77777777" w:rsidR="00464F92" w:rsidRDefault="002831B2">
      <w:pPr>
        <w:rPr>
          <w:b/>
          <w:bCs/>
        </w:rPr>
      </w:pPr>
      <w:r>
        <w:t xml:space="preserve">It is useful for studying complex relationships that cannot be fully described in numbers. A qualitative research method allows for interpretation of non-numerical data such as perceptions, experiences, organisational practices and contextual evidence. </w:t>
      </w:r>
    </w:p>
    <w:p w14:paraId="67F669E3" w14:textId="77777777" w:rsidR="00464F92" w:rsidRPr="0040380D" w:rsidRDefault="002831B2">
      <w:pPr>
        <w:rPr>
          <w:b/>
          <w:bCs/>
          <w:sz w:val="28"/>
          <w:szCs w:val="28"/>
        </w:rPr>
      </w:pPr>
      <w:r w:rsidRPr="0040380D">
        <w:rPr>
          <w:b/>
          <w:bCs/>
          <w:sz w:val="28"/>
          <w:szCs w:val="28"/>
        </w:rPr>
        <w:t>3.4.2 Selected Research Method and Justification</w:t>
      </w:r>
    </w:p>
    <w:p w14:paraId="734924CB" w14:textId="77777777" w:rsidR="00464F92" w:rsidRDefault="002831B2">
      <w:r>
        <w:t xml:space="preserve">This research uses a secondary-data qualitative approach, drawing on journal articles, industry reports, and institutional publications. According to Sinha </w:t>
      </w:r>
      <w:r>
        <w:rPr>
          <w:i/>
          <w:iCs/>
        </w:rPr>
        <w:t>et al</w:t>
      </w:r>
      <w:r>
        <w:t>. (2024), this provides detailed evidence on ESG implementation and foreign investment decisions. The method can support interpretive inquiry across different viewpoints and contexts.</w:t>
      </w:r>
    </w:p>
    <w:p w14:paraId="58157F33" w14:textId="77777777" w:rsidR="00464F92" w:rsidRPr="0040380D" w:rsidRDefault="002831B2">
      <w:pPr>
        <w:rPr>
          <w:b/>
          <w:bCs/>
          <w:sz w:val="28"/>
          <w:szCs w:val="28"/>
        </w:rPr>
      </w:pPr>
      <w:r w:rsidRPr="0040380D">
        <w:rPr>
          <w:b/>
          <w:bCs/>
          <w:sz w:val="28"/>
          <w:szCs w:val="28"/>
        </w:rPr>
        <w:t>3.4.3 Relevance to the Research Topic</w:t>
      </w:r>
    </w:p>
    <w:p w14:paraId="4BBDA051" w14:textId="7208CE76" w:rsidR="00464F92" w:rsidRDefault="002831B2">
      <w:r>
        <w:t xml:space="preserve">The qualitative method </w:t>
      </w:r>
      <w:r w:rsidR="007A0B5D">
        <w:t>applies</w:t>
      </w:r>
      <w:r>
        <w:t xml:space="preserve"> to </w:t>
      </w:r>
      <w:r w:rsidR="007A0B5D">
        <w:t>studying</w:t>
      </w:r>
      <w:r>
        <w:t xml:space="preserve"> the impact of ESG practices on foreign investment attraction without numerically gauging the investment outcomes. It allows the researcher to </w:t>
      </w:r>
      <w:r>
        <w:lastRenderedPageBreak/>
        <w:t>identify the key themes related to ESG performance. Investor expectations and sustainability credibility relate to investment decision-making in the UK renewables sector.</w:t>
      </w:r>
    </w:p>
    <w:p w14:paraId="76DD9901" w14:textId="77777777" w:rsidR="00480297" w:rsidRDefault="00480297"/>
    <w:p w14:paraId="38316CAB" w14:textId="77777777" w:rsidR="003B4927" w:rsidRDefault="002831B2">
      <w:pPr>
        <w:pStyle w:val="Heading2"/>
        <w:spacing w:before="0" w:after="0"/>
      </w:pPr>
      <w:bookmarkStart w:id="28" w:name="_Toc240715249"/>
      <w:r>
        <w:t>3.5 Research Design</w:t>
      </w:r>
      <w:bookmarkEnd w:id="28"/>
    </w:p>
    <w:p w14:paraId="0122DB37" w14:textId="3BBD569C" w:rsidR="00464F92" w:rsidRPr="00480297" w:rsidRDefault="002831B2" w:rsidP="00480297">
      <w:pPr>
        <w:pStyle w:val="Heading2"/>
        <w:spacing w:before="0" w:after="0"/>
      </w:pPr>
      <w:r>
        <w:t xml:space="preserve"> </w:t>
      </w:r>
      <w:bookmarkStart w:id="29" w:name="_Toc240715250"/>
      <w:r>
        <w:t>3.5.1 Significance of Research Design</w:t>
      </w:r>
      <w:bookmarkEnd w:id="29"/>
    </w:p>
    <w:p w14:paraId="31406F99" w14:textId="77777777" w:rsidR="00464F92" w:rsidRDefault="002831B2">
      <w:r>
        <w:t xml:space="preserve">Research design is a general plan for collecting, integrating, and analysing the data needed to solve research problems effectively. According to Capili and Anastasi (2024), it is a systematic framework that helps select appropriate methods with logical linkages to the research questions. A clear research design also helps improve the validity, reliability, and consistency of a research investigation and provides guidelines for collecting and analysing research evidence. </w:t>
      </w:r>
    </w:p>
    <w:p w14:paraId="10061747" w14:textId="77777777" w:rsidR="00464F92" w:rsidRPr="0040380D" w:rsidRDefault="002831B2">
      <w:pPr>
        <w:rPr>
          <w:b/>
          <w:bCs/>
          <w:sz w:val="28"/>
          <w:szCs w:val="28"/>
        </w:rPr>
      </w:pPr>
      <w:r w:rsidRPr="0040380D">
        <w:rPr>
          <w:b/>
          <w:bCs/>
          <w:sz w:val="28"/>
          <w:szCs w:val="28"/>
        </w:rPr>
        <w:t>3.5.2 Selected Research Design and Justification</w:t>
      </w:r>
    </w:p>
    <w:p w14:paraId="54B7C3D7" w14:textId="542A219F" w:rsidR="00464F92" w:rsidRDefault="002831B2">
      <w:r>
        <w:t xml:space="preserve">The research design will use an exploratory approach to examine the relationship between Environmental, Social and Governance (ESG) practices.  This study uses an exploratory design to extract information on foreign investment attraction to the UK renewable energy industry. According to Arbués </w:t>
      </w:r>
      <w:r>
        <w:rPr>
          <w:i/>
          <w:iCs/>
        </w:rPr>
        <w:t>et al</w:t>
      </w:r>
      <w:r>
        <w:t>. (2025),</w:t>
      </w:r>
      <w:r w:rsidR="006A1835">
        <w:t xml:space="preserve"> </w:t>
      </w:r>
      <w:r>
        <w:t>the design allows the study to draw on current knowledge, examine ongoing trends, and build a comprehensive understanding of the phenomenon through qualitative secondary sources from credible academic sources.</w:t>
      </w:r>
      <w:r w:rsidR="006A1835">
        <w:t xml:space="preserve"> </w:t>
      </w:r>
      <w:r>
        <w:t xml:space="preserve">Exploratory research is appropriate because the topic involves a developing sustainability practice and changing investor expectations, which warrants more detailed analysis. </w:t>
      </w:r>
    </w:p>
    <w:p w14:paraId="28E0E46A" w14:textId="77777777" w:rsidR="00464F92" w:rsidRPr="0040380D" w:rsidRDefault="002831B2">
      <w:pPr>
        <w:rPr>
          <w:b/>
          <w:bCs/>
          <w:sz w:val="28"/>
          <w:szCs w:val="28"/>
        </w:rPr>
      </w:pPr>
      <w:r w:rsidRPr="0040380D">
        <w:rPr>
          <w:b/>
          <w:bCs/>
          <w:sz w:val="28"/>
          <w:szCs w:val="28"/>
        </w:rPr>
        <w:t>3.5.3 Relevance to the Research Topic</w:t>
      </w:r>
    </w:p>
    <w:p w14:paraId="43D49851" w14:textId="77777777" w:rsidR="00480297" w:rsidRDefault="002831B2">
      <w:r>
        <w:t>This also provides information on the impact of ESG implementation on foreign investment in the UK renewable energy industry.</w:t>
      </w:r>
      <w:r w:rsidR="006A1835">
        <w:t xml:space="preserve"> </w:t>
      </w:r>
      <w:r>
        <w:t xml:space="preserve">According to Abdirahman </w:t>
      </w:r>
      <w:r>
        <w:rPr>
          <w:i/>
          <w:iCs/>
        </w:rPr>
        <w:t>et al</w:t>
      </w:r>
      <w:r>
        <w:t>. (2025), it helps identify recurring themes, investment trends, and gaps in renewable energy research.  The exploratory research design is appropriate for investigating ESG practices and their relationship with foreign investors.</w:t>
      </w:r>
    </w:p>
    <w:p w14:paraId="56A77572" w14:textId="2A060402" w:rsidR="00464F92" w:rsidRDefault="002831B2">
      <w:pPr>
        <w:rPr>
          <w:color w:val="FF0000"/>
        </w:rPr>
      </w:pPr>
      <w:r>
        <w:rPr>
          <w:color w:val="FF0000"/>
        </w:rPr>
        <w:t xml:space="preserve">  </w:t>
      </w:r>
    </w:p>
    <w:p w14:paraId="7151866E" w14:textId="77777777" w:rsidR="00464F92" w:rsidRDefault="002831B2">
      <w:pPr>
        <w:pStyle w:val="Heading2"/>
        <w:spacing w:before="0" w:after="0"/>
      </w:pPr>
      <w:bookmarkStart w:id="30" w:name="_Toc240715251"/>
      <w:r>
        <w:t>3.6 Research Strategy</w:t>
      </w:r>
      <w:bookmarkEnd w:id="30"/>
    </w:p>
    <w:p w14:paraId="5F9F1901" w14:textId="77777777" w:rsidR="00464F92" w:rsidRPr="0040380D" w:rsidRDefault="002831B2">
      <w:pPr>
        <w:rPr>
          <w:b/>
          <w:bCs/>
          <w:sz w:val="28"/>
          <w:szCs w:val="28"/>
        </w:rPr>
      </w:pPr>
      <w:r w:rsidRPr="0040380D">
        <w:rPr>
          <w:b/>
          <w:bCs/>
          <w:sz w:val="28"/>
          <w:szCs w:val="28"/>
        </w:rPr>
        <w:t>3.6.1 Significance of Research Strategy</w:t>
      </w:r>
    </w:p>
    <w:p w14:paraId="758F1C8B" w14:textId="3294A91D" w:rsidR="00464F92" w:rsidRDefault="002831B2">
      <w:r>
        <w:t xml:space="preserve">This strategy is related to the research sources, methods, and analysis tools that ensure consistency throughout the study. According to Aja and Xie (2023), researchers carefully choose methods to maximise the reliability and credibility of the results.  It is the general </w:t>
      </w:r>
      <w:r>
        <w:lastRenderedPageBreak/>
        <w:t xml:space="preserve">method or approach used to systematically collect, organise, and analyse data to address the research aim. </w:t>
      </w:r>
    </w:p>
    <w:p w14:paraId="0E46F0E4" w14:textId="77777777" w:rsidR="00464F92" w:rsidRPr="0040380D" w:rsidRDefault="002831B2">
      <w:pPr>
        <w:rPr>
          <w:b/>
          <w:bCs/>
          <w:sz w:val="28"/>
          <w:szCs w:val="28"/>
        </w:rPr>
      </w:pPr>
      <w:r w:rsidRPr="0040380D">
        <w:rPr>
          <w:b/>
          <w:bCs/>
          <w:sz w:val="28"/>
          <w:szCs w:val="28"/>
        </w:rPr>
        <w:t>3.6.2 Selected Research Strategy and Justification</w:t>
      </w:r>
    </w:p>
    <w:p w14:paraId="52941FFC" w14:textId="6778D7E3" w:rsidR="00464F92" w:rsidRDefault="002831B2">
      <w:r>
        <w:t>This study uses a secondary qualitative research method to analyse published literature and other credible secondary data. This strategy is suitable because relevant research on Environmental, Social and Governance (ESG) practices and foreign investments has already been conducted and published in peer-reviewed journals, institutional reports, or other academic publications. According to Costa (2024), secondary qualitative data offers several benefits, including reliable evidence, strong academic standing, cost-effectiveness, and the ability to review research on ESG practices in the renewable energy industry.</w:t>
      </w:r>
      <w:r w:rsidR="006A1835">
        <w:t xml:space="preserve"> </w:t>
      </w:r>
      <w:r>
        <w:t>This study uses a secondary qualitative research method to analyse published literature and other credible secondary data.</w:t>
      </w:r>
    </w:p>
    <w:p w14:paraId="179BF97D" w14:textId="77777777" w:rsidR="00464F92" w:rsidRDefault="002831B2">
      <w:pPr>
        <w:rPr>
          <w:b/>
          <w:bCs/>
        </w:rPr>
      </w:pPr>
      <w:r w:rsidRPr="0040380D">
        <w:rPr>
          <w:b/>
          <w:bCs/>
          <w:sz w:val="28"/>
          <w:szCs w:val="28"/>
        </w:rPr>
        <w:t>3.6.3 Relevance to the Research Topic</w:t>
      </w:r>
    </w:p>
    <w:p w14:paraId="55BEFC50" w14:textId="5A49655B" w:rsidR="00464F92" w:rsidRDefault="002831B2">
      <w:r>
        <w:t>This secondary qualitative research allows identification of common themes, patterns, and observations in the work conducted, aiding the development of a broad overview of the research topic.</w:t>
      </w:r>
      <w:r w:rsidR="006A1835">
        <w:t xml:space="preserve"> </w:t>
      </w:r>
      <w:r>
        <w:t xml:space="preserve">According to Squire </w:t>
      </w:r>
      <w:r>
        <w:rPr>
          <w:i/>
          <w:iCs/>
        </w:rPr>
        <w:t>et al</w:t>
      </w:r>
      <w:r>
        <w:t>. (2023)</w:t>
      </w:r>
      <w:r w:rsidR="006A1835">
        <w:t>,</w:t>
      </w:r>
      <w:r>
        <w:t xml:space="preserve"> it is highly applicable to the present study, as it allows integration of the literature gathered on ESG practices.  It also supports useful comparisons of results across different studies within the UK renewable energy sector.</w:t>
      </w:r>
    </w:p>
    <w:p w14:paraId="7A8FB5CD" w14:textId="77777777" w:rsidR="00480297" w:rsidRDefault="00480297"/>
    <w:p w14:paraId="4E8E3656" w14:textId="77777777" w:rsidR="00341100" w:rsidRDefault="002831B2">
      <w:pPr>
        <w:pStyle w:val="Heading2"/>
        <w:spacing w:before="0" w:after="0"/>
      </w:pPr>
      <w:bookmarkStart w:id="31" w:name="_Toc240715252"/>
      <w:r>
        <w:t>3.7 Data Collection Method</w:t>
      </w:r>
      <w:bookmarkEnd w:id="31"/>
    </w:p>
    <w:p w14:paraId="79FBE975" w14:textId="4898D3E6" w:rsidR="00464F92" w:rsidRPr="00480297" w:rsidRDefault="002831B2" w:rsidP="00480297">
      <w:pPr>
        <w:pStyle w:val="Heading2"/>
        <w:spacing w:before="0" w:after="0"/>
      </w:pPr>
      <w:r>
        <w:t xml:space="preserve"> </w:t>
      </w:r>
      <w:bookmarkStart w:id="32" w:name="_Toc240715253"/>
      <w:r>
        <w:t>3.7.1 Significance of Data Collection</w:t>
      </w:r>
      <w:bookmarkEnd w:id="32"/>
    </w:p>
    <w:p w14:paraId="50382923" w14:textId="201160A9" w:rsidR="00464F92" w:rsidRDefault="002831B2">
      <w:r>
        <w:t xml:space="preserve">The selection of trustworthy and valid data sources is important for delivering credible results. According to Harerimana </w:t>
      </w:r>
      <w:r>
        <w:rPr>
          <w:i/>
          <w:iCs/>
        </w:rPr>
        <w:t>et al</w:t>
      </w:r>
      <w:r>
        <w:t>. (2024)</w:t>
      </w:r>
      <w:r w:rsidR="006A1835">
        <w:t>,</w:t>
      </w:r>
      <w:r>
        <w:t xml:space="preserve"> </w:t>
      </w:r>
      <w:r w:rsidR="006A1835">
        <w:t>quality</w:t>
      </w:r>
      <w:r>
        <w:t xml:space="preserve"> data collection improves research quality by providing accurate, relevant data that aligns with the research objectives. Data Collection is a systematic process that helps solve the research problem, address the research objectives, and answer the research questions.</w:t>
      </w:r>
    </w:p>
    <w:p w14:paraId="158EF251" w14:textId="77777777" w:rsidR="00464F92" w:rsidRPr="0040380D" w:rsidRDefault="002831B2">
      <w:pPr>
        <w:rPr>
          <w:b/>
          <w:bCs/>
          <w:sz w:val="28"/>
          <w:szCs w:val="28"/>
        </w:rPr>
      </w:pPr>
      <w:r w:rsidRPr="0040380D">
        <w:rPr>
          <w:b/>
          <w:bCs/>
          <w:sz w:val="28"/>
          <w:szCs w:val="28"/>
        </w:rPr>
        <w:t>3.7.2 Selected Data Collection Method and Justification</w:t>
      </w:r>
    </w:p>
    <w:p w14:paraId="27F2D5A9" w14:textId="6B6567F9" w:rsidR="00464F92" w:rsidRDefault="002831B2">
      <w:r>
        <w:t xml:space="preserve">The data are identified from credible academic databases such as Google Scholar, ScienceDirect, MDPI, Wiley Online Library, SAGE Journals, SpringerLink, Emerald Insight, and Taylor &amp; Francis Online. These databases were chosen because they provide access to high-quality, peer-reviewed, and up-to-date academic publications, ensuring academic credibility. It also covers environmental, social and governance, sustainability, renewable energy, and foreign investment practices, making them suitable sources for in-depth qualitative </w:t>
      </w:r>
      <w:r>
        <w:lastRenderedPageBreak/>
        <w:t>analysis.</w:t>
      </w:r>
      <w:r w:rsidR="006A1835">
        <w:t xml:space="preserve"> </w:t>
      </w:r>
      <w:r>
        <w:t xml:space="preserve">This research also uses secondary qualitative data collection methods, collecting data from systematic peer-reviewed journal articles, academic books, institutional publications, government reports, and industry reports. </w:t>
      </w:r>
    </w:p>
    <w:p w14:paraId="28974048" w14:textId="147F138A" w:rsidR="00464F92" w:rsidRDefault="002831B2">
      <w:r>
        <w:t xml:space="preserve">It also </w:t>
      </w:r>
      <w:r w:rsidR="006A1835">
        <w:t>covers</w:t>
      </w:r>
      <w:r>
        <w:t xml:space="preserve"> environmental, social and governance, sustainability, renewable energy, and foreign investment practices, making them suitable sources for in-depth qualitative analysis.</w:t>
      </w:r>
    </w:p>
    <w:p w14:paraId="4D89C580" w14:textId="77777777" w:rsidR="00464F92" w:rsidRPr="00304E84" w:rsidRDefault="002831B2">
      <w:pPr>
        <w:rPr>
          <w:b/>
          <w:bCs/>
          <w:sz w:val="28"/>
          <w:szCs w:val="28"/>
        </w:rPr>
      </w:pPr>
      <w:r w:rsidRPr="00304E84">
        <w:rPr>
          <w:b/>
          <w:bCs/>
          <w:sz w:val="28"/>
          <w:szCs w:val="28"/>
        </w:rPr>
        <w:t>3.7.3 Relevance to the Research Topic</w:t>
      </w:r>
    </w:p>
    <w:p w14:paraId="396A93F2" w14:textId="77777777" w:rsidR="00464F92" w:rsidRDefault="002831B2">
      <w:r>
        <w:t>The chosen data-collection approach is highly appropriate to the study topic, providing access to a large body of literature on foreign investment in the UK renewable energy industry and ESG practices in the industry.  This thematic analysis is possible based on recently available, credible evidence, as recurring themes, relationships, and insights can be derived from the study's research objectives.</w:t>
      </w:r>
    </w:p>
    <w:p w14:paraId="6F12C022" w14:textId="77777777" w:rsidR="00341100" w:rsidRDefault="00341100"/>
    <w:p w14:paraId="3A294FDF" w14:textId="62934558" w:rsidR="00341100" w:rsidRPr="00341100" w:rsidRDefault="002831B2" w:rsidP="00341100">
      <w:pPr>
        <w:pStyle w:val="Heading2"/>
        <w:spacing w:before="0" w:after="0"/>
      </w:pPr>
      <w:bookmarkStart w:id="33" w:name="_Toc240715254"/>
      <w:r>
        <w:t>3.8 Sampling Strategy</w:t>
      </w:r>
      <w:bookmarkEnd w:id="33"/>
      <w:r>
        <w:t xml:space="preserve"> </w:t>
      </w:r>
    </w:p>
    <w:p w14:paraId="34D7650E" w14:textId="77777777" w:rsidR="00464F92" w:rsidRDefault="002831B2">
      <w:pPr>
        <w:rPr>
          <w:b/>
          <w:bCs/>
        </w:rPr>
      </w:pPr>
      <w:r>
        <w:rPr>
          <w:b/>
          <w:bCs/>
        </w:rPr>
        <w:t>3.8.1 Significance of Sampling</w:t>
      </w:r>
    </w:p>
    <w:p w14:paraId="464CA3B3" w14:textId="2AE2A728" w:rsidR="00464F92" w:rsidRDefault="00304E84">
      <w:r>
        <w:t>Sampling is the process of selecting appropriate sources or units from a larger population to obtain information relevant to the research objectives. According to Douglas (2022), it is employed to ensure that only high-quality and relevant literature is analysed in secondary qualitative research. The more relevant the sources, the more credible and consistent the data. In this way, the overall quality of the research also increases by choosing a proper sampling strategy that helps interpret the data collected from the sample.</w:t>
      </w:r>
    </w:p>
    <w:p w14:paraId="0530ED29" w14:textId="77777777" w:rsidR="00464F92" w:rsidRDefault="002831B2">
      <w:r w:rsidRPr="00735BAB">
        <w:rPr>
          <w:b/>
          <w:bCs/>
          <w:sz w:val="28"/>
          <w:szCs w:val="28"/>
        </w:rPr>
        <w:t>3.8.2 Selected Sampling Strategy and Justification</w:t>
      </w:r>
    </w:p>
    <w:p w14:paraId="4106FD49" w14:textId="77777777" w:rsidR="00464F92" w:rsidRDefault="002831B2">
      <w:r>
        <w:t xml:space="preserve">This study will use purposive sampling to identify and select the 15 papers most relevant to the research topic and published in peer-reviewed journals. According to Robinson (2024), purposive sampling allows careful consideration and selection of studies that provide rich, credible data on ESG practices and the attraction of foreign investment in the UK renewable energy industry. The inclusion criteria are articles published within the time frame, in English, and addressing ESG practices, foreign investment, and the UK. The exclusion criteria include articles that are not peer-reviewed, duplicate studies, research on irrelevant countries or industries, and articles lacking methodological quality. </w:t>
      </w:r>
    </w:p>
    <w:p w14:paraId="442FA69F" w14:textId="77777777" w:rsidR="00464F92" w:rsidRPr="00735BAB" w:rsidRDefault="002831B2">
      <w:pPr>
        <w:rPr>
          <w:b/>
          <w:bCs/>
          <w:sz w:val="28"/>
          <w:szCs w:val="28"/>
        </w:rPr>
      </w:pPr>
      <w:r w:rsidRPr="00735BAB">
        <w:rPr>
          <w:b/>
          <w:bCs/>
          <w:sz w:val="28"/>
          <w:szCs w:val="28"/>
        </w:rPr>
        <w:t>3.8.3 Relevance to the Research Topic</w:t>
      </w:r>
    </w:p>
    <w:p w14:paraId="7317F814" w14:textId="77777777" w:rsidR="00464F92" w:rsidRDefault="002831B2">
      <w:r>
        <w:t xml:space="preserve">Purposive sampling is highly relevant to this study, as it helps select academic literature that is directly pertinent to the study. According to Liu </w:t>
      </w:r>
      <w:r>
        <w:rPr>
          <w:i/>
          <w:iCs/>
        </w:rPr>
        <w:t>et al</w:t>
      </w:r>
      <w:r>
        <w:t xml:space="preserve">. (2023), this strategy helps explain the </w:t>
      </w:r>
      <w:r>
        <w:lastRenderedPageBreak/>
        <w:t>correlation between ESG practices and foreign investment. This also helps create a solid foundation for the thematic analysis carried out in this study.</w:t>
      </w:r>
    </w:p>
    <w:p w14:paraId="3D4BE1FD" w14:textId="77777777" w:rsidR="00341100" w:rsidRDefault="00341100"/>
    <w:p w14:paraId="7994FAB1" w14:textId="77777777" w:rsidR="00464F92" w:rsidRPr="00735BAB" w:rsidRDefault="002831B2">
      <w:pPr>
        <w:pStyle w:val="Heading2"/>
        <w:spacing w:before="0" w:after="0"/>
        <w:rPr>
          <w:sz w:val="28"/>
          <w:szCs w:val="28"/>
        </w:rPr>
      </w:pPr>
      <w:bookmarkStart w:id="34" w:name="_Toc240715255"/>
      <w:r w:rsidRPr="00735BAB">
        <w:rPr>
          <w:sz w:val="28"/>
          <w:szCs w:val="28"/>
        </w:rPr>
        <w:t>3.9 Data Analysis Method</w:t>
      </w:r>
      <w:bookmarkEnd w:id="34"/>
      <w:r w:rsidRPr="00735BAB">
        <w:rPr>
          <w:sz w:val="28"/>
          <w:szCs w:val="28"/>
        </w:rPr>
        <w:t xml:space="preserve"> </w:t>
      </w:r>
    </w:p>
    <w:p w14:paraId="63625A00" w14:textId="77777777" w:rsidR="00464F92" w:rsidRPr="00735BAB" w:rsidRDefault="002831B2">
      <w:pPr>
        <w:rPr>
          <w:b/>
          <w:bCs/>
          <w:sz w:val="28"/>
          <w:szCs w:val="28"/>
        </w:rPr>
      </w:pPr>
      <w:r w:rsidRPr="00735BAB">
        <w:rPr>
          <w:b/>
          <w:bCs/>
          <w:sz w:val="28"/>
          <w:szCs w:val="28"/>
        </w:rPr>
        <w:t>3.9.1 Significance of Data Analysis</w:t>
      </w:r>
    </w:p>
    <w:p w14:paraId="4F239C06" w14:textId="77777777" w:rsidR="00464F92" w:rsidRDefault="002831B2">
      <w:r>
        <w:t>Data analysis is a systematic process of analysing collected data and presenting it systematically. This also helps identify results that support a clearer understanding and conclusion of the data's findings in relation to the research objectives. According to Batko and Ślęzak (2022), qualitative research requires data analysis that helps recognise patterns, relationships, and meanings in the data. A careful analytical process makes the results more credible, as they are based on the data involved in the research.</w:t>
      </w:r>
    </w:p>
    <w:p w14:paraId="24256CD8" w14:textId="77777777" w:rsidR="00464F92" w:rsidRPr="00735BAB" w:rsidRDefault="002831B2">
      <w:pPr>
        <w:rPr>
          <w:b/>
          <w:bCs/>
          <w:sz w:val="28"/>
          <w:szCs w:val="28"/>
        </w:rPr>
      </w:pPr>
      <w:r w:rsidRPr="00735BAB">
        <w:rPr>
          <w:b/>
          <w:bCs/>
          <w:sz w:val="28"/>
          <w:szCs w:val="28"/>
        </w:rPr>
        <w:t>3.9.2 Selected Data Analysis Method and Justification</w:t>
      </w:r>
    </w:p>
    <w:p w14:paraId="4ACD6C11" w14:textId="77777777" w:rsidR="00464F92" w:rsidRDefault="002831B2">
      <w:r>
        <w:t xml:space="preserve">Braun and Clarke developed an analytical method thematic analysis method that this study uses for the secondary qualitative data. According to Ahmed </w:t>
      </w:r>
      <w:r>
        <w:rPr>
          <w:i/>
          <w:iCs/>
        </w:rPr>
        <w:t>et al</w:t>
      </w:r>
      <w:r>
        <w:t xml:space="preserve">. (2025), it has six systematic steps: familiarisation with the data, initial coding, searching for themes, reviewing themes, defining and naming themes, and final report. This approach is chosen for its flexibility and structured approach to identifying common features across different academic sources. </w:t>
      </w:r>
    </w:p>
    <w:p w14:paraId="45B79A99" w14:textId="77777777" w:rsidR="00464F92" w:rsidRPr="00735BAB" w:rsidRDefault="002831B2">
      <w:pPr>
        <w:rPr>
          <w:sz w:val="28"/>
          <w:szCs w:val="28"/>
        </w:rPr>
      </w:pPr>
      <w:r w:rsidRPr="00735BAB">
        <w:rPr>
          <w:b/>
          <w:bCs/>
          <w:sz w:val="28"/>
          <w:szCs w:val="28"/>
        </w:rPr>
        <w:t>3.9.3 Relevance to the Research Topic</w:t>
      </w:r>
    </w:p>
    <w:p w14:paraId="2FB2B1EE" w14:textId="77777777" w:rsidR="00464F92" w:rsidRDefault="002831B2">
      <w:r>
        <w:t xml:space="preserve">Braun and Clarke's thematic analysis framework applies to this research because it can identify common themes. According to Li </w:t>
      </w:r>
      <w:r>
        <w:rPr>
          <w:i/>
          <w:iCs/>
        </w:rPr>
        <w:t>et al</w:t>
      </w:r>
      <w:r>
        <w:t>. (2025), it is associated with ESG practices and foreign investment attraction, which is essential for the research. This also allows for an accurate interpretation of evidence from several studies across the UK renewable energy sector to me</w:t>
      </w:r>
      <w:r>
        <w:rPr>
          <w:i/>
          <w:iCs/>
        </w:rPr>
        <w:t>et al</w:t>
      </w:r>
      <w:r>
        <w:t>l research needs, including discerning patterns, relationships and contexts.</w:t>
      </w:r>
    </w:p>
    <w:p w14:paraId="0C855C73" w14:textId="77777777" w:rsidR="00341100" w:rsidRDefault="00341100"/>
    <w:p w14:paraId="7560C2D6" w14:textId="77777777" w:rsidR="00464F92" w:rsidRDefault="002831B2">
      <w:pPr>
        <w:pStyle w:val="Heading2"/>
        <w:spacing w:before="0" w:after="0"/>
      </w:pPr>
      <w:bookmarkStart w:id="35" w:name="_Toc240715256"/>
      <w:r>
        <w:t>3.10 Time Horizon</w:t>
      </w:r>
      <w:bookmarkEnd w:id="35"/>
      <w:r>
        <w:t xml:space="preserve"> </w:t>
      </w:r>
    </w:p>
    <w:p w14:paraId="1C1F819B" w14:textId="77777777" w:rsidR="00464F92" w:rsidRPr="00735BAB" w:rsidRDefault="002831B2">
      <w:pPr>
        <w:rPr>
          <w:b/>
          <w:bCs/>
          <w:sz w:val="28"/>
          <w:szCs w:val="28"/>
        </w:rPr>
      </w:pPr>
      <w:r w:rsidRPr="00735BAB">
        <w:rPr>
          <w:b/>
          <w:bCs/>
          <w:sz w:val="28"/>
          <w:szCs w:val="28"/>
        </w:rPr>
        <w:t>3.10.1 Significance of Time Horizon</w:t>
      </w:r>
    </w:p>
    <w:p w14:paraId="7FBBE681" w14:textId="77777777" w:rsidR="00464F92" w:rsidRDefault="002831B2">
      <w:r>
        <w:t xml:space="preserve">Time horizon is the length of time that data are gathered and analysed in a research study. It defines the study's timeframe and helps ensure the chosen methodology fits the study's objectives. Two common time horizons are cross-sectional and longitudinal. According to Mensi </w:t>
      </w:r>
      <w:r>
        <w:rPr>
          <w:i/>
          <w:iCs/>
        </w:rPr>
        <w:t>et al</w:t>
      </w:r>
      <w:r>
        <w:t>. (2023), a cross-sectional study examines a phenomenon at a single point in time, whereas a longitudinal study examines it over time by observing it on repeated occasions. Selecting an appropriate time horizon is important and affects research planning, interpretation of findings, and the overall relevance and feasibility of the study.</w:t>
      </w:r>
    </w:p>
    <w:p w14:paraId="6686E2D7" w14:textId="77777777" w:rsidR="00464F92" w:rsidRPr="00735BAB" w:rsidRDefault="002831B2">
      <w:pPr>
        <w:rPr>
          <w:sz w:val="28"/>
          <w:szCs w:val="28"/>
        </w:rPr>
      </w:pPr>
      <w:r w:rsidRPr="00735BAB">
        <w:rPr>
          <w:b/>
          <w:bCs/>
          <w:sz w:val="28"/>
          <w:szCs w:val="28"/>
        </w:rPr>
        <w:lastRenderedPageBreak/>
        <w:t>3.10.2 Selected Time Horizon and Justification</w:t>
      </w:r>
    </w:p>
    <w:p w14:paraId="5FB9353C" w14:textId="77777777" w:rsidR="00464F92" w:rsidRDefault="002831B2">
      <w:r>
        <w:t>The present study uses a cross-sectional time frame and examines secondary data. In this approach, existing data are collected at a particular point in time and sourced from academic or institutional data sources. This approach is suitable because the research examines the current link between ESG practices and foreign investment attraction rather than changes over many years. Secondary qualitative research is also appropriate for a cross-sectional time horizon that needs to be synthesised from different credible sources in the present, without collecting further data.</w:t>
      </w:r>
    </w:p>
    <w:p w14:paraId="5F3C248C" w14:textId="77777777" w:rsidR="00464F92" w:rsidRPr="00735BAB" w:rsidRDefault="002831B2">
      <w:pPr>
        <w:rPr>
          <w:sz w:val="28"/>
          <w:szCs w:val="28"/>
        </w:rPr>
      </w:pPr>
      <w:r w:rsidRPr="00735BAB">
        <w:rPr>
          <w:b/>
          <w:bCs/>
          <w:sz w:val="28"/>
          <w:szCs w:val="28"/>
        </w:rPr>
        <w:t>3.10.3 Relevance to the Research Topic</w:t>
      </w:r>
    </w:p>
    <w:p w14:paraId="21530253" w14:textId="77777777" w:rsidR="00464F92" w:rsidRDefault="002831B2">
      <w:r>
        <w:t>A cross-sectional time series is highly relevant for this investigation because it allows assessment of current ESG practices. According to Aja and Xie (2023), this includes foreign investment trends in the UK renewable energy industry. It helps analyse the latest events and trends that provide relevant information related to emerging patterns.  In this, the current research goals are used to build an overall picture of the research topic.</w:t>
      </w:r>
    </w:p>
    <w:p w14:paraId="0D685985" w14:textId="77777777" w:rsidR="00032E37" w:rsidRPr="00735BAB" w:rsidRDefault="00032E37">
      <w:pPr>
        <w:rPr>
          <w:sz w:val="28"/>
          <w:szCs w:val="28"/>
        </w:rPr>
      </w:pPr>
    </w:p>
    <w:p w14:paraId="634B5998" w14:textId="6DE89FE5" w:rsidR="00BA63F1" w:rsidRPr="00BA63F1" w:rsidRDefault="002831B2" w:rsidP="00BA63F1">
      <w:pPr>
        <w:pStyle w:val="Heading2"/>
        <w:spacing w:before="0" w:after="0"/>
        <w:rPr>
          <w:sz w:val="28"/>
          <w:szCs w:val="28"/>
        </w:rPr>
      </w:pPr>
      <w:bookmarkStart w:id="36" w:name="_Toc240715257"/>
      <w:r w:rsidRPr="00735BAB">
        <w:rPr>
          <w:sz w:val="28"/>
          <w:szCs w:val="28"/>
        </w:rPr>
        <w:t>3.11 Research Ethics</w:t>
      </w:r>
      <w:bookmarkEnd w:id="36"/>
    </w:p>
    <w:p w14:paraId="2457DF07" w14:textId="77777777" w:rsidR="00464F92" w:rsidRPr="00735BAB" w:rsidRDefault="002831B2">
      <w:pPr>
        <w:rPr>
          <w:b/>
          <w:bCs/>
          <w:sz w:val="28"/>
          <w:szCs w:val="28"/>
        </w:rPr>
      </w:pPr>
      <w:r w:rsidRPr="00735BAB">
        <w:rPr>
          <w:b/>
          <w:bCs/>
          <w:sz w:val="28"/>
          <w:szCs w:val="28"/>
        </w:rPr>
        <w:t>3.11.1 Significance of Research Ethics</w:t>
      </w:r>
    </w:p>
    <w:p w14:paraId="5A13C471" w14:textId="77777777" w:rsidR="00464F92" w:rsidRDefault="002831B2">
      <w:r>
        <w:t xml:space="preserve">Research Ethics is the code of ethics and principles that guide researchers' proper conduct during the research process. According to Jeon </w:t>
      </w:r>
      <w:r>
        <w:rPr>
          <w:i/>
          <w:iCs/>
        </w:rPr>
        <w:t>et al</w:t>
      </w:r>
      <w:r>
        <w:t>. (2025), it emphasises research integrity and transparency, honesty and accountability, respect for intellectual property, and academic rigour. These ethical issues increase the trustworthiness and credibility of research results by encouraging accurate interpretation of data and objective analysis.</w:t>
      </w:r>
    </w:p>
    <w:p w14:paraId="43640608" w14:textId="77777777" w:rsidR="00464F92" w:rsidRDefault="002831B2">
      <w:pPr>
        <w:rPr>
          <w:b/>
          <w:bCs/>
        </w:rPr>
      </w:pPr>
      <w:r w:rsidRPr="00735BAB">
        <w:rPr>
          <w:b/>
          <w:bCs/>
          <w:sz w:val="28"/>
          <w:szCs w:val="28"/>
        </w:rPr>
        <w:t>3.11.2 Ethical Considerations and Justification</w:t>
      </w:r>
    </w:p>
    <w:p w14:paraId="6F4838B8" w14:textId="027130CB" w:rsidR="00464F92" w:rsidRDefault="002831B2">
      <w:r>
        <w:t xml:space="preserve">The present study is compliant with the General Data Protection Regulation (GDPR) </w:t>
      </w:r>
      <w:r w:rsidR="006A1835">
        <w:t>regarding</w:t>
      </w:r>
      <w:r>
        <w:t xml:space="preserve"> the type of data used. According to Barezzani (2025), the secondary data were accessed from reliable and reputable academic and institutional sources. The research will not involve collecting primary data, thus eliminating concerns for participant consent and confidentiality. There is no evidence of misrepresentation, artificial inflation or tampering with data that support the ideas presented in this study. </w:t>
      </w:r>
    </w:p>
    <w:p w14:paraId="7E91B344" w14:textId="77777777" w:rsidR="00C83CF3" w:rsidRDefault="00C83CF3"/>
    <w:p w14:paraId="3F4A997F" w14:textId="77777777" w:rsidR="00876B14" w:rsidRDefault="00876B14"/>
    <w:p w14:paraId="61291DF5" w14:textId="77777777" w:rsidR="00C83CF3" w:rsidRDefault="00C83CF3"/>
    <w:p w14:paraId="4771A624" w14:textId="77777777" w:rsidR="00C83CF3" w:rsidRPr="00735BAB" w:rsidRDefault="002831B2">
      <w:pPr>
        <w:rPr>
          <w:sz w:val="28"/>
          <w:szCs w:val="28"/>
        </w:rPr>
      </w:pPr>
      <w:r w:rsidRPr="00735BAB">
        <w:rPr>
          <w:b/>
          <w:bCs/>
          <w:sz w:val="28"/>
          <w:szCs w:val="28"/>
        </w:rPr>
        <w:lastRenderedPageBreak/>
        <w:t>311.3 Relevance to the Research Topic</w:t>
      </w:r>
    </w:p>
    <w:p w14:paraId="76FD84DD" w14:textId="64590DC2" w:rsidR="00464F92" w:rsidRDefault="002831B2">
      <w:r>
        <w:t>The ethical framework is highly relevant to this study, as it ensures the responsible use of published material and aligns with Environmental, Social and Governance (ESG) practices and foreign investment. Ethical conduct also increases the credibility of the research results, which is relevant to the academic study of the UK renewable energy industry.</w:t>
      </w:r>
    </w:p>
    <w:p w14:paraId="76DF03B9" w14:textId="77777777" w:rsidR="00464F92" w:rsidRPr="00735BAB" w:rsidRDefault="002831B2">
      <w:pPr>
        <w:pStyle w:val="Heading2"/>
        <w:spacing w:before="0" w:after="0"/>
        <w:rPr>
          <w:sz w:val="28"/>
          <w:szCs w:val="28"/>
        </w:rPr>
      </w:pPr>
      <w:bookmarkStart w:id="37" w:name="_Toc240715258"/>
      <w:r w:rsidRPr="00735BAB">
        <w:rPr>
          <w:sz w:val="28"/>
          <w:szCs w:val="28"/>
        </w:rPr>
        <w:t>3.12 Methodology Limitations</w:t>
      </w:r>
      <w:bookmarkEnd w:id="37"/>
    </w:p>
    <w:p w14:paraId="649ED08F" w14:textId="77777777" w:rsidR="00464F92" w:rsidRDefault="002831B2">
      <w:r>
        <w:t>The study is secondary-based, which provided limited access to original insights and first-hand stakeholder perspectives. The selected methodology also had drawbacks in completing the research. According to Özbek and Naimoğlu (2025), little literature is available on ESG practices and foreign investment in the UK's renewable energy industry. In this context, publication bias may be a problem for peer-reviewed publications, which is linked to the thematic analysis. This also requires interpreting the study, where theme development is linked to theme analysis.</w:t>
      </w:r>
    </w:p>
    <w:p w14:paraId="3BB3DDA2" w14:textId="77777777" w:rsidR="00464F92" w:rsidRDefault="002831B2">
      <w:pPr>
        <w:pStyle w:val="Heading2"/>
        <w:spacing w:before="0" w:after="0"/>
      </w:pPr>
      <w:bookmarkStart w:id="38" w:name="_Toc240715259"/>
      <w:r w:rsidRPr="00735BAB">
        <w:rPr>
          <w:sz w:val="28"/>
          <w:szCs w:val="28"/>
        </w:rPr>
        <w:t>3.13 Chapter Summary</w:t>
      </w:r>
      <w:bookmarkEnd w:id="38"/>
    </w:p>
    <w:p w14:paraId="7E4A67F7" w14:textId="13AFCB03" w:rsidR="00464F92" w:rsidRDefault="002831B2">
      <w:r>
        <w:t xml:space="preserve">This chapter describes the methodological framework used in this study. This study used an exploratory research design, a secondary qualitative research strategy, secondary data collection, purposive sampling, Braun and Clarke's thematic analysis, and a cross-sectional time horizon. This study also complies with the General Data Protection Regulation (GDPR). In these all these methodological decisions provide a structured and credible way to explore the effect of ESG practices on foreign investment in the UK renewable energy sector </w:t>
      </w:r>
      <w:r w:rsidR="006A1835">
        <w:t>transparently and credibly</w:t>
      </w:r>
      <w:r>
        <w:t>. The chapter provides a solid methodological base for the analysis, interpretation and discussion of the research findings that follow in the Expected Findings chapter.</w:t>
      </w:r>
    </w:p>
    <w:p w14:paraId="07835FF3" w14:textId="77777777" w:rsidR="00464F92" w:rsidRDefault="002831B2">
      <w:r>
        <w:br w:type="page"/>
      </w:r>
    </w:p>
    <w:p w14:paraId="5604B26F" w14:textId="77777777" w:rsidR="00464F92" w:rsidRDefault="002831B2">
      <w:pPr>
        <w:pStyle w:val="Heading1"/>
      </w:pPr>
      <w:bookmarkStart w:id="39" w:name="_Toc240715260"/>
      <w:r>
        <w:lastRenderedPageBreak/>
        <w:t>Chapter 4: Findings and Analysis</w:t>
      </w:r>
      <w:bookmarkEnd w:id="39"/>
    </w:p>
    <w:p w14:paraId="0D3E3F45" w14:textId="77777777" w:rsidR="00464F92" w:rsidRDefault="002831B2">
      <w:pPr>
        <w:pStyle w:val="Heading2"/>
      </w:pPr>
      <w:bookmarkStart w:id="40" w:name="_Toc240715261"/>
      <w:r>
        <w:t>4.1 Introduction</w:t>
      </w:r>
      <w:bookmarkEnd w:id="40"/>
    </w:p>
    <w:p w14:paraId="280DDF9B" w14:textId="115F7CC0" w:rsidR="00464F92" w:rsidRDefault="002831B2">
      <w:r>
        <w:t>This chapter presents the findings and analysis of the study assessing the impact of ESG practices on the attractiveness of foreign investment in the renewable energy industry in the United Kingdom. The analysis was based on qualitative secondary data and used the thematic analysis technique described. The chosen methodological approach used interpretivism as the underlying philosophical paradigm and an exploratory research design. The findings are discussed in terms of the main ESG dimensions and their interaction with investor confidence, investment decision-making, and capital attraction. The current research focuses on environmental performance, social responsibility, ESG reporting, and governance</w:t>
      </w:r>
      <w:r w:rsidR="006A1835">
        <w:t>,</w:t>
      </w:r>
      <w:r>
        <w:t xml:space="preserve"> along with the effects of their integration on foreign investment attraction. The results obtained are then compared with the theoretical approaches and literature reviewed previously in the other chapters of the research. Thus, the problem identified in the second chapter of the paper is directly solved and helps to make </w:t>
      </w:r>
      <w:r w:rsidR="00AF5EF1">
        <w:t>further recommendations</w:t>
      </w:r>
      <w:r>
        <w:t>.</w:t>
      </w:r>
    </w:p>
    <w:p w14:paraId="37481739" w14:textId="77777777" w:rsidR="00464F92" w:rsidRDefault="002831B2">
      <w:pPr>
        <w:pStyle w:val="Heading2"/>
      </w:pPr>
      <w:bookmarkStart w:id="41" w:name="_Toc240715262"/>
      <w:r>
        <w:t>4.2 Overview of Findings and Thematic Analysis</w:t>
      </w:r>
      <w:bookmarkEnd w:id="41"/>
    </w:p>
    <w:p w14:paraId="63AFBE58" w14:textId="594DDC69" w:rsidR="00464F92" w:rsidRDefault="002831B2">
      <w:r>
        <w:t>Thematic analysis was carried out on the selected secondary qualitative data that was identified using the purposeful sampling technique explained in Chapter Three. Braun and Clarke’s (2024) six-stage approach to thematic analysis, consisting of familiarisation, initial coding, theme generation, reviewing, defining and theming, was used for analysing the data. The approach aided in finding the common themes associated with ESG practices and attracting foreign investments. Coding was done keeping in mind the aims of the study</w:t>
      </w:r>
      <w:r w:rsidR="006A1835">
        <w:t>,</w:t>
      </w:r>
      <w:r>
        <w:t xml:space="preserve"> such as </w:t>
      </w:r>
      <w:r w:rsidR="006A1835">
        <w:t xml:space="preserve">the </w:t>
      </w:r>
      <w:r>
        <w:t xml:space="preserve">impact of ESG practices on foreign investment decisions, </w:t>
      </w:r>
      <w:r w:rsidR="006A1835">
        <w:t xml:space="preserve">the </w:t>
      </w:r>
      <w:r>
        <w:t>impact of social/governance practices on investors' confidence, and ESG improvement.</w:t>
      </w:r>
    </w:p>
    <w:p w14:paraId="68263199" w14:textId="26FE0AA3" w:rsidR="00464F92" w:rsidRDefault="002831B2">
      <w:r>
        <w:t xml:space="preserve">The first coding process revealed five themes. Theme 1 is related to the environment and includes carbon footprint, green technology, energy, and climate change. Theme 2 refers to social aspects that include </w:t>
      </w:r>
      <w:r w:rsidR="006A1835">
        <w:t>labour</w:t>
      </w:r>
      <w:r>
        <w:t xml:space="preserve"> practices, safety, diversity, inclusion, and stakeholder engagement. Theme 3 relates to governance practices that include board practices, transparency, risk, and regulation. Theme 4 pertains to ESG disclosures and includes issues of </w:t>
      </w:r>
      <w:r w:rsidR="006A1835">
        <w:t>standardisation</w:t>
      </w:r>
      <w:r>
        <w:t xml:space="preserve">, comparability, information quality, and information asymmetry. Theme 5 integrates these three aspects in terms of ESG performance and its relationship to investor trust and foreign investment. </w:t>
      </w:r>
    </w:p>
    <w:p w14:paraId="1C49AF8C" w14:textId="0DBE1EEF" w:rsidR="00464F92" w:rsidRDefault="002831B2">
      <w:r>
        <w:lastRenderedPageBreak/>
        <w:t xml:space="preserve">Themes were then evaluated to ensure that each theme constituted a distinct and significant pattern in the chosen literature, as well as to establish whether they were consistent with the research objective and objectives. This step is critical since there are several ESG factors that have </w:t>
      </w:r>
      <w:r w:rsidR="006A1835">
        <w:t xml:space="preserve">an </w:t>
      </w:r>
      <w:r>
        <w:t xml:space="preserve">overlapping nature. For example, transparency exists in governance practice, as well as in ESG disclosure. However, transparency in governance is associated with accountability and </w:t>
      </w:r>
      <w:r w:rsidR="006A1835">
        <w:t>decision-making</w:t>
      </w:r>
      <w:r>
        <w:t>, while transparency in disclosure is related to the consistency, quality, and availability of information to investors (Hewage, Cooray and Ahmed, 2026). In addition, the ESG integration theme was formulated in order to take into account the cumulative effect of the three ESG factors.</w:t>
      </w:r>
    </w:p>
    <w:p w14:paraId="51E05617" w14:textId="77777777" w:rsidR="00464F92" w:rsidRDefault="002831B2">
      <w:r>
        <w:t>Therefore, the final themes emerged after converging several codes and categories from the secondary literature rather than individual sources. There were several recurring connections between ESG performance, risk mitigation, confidence of stakeholders, quality of information, and attractiveness to investors (Patro, Mishra and Lee, 2025). Five themes thus become an analytical framework within which the findings could be compared and discussed in light of the research objectives. Codes and sources used to formulate the themes are shown in the table below.</w:t>
      </w:r>
    </w:p>
    <w:p w14:paraId="26538E18" w14:textId="77777777" w:rsidR="00464F92" w:rsidRDefault="002831B2">
      <w:r>
        <w:t>The codes and the relevant sources for theme formation are stated in the table below:</w:t>
      </w:r>
    </w:p>
    <w:p w14:paraId="436C7EF1" w14:textId="77777777" w:rsidR="00AF5EF1" w:rsidRPr="00735BAB" w:rsidRDefault="00AF5EF1">
      <w:pPr>
        <w:rPr>
          <w:sz w:val="28"/>
          <w:szCs w:val="28"/>
        </w:rPr>
      </w:pPr>
    </w:p>
    <w:p w14:paraId="6E7EEB1C" w14:textId="77777777" w:rsidR="00464F92" w:rsidRDefault="002831B2">
      <w:pPr>
        <w:rPr>
          <w:b/>
          <w:bCs/>
        </w:rPr>
      </w:pPr>
      <w:r w:rsidRPr="00735BAB">
        <w:rPr>
          <w:b/>
          <w:bCs/>
          <w:sz w:val="28"/>
          <w:szCs w:val="28"/>
        </w:rPr>
        <w:t xml:space="preserve"> Table 4.1: Coding Framework for Theme Formation</w:t>
      </w:r>
    </w:p>
    <w:p w14:paraId="45CC8140" w14:textId="77777777" w:rsidR="00735BAB" w:rsidRDefault="00735BAB">
      <w:pPr>
        <w:rPr>
          <w:b/>
          <w:bCs/>
        </w:rPr>
      </w:pPr>
    </w:p>
    <w:tbl>
      <w:tblPr>
        <w:tblStyle w:val="a0"/>
        <w:tblW w:w="920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688"/>
        <w:gridCol w:w="1984"/>
        <w:gridCol w:w="2268"/>
        <w:gridCol w:w="2268"/>
      </w:tblGrid>
      <w:tr w:rsidR="00464F92" w14:paraId="71C17F6F" w14:textId="77777777">
        <w:trPr>
          <w:trHeight w:val="747"/>
        </w:trPr>
        <w:tc>
          <w:tcPr>
            <w:tcW w:w="26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0E7A73" w14:textId="77777777" w:rsidR="00464F92" w:rsidRDefault="002831B2">
            <w:pPr>
              <w:jc w:val="center"/>
            </w:pPr>
            <w:r>
              <w:rPr>
                <w:b/>
                <w:bCs/>
              </w:rPr>
              <w:t>Initial Codes</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7C4932" w14:textId="77777777" w:rsidR="00464F92" w:rsidRDefault="002831B2">
            <w:pPr>
              <w:jc w:val="center"/>
            </w:pPr>
            <w:r>
              <w:rPr>
                <w:b/>
                <w:bCs/>
              </w:rPr>
              <w:t>Categories</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10DE93" w14:textId="77777777" w:rsidR="00464F92" w:rsidRDefault="002831B2">
            <w:pPr>
              <w:jc w:val="center"/>
            </w:pPr>
            <w:r>
              <w:rPr>
                <w:b/>
                <w:bCs/>
              </w:rPr>
              <w:t>Final Theme</w:t>
            </w:r>
          </w:p>
        </w:tc>
        <w:tc>
          <w:tcPr>
            <w:tcW w:w="2268" w:type="dxa"/>
            <w:tcBorders>
              <w:top w:val="single" w:sz="4" w:space="0" w:color="000000"/>
              <w:left w:val="single" w:sz="4" w:space="0" w:color="000000"/>
              <w:bottom w:val="single" w:sz="4" w:space="0" w:color="000000"/>
              <w:right w:val="single" w:sz="4" w:space="0" w:color="000000"/>
            </w:tcBorders>
          </w:tcPr>
          <w:p w14:paraId="75379E51" w14:textId="77777777" w:rsidR="00464F92" w:rsidRDefault="002831B2">
            <w:pPr>
              <w:jc w:val="center"/>
              <w:rPr>
                <w:b/>
                <w:bCs/>
              </w:rPr>
            </w:pPr>
            <w:r>
              <w:rPr>
                <w:b/>
                <w:bCs/>
              </w:rPr>
              <w:t>Relevant sources from literature</w:t>
            </w:r>
          </w:p>
        </w:tc>
      </w:tr>
      <w:tr w:rsidR="00464F92" w14:paraId="4EA2376D" w14:textId="77777777">
        <w:trPr>
          <w:trHeight w:val="1040"/>
        </w:trPr>
        <w:tc>
          <w:tcPr>
            <w:tcW w:w="26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42C8D3" w14:textId="77777777" w:rsidR="00464F92" w:rsidRDefault="002831B2">
            <w:pPr>
              <w:spacing w:line="240" w:lineRule="auto"/>
            </w:pPr>
            <w:r>
              <w:t>Carbon reduction, clean technologies, energy efficiency, climate resilience, low-carbon operations</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1F1819" w14:textId="77777777" w:rsidR="00464F92" w:rsidRDefault="002831B2">
            <w:pPr>
              <w:spacing w:line="240" w:lineRule="auto"/>
            </w:pPr>
            <w:r>
              <w:t>Environmental performance</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EC61ED" w14:textId="77777777" w:rsidR="00464F92" w:rsidRDefault="002831B2">
            <w:pPr>
              <w:spacing w:line="240" w:lineRule="auto"/>
            </w:pPr>
            <w:r>
              <w:t>Theme 1: Environmental Practices and Foreign Investment Attraction</w:t>
            </w:r>
          </w:p>
        </w:tc>
        <w:tc>
          <w:tcPr>
            <w:tcW w:w="2268" w:type="dxa"/>
            <w:tcBorders>
              <w:top w:val="single" w:sz="4" w:space="0" w:color="000000"/>
              <w:left w:val="single" w:sz="4" w:space="0" w:color="000000"/>
              <w:bottom w:val="single" w:sz="4" w:space="0" w:color="000000"/>
              <w:right w:val="single" w:sz="4" w:space="0" w:color="000000"/>
            </w:tcBorders>
          </w:tcPr>
          <w:p w14:paraId="6675C20C" w14:textId="77777777" w:rsidR="00464F92" w:rsidRDefault="002831B2">
            <w:pPr>
              <w:spacing w:line="240" w:lineRule="auto"/>
            </w:pPr>
            <w:r>
              <w:t xml:space="preserve">Lobus </w:t>
            </w:r>
            <w:r>
              <w:rPr>
                <w:i/>
                <w:iCs/>
              </w:rPr>
              <w:t>et al</w:t>
            </w:r>
            <w:r>
              <w:t xml:space="preserve">. (2023); Zeng, Li and Magazzino (2024); Ikram and Sadki (2024); Zhu </w:t>
            </w:r>
            <w:r>
              <w:rPr>
                <w:i/>
                <w:iCs/>
              </w:rPr>
              <w:t>et al</w:t>
            </w:r>
            <w:r>
              <w:t>. (2023)</w:t>
            </w:r>
          </w:p>
        </w:tc>
      </w:tr>
      <w:tr w:rsidR="00464F92" w14:paraId="3A983D4B" w14:textId="77777777">
        <w:trPr>
          <w:trHeight w:val="1040"/>
        </w:trPr>
        <w:tc>
          <w:tcPr>
            <w:tcW w:w="26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352E1C" w14:textId="77777777" w:rsidR="00464F92" w:rsidRDefault="002831B2">
            <w:pPr>
              <w:spacing w:line="240" w:lineRule="auto"/>
            </w:pPr>
            <w:r>
              <w:t>Employee welfare, health and safety, diversity, inclusion, community engagement, CSR</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36B606" w14:textId="77777777" w:rsidR="00464F92" w:rsidRDefault="002831B2">
            <w:pPr>
              <w:spacing w:line="240" w:lineRule="auto"/>
            </w:pPr>
            <w:r>
              <w:t>Social performance</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F1D373" w14:textId="77777777" w:rsidR="00464F92" w:rsidRDefault="002831B2">
            <w:pPr>
              <w:spacing w:line="240" w:lineRule="auto"/>
            </w:pPr>
            <w:r>
              <w:t>Theme 2: Social Practices and Investor Confidence</w:t>
            </w:r>
          </w:p>
        </w:tc>
        <w:tc>
          <w:tcPr>
            <w:tcW w:w="2268" w:type="dxa"/>
            <w:tcBorders>
              <w:top w:val="single" w:sz="4" w:space="0" w:color="000000"/>
              <w:left w:val="single" w:sz="4" w:space="0" w:color="000000"/>
              <w:bottom w:val="single" w:sz="4" w:space="0" w:color="000000"/>
              <w:right w:val="single" w:sz="4" w:space="0" w:color="000000"/>
            </w:tcBorders>
          </w:tcPr>
          <w:p w14:paraId="7C49E9B8" w14:textId="77777777" w:rsidR="00464F92" w:rsidRDefault="002831B2">
            <w:pPr>
              <w:spacing w:line="240" w:lineRule="auto"/>
            </w:pPr>
            <w:r w:rsidRPr="000830A5">
              <w:rPr>
                <w:lang w:val="nl-NL"/>
              </w:rPr>
              <w:t xml:space="preserve">Ordonez-Ponce </w:t>
            </w:r>
            <w:r w:rsidRPr="000830A5">
              <w:rPr>
                <w:i/>
                <w:iCs/>
                <w:lang w:val="nl-NL"/>
              </w:rPr>
              <w:t>et al</w:t>
            </w:r>
            <w:r w:rsidRPr="000830A5">
              <w:rPr>
                <w:lang w:val="nl-NL"/>
              </w:rPr>
              <w:t xml:space="preserve">. (2025); Menegatto </w:t>
            </w:r>
            <w:r w:rsidRPr="000830A5">
              <w:rPr>
                <w:i/>
                <w:iCs/>
                <w:lang w:val="nl-NL"/>
              </w:rPr>
              <w:t>et al</w:t>
            </w:r>
            <w:r w:rsidRPr="000830A5">
              <w:rPr>
                <w:lang w:val="nl-NL"/>
              </w:rPr>
              <w:t xml:space="preserve">. </w:t>
            </w:r>
            <w:r>
              <w:t xml:space="preserve">(2025); Sadiq </w:t>
            </w:r>
            <w:r>
              <w:rPr>
                <w:i/>
                <w:iCs/>
              </w:rPr>
              <w:t>et al</w:t>
            </w:r>
            <w:r>
              <w:t>. (2025); Bhandari and Chaudhry (2025)</w:t>
            </w:r>
          </w:p>
        </w:tc>
      </w:tr>
      <w:tr w:rsidR="00464F92" w14:paraId="5C32AAE1" w14:textId="77777777">
        <w:trPr>
          <w:trHeight w:val="1040"/>
        </w:trPr>
        <w:tc>
          <w:tcPr>
            <w:tcW w:w="26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742D0D" w14:textId="77777777" w:rsidR="00464F92" w:rsidRDefault="002831B2">
            <w:pPr>
              <w:spacing w:line="240" w:lineRule="auto"/>
            </w:pPr>
            <w:r>
              <w:lastRenderedPageBreak/>
              <w:t>Board oversight, accountability, transparency, risk management, ethical leadership, regulatory compliance</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F13E83" w14:textId="77777777" w:rsidR="00464F92" w:rsidRDefault="002831B2">
            <w:pPr>
              <w:spacing w:line="240" w:lineRule="auto"/>
            </w:pPr>
            <w:r>
              <w:t>Corporate governance</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F80BEA" w14:textId="77777777" w:rsidR="00464F92" w:rsidRDefault="002831B2">
            <w:pPr>
              <w:spacing w:line="240" w:lineRule="auto"/>
            </w:pPr>
            <w:r>
              <w:t>Theme 3: Governance Practices and Capital Attraction</w:t>
            </w:r>
          </w:p>
        </w:tc>
        <w:tc>
          <w:tcPr>
            <w:tcW w:w="2268" w:type="dxa"/>
            <w:tcBorders>
              <w:top w:val="single" w:sz="4" w:space="0" w:color="000000"/>
              <w:left w:val="single" w:sz="4" w:space="0" w:color="000000"/>
              <w:bottom w:val="single" w:sz="4" w:space="0" w:color="000000"/>
              <w:right w:val="single" w:sz="4" w:space="0" w:color="000000"/>
            </w:tcBorders>
          </w:tcPr>
          <w:p w14:paraId="2FEE189A" w14:textId="77777777" w:rsidR="00464F92" w:rsidRDefault="002831B2">
            <w:pPr>
              <w:spacing w:line="240" w:lineRule="auto"/>
            </w:pPr>
            <w:r w:rsidRPr="000830A5">
              <w:rPr>
                <w:lang w:val="nl-NL"/>
              </w:rPr>
              <w:t xml:space="preserve">Wu </w:t>
            </w:r>
            <w:r w:rsidRPr="000830A5">
              <w:rPr>
                <w:i/>
                <w:iCs/>
                <w:lang w:val="nl-NL"/>
              </w:rPr>
              <w:t>et al</w:t>
            </w:r>
            <w:r w:rsidRPr="000830A5">
              <w:rPr>
                <w:lang w:val="nl-NL"/>
              </w:rPr>
              <w:t xml:space="preserve">. (2022); Velte (2023); Alkaraan </w:t>
            </w:r>
            <w:r w:rsidRPr="000830A5">
              <w:rPr>
                <w:i/>
                <w:iCs/>
                <w:lang w:val="nl-NL"/>
              </w:rPr>
              <w:t>et al</w:t>
            </w:r>
            <w:r w:rsidRPr="000830A5">
              <w:rPr>
                <w:lang w:val="nl-NL"/>
              </w:rPr>
              <w:t xml:space="preserve">. </w:t>
            </w:r>
            <w:r>
              <w:t>(2023); Aguilera and Castillo (2025)</w:t>
            </w:r>
          </w:p>
        </w:tc>
      </w:tr>
      <w:tr w:rsidR="00464F92" w14:paraId="5CC6D1B9" w14:textId="77777777">
        <w:trPr>
          <w:trHeight w:val="1310"/>
        </w:trPr>
        <w:tc>
          <w:tcPr>
            <w:tcW w:w="26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D258E6" w14:textId="77777777" w:rsidR="00464F92" w:rsidRDefault="002831B2">
            <w:pPr>
              <w:spacing w:line="240" w:lineRule="auto"/>
            </w:pPr>
            <w:r>
              <w:t>ESG disclosure, reporting standards, comparability, transparency, information quality, information asymmetry</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A93D42" w14:textId="77777777" w:rsidR="00464F92" w:rsidRDefault="002831B2">
            <w:pPr>
              <w:spacing w:line="240" w:lineRule="auto"/>
            </w:pPr>
            <w:r>
              <w:t>ESG reporting and disclosure</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9FCE51" w14:textId="77777777" w:rsidR="00464F92" w:rsidRDefault="002831B2">
            <w:pPr>
              <w:spacing w:line="240" w:lineRule="auto"/>
            </w:pPr>
            <w:r>
              <w:t>Theme 4: ESG Reporting, Disclosure and Investment Transparency</w:t>
            </w:r>
          </w:p>
        </w:tc>
        <w:tc>
          <w:tcPr>
            <w:tcW w:w="2268" w:type="dxa"/>
            <w:tcBorders>
              <w:top w:val="single" w:sz="4" w:space="0" w:color="000000"/>
              <w:left w:val="single" w:sz="4" w:space="0" w:color="000000"/>
              <w:bottom w:val="single" w:sz="4" w:space="0" w:color="000000"/>
              <w:right w:val="single" w:sz="4" w:space="0" w:color="000000"/>
            </w:tcBorders>
          </w:tcPr>
          <w:p w14:paraId="7EBABBE2" w14:textId="77777777" w:rsidR="00464F92" w:rsidRDefault="002831B2">
            <w:pPr>
              <w:spacing w:line="240" w:lineRule="auto"/>
            </w:pPr>
            <w:r w:rsidRPr="007D7CCE">
              <w:rPr>
                <w:lang w:val="de-DE"/>
              </w:rPr>
              <w:t xml:space="preserve">Misiuda and Lachmann (2022); Khatri and Kjærland (2023); Duan </w:t>
            </w:r>
            <w:r w:rsidRPr="007D7CCE">
              <w:rPr>
                <w:i/>
                <w:iCs/>
                <w:lang w:val="de-DE"/>
              </w:rPr>
              <w:t>et al</w:t>
            </w:r>
            <w:r w:rsidRPr="007D7CCE">
              <w:rPr>
                <w:lang w:val="de-DE"/>
              </w:rPr>
              <w:t xml:space="preserve">. (2025); Gebhardt </w:t>
            </w:r>
            <w:r w:rsidRPr="007D7CCE">
              <w:rPr>
                <w:i/>
                <w:iCs/>
                <w:lang w:val="de-DE"/>
              </w:rPr>
              <w:t>et al</w:t>
            </w:r>
            <w:r w:rsidRPr="007D7CCE">
              <w:rPr>
                <w:lang w:val="de-DE"/>
              </w:rPr>
              <w:t xml:space="preserve">. </w:t>
            </w:r>
            <w:r>
              <w:t>(2024)</w:t>
            </w:r>
          </w:p>
        </w:tc>
      </w:tr>
      <w:tr w:rsidR="00464F92" w14:paraId="48C2B9B2" w14:textId="77777777">
        <w:trPr>
          <w:trHeight w:val="1040"/>
        </w:trPr>
        <w:tc>
          <w:tcPr>
            <w:tcW w:w="268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689360" w14:textId="77777777" w:rsidR="00464F92" w:rsidRDefault="002831B2">
            <w:pPr>
              <w:spacing w:line="240" w:lineRule="auto"/>
            </w:pPr>
            <w:r>
              <w:t>Integrated ESG performance, investor confidence, capital allocation, investment risk, sustainable value</w:t>
            </w:r>
          </w:p>
        </w:tc>
        <w:tc>
          <w:tcPr>
            <w:tcW w:w="1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EABCAB" w14:textId="77777777" w:rsidR="00464F92" w:rsidRDefault="002831B2">
            <w:pPr>
              <w:spacing w:line="240" w:lineRule="auto"/>
            </w:pPr>
            <w:r>
              <w:t>Integrated ESG performance</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54AA17" w14:textId="77777777" w:rsidR="00464F92" w:rsidRDefault="002831B2">
            <w:pPr>
              <w:spacing w:line="240" w:lineRule="auto"/>
            </w:pPr>
            <w:r>
              <w:t>Theme 5: Integrated ESG Performance and Foreign Investment Decisions</w:t>
            </w:r>
          </w:p>
        </w:tc>
        <w:tc>
          <w:tcPr>
            <w:tcW w:w="2268" w:type="dxa"/>
            <w:tcBorders>
              <w:top w:val="single" w:sz="4" w:space="0" w:color="000000"/>
              <w:left w:val="single" w:sz="4" w:space="0" w:color="000000"/>
              <w:bottom w:val="single" w:sz="4" w:space="0" w:color="000000"/>
              <w:right w:val="single" w:sz="4" w:space="0" w:color="000000"/>
            </w:tcBorders>
          </w:tcPr>
          <w:p w14:paraId="030DF027" w14:textId="77777777" w:rsidR="00464F92" w:rsidRDefault="002831B2">
            <w:pPr>
              <w:spacing w:line="240" w:lineRule="auto"/>
            </w:pPr>
            <w:r>
              <w:t>Basile and Ferrari (2024); Meng and Shaikh (2023); Kim and Li (2021); Gazzola, Amelio and Vota (2026)</w:t>
            </w:r>
          </w:p>
        </w:tc>
      </w:tr>
    </w:tbl>
    <w:p w14:paraId="715ABDFA" w14:textId="77777777" w:rsidR="00464F92" w:rsidRDefault="002831B2">
      <w:pPr>
        <w:jc w:val="center"/>
      </w:pPr>
      <w:bookmarkStart w:id="42" w:name="_hg2zkyj05j4x" w:colFirst="0" w:colLast="0"/>
      <w:bookmarkEnd w:id="42"/>
      <w:r>
        <w:t>(Self-created)</w:t>
      </w:r>
    </w:p>
    <w:p w14:paraId="41370845" w14:textId="77777777" w:rsidR="00464F92" w:rsidRDefault="002831B2">
      <w:pPr>
        <w:pStyle w:val="Heading2"/>
      </w:pPr>
      <w:bookmarkStart w:id="43" w:name="_Toc240715263"/>
      <w:r>
        <w:t>4.3 Theme 1: Environmental Practices and Foreign Investment Attraction</w:t>
      </w:r>
      <w:bookmarkEnd w:id="43"/>
    </w:p>
    <w:p w14:paraId="774520D8" w14:textId="744475C4" w:rsidR="00464F92" w:rsidRDefault="002831B2">
      <w:r>
        <w:t>The first thematic area that has emerged is the impact of environmental activities on attracting foreign investments in the UK renewable energy industry. The factors</w:t>
      </w:r>
      <w:r w:rsidR="006A1835">
        <w:t>,</w:t>
      </w:r>
      <w:r>
        <w:t xml:space="preserve"> including carbon reduction, investment in green technology, energy efficiency, low-carbon operations, and climate resilience</w:t>
      </w:r>
      <w:r w:rsidR="006A1835">
        <w:t>, are identified as key codes</w:t>
      </w:r>
      <w:r>
        <w:t xml:space="preserve"> in the thematic analysis. These factors influence foreign investment as they signal organisational commitment to sustainability, minimise environmental risks, and enhance the competitive advantage of renewable energy organisations (Ikram and Sadki, 2024). This finding is especially relevant to the UK, given the increasing importance of sustainability policies in the country.</w:t>
      </w:r>
    </w:p>
    <w:p w14:paraId="320A003F" w14:textId="77777777" w:rsidR="00464F92" w:rsidRDefault="002831B2">
      <w:r>
        <w:rPr>
          <w:noProof/>
        </w:rPr>
        <w:lastRenderedPageBreak/>
        <w:drawing>
          <wp:inline distT="114300" distB="114300" distL="114300" distR="114300" wp14:anchorId="5CCEB880" wp14:editId="0188E01E">
            <wp:extent cx="5731200" cy="33401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731200" cy="3340100"/>
                    </a:xfrm>
                    <a:prstGeom prst="rect">
                      <a:avLst/>
                    </a:prstGeom>
                    <a:ln/>
                  </pic:spPr>
                </pic:pic>
              </a:graphicData>
            </a:graphic>
          </wp:inline>
        </w:drawing>
      </w:r>
    </w:p>
    <w:p w14:paraId="44B83B71" w14:textId="77777777" w:rsidR="00464F92" w:rsidRDefault="002831B2">
      <w:pPr>
        <w:pStyle w:val="Heading5"/>
      </w:pPr>
      <w:bookmarkStart w:id="44" w:name="_ie3tyml31o8s" w:colFirst="0" w:colLast="0"/>
      <w:bookmarkEnd w:id="44"/>
      <w:r>
        <w:t>Figure 4.1: Synthesis of Theme 1</w:t>
      </w:r>
    </w:p>
    <w:p w14:paraId="6ACD2D9F" w14:textId="77777777" w:rsidR="00464F92" w:rsidRDefault="002831B2">
      <w:pPr>
        <w:jc w:val="center"/>
      </w:pPr>
      <w:r>
        <w:t>(Self-created)</w:t>
      </w:r>
    </w:p>
    <w:p w14:paraId="5C5C2937" w14:textId="77777777" w:rsidR="00464F92" w:rsidRPr="005A7950" w:rsidRDefault="002831B2">
      <w:pPr>
        <w:pStyle w:val="Heading3"/>
        <w:rPr>
          <w:b w:val="0"/>
          <w:bCs w:val="0"/>
          <w:i w:val="0"/>
          <w:iCs w:val="0"/>
          <w:color w:val="000000"/>
          <w:sz w:val="28"/>
          <w:szCs w:val="28"/>
        </w:rPr>
      </w:pPr>
      <w:bookmarkStart w:id="45" w:name="_Toc240715264"/>
      <w:r w:rsidRPr="005A7950">
        <w:rPr>
          <w:i w:val="0"/>
          <w:iCs w:val="0"/>
          <w:color w:val="000000"/>
          <w:sz w:val="28"/>
          <w:szCs w:val="28"/>
        </w:rPr>
        <w:t>4.3.1 Environmental Performance and Investment Attractiveness</w:t>
      </w:r>
      <w:bookmarkEnd w:id="45"/>
    </w:p>
    <w:p w14:paraId="56A617F1" w14:textId="3C215912" w:rsidR="00464F92" w:rsidRDefault="002831B2">
      <w:r>
        <w:t xml:space="preserve">As the literature has shown, it has become a crucial factor in making decisions regarding foreign investments. As has been identified by Lobus </w:t>
      </w:r>
      <w:r>
        <w:rPr>
          <w:i/>
          <w:iCs/>
        </w:rPr>
        <w:t>et al</w:t>
      </w:r>
      <w:r>
        <w:t xml:space="preserve">. (2023), the activities linked to carbon emission reductions, energy efficiency, green technology, and low-carbon footprint represent significant environmental indicators of </w:t>
      </w:r>
      <w:r w:rsidR="006A1835">
        <w:t>organisations</w:t>
      </w:r>
      <w:r>
        <w:t xml:space="preserve"> that contribute to climate change. As a result, renewable sources of energy such as wind, solar, and hydropower enhance </w:t>
      </w:r>
      <w:r w:rsidR="006A1835">
        <w:t>organisations'</w:t>
      </w:r>
      <w:r>
        <w:t xml:space="preserve"> environmental performance and assist in achieving climate objectives. Consequently, </w:t>
      </w:r>
      <w:r w:rsidR="006A1835">
        <w:t>organisations that</w:t>
      </w:r>
      <w:r>
        <w:t xml:space="preserve"> pursue proper environmental management practices are able to meet the requirements imposed on them by the new climate regulation. According to Zeng, Li, and Magazzino (2024), renewables and eco-friendly production procedures can boost competitiveness and attract investors focused on sustainable investment. Thus, environmental disclosure, carbon accounting, and risk communication can help reduce information asymmetry by increasing visibility of the company’s environmental performance.</w:t>
      </w:r>
    </w:p>
    <w:p w14:paraId="3CF16725" w14:textId="493A9E24" w:rsidR="00464F92" w:rsidRDefault="002831B2">
      <w:r>
        <w:t xml:space="preserve">The link between carbon reduction, green technology, and climate resilience affects not only environmental performance but also foreign investment attractiveness due to transition risk management. Carbon reduction efforts and green technology can show the willingness of renewable energy companies to adapt to the </w:t>
      </w:r>
      <w:r w:rsidR="006A1835">
        <w:t>low-carbon</w:t>
      </w:r>
      <w:r>
        <w:t xml:space="preserve"> environment, thus protecting them </w:t>
      </w:r>
      <w:r>
        <w:lastRenderedPageBreak/>
        <w:t>from future regulations, technological and market pressures (Hao, Li and Murshed, 2023). Climate resilience reinforces this impact as it shows the company’s ability to function despite changes in the environment. However, Wu, Ding and Cheng (2025) discussed that the impact of green technologies on investment attractiveness does not depend only on their adoption but on their strategic use and credible evidence of performance. Therefore, firms which have achieved tangible results in emissions reductions, technological development, and climate resilience can be viewed as more capable of managing transition risks. At the same time, Pileckaitė and Subačienė (2026) showed that weak implementation and insufficient evidence of environmental performance can negatively affect investor attitudes, especially in case significant investments in technology transition are needed.</w:t>
      </w:r>
    </w:p>
    <w:p w14:paraId="11C981CD" w14:textId="77777777" w:rsidR="00C04D6B" w:rsidRDefault="00C04D6B"/>
    <w:p w14:paraId="140ED42E" w14:textId="77777777" w:rsidR="00464F92" w:rsidRDefault="002831B2">
      <w:pPr>
        <w:rPr>
          <w:b/>
          <w:bCs/>
        </w:rPr>
      </w:pPr>
      <w:bookmarkStart w:id="46" w:name="_8vn6r1e8ctti" w:colFirst="0" w:colLast="0"/>
      <w:bookmarkEnd w:id="46"/>
      <w:r>
        <w:rPr>
          <w:b/>
          <w:bCs/>
        </w:rPr>
        <w:t xml:space="preserve"> Table 4.2: Evidence Relating Environmental Practices to Foreign Investment Attraction</w:t>
      </w:r>
    </w:p>
    <w:p w14:paraId="6693AB73" w14:textId="77777777" w:rsidR="0051109C" w:rsidRDefault="0051109C">
      <w:pPr>
        <w:rPr>
          <w:b/>
          <w:bCs/>
        </w:rPr>
      </w:pPr>
    </w:p>
    <w:tbl>
      <w:tblPr>
        <w:tblStyle w:val="a1"/>
        <w:tblW w:w="90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122"/>
        <w:gridCol w:w="2693"/>
        <w:gridCol w:w="2126"/>
        <w:gridCol w:w="2092"/>
      </w:tblGrid>
      <w:tr w:rsidR="00464F92" w14:paraId="5DBD3ECB" w14:textId="77777777">
        <w:trPr>
          <w:trHeight w:val="500"/>
        </w:trPr>
        <w:tc>
          <w:tcPr>
            <w:tcW w:w="2122" w:type="dxa"/>
          </w:tcPr>
          <w:p w14:paraId="17EEA51B" w14:textId="77777777" w:rsidR="00464F92" w:rsidRDefault="002831B2">
            <w:pPr>
              <w:jc w:val="center"/>
            </w:pPr>
            <w:r>
              <w:rPr>
                <w:b/>
                <w:bCs/>
              </w:rPr>
              <w:t>Environmental practice</w:t>
            </w:r>
          </w:p>
        </w:tc>
        <w:tc>
          <w:tcPr>
            <w:tcW w:w="2693" w:type="dxa"/>
          </w:tcPr>
          <w:p w14:paraId="3940BFB8" w14:textId="77777777" w:rsidR="00464F92" w:rsidRDefault="002831B2">
            <w:pPr>
              <w:jc w:val="center"/>
            </w:pPr>
            <w:r>
              <w:rPr>
                <w:b/>
                <w:bCs/>
              </w:rPr>
              <w:t>Influence identified</w:t>
            </w:r>
          </w:p>
        </w:tc>
        <w:tc>
          <w:tcPr>
            <w:tcW w:w="2126" w:type="dxa"/>
          </w:tcPr>
          <w:p w14:paraId="0407D78E" w14:textId="77777777" w:rsidR="00464F92" w:rsidRDefault="002831B2">
            <w:pPr>
              <w:jc w:val="center"/>
            </w:pPr>
            <w:r>
              <w:rPr>
                <w:b/>
                <w:bCs/>
              </w:rPr>
              <w:t>Investment implication</w:t>
            </w:r>
          </w:p>
        </w:tc>
        <w:tc>
          <w:tcPr>
            <w:tcW w:w="2092" w:type="dxa"/>
          </w:tcPr>
          <w:p w14:paraId="3BE510AB" w14:textId="77777777" w:rsidR="00464F92" w:rsidRDefault="002831B2">
            <w:pPr>
              <w:jc w:val="center"/>
              <w:rPr>
                <w:b/>
                <w:bCs/>
              </w:rPr>
            </w:pPr>
            <w:r>
              <w:rPr>
                <w:b/>
                <w:bCs/>
              </w:rPr>
              <w:t>Relevant Sources from Literature</w:t>
            </w:r>
          </w:p>
        </w:tc>
      </w:tr>
      <w:tr w:rsidR="00464F92" w14:paraId="3F9C048F" w14:textId="77777777">
        <w:trPr>
          <w:trHeight w:val="770"/>
        </w:trPr>
        <w:tc>
          <w:tcPr>
            <w:tcW w:w="2122" w:type="dxa"/>
          </w:tcPr>
          <w:p w14:paraId="401EE74F" w14:textId="77777777" w:rsidR="00464F92" w:rsidRDefault="002831B2">
            <w:r>
              <w:t>Carbon-emission reduction</w:t>
            </w:r>
          </w:p>
        </w:tc>
        <w:tc>
          <w:tcPr>
            <w:tcW w:w="2693" w:type="dxa"/>
          </w:tcPr>
          <w:p w14:paraId="7C9C9B4F" w14:textId="77777777" w:rsidR="00464F92" w:rsidRDefault="002831B2">
            <w:r>
              <w:t>Demonstrates environmental commitment</w:t>
            </w:r>
          </w:p>
        </w:tc>
        <w:tc>
          <w:tcPr>
            <w:tcW w:w="2126" w:type="dxa"/>
          </w:tcPr>
          <w:p w14:paraId="1EFF2F32" w14:textId="77777777" w:rsidR="00464F92" w:rsidRDefault="002831B2">
            <w:r>
              <w:t>Reduces perceived sustainability risk</w:t>
            </w:r>
          </w:p>
        </w:tc>
        <w:tc>
          <w:tcPr>
            <w:tcW w:w="2092" w:type="dxa"/>
          </w:tcPr>
          <w:p w14:paraId="3EC250A1" w14:textId="77777777" w:rsidR="00464F92" w:rsidRDefault="002831B2">
            <w:r w:rsidRPr="000830A5">
              <w:rPr>
                <w:lang w:val="nl-NL"/>
              </w:rPr>
              <w:t xml:space="preserve">Serpa and Sá (2025); Zhu </w:t>
            </w:r>
            <w:r w:rsidRPr="000830A5">
              <w:rPr>
                <w:i/>
                <w:iCs/>
                <w:lang w:val="nl-NL"/>
              </w:rPr>
              <w:t>et al</w:t>
            </w:r>
            <w:r w:rsidRPr="000830A5">
              <w:rPr>
                <w:lang w:val="nl-NL"/>
              </w:rPr>
              <w:t xml:space="preserve">. </w:t>
            </w:r>
            <w:r>
              <w:t>(2023); Ferguson and Wollersheim (2022)</w:t>
            </w:r>
          </w:p>
        </w:tc>
      </w:tr>
      <w:tr w:rsidR="00464F92" w14:paraId="6ABD14F9" w14:textId="77777777">
        <w:trPr>
          <w:trHeight w:val="770"/>
        </w:trPr>
        <w:tc>
          <w:tcPr>
            <w:tcW w:w="2122" w:type="dxa"/>
          </w:tcPr>
          <w:p w14:paraId="5F67B425" w14:textId="77777777" w:rsidR="00464F92" w:rsidRDefault="002831B2">
            <w:r>
              <w:t>Clean and renewable technologies</w:t>
            </w:r>
          </w:p>
        </w:tc>
        <w:tc>
          <w:tcPr>
            <w:tcW w:w="2693" w:type="dxa"/>
          </w:tcPr>
          <w:p w14:paraId="2876D33F" w14:textId="77777777" w:rsidR="00464F92" w:rsidRDefault="002831B2">
            <w:r>
              <w:t>Supports climate resilience and competitiveness</w:t>
            </w:r>
          </w:p>
        </w:tc>
        <w:tc>
          <w:tcPr>
            <w:tcW w:w="2126" w:type="dxa"/>
          </w:tcPr>
          <w:p w14:paraId="7192EFA0" w14:textId="77777777" w:rsidR="00464F92" w:rsidRDefault="002831B2">
            <w:r>
              <w:t>Strengthens investment attractiveness</w:t>
            </w:r>
          </w:p>
        </w:tc>
        <w:tc>
          <w:tcPr>
            <w:tcW w:w="2092" w:type="dxa"/>
          </w:tcPr>
          <w:p w14:paraId="2CFFC1DD" w14:textId="77777777" w:rsidR="00464F92" w:rsidRDefault="002831B2">
            <w:r w:rsidRPr="000830A5">
              <w:rPr>
                <w:lang w:val="nl-NL"/>
              </w:rPr>
              <w:t xml:space="preserve">Zeng, Li and Magazzino (2024); Zhu </w:t>
            </w:r>
            <w:r w:rsidRPr="000830A5">
              <w:rPr>
                <w:i/>
                <w:iCs/>
                <w:lang w:val="nl-NL"/>
              </w:rPr>
              <w:t>et al</w:t>
            </w:r>
            <w:r w:rsidRPr="000830A5">
              <w:rPr>
                <w:lang w:val="nl-NL"/>
              </w:rPr>
              <w:t xml:space="preserve">. </w:t>
            </w:r>
            <w:r>
              <w:t xml:space="preserve">(2023); Lutfi </w:t>
            </w:r>
            <w:r>
              <w:rPr>
                <w:i/>
                <w:iCs/>
              </w:rPr>
              <w:t>et al</w:t>
            </w:r>
            <w:r>
              <w:t>. (2023)</w:t>
            </w:r>
          </w:p>
        </w:tc>
      </w:tr>
      <w:tr w:rsidR="00464F92" w14:paraId="6325E7B5" w14:textId="77777777">
        <w:trPr>
          <w:trHeight w:val="770"/>
        </w:trPr>
        <w:tc>
          <w:tcPr>
            <w:tcW w:w="2122" w:type="dxa"/>
          </w:tcPr>
          <w:p w14:paraId="72DA7E8D" w14:textId="77777777" w:rsidR="00464F92" w:rsidRDefault="002831B2">
            <w:r>
              <w:t>Energy efficiency and low-carbon operations</w:t>
            </w:r>
          </w:p>
        </w:tc>
        <w:tc>
          <w:tcPr>
            <w:tcW w:w="2693" w:type="dxa"/>
          </w:tcPr>
          <w:p w14:paraId="4335EF38" w14:textId="77777777" w:rsidR="00464F92" w:rsidRDefault="002831B2">
            <w:r>
              <w:t>Improves environmental performance</w:t>
            </w:r>
          </w:p>
        </w:tc>
        <w:tc>
          <w:tcPr>
            <w:tcW w:w="2126" w:type="dxa"/>
          </w:tcPr>
          <w:p w14:paraId="072704E6" w14:textId="77777777" w:rsidR="00464F92" w:rsidRDefault="002831B2">
            <w:r>
              <w:t>Supports long-term organisational value</w:t>
            </w:r>
          </w:p>
        </w:tc>
        <w:tc>
          <w:tcPr>
            <w:tcW w:w="2092" w:type="dxa"/>
          </w:tcPr>
          <w:p w14:paraId="7EF39EF4" w14:textId="77777777" w:rsidR="00464F92" w:rsidRDefault="002831B2">
            <w:r w:rsidRPr="000830A5">
              <w:rPr>
                <w:lang w:val="nl-NL"/>
              </w:rPr>
              <w:t xml:space="preserve">Lobus </w:t>
            </w:r>
            <w:r w:rsidRPr="000830A5">
              <w:rPr>
                <w:i/>
                <w:iCs/>
                <w:lang w:val="nl-NL"/>
              </w:rPr>
              <w:t>et al</w:t>
            </w:r>
            <w:r w:rsidRPr="000830A5">
              <w:rPr>
                <w:lang w:val="nl-NL"/>
              </w:rPr>
              <w:t xml:space="preserve">. (2023); Serpa and Sá (2025); Zhu </w:t>
            </w:r>
            <w:r w:rsidRPr="000830A5">
              <w:rPr>
                <w:i/>
                <w:iCs/>
                <w:lang w:val="nl-NL"/>
              </w:rPr>
              <w:t>et al</w:t>
            </w:r>
            <w:r w:rsidRPr="000830A5">
              <w:rPr>
                <w:lang w:val="nl-NL"/>
              </w:rPr>
              <w:t xml:space="preserve">. </w:t>
            </w:r>
            <w:r>
              <w:t>(2023)</w:t>
            </w:r>
          </w:p>
        </w:tc>
      </w:tr>
      <w:tr w:rsidR="00464F92" w14:paraId="0D88273F" w14:textId="77777777">
        <w:trPr>
          <w:trHeight w:val="770"/>
        </w:trPr>
        <w:tc>
          <w:tcPr>
            <w:tcW w:w="2122" w:type="dxa"/>
          </w:tcPr>
          <w:p w14:paraId="4036E857" w14:textId="77777777" w:rsidR="00464F92" w:rsidRDefault="002831B2">
            <w:r>
              <w:t>Environmental and carbon reporting</w:t>
            </w:r>
          </w:p>
        </w:tc>
        <w:tc>
          <w:tcPr>
            <w:tcW w:w="2693" w:type="dxa"/>
          </w:tcPr>
          <w:p w14:paraId="157C266D" w14:textId="77777777" w:rsidR="00464F92" w:rsidRDefault="002831B2">
            <w:r>
              <w:t>Improves transparency</w:t>
            </w:r>
          </w:p>
        </w:tc>
        <w:tc>
          <w:tcPr>
            <w:tcW w:w="2126" w:type="dxa"/>
          </w:tcPr>
          <w:p w14:paraId="56DAEEC0" w14:textId="77777777" w:rsidR="00464F92" w:rsidRDefault="002831B2">
            <w:r>
              <w:t>Reduces information asymmetry</w:t>
            </w:r>
          </w:p>
        </w:tc>
        <w:tc>
          <w:tcPr>
            <w:tcW w:w="2092" w:type="dxa"/>
          </w:tcPr>
          <w:p w14:paraId="28061CB6" w14:textId="77777777" w:rsidR="00464F92" w:rsidRDefault="002831B2">
            <w:r>
              <w:t xml:space="preserve">Zhu </w:t>
            </w:r>
            <w:r>
              <w:rPr>
                <w:i/>
                <w:iCs/>
              </w:rPr>
              <w:t>et al</w:t>
            </w:r>
            <w:r>
              <w:t>. (2023); Misiuda and Lachmann (2022); Khatri and Kjærland (2023)</w:t>
            </w:r>
          </w:p>
        </w:tc>
      </w:tr>
      <w:tr w:rsidR="00464F92" w14:paraId="3E1C22AA" w14:textId="77777777">
        <w:trPr>
          <w:trHeight w:val="770"/>
        </w:trPr>
        <w:tc>
          <w:tcPr>
            <w:tcW w:w="2122" w:type="dxa"/>
          </w:tcPr>
          <w:p w14:paraId="3B56470C" w14:textId="77777777" w:rsidR="00464F92" w:rsidRDefault="002831B2">
            <w:r>
              <w:t>Green innovation</w:t>
            </w:r>
          </w:p>
        </w:tc>
        <w:tc>
          <w:tcPr>
            <w:tcW w:w="2693" w:type="dxa"/>
          </w:tcPr>
          <w:p w14:paraId="77F062CF" w14:textId="77777777" w:rsidR="00464F92" w:rsidRDefault="002831B2">
            <w:r>
              <w:t>Demonstrates sustainability capability</w:t>
            </w:r>
          </w:p>
        </w:tc>
        <w:tc>
          <w:tcPr>
            <w:tcW w:w="2126" w:type="dxa"/>
          </w:tcPr>
          <w:p w14:paraId="5C0B9C07" w14:textId="77777777" w:rsidR="00464F92" w:rsidRDefault="002831B2">
            <w:r>
              <w:t>Enhances access to international capital</w:t>
            </w:r>
          </w:p>
        </w:tc>
        <w:tc>
          <w:tcPr>
            <w:tcW w:w="2092" w:type="dxa"/>
          </w:tcPr>
          <w:p w14:paraId="446DA9E9" w14:textId="77777777" w:rsidR="00464F92" w:rsidRDefault="002831B2">
            <w:r w:rsidRPr="000830A5">
              <w:rPr>
                <w:lang w:val="nl-NL"/>
              </w:rPr>
              <w:t xml:space="preserve">Lutfi </w:t>
            </w:r>
            <w:r w:rsidRPr="000830A5">
              <w:rPr>
                <w:i/>
                <w:iCs/>
                <w:lang w:val="nl-NL"/>
              </w:rPr>
              <w:t>et al</w:t>
            </w:r>
            <w:r w:rsidRPr="000830A5">
              <w:rPr>
                <w:lang w:val="nl-NL"/>
              </w:rPr>
              <w:t xml:space="preserve">. (2023); Zeng, Li and Magazzino (2024); Zhu </w:t>
            </w:r>
            <w:r w:rsidRPr="000830A5">
              <w:rPr>
                <w:i/>
                <w:iCs/>
                <w:lang w:val="nl-NL"/>
              </w:rPr>
              <w:t>et al</w:t>
            </w:r>
            <w:r w:rsidRPr="000830A5">
              <w:rPr>
                <w:lang w:val="nl-NL"/>
              </w:rPr>
              <w:t xml:space="preserve">. </w:t>
            </w:r>
            <w:r>
              <w:t>(2023)</w:t>
            </w:r>
          </w:p>
        </w:tc>
      </w:tr>
    </w:tbl>
    <w:p w14:paraId="586AB77C" w14:textId="77777777" w:rsidR="00464F92" w:rsidRDefault="002831B2">
      <w:pPr>
        <w:jc w:val="center"/>
      </w:pPr>
      <w:bookmarkStart w:id="47" w:name="_qu4caihi29z6" w:colFirst="0" w:colLast="0"/>
      <w:bookmarkEnd w:id="47"/>
      <w:r>
        <w:t>(Self-created)</w:t>
      </w:r>
    </w:p>
    <w:p w14:paraId="110E0730" w14:textId="77777777" w:rsidR="00464F92" w:rsidRPr="00D93908" w:rsidRDefault="002831B2">
      <w:pPr>
        <w:pStyle w:val="Heading3"/>
        <w:rPr>
          <w:b w:val="0"/>
          <w:bCs w:val="0"/>
          <w:i w:val="0"/>
          <w:iCs w:val="0"/>
          <w:color w:val="000000"/>
        </w:rPr>
      </w:pPr>
      <w:bookmarkStart w:id="48" w:name="_Toc240715265"/>
      <w:r w:rsidRPr="00D93908">
        <w:rPr>
          <w:i w:val="0"/>
          <w:iCs w:val="0"/>
          <w:color w:val="000000"/>
          <w:sz w:val="28"/>
          <w:szCs w:val="28"/>
        </w:rPr>
        <w:lastRenderedPageBreak/>
        <w:t>4.3.2 Critical Analysis of Findings and Relation to the Literature</w:t>
      </w:r>
      <w:bookmarkEnd w:id="48"/>
    </w:p>
    <w:p w14:paraId="62366892" w14:textId="77777777" w:rsidR="00464F92" w:rsidRDefault="002831B2">
      <w:r>
        <w:t xml:space="preserve">These results confirm the existing literature that better environmental performance can attract foreign investment by reducing sustainability risks, demonstrating climate commitment, and improving organisational competitiveness. For instance, the works of Serpa and Sá (2025) and Zhu </w:t>
      </w:r>
      <w:r>
        <w:rPr>
          <w:i/>
          <w:iCs/>
        </w:rPr>
        <w:t>et al</w:t>
      </w:r>
      <w:r>
        <w:t xml:space="preserve">. (2023) identify clean technologies, carbon reduction, environmental reporting and climate adaptation as factors that increase investors' confidence, while Lutfi </w:t>
      </w:r>
      <w:r>
        <w:rPr>
          <w:i/>
          <w:iCs/>
        </w:rPr>
        <w:t>et al</w:t>
      </w:r>
      <w:r>
        <w:t>. (2023) find that environmental management and green innovations facilitate the acquisition of international finance. On the other hand, some elements negatively affect the relationship between environmental performance and foreign investments. For example, high implementation costs, limited ESG experience, and a lack of measurement frameworks may hinder environmental performance, especially for small companies.</w:t>
      </w:r>
    </w:p>
    <w:p w14:paraId="5C56825A" w14:textId="6151B0AD" w:rsidR="00464F92" w:rsidRDefault="002831B2">
      <w:r>
        <w:t xml:space="preserve">Importantly, the literature shows that there might be an impact of environmental performance on foreign investments, although it does not apply to all cases equally. Zeng, Li and Magazzino (2024) reinforce the case by focusing on renewable production as a tool for economic competitiveness, although their focus on economics makes it impossible to draw clear conclusions about foreign investors. Lobus </w:t>
      </w:r>
      <w:r>
        <w:rPr>
          <w:i/>
          <w:iCs/>
        </w:rPr>
        <w:t>et al</w:t>
      </w:r>
      <w:r>
        <w:t xml:space="preserve">. (2023) offer a more environmental approach by using carbon-based indicators, although they might not be sufficient to make an investor’s decision. Ikram and Sadki (2024) pay attention to sustainable green technologies, which confirms the importance of innovations from </w:t>
      </w:r>
      <w:r w:rsidR="006A1835">
        <w:t>a</w:t>
      </w:r>
      <w:r>
        <w:t xml:space="preserve"> strategic point of view; nevertheless, such approaches would </w:t>
      </w:r>
      <w:r w:rsidR="006A1835">
        <w:t>favour</w:t>
      </w:r>
      <w:r>
        <w:t xml:space="preserve"> companies with technological capability.</w:t>
      </w:r>
    </w:p>
    <w:p w14:paraId="7DD3A450" w14:textId="77777777" w:rsidR="00464F92" w:rsidRDefault="002831B2">
      <w:r>
        <w:t>Findings can be explained using Stakeholder Theory and the Resource-Based View (RBV). Stakeholder Theory explains how credibility in environmental responsibility improves relationships and trust with investors and other stakeholders, while RBV views sustainable technologies, environmental knowledge, and skills as sources of strategic advantage for the organisation. Therefore, these theories help explain the findings, while also showing that environmental performance may not be enough when ESG commitment cannot be turned into a credible investment signal because of constraints.</w:t>
      </w:r>
    </w:p>
    <w:p w14:paraId="3B53874D" w14:textId="77777777" w:rsidR="00464F92" w:rsidRDefault="002831B2">
      <w:pPr>
        <w:pStyle w:val="Heading2"/>
      </w:pPr>
      <w:bookmarkStart w:id="49" w:name="_Toc240715266"/>
      <w:r>
        <w:t>4.4 Theme 2: Social Practices and Investor Confidence</w:t>
      </w:r>
      <w:bookmarkEnd w:id="49"/>
    </w:p>
    <w:p w14:paraId="0E7A6094" w14:textId="317E7E07" w:rsidR="00464F92" w:rsidRDefault="002831B2">
      <w:r>
        <w:t xml:space="preserve">Thematic analysis demonstrates employee wellbeing, health and security, equality in pay, learning and development, diversity, equity and inclusion (DEI), and community connection as the most important social performance indicators. It is found from the analysis </w:t>
      </w:r>
      <w:r w:rsidR="006A1835">
        <w:t xml:space="preserve">finds </w:t>
      </w:r>
      <w:r>
        <w:t>that social performance is significant for investors</w:t>
      </w:r>
      <w:r w:rsidR="006A1835">
        <w:t>,</w:t>
      </w:r>
      <w:r>
        <w:t xml:space="preserve"> as it indicates organisational responsibility, </w:t>
      </w:r>
      <w:r>
        <w:lastRenderedPageBreak/>
        <w:t xml:space="preserve">workforce stability and </w:t>
      </w:r>
      <w:r w:rsidR="006A1835">
        <w:t>relationships</w:t>
      </w:r>
      <w:r>
        <w:t xml:space="preserve"> with stakeholders. As discussed by Tauseef and Kundi (2025), employee wellbeing, </w:t>
      </w:r>
      <w:r w:rsidR="006A1835">
        <w:t xml:space="preserve">a </w:t>
      </w:r>
      <w:r>
        <w:t>healthy and safe workplace, fair practices and employee development positively influence organisational stability.</w:t>
      </w:r>
    </w:p>
    <w:p w14:paraId="07D7CBCF" w14:textId="1135BC43" w:rsidR="00464F92" w:rsidRDefault="002831B2">
      <w:r>
        <w:t xml:space="preserve">Another direct pathway to engage investors is community acceptance. Therefore, renewable energy projects can face challenges in terms of land usage, environmental impact and benefit distribution among different stakeholders. Brieger, Jasinenko and Feyzabadi (2026) stress the importance of constructive relationships among stakeholders, suggesting that good practice can foster </w:t>
      </w:r>
      <w:r w:rsidR="006A1835">
        <w:t>organisational</w:t>
      </w:r>
      <w:r>
        <w:t xml:space="preserve"> legitimacy. D’Adamo </w:t>
      </w:r>
      <w:r>
        <w:rPr>
          <w:i/>
          <w:iCs/>
        </w:rPr>
        <w:t>et al.</w:t>
      </w:r>
      <w:r>
        <w:t xml:space="preserve"> (2026) also confirm the relationship between social performance and sustainable development. Hence, foreign investors can treat the positive social performance of employees and communities as a sign of reduced non-financial uncertainty, rather than considering individual social factors as factors influencing investment decisions. However, this route is still context-dependent since the literature shows that not all foreign investors have the same attitude to </w:t>
      </w:r>
      <w:r w:rsidR="006A1835">
        <w:t xml:space="preserve">the </w:t>
      </w:r>
      <w:r>
        <w:t>financial importance of social performance.</w:t>
      </w:r>
    </w:p>
    <w:p w14:paraId="7CB286F5" w14:textId="77777777" w:rsidR="00464F92" w:rsidRDefault="002831B2">
      <w:pPr>
        <w:jc w:val="center"/>
      </w:pPr>
      <w:r>
        <w:rPr>
          <w:noProof/>
        </w:rPr>
        <w:drawing>
          <wp:inline distT="114300" distB="114300" distL="114300" distR="114300" wp14:anchorId="7B0A9BA9" wp14:editId="6102AE83">
            <wp:extent cx="5731200" cy="34290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731200" cy="3429000"/>
                    </a:xfrm>
                    <a:prstGeom prst="rect">
                      <a:avLst/>
                    </a:prstGeom>
                    <a:ln/>
                  </pic:spPr>
                </pic:pic>
              </a:graphicData>
            </a:graphic>
          </wp:inline>
        </w:drawing>
      </w:r>
    </w:p>
    <w:p w14:paraId="67F05F23" w14:textId="77777777" w:rsidR="00464F92" w:rsidRDefault="002831B2">
      <w:pPr>
        <w:pStyle w:val="Heading5"/>
      </w:pPr>
      <w:bookmarkStart w:id="50" w:name="_x541so5d98qp" w:colFirst="0" w:colLast="0"/>
      <w:bookmarkEnd w:id="50"/>
      <w:r>
        <w:t>Figure 4.2: Synthesis of Theme 2</w:t>
      </w:r>
    </w:p>
    <w:p w14:paraId="0B7E9E68" w14:textId="77777777" w:rsidR="00464F92" w:rsidRDefault="002831B2">
      <w:pPr>
        <w:jc w:val="center"/>
      </w:pPr>
      <w:r>
        <w:t>(Self-created)</w:t>
      </w:r>
    </w:p>
    <w:p w14:paraId="138FA359" w14:textId="77777777" w:rsidR="00464F92" w:rsidRPr="005A7950" w:rsidRDefault="002831B2">
      <w:pPr>
        <w:pStyle w:val="Heading3"/>
        <w:rPr>
          <w:b w:val="0"/>
          <w:bCs w:val="0"/>
          <w:i w:val="0"/>
          <w:iCs w:val="0"/>
          <w:color w:val="000000"/>
          <w:sz w:val="28"/>
          <w:szCs w:val="28"/>
        </w:rPr>
      </w:pPr>
      <w:bookmarkStart w:id="51" w:name="_Toc240715267"/>
      <w:r w:rsidRPr="005A7950">
        <w:rPr>
          <w:i w:val="0"/>
          <w:iCs w:val="0"/>
          <w:color w:val="000000"/>
          <w:sz w:val="28"/>
          <w:szCs w:val="28"/>
        </w:rPr>
        <w:t>4.4.1 Social Performance and Investor Confidence</w:t>
      </w:r>
      <w:bookmarkEnd w:id="51"/>
    </w:p>
    <w:p w14:paraId="087A3D37" w14:textId="77777777" w:rsidR="00464F92" w:rsidRDefault="002831B2">
      <w:bookmarkStart w:id="52" w:name="_qpk4vpfhsw3w" w:colFirst="0" w:colLast="0"/>
      <w:bookmarkEnd w:id="52"/>
      <w:r>
        <w:t xml:space="preserve">Employee well-being and a safe work environment may support staff retention, and training and development may improve organisational competencies. Varghese </w:t>
      </w:r>
      <w:r>
        <w:rPr>
          <w:i/>
          <w:iCs/>
        </w:rPr>
        <w:t>et al.</w:t>
      </w:r>
      <w:r>
        <w:t xml:space="preserve"> (2026) found that DEI practices may help build organisational reputation and show that companies consider the </w:t>
      </w:r>
      <w:r>
        <w:lastRenderedPageBreak/>
        <w:t xml:space="preserve">interests of stakeholders beyond shareholders. Community involvement and CSR may also influence investment confidence because renewable energy projects have significant social impacts. Effective community involvement demonstrates organisational responsibility and responsible corporate behaviour and thus can increase stakeholders' trust in organisations. Grishunin </w:t>
      </w:r>
      <w:r>
        <w:rPr>
          <w:i/>
          <w:iCs/>
        </w:rPr>
        <w:t>et al</w:t>
      </w:r>
      <w:r>
        <w:t>. (2022) demonstrate the link between improved social performance, lower operational risks, and enhanced organisational value in their literature review. Consequently, social practices may signal organisational resilience, not just ethical values.</w:t>
      </w:r>
    </w:p>
    <w:p w14:paraId="5C35185A" w14:textId="77777777" w:rsidR="004C55D1" w:rsidRDefault="004C55D1"/>
    <w:p w14:paraId="548B1D14" w14:textId="77777777" w:rsidR="00464F92" w:rsidRPr="00EF7477" w:rsidRDefault="002831B2">
      <w:pPr>
        <w:rPr>
          <w:b/>
          <w:bCs/>
          <w:sz w:val="28"/>
          <w:szCs w:val="28"/>
        </w:rPr>
      </w:pPr>
      <w:r w:rsidRPr="00EF7477">
        <w:rPr>
          <w:b/>
          <w:bCs/>
          <w:sz w:val="28"/>
          <w:szCs w:val="28"/>
        </w:rPr>
        <w:t xml:space="preserve"> Table 4.3: Evidence Relating Social Practices to Investor Confidence</w:t>
      </w:r>
    </w:p>
    <w:p w14:paraId="5DEF8327" w14:textId="77777777" w:rsidR="004C55D1" w:rsidRDefault="004C55D1">
      <w:pPr>
        <w:rPr>
          <w:b/>
          <w:bCs/>
        </w:rPr>
      </w:pPr>
    </w:p>
    <w:tbl>
      <w:tblPr>
        <w:tblStyle w:val="a2"/>
        <w:tblW w:w="901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22"/>
        <w:gridCol w:w="2268"/>
        <w:gridCol w:w="2551"/>
        <w:gridCol w:w="2078"/>
      </w:tblGrid>
      <w:tr w:rsidR="00464F92" w14:paraId="6012850B" w14:textId="77777777">
        <w:trPr>
          <w:trHeight w:val="500"/>
        </w:trPr>
        <w:tc>
          <w:tcPr>
            <w:tcW w:w="21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E767A5" w14:textId="77777777" w:rsidR="00464F92" w:rsidRDefault="002831B2">
            <w:pPr>
              <w:spacing w:line="240" w:lineRule="auto"/>
              <w:jc w:val="center"/>
              <w:rPr>
                <w:b/>
                <w:bCs/>
              </w:rPr>
            </w:pPr>
            <w:r>
              <w:rPr>
                <w:b/>
                <w:bCs/>
              </w:rPr>
              <w:t>Social practice</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802DEA" w14:textId="77777777" w:rsidR="00464F92" w:rsidRDefault="002831B2">
            <w:pPr>
              <w:spacing w:line="240" w:lineRule="auto"/>
              <w:jc w:val="center"/>
              <w:rPr>
                <w:b/>
                <w:bCs/>
              </w:rPr>
            </w:pPr>
            <w:r>
              <w:rPr>
                <w:b/>
                <w:bCs/>
              </w:rPr>
              <w:t>Finding identified</w:t>
            </w:r>
          </w:p>
        </w:tc>
        <w:tc>
          <w:tcPr>
            <w:tcW w:w="25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6E1EFB" w14:textId="77777777" w:rsidR="00464F92" w:rsidRDefault="002831B2">
            <w:pPr>
              <w:spacing w:line="240" w:lineRule="auto"/>
              <w:jc w:val="center"/>
              <w:rPr>
                <w:b/>
                <w:bCs/>
              </w:rPr>
            </w:pPr>
            <w:r>
              <w:rPr>
                <w:b/>
                <w:bCs/>
              </w:rPr>
              <w:t>Investment implication</w:t>
            </w:r>
          </w:p>
        </w:tc>
        <w:tc>
          <w:tcPr>
            <w:tcW w:w="2078" w:type="dxa"/>
            <w:tcBorders>
              <w:top w:val="single" w:sz="4" w:space="0" w:color="000000"/>
              <w:left w:val="single" w:sz="4" w:space="0" w:color="000000"/>
              <w:bottom w:val="single" w:sz="4" w:space="0" w:color="000000"/>
              <w:right w:val="single" w:sz="4" w:space="0" w:color="000000"/>
            </w:tcBorders>
          </w:tcPr>
          <w:p w14:paraId="06A76D23" w14:textId="77777777" w:rsidR="00464F92" w:rsidRDefault="002831B2">
            <w:pPr>
              <w:spacing w:line="240" w:lineRule="auto"/>
              <w:jc w:val="center"/>
              <w:rPr>
                <w:b/>
                <w:bCs/>
              </w:rPr>
            </w:pPr>
            <w:r>
              <w:rPr>
                <w:b/>
                <w:bCs/>
              </w:rPr>
              <w:t>Relevant sources from the literature</w:t>
            </w:r>
          </w:p>
        </w:tc>
      </w:tr>
      <w:tr w:rsidR="00464F92" w14:paraId="484B5F0A" w14:textId="77777777">
        <w:trPr>
          <w:trHeight w:val="770"/>
        </w:trPr>
        <w:tc>
          <w:tcPr>
            <w:tcW w:w="21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86F314" w14:textId="77777777" w:rsidR="00464F92" w:rsidRDefault="002831B2">
            <w:pPr>
              <w:spacing w:line="240" w:lineRule="auto"/>
            </w:pPr>
            <w:r>
              <w:t>Employee welfare and fair treatment</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28184F" w14:textId="77777777" w:rsidR="00464F92" w:rsidRDefault="002831B2">
            <w:pPr>
              <w:spacing w:line="240" w:lineRule="auto"/>
            </w:pPr>
            <w:r>
              <w:t>Supports workforce stability</w:t>
            </w:r>
          </w:p>
        </w:tc>
        <w:tc>
          <w:tcPr>
            <w:tcW w:w="25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398AEF" w14:textId="77777777" w:rsidR="00464F92" w:rsidRDefault="002831B2">
            <w:pPr>
              <w:spacing w:line="240" w:lineRule="auto"/>
            </w:pPr>
            <w:r>
              <w:t>Reduces operational uncertainty</w:t>
            </w:r>
          </w:p>
        </w:tc>
        <w:tc>
          <w:tcPr>
            <w:tcW w:w="2078" w:type="dxa"/>
            <w:tcBorders>
              <w:top w:val="single" w:sz="4" w:space="0" w:color="000000"/>
              <w:left w:val="single" w:sz="4" w:space="0" w:color="000000"/>
              <w:bottom w:val="single" w:sz="4" w:space="0" w:color="000000"/>
              <w:right w:val="single" w:sz="4" w:space="0" w:color="000000"/>
            </w:tcBorders>
          </w:tcPr>
          <w:p w14:paraId="7C93AC71" w14:textId="77777777" w:rsidR="00464F92" w:rsidRDefault="002831B2">
            <w:pPr>
              <w:spacing w:line="240" w:lineRule="auto"/>
            </w:pPr>
            <w:r w:rsidRPr="000830A5">
              <w:rPr>
                <w:lang w:val="nl-NL"/>
              </w:rPr>
              <w:t xml:space="preserve">Tauseef and Kundi (2025); Sadiq </w:t>
            </w:r>
            <w:r w:rsidRPr="000830A5">
              <w:rPr>
                <w:i/>
                <w:iCs/>
                <w:lang w:val="nl-NL"/>
              </w:rPr>
              <w:t>et al</w:t>
            </w:r>
            <w:r w:rsidRPr="000830A5">
              <w:rPr>
                <w:lang w:val="nl-NL"/>
              </w:rPr>
              <w:t xml:space="preserve">. </w:t>
            </w:r>
            <w:r>
              <w:t>(2025)</w:t>
            </w:r>
          </w:p>
        </w:tc>
      </w:tr>
      <w:tr w:rsidR="00464F92" w14:paraId="7C03626D" w14:textId="77777777">
        <w:trPr>
          <w:trHeight w:val="770"/>
        </w:trPr>
        <w:tc>
          <w:tcPr>
            <w:tcW w:w="21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89E35E" w14:textId="77777777" w:rsidR="00464F92" w:rsidRDefault="002831B2">
            <w:pPr>
              <w:spacing w:line="240" w:lineRule="auto"/>
            </w:pPr>
            <w:r>
              <w:t>Health and safety</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E453BB" w14:textId="77777777" w:rsidR="00464F92" w:rsidRDefault="002831B2">
            <w:pPr>
              <w:spacing w:line="240" w:lineRule="auto"/>
            </w:pPr>
            <w:r>
              <w:t>Demonstrates responsible employment practices</w:t>
            </w:r>
          </w:p>
        </w:tc>
        <w:tc>
          <w:tcPr>
            <w:tcW w:w="25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6D0AD3" w14:textId="77777777" w:rsidR="00464F92" w:rsidRDefault="002831B2">
            <w:pPr>
              <w:spacing w:line="240" w:lineRule="auto"/>
            </w:pPr>
            <w:r>
              <w:t>Strengthens organisational credibility</w:t>
            </w:r>
          </w:p>
        </w:tc>
        <w:tc>
          <w:tcPr>
            <w:tcW w:w="2078" w:type="dxa"/>
            <w:tcBorders>
              <w:top w:val="single" w:sz="4" w:space="0" w:color="000000"/>
              <w:left w:val="single" w:sz="4" w:space="0" w:color="000000"/>
              <w:bottom w:val="single" w:sz="4" w:space="0" w:color="000000"/>
              <w:right w:val="single" w:sz="4" w:space="0" w:color="000000"/>
            </w:tcBorders>
          </w:tcPr>
          <w:p w14:paraId="6644E49E" w14:textId="77777777" w:rsidR="00464F92" w:rsidRDefault="002831B2">
            <w:pPr>
              <w:spacing w:line="240" w:lineRule="auto"/>
            </w:pPr>
            <w:r w:rsidRPr="000830A5">
              <w:rPr>
                <w:lang w:val="nl-NL"/>
              </w:rPr>
              <w:t xml:space="preserve">Sadiq </w:t>
            </w:r>
            <w:r w:rsidRPr="000830A5">
              <w:rPr>
                <w:i/>
                <w:iCs/>
                <w:lang w:val="nl-NL"/>
              </w:rPr>
              <w:t>et al</w:t>
            </w:r>
            <w:r w:rsidRPr="000830A5">
              <w:rPr>
                <w:lang w:val="nl-NL"/>
              </w:rPr>
              <w:t xml:space="preserve">. (2025); Menegatto </w:t>
            </w:r>
            <w:r w:rsidRPr="000830A5">
              <w:rPr>
                <w:i/>
                <w:iCs/>
                <w:lang w:val="nl-NL"/>
              </w:rPr>
              <w:t>et al</w:t>
            </w:r>
            <w:r w:rsidRPr="000830A5">
              <w:rPr>
                <w:lang w:val="nl-NL"/>
              </w:rPr>
              <w:t xml:space="preserve">. </w:t>
            </w:r>
            <w:r>
              <w:t>(2025)</w:t>
            </w:r>
          </w:p>
        </w:tc>
      </w:tr>
      <w:tr w:rsidR="00464F92" w14:paraId="4A474F7F" w14:textId="77777777">
        <w:trPr>
          <w:trHeight w:val="770"/>
        </w:trPr>
        <w:tc>
          <w:tcPr>
            <w:tcW w:w="21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E3F86B" w14:textId="77777777" w:rsidR="00464F92" w:rsidRDefault="002831B2">
            <w:pPr>
              <w:spacing w:line="240" w:lineRule="auto"/>
            </w:pPr>
            <w:r>
              <w:t>Training and development</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BDEE46" w14:textId="77777777" w:rsidR="00464F92" w:rsidRDefault="002831B2">
            <w:pPr>
              <w:spacing w:line="240" w:lineRule="auto"/>
            </w:pPr>
            <w:r>
              <w:t>Builds workforce capability</w:t>
            </w:r>
          </w:p>
        </w:tc>
        <w:tc>
          <w:tcPr>
            <w:tcW w:w="25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6ABF42" w14:textId="77777777" w:rsidR="00464F92" w:rsidRDefault="002831B2">
            <w:pPr>
              <w:spacing w:line="240" w:lineRule="auto"/>
            </w:pPr>
            <w:r>
              <w:t>Supports long-term organisational value</w:t>
            </w:r>
          </w:p>
        </w:tc>
        <w:tc>
          <w:tcPr>
            <w:tcW w:w="2078" w:type="dxa"/>
            <w:tcBorders>
              <w:top w:val="single" w:sz="4" w:space="0" w:color="000000"/>
              <w:left w:val="single" w:sz="4" w:space="0" w:color="000000"/>
              <w:bottom w:val="single" w:sz="4" w:space="0" w:color="000000"/>
              <w:right w:val="single" w:sz="4" w:space="0" w:color="000000"/>
            </w:tcBorders>
          </w:tcPr>
          <w:p w14:paraId="733819EB" w14:textId="77777777" w:rsidR="00464F92" w:rsidRDefault="002831B2">
            <w:pPr>
              <w:spacing w:line="240" w:lineRule="auto"/>
            </w:pPr>
            <w:r w:rsidRPr="000830A5">
              <w:rPr>
                <w:lang w:val="nl-NL"/>
              </w:rPr>
              <w:t xml:space="preserve">Tauseef and Kundi (2025); Grishunin </w:t>
            </w:r>
            <w:r w:rsidRPr="000830A5">
              <w:rPr>
                <w:i/>
                <w:iCs/>
                <w:lang w:val="nl-NL"/>
              </w:rPr>
              <w:t>et al</w:t>
            </w:r>
            <w:r w:rsidRPr="000830A5">
              <w:rPr>
                <w:lang w:val="nl-NL"/>
              </w:rPr>
              <w:t xml:space="preserve">. </w:t>
            </w:r>
            <w:r>
              <w:t>(2022)</w:t>
            </w:r>
          </w:p>
        </w:tc>
      </w:tr>
      <w:tr w:rsidR="00464F92" w14:paraId="6417FE72" w14:textId="77777777">
        <w:trPr>
          <w:trHeight w:val="770"/>
        </w:trPr>
        <w:tc>
          <w:tcPr>
            <w:tcW w:w="21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C19008" w14:textId="77777777" w:rsidR="00464F92" w:rsidRDefault="002831B2">
            <w:pPr>
              <w:spacing w:line="240" w:lineRule="auto"/>
            </w:pPr>
            <w:r>
              <w:t>DEI</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BF5508" w14:textId="77777777" w:rsidR="00464F92" w:rsidRDefault="002831B2">
            <w:pPr>
              <w:spacing w:line="240" w:lineRule="auto"/>
            </w:pPr>
            <w:r>
              <w:t>Supports innovation, decision-making and reputation</w:t>
            </w:r>
          </w:p>
        </w:tc>
        <w:tc>
          <w:tcPr>
            <w:tcW w:w="25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2DCA60" w14:textId="77777777" w:rsidR="00464F92" w:rsidRDefault="002831B2">
            <w:pPr>
              <w:spacing w:line="240" w:lineRule="auto"/>
            </w:pPr>
            <w:r>
              <w:t>Enhances investor perception</w:t>
            </w:r>
          </w:p>
        </w:tc>
        <w:tc>
          <w:tcPr>
            <w:tcW w:w="2078" w:type="dxa"/>
            <w:tcBorders>
              <w:top w:val="single" w:sz="4" w:space="0" w:color="000000"/>
              <w:left w:val="single" w:sz="4" w:space="0" w:color="000000"/>
              <w:bottom w:val="single" w:sz="4" w:space="0" w:color="000000"/>
              <w:right w:val="single" w:sz="4" w:space="0" w:color="000000"/>
            </w:tcBorders>
          </w:tcPr>
          <w:p w14:paraId="1AB9C71A" w14:textId="77777777" w:rsidR="00464F92" w:rsidRDefault="002831B2">
            <w:pPr>
              <w:spacing w:line="240" w:lineRule="auto"/>
            </w:pPr>
            <w:r>
              <w:t xml:space="preserve">Bhandari and Chaudhry (2025); Sadiq </w:t>
            </w:r>
            <w:r>
              <w:rPr>
                <w:i/>
                <w:iCs/>
              </w:rPr>
              <w:t>et al</w:t>
            </w:r>
            <w:r>
              <w:t xml:space="preserve">. (2025); Ordonez-Ponce </w:t>
            </w:r>
            <w:r>
              <w:rPr>
                <w:i/>
                <w:iCs/>
              </w:rPr>
              <w:t>et al</w:t>
            </w:r>
            <w:r>
              <w:t>. (2025)</w:t>
            </w:r>
          </w:p>
        </w:tc>
      </w:tr>
      <w:tr w:rsidR="00464F92" w14:paraId="06ABCB73" w14:textId="77777777">
        <w:trPr>
          <w:trHeight w:val="770"/>
        </w:trPr>
        <w:tc>
          <w:tcPr>
            <w:tcW w:w="21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8938A1" w14:textId="77777777" w:rsidR="00464F92" w:rsidRDefault="002831B2">
            <w:pPr>
              <w:spacing w:line="240" w:lineRule="auto"/>
            </w:pPr>
            <w:r>
              <w:t>Community engagement and CSR</w:t>
            </w:r>
          </w:p>
        </w:tc>
        <w:tc>
          <w:tcPr>
            <w:tcW w:w="22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4E2A77" w14:textId="77777777" w:rsidR="00464F92" w:rsidRDefault="002831B2">
            <w:pPr>
              <w:spacing w:line="240" w:lineRule="auto"/>
            </w:pPr>
            <w:r>
              <w:t>Strengthens stakeholder relationships</w:t>
            </w:r>
          </w:p>
        </w:tc>
        <w:tc>
          <w:tcPr>
            <w:tcW w:w="25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BFF6FC" w14:textId="77777777" w:rsidR="00464F92" w:rsidRDefault="002831B2">
            <w:pPr>
              <w:spacing w:line="240" w:lineRule="auto"/>
            </w:pPr>
            <w:r>
              <w:t>Builds trust and social legitimacy</w:t>
            </w:r>
          </w:p>
        </w:tc>
        <w:tc>
          <w:tcPr>
            <w:tcW w:w="2078" w:type="dxa"/>
            <w:tcBorders>
              <w:top w:val="single" w:sz="4" w:space="0" w:color="000000"/>
              <w:left w:val="single" w:sz="4" w:space="0" w:color="000000"/>
              <w:bottom w:val="single" w:sz="4" w:space="0" w:color="000000"/>
              <w:right w:val="single" w:sz="4" w:space="0" w:color="000000"/>
            </w:tcBorders>
          </w:tcPr>
          <w:p w14:paraId="327326FF" w14:textId="77777777" w:rsidR="00464F92" w:rsidRDefault="002831B2">
            <w:pPr>
              <w:spacing w:line="240" w:lineRule="auto"/>
            </w:pPr>
            <w:r w:rsidRPr="000830A5">
              <w:rPr>
                <w:lang w:val="nl-NL"/>
              </w:rPr>
              <w:t xml:space="preserve">Grishunin </w:t>
            </w:r>
            <w:r w:rsidRPr="000830A5">
              <w:rPr>
                <w:i/>
                <w:iCs/>
                <w:lang w:val="nl-NL"/>
              </w:rPr>
              <w:t>et al</w:t>
            </w:r>
            <w:r w:rsidRPr="000830A5">
              <w:rPr>
                <w:lang w:val="nl-NL"/>
              </w:rPr>
              <w:t xml:space="preserve">. (2022); Ordonez-Ponce </w:t>
            </w:r>
            <w:r w:rsidRPr="000830A5">
              <w:rPr>
                <w:i/>
                <w:iCs/>
                <w:lang w:val="nl-NL"/>
              </w:rPr>
              <w:t>et al</w:t>
            </w:r>
            <w:r w:rsidRPr="000830A5">
              <w:rPr>
                <w:lang w:val="nl-NL"/>
              </w:rPr>
              <w:t xml:space="preserve">. </w:t>
            </w:r>
            <w:r>
              <w:t xml:space="preserve">(2025); Menegatto </w:t>
            </w:r>
            <w:r>
              <w:rPr>
                <w:i/>
                <w:iCs/>
              </w:rPr>
              <w:t>et al</w:t>
            </w:r>
            <w:r>
              <w:t>. (2025)</w:t>
            </w:r>
          </w:p>
        </w:tc>
      </w:tr>
    </w:tbl>
    <w:p w14:paraId="07A8A0D8" w14:textId="77777777" w:rsidR="00464F92" w:rsidRDefault="002831B2">
      <w:pPr>
        <w:jc w:val="center"/>
      </w:pPr>
      <w:bookmarkStart w:id="53" w:name="_c4fnvxstb8bd" w:colFirst="0" w:colLast="0"/>
      <w:bookmarkEnd w:id="53"/>
      <w:r>
        <w:t>(Self-created)</w:t>
      </w:r>
    </w:p>
    <w:p w14:paraId="6B2F3C6F" w14:textId="77777777" w:rsidR="00464F92" w:rsidRPr="00EF7477" w:rsidRDefault="002831B2">
      <w:pPr>
        <w:pStyle w:val="Heading3"/>
        <w:keepNext w:val="0"/>
        <w:keepLines w:val="0"/>
        <w:spacing w:before="240" w:after="40"/>
        <w:rPr>
          <w:b w:val="0"/>
          <w:bCs w:val="0"/>
          <w:i w:val="0"/>
          <w:iCs w:val="0"/>
          <w:color w:val="000000"/>
          <w:sz w:val="28"/>
          <w:szCs w:val="28"/>
        </w:rPr>
      </w:pPr>
      <w:bookmarkStart w:id="54" w:name="_Toc240715268"/>
      <w:r w:rsidRPr="00EF7477">
        <w:rPr>
          <w:i w:val="0"/>
          <w:iCs w:val="0"/>
          <w:color w:val="000000"/>
          <w:sz w:val="28"/>
          <w:szCs w:val="28"/>
        </w:rPr>
        <w:t>4.4.2 Critical Analysis of Findings and Relation to Literature</w:t>
      </w:r>
      <w:bookmarkEnd w:id="54"/>
    </w:p>
    <w:p w14:paraId="0E2E507C" w14:textId="77777777" w:rsidR="00464F92" w:rsidRDefault="002831B2">
      <w:r>
        <w:t xml:space="preserve">These results are confirmed by Ordonez-Ponce </w:t>
      </w:r>
      <w:r>
        <w:rPr>
          <w:i/>
          <w:iCs/>
        </w:rPr>
        <w:t>et al</w:t>
      </w:r>
      <w:r>
        <w:t xml:space="preserve">. (2025), who state that ethically conducted recruitment policies, diversity, community involvement, and communication with stakeholders </w:t>
      </w:r>
      <w:r>
        <w:lastRenderedPageBreak/>
        <w:t xml:space="preserve">positively impact relationships with investors. They also align with Menegatto </w:t>
      </w:r>
      <w:r>
        <w:rPr>
          <w:i/>
          <w:iCs/>
        </w:rPr>
        <w:t>et al</w:t>
      </w:r>
      <w:r>
        <w:t xml:space="preserve">. (2025), who link social sustainability to employee satisfaction, community approval, and lower operational risks as indicators of social performance that can foster investor confidence and long-term investment. Likewise, Sadiq </w:t>
      </w:r>
      <w:r>
        <w:rPr>
          <w:i/>
          <w:iCs/>
        </w:rPr>
        <w:t>et al</w:t>
      </w:r>
      <w:r>
        <w:t>. (2025) list employee wellbeing, occupational safety, DEI and community relations as components of social ESG, while Bhandari and Chaudhry (2025) link diversity and inclusion with innovation, decision-making and an organisation's reputation. However, the literature offers little information on the direct links between social activities and foreign investments in renewable energy in the UK, thus confirming the research gap outlined in Chapter 2.</w:t>
      </w:r>
    </w:p>
    <w:p w14:paraId="21D25694" w14:textId="3F74F27C" w:rsidR="00464F92" w:rsidRDefault="002831B2">
      <w:r>
        <w:t>Social ESG must be separated into its ethical value versus its impact on investments. Ethical value refers to proper treatment, inclusion, and employee wellbeing</w:t>
      </w:r>
      <w:r w:rsidR="006A1835">
        <w:t>,</w:t>
      </w:r>
      <w:r>
        <w:t xml:space="preserve"> as well as proper engagement with communities in terms of what companies are supposed to do for society. At the same time, social practices might have an impact on foreign investments. For example, Ordonez-Ponce </w:t>
      </w:r>
      <w:r>
        <w:rPr>
          <w:i/>
          <w:iCs/>
        </w:rPr>
        <w:t>et al</w:t>
      </w:r>
      <w:r>
        <w:t>. (2025) enhance the ethical aspect of the concept by focusing on responsible stakeholder engagement</w:t>
      </w:r>
      <w:r w:rsidR="006A1835">
        <w:t>,</w:t>
      </w:r>
      <w:r>
        <w:t xml:space="preserve"> while Sadiq </w:t>
      </w:r>
      <w:r>
        <w:rPr>
          <w:i/>
          <w:iCs/>
        </w:rPr>
        <w:t>et al</w:t>
      </w:r>
      <w:r>
        <w:t xml:space="preserve">. (2025) explain how inclusion and employee wellbeing can contribute to organisational performance. Social ESG as an element of investments is related to the reduction of the risk of turnover, disruptions in the workforce, community backlash and delays in projects. According to Menegatto </w:t>
      </w:r>
      <w:r>
        <w:rPr>
          <w:i/>
          <w:iCs/>
        </w:rPr>
        <w:t>et al</w:t>
      </w:r>
      <w:r>
        <w:t>. (2025) and Bhandari and Chaudhry (2025), social ESG has organisational aspects</w:t>
      </w:r>
      <w:r w:rsidR="006A1835">
        <w:t>,</w:t>
      </w:r>
      <w:r>
        <w:t xml:space="preserve"> but they do not prove that social aspects are important for foreign investors in terms of making investments.</w:t>
      </w:r>
    </w:p>
    <w:p w14:paraId="1D5021B7" w14:textId="77777777" w:rsidR="00464F92" w:rsidRDefault="002831B2">
      <w:r>
        <w:t>These results are explained through Stakeholder Theory, which explains how socially responsible treatment of stakeholders fosters trust and sustainable relationships. RBV further implies that social capabilities can develop into organisational resources that can serve as sources of competitive advantage. Therefore, these findings generally confirm both theories, while also showing that social performance contributes to investment attractiveness indirectly.</w:t>
      </w:r>
    </w:p>
    <w:p w14:paraId="262A3AEE" w14:textId="77777777" w:rsidR="00464F92" w:rsidRDefault="002831B2">
      <w:pPr>
        <w:pStyle w:val="Heading2"/>
      </w:pPr>
      <w:bookmarkStart w:id="55" w:name="_Toc240715269"/>
      <w:r>
        <w:t>4.5 Theme 3: Governance Practices and Capital Attraction</w:t>
      </w:r>
      <w:bookmarkEnd w:id="55"/>
    </w:p>
    <w:p w14:paraId="3D2380F2" w14:textId="77777777" w:rsidR="00464F92" w:rsidRDefault="002831B2">
      <w:r>
        <w:t xml:space="preserve">Theme three notes that governance quality is a key mechanism through which ESG practices affect foreign investment in the UK renewable energy industry. The codes for this theme included board independence, board diversity, strategic planning, transparency, accountability, risk management, regulatory compliance, anti-corruption practices and ethical leadership as governance practices. These mechanisms help foreign investors gain more confidence regarding organisational integrity, decision-making, and investment risk management </w:t>
      </w:r>
      <w:r>
        <w:lastRenderedPageBreak/>
        <w:t>(Ghazalat, 2025). This is significant for foreign investors because governance practices signal how organisations protect capital and manage uncertainty.</w:t>
      </w:r>
    </w:p>
    <w:p w14:paraId="16169E81" w14:textId="77777777" w:rsidR="00464F92" w:rsidRDefault="002831B2">
      <w:pPr>
        <w:jc w:val="center"/>
      </w:pPr>
      <w:r>
        <w:rPr>
          <w:noProof/>
        </w:rPr>
        <w:drawing>
          <wp:inline distT="114300" distB="114300" distL="114300" distR="114300" wp14:anchorId="3EEDB03B" wp14:editId="3F8E9CB4">
            <wp:extent cx="5731200" cy="332740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5731200" cy="3327400"/>
                    </a:xfrm>
                    <a:prstGeom prst="rect">
                      <a:avLst/>
                    </a:prstGeom>
                    <a:ln/>
                  </pic:spPr>
                </pic:pic>
              </a:graphicData>
            </a:graphic>
          </wp:inline>
        </w:drawing>
      </w:r>
    </w:p>
    <w:p w14:paraId="7CCB857D" w14:textId="77777777" w:rsidR="00464F92" w:rsidRDefault="002831B2">
      <w:pPr>
        <w:pStyle w:val="Heading5"/>
      </w:pPr>
      <w:bookmarkStart w:id="56" w:name="_vn1yamvh1q1i" w:colFirst="0" w:colLast="0"/>
      <w:bookmarkEnd w:id="56"/>
      <w:r>
        <w:t>Figure 4.3: Synthesis of theme 3 and outcome</w:t>
      </w:r>
    </w:p>
    <w:p w14:paraId="26CD0951" w14:textId="77777777" w:rsidR="00464F92" w:rsidRDefault="002831B2">
      <w:pPr>
        <w:jc w:val="center"/>
      </w:pPr>
      <w:r>
        <w:t>(Self-created)</w:t>
      </w:r>
    </w:p>
    <w:p w14:paraId="22EB3A79" w14:textId="77777777" w:rsidR="00464F92" w:rsidRPr="00EF7477" w:rsidRDefault="002831B2">
      <w:pPr>
        <w:pStyle w:val="Heading3"/>
        <w:rPr>
          <w:b w:val="0"/>
          <w:bCs w:val="0"/>
          <w:i w:val="0"/>
          <w:iCs w:val="0"/>
          <w:color w:val="000000"/>
          <w:sz w:val="28"/>
          <w:szCs w:val="28"/>
        </w:rPr>
      </w:pPr>
      <w:bookmarkStart w:id="57" w:name="_Toc240715270"/>
      <w:r w:rsidRPr="00EF7477">
        <w:rPr>
          <w:i w:val="0"/>
          <w:iCs w:val="0"/>
          <w:color w:val="000000"/>
          <w:sz w:val="28"/>
          <w:szCs w:val="28"/>
        </w:rPr>
        <w:t>4.5.1 Governance Quality and Investor Confidence</w:t>
      </w:r>
      <w:bookmarkEnd w:id="57"/>
    </w:p>
    <w:p w14:paraId="352F09D3" w14:textId="1924FDDB" w:rsidR="00464F92" w:rsidRDefault="002831B2">
      <w:bookmarkStart w:id="58" w:name="_s4rv7841pn89" w:colFirst="0" w:colLast="0"/>
      <w:bookmarkEnd w:id="58"/>
      <w:r>
        <w:t xml:space="preserve">As per the evidence, proper governance increases the credibility of companies engaged in </w:t>
      </w:r>
      <w:r w:rsidR="006A1835">
        <w:t xml:space="preserve">the </w:t>
      </w:r>
      <w:r>
        <w:t xml:space="preserve">renewable energy business. As suggested by Aguilera and Castillo (2025), proper governance is about being transparent in </w:t>
      </w:r>
      <w:r w:rsidR="006A1835">
        <w:t>decision-making</w:t>
      </w:r>
      <w:r>
        <w:t xml:space="preserve">, risk management, compliance with regulations, accountability, and organisational performance. The independence and diversity of the board of directors are essential since these factors increase the level of supervision and reduce the level of management’s biases. Proper governance seems to impact investment through transparency and information availability as well (Jafeel </w:t>
      </w:r>
      <w:r>
        <w:rPr>
          <w:i/>
          <w:iCs/>
        </w:rPr>
        <w:t>et al</w:t>
      </w:r>
      <w:r>
        <w:t xml:space="preserve">., 2023). </w:t>
      </w:r>
    </w:p>
    <w:p w14:paraId="6898C3A2" w14:textId="77777777" w:rsidR="00464F92" w:rsidRDefault="002831B2">
      <w:r>
        <w:t xml:space="preserve">It can be stated that effective governance may help decrease uncertainty through clarification of criteria for assessing strategic decisions and procedures for dealing with their possible failures. The link between governance and uncertainty is well demonstrated by Al-Najjar, Salama and Abed (2025), who emphasise the relevance of using good governance measures in making sustainable strategic investment decisions when the results of such decisions are highly complex. In turn, Scheer </w:t>
      </w:r>
      <w:r>
        <w:rPr>
          <w:i/>
          <w:iCs/>
        </w:rPr>
        <w:t>et al.</w:t>
      </w:r>
      <w:r>
        <w:t xml:space="preserve"> (2025) suggest a wider approach by considering modern governance as a response to sustainability concerns, changes in stakeholders' expectations, and </w:t>
      </w:r>
      <w:r>
        <w:lastRenderedPageBreak/>
        <w:t>growing uncertainty in terms of enhanced responsibility and adaptive governance. The strong point of this theory is the understanding that governance is contingent on context rather than universally applied. However, increased control leads to additional burdens and expenses. Hence, it is essential to see governance as a form of protection rather than merely control.</w:t>
      </w:r>
    </w:p>
    <w:p w14:paraId="5AD1C317" w14:textId="77777777" w:rsidR="00EF7477" w:rsidRDefault="00EF7477"/>
    <w:p w14:paraId="479611D7" w14:textId="77777777" w:rsidR="00464F92" w:rsidRPr="00EF7477" w:rsidRDefault="002831B2">
      <w:pPr>
        <w:rPr>
          <w:b/>
          <w:bCs/>
          <w:sz w:val="28"/>
          <w:szCs w:val="28"/>
        </w:rPr>
      </w:pPr>
      <w:r w:rsidRPr="00EF7477">
        <w:rPr>
          <w:b/>
          <w:bCs/>
          <w:sz w:val="28"/>
          <w:szCs w:val="28"/>
        </w:rPr>
        <w:t xml:space="preserve"> Table 4.4: Evidence Relating Governance Practices to Capital Attraction</w:t>
      </w:r>
    </w:p>
    <w:p w14:paraId="07B3FB84" w14:textId="77777777" w:rsidR="00EF7477" w:rsidRDefault="00EF7477">
      <w:pPr>
        <w:rPr>
          <w:b/>
          <w:bCs/>
        </w:rPr>
      </w:pPr>
    </w:p>
    <w:tbl>
      <w:tblPr>
        <w:tblStyle w:val="a3"/>
        <w:tblW w:w="93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38"/>
        <w:gridCol w:w="2410"/>
        <w:gridCol w:w="2551"/>
        <w:gridCol w:w="2551"/>
      </w:tblGrid>
      <w:tr w:rsidR="00464F92" w14:paraId="43CF7637" w14:textId="77777777">
        <w:trPr>
          <w:trHeight w:val="770"/>
        </w:trPr>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3745D6" w14:textId="77777777" w:rsidR="00464F92" w:rsidRDefault="002831B2">
            <w:pPr>
              <w:spacing w:line="240" w:lineRule="auto"/>
              <w:jc w:val="center"/>
              <w:rPr>
                <w:b/>
                <w:bCs/>
              </w:rPr>
            </w:pPr>
            <w:r>
              <w:rPr>
                <w:b/>
                <w:bCs/>
              </w:rPr>
              <w:t>Governance practice</w:t>
            </w:r>
          </w:p>
        </w:tc>
        <w:tc>
          <w:tcPr>
            <w:tcW w:w="2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7F0FB0" w14:textId="77777777" w:rsidR="00464F92" w:rsidRDefault="002831B2">
            <w:pPr>
              <w:spacing w:line="240" w:lineRule="auto"/>
              <w:jc w:val="center"/>
              <w:rPr>
                <w:b/>
                <w:bCs/>
              </w:rPr>
            </w:pPr>
            <w:r>
              <w:rPr>
                <w:b/>
                <w:bCs/>
              </w:rPr>
              <w:t>Finding from the evidence</w:t>
            </w:r>
          </w:p>
        </w:tc>
        <w:tc>
          <w:tcPr>
            <w:tcW w:w="25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89B0D2" w14:textId="77777777" w:rsidR="00464F92" w:rsidRDefault="002831B2">
            <w:pPr>
              <w:spacing w:line="240" w:lineRule="auto"/>
              <w:jc w:val="center"/>
              <w:rPr>
                <w:b/>
                <w:bCs/>
              </w:rPr>
            </w:pPr>
            <w:r>
              <w:rPr>
                <w:b/>
                <w:bCs/>
              </w:rPr>
              <w:t>Implication for foreign investment</w:t>
            </w:r>
          </w:p>
        </w:tc>
        <w:tc>
          <w:tcPr>
            <w:tcW w:w="2551" w:type="dxa"/>
            <w:tcBorders>
              <w:top w:val="single" w:sz="4" w:space="0" w:color="000000"/>
              <w:left w:val="single" w:sz="4" w:space="0" w:color="000000"/>
              <w:bottom w:val="single" w:sz="4" w:space="0" w:color="000000"/>
              <w:right w:val="single" w:sz="4" w:space="0" w:color="000000"/>
            </w:tcBorders>
          </w:tcPr>
          <w:p w14:paraId="585158FB" w14:textId="77777777" w:rsidR="00464F92" w:rsidRDefault="002831B2">
            <w:pPr>
              <w:spacing w:line="240" w:lineRule="auto"/>
              <w:jc w:val="center"/>
              <w:rPr>
                <w:b/>
                <w:bCs/>
              </w:rPr>
            </w:pPr>
            <w:r>
              <w:rPr>
                <w:b/>
                <w:bCs/>
              </w:rPr>
              <w:t>Relevant sources from literature</w:t>
            </w:r>
          </w:p>
        </w:tc>
      </w:tr>
      <w:tr w:rsidR="00464F92" w14:paraId="1C5B3C95" w14:textId="77777777">
        <w:trPr>
          <w:trHeight w:val="770"/>
        </w:trPr>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F6FE71" w14:textId="77777777" w:rsidR="00464F92" w:rsidRDefault="002831B2">
            <w:pPr>
              <w:spacing w:line="240" w:lineRule="auto"/>
            </w:pPr>
            <w:r>
              <w:t>Board independence</w:t>
            </w:r>
          </w:p>
        </w:tc>
        <w:tc>
          <w:tcPr>
            <w:tcW w:w="2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8BDC18" w14:textId="77777777" w:rsidR="00464F92" w:rsidRDefault="002831B2">
            <w:pPr>
              <w:spacing w:line="240" w:lineRule="auto"/>
            </w:pPr>
            <w:r>
              <w:t>Strengthens oversight and reduces managerial bias</w:t>
            </w:r>
          </w:p>
        </w:tc>
        <w:tc>
          <w:tcPr>
            <w:tcW w:w="25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872A2F" w14:textId="77777777" w:rsidR="00464F92" w:rsidRDefault="002831B2">
            <w:pPr>
              <w:spacing w:line="240" w:lineRule="auto"/>
            </w:pPr>
            <w:r>
              <w:t>Increases confidence in decision-making</w:t>
            </w:r>
          </w:p>
        </w:tc>
        <w:tc>
          <w:tcPr>
            <w:tcW w:w="2551" w:type="dxa"/>
            <w:tcBorders>
              <w:top w:val="single" w:sz="4" w:space="0" w:color="000000"/>
              <w:left w:val="single" w:sz="4" w:space="0" w:color="000000"/>
              <w:bottom w:val="single" w:sz="4" w:space="0" w:color="000000"/>
              <w:right w:val="single" w:sz="4" w:space="0" w:color="000000"/>
            </w:tcBorders>
          </w:tcPr>
          <w:p w14:paraId="626A2005" w14:textId="77777777" w:rsidR="00464F92" w:rsidRDefault="002831B2">
            <w:pPr>
              <w:spacing w:line="240" w:lineRule="auto"/>
            </w:pPr>
            <w:r w:rsidRPr="000830A5">
              <w:rPr>
                <w:lang w:val="nl-NL"/>
              </w:rPr>
              <w:t xml:space="preserve">Salehi </w:t>
            </w:r>
            <w:r w:rsidRPr="000830A5">
              <w:rPr>
                <w:i/>
                <w:iCs/>
                <w:lang w:val="nl-NL"/>
              </w:rPr>
              <w:t>et al</w:t>
            </w:r>
            <w:r w:rsidRPr="000830A5">
              <w:rPr>
                <w:lang w:val="nl-NL"/>
              </w:rPr>
              <w:t xml:space="preserve">. (2022); Wu </w:t>
            </w:r>
            <w:r w:rsidRPr="000830A5">
              <w:rPr>
                <w:i/>
                <w:iCs/>
                <w:lang w:val="nl-NL"/>
              </w:rPr>
              <w:t>et al</w:t>
            </w:r>
            <w:r w:rsidRPr="000830A5">
              <w:rPr>
                <w:lang w:val="nl-NL"/>
              </w:rPr>
              <w:t xml:space="preserve">. </w:t>
            </w:r>
            <w:r>
              <w:t>(2025)</w:t>
            </w:r>
          </w:p>
        </w:tc>
      </w:tr>
      <w:tr w:rsidR="00464F92" w14:paraId="7BEBE6E2" w14:textId="77777777">
        <w:trPr>
          <w:trHeight w:val="770"/>
        </w:trPr>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2FCEA8" w14:textId="77777777" w:rsidR="00464F92" w:rsidRDefault="002831B2">
            <w:pPr>
              <w:spacing w:line="240" w:lineRule="auto"/>
            </w:pPr>
            <w:r>
              <w:t>Board diversity</w:t>
            </w:r>
          </w:p>
        </w:tc>
        <w:tc>
          <w:tcPr>
            <w:tcW w:w="2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17FB85" w14:textId="77777777" w:rsidR="00464F92" w:rsidRDefault="002831B2">
            <w:pPr>
              <w:spacing w:line="240" w:lineRule="auto"/>
            </w:pPr>
            <w:r>
              <w:t>Supports balanced strategic decisions</w:t>
            </w:r>
          </w:p>
        </w:tc>
        <w:tc>
          <w:tcPr>
            <w:tcW w:w="25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18D3CB" w14:textId="77777777" w:rsidR="00464F92" w:rsidRDefault="002831B2">
            <w:pPr>
              <w:spacing w:line="240" w:lineRule="auto"/>
            </w:pPr>
            <w:r>
              <w:t>Strengthens governance credibility</w:t>
            </w:r>
          </w:p>
        </w:tc>
        <w:tc>
          <w:tcPr>
            <w:tcW w:w="2551" w:type="dxa"/>
            <w:tcBorders>
              <w:top w:val="single" w:sz="4" w:space="0" w:color="000000"/>
              <w:left w:val="single" w:sz="4" w:space="0" w:color="000000"/>
              <w:bottom w:val="single" w:sz="4" w:space="0" w:color="000000"/>
              <w:right w:val="single" w:sz="4" w:space="0" w:color="000000"/>
            </w:tcBorders>
          </w:tcPr>
          <w:p w14:paraId="4681C83F" w14:textId="77777777" w:rsidR="00464F92" w:rsidRDefault="002831B2">
            <w:pPr>
              <w:spacing w:line="240" w:lineRule="auto"/>
            </w:pPr>
            <w:r w:rsidRPr="000830A5">
              <w:rPr>
                <w:lang w:val="nl-NL"/>
              </w:rPr>
              <w:t xml:space="preserve">Salehi </w:t>
            </w:r>
            <w:r w:rsidRPr="000830A5">
              <w:rPr>
                <w:i/>
                <w:iCs/>
                <w:lang w:val="nl-NL"/>
              </w:rPr>
              <w:t>et al</w:t>
            </w:r>
            <w:r w:rsidRPr="000830A5">
              <w:rPr>
                <w:lang w:val="nl-NL"/>
              </w:rPr>
              <w:t xml:space="preserve">. (2022); Wu </w:t>
            </w:r>
            <w:r w:rsidRPr="000830A5">
              <w:rPr>
                <w:i/>
                <w:iCs/>
                <w:lang w:val="nl-NL"/>
              </w:rPr>
              <w:t>et al</w:t>
            </w:r>
            <w:r w:rsidRPr="000830A5">
              <w:rPr>
                <w:lang w:val="nl-NL"/>
              </w:rPr>
              <w:t xml:space="preserve">. </w:t>
            </w:r>
            <w:r>
              <w:t>(2025)</w:t>
            </w:r>
          </w:p>
        </w:tc>
      </w:tr>
      <w:tr w:rsidR="00464F92" w14:paraId="625AF7FB" w14:textId="77777777">
        <w:trPr>
          <w:trHeight w:val="770"/>
        </w:trPr>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056FAD" w14:textId="77777777" w:rsidR="00464F92" w:rsidRDefault="002831B2">
            <w:pPr>
              <w:spacing w:line="240" w:lineRule="auto"/>
            </w:pPr>
            <w:r>
              <w:t>Transparency and accountability</w:t>
            </w:r>
          </w:p>
        </w:tc>
        <w:tc>
          <w:tcPr>
            <w:tcW w:w="2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9A182F" w14:textId="77777777" w:rsidR="00464F92" w:rsidRDefault="002831B2">
            <w:pPr>
              <w:spacing w:line="240" w:lineRule="auto"/>
            </w:pPr>
            <w:r>
              <w:t>Improves visibility of organisational decisions</w:t>
            </w:r>
          </w:p>
        </w:tc>
        <w:tc>
          <w:tcPr>
            <w:tcW w:w="25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9EC932" w14:textId="77777777" w:rsidR="00464F92" w:rsidRDefault="002831B2">
            <w:pPr>
              <w:spacing w:line="240" w:lineRule="auto"/>
            </w:pPr>
            <w:r>
              <w:t>Reduces perceived investment risk</w:t>
            </w:r>
          </w:p>
        </w:tc>
        <w:tc>
          <w:tcPr>
            <w:tcW w:w="2551" w:type="dxa"/>
            <w:tcBorders>
              <w:top w:val="single" w:sz="4" w:space="0" w:color="000000"/>
              <w:left w:val="single" w:sz="4" w:space="0" w:color="000000"/>
              <w:bottom w:val="single" w:sz="4" w:space="0" w:color="000000"/>
              <w:right w:val="single" w:sz="4" w:space="0" w:color="000000"/>
            </w:tcBorders>
          </w:tcPr>
          <w:p w14:paraId="4799623F" w14:textId="77777777" w:rsidR="00464F92" w:rsidRDefault="002831B2">
            <w:pPr>
              <w:spacing w:line="240" w:lineRule="auto"/>
            </w:pPr>
            <w:r>
              <w:t xml:space="preserve">Salehi </w:t>
            </w:r>
            <w:r>
              <w:rPr>
                <w:i/>
                <w:iCs/>
              </w:rPr>
              <w:t>et al</w:t>
            </w:r>
            <w:r>
              <w:t>. (2022); Aguilera and Castillo (2025)</w:t>
            </w:r>
          </w:p>
        </w:tc>
      </w:tr>
      <w:tr w:rsidR="00464F92" w14:paraId="0A8F7829" w14:textId="77777777">
        <w:trPr>
          <w:trHeight w:val="770"/>
        </w:trPr>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E84401" w14:textId="77777777" w:rsidR="00464F92" w:rsidRDefault="002831B2">
            <w:pPr>
              <w:spacing w:line="240" w:lineRule="auto"/>
            </w:pPr>
            <w:r>
              <w:t>Risk management and internal controls</w:t>
            </w:r>
          </w:p>
        </w:tc>
        <w:tc>
          <w:tcPr>
            <w:tcW w:w="2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85C2D1" w14:textId="77777777" w:rsidR="00464F92" w:rsidRDefault="002831B2">
            <w:pPr>
              <w:spacing w:line="240" w:lineRule="auto"/>
            </w:pPr>
            <w:r>
              <w:t>Strengthens organisational control systems</w:t>
            </w:r>
          </w:p>
        </w:tc>
        <w:tc>
          <w:tcPr>
            <w:tcW w:w="25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8F8758" w14:textId="77777777" w:rsidR="00464F92" w:rsidRDefault="002831B2">
            <w:pPr>
              <w:spacing w:line="240" w:lineRule="auto"/>
            </w:pPr>
            <w:r>
              <w:t>Provides greater assurance over capital protection</w:t>
            </w:r>
          </w:p>
        </w:tc>
        <w:tc>
          <w:tcPr>
            <w:tcW w:w="2551" w:type="dxa"/>
            <w:tcBorders>
              <w:top w:val="single" w:sz="4" w:space="0" w:color="000000"/>
              <w:left w:val="single" w:sz="4" w:space="0" w:color="000000"/>
              <w:bottom w:val="single" w:sz="4" w:space="0" w:color="000000"/>
              <w:right w:val="single" w:sz="4" w:space="0" w:color="000000"/>
            </w:tcBorders>
          </w:tcPr>
          <w:p w14:paraId="0A481663" w14:textId="77777777" w:rsidR="00464F92" w:rsidRDefault="002831B2">
            <w:pPr>
              <w:spacing w:line="240" w:lineRule="auto"/>
            </w:pPr>
            <w:r>
              <w:t xml:space="preserve">Wu </w:t>
            </w:r>
            <w:r>
              <w:rPr>
                <w:i/>
                <w:iCs/>
              </w:rPr>
              <w:t>et al</w:t>
            </w:r>
            <w:r>
              <w:t>. (2025); Aguilera and Castillo (2025)</w:t>
            </w:r>
          </w:p>
        </w:tc>
      </w:tr>
      <w:tr w:rsidR="00464F92" w14:paraId="1A0403C8" w14:textId="77777777">
        <w:trPr>
          <w:trHeight w:val="770"/>
        </w:trPr>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01661B" w14:textId="77777777" w:rsidR="00464F92" w:rsidRDefault="002831B2">
            <w:pPr>
              <w:spacing w:line="240" w:lineRule="auto"/>
            </w:pPr>
            <w:r>
              <w:t>Anti-corruption measures</w:t>
            </w:r>
          </w:p>
        </w:tc>
        <w:tc>
          <w:tcPr>
            <w:tcW w:w="2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B6EFE6" w14:textId="77777777" w:rsidR="00464F92" w:rsidRDefault="002831B2">
            <w:pPr>
              <w:spacing w:line="240" w:lineRule="auto"/>
            </w:pPr>
            <w:r>
              <w:t>Supports organisational integrity</w:t>
            </w:r>
          </w:p>
        </w:tc>
        <w:tc>
          <w:tcPr>
            <w:tcW w:w="25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1E3F71" w14:textId="77777777" w:rsidR="00464F92" w:rsidRDefault="002831B2">
            <w:pPr>
              <w:spacing w:line="240" w:lineRule="auto"/>
            </w:pPr>
            <w:r>
              <w:t>Reduces governance-related investment risks</w:t>
            </w:r>
          </w:p>
        </w:tc>
        <w:tc>
          <w:tcPr>
            <w:tcW w:w="2551" w:type="dxa"/>
            <w:tcBorders>
              <w:top w:val="single" w:sz="4" w:space="0" w:color="000000"/>
              <w:left w:val="single" w:sz="4" w:space="0" w:color="000000"/>
              <w:bottom w:val="single" w:sz="4" w:space="0" w:color="000000"/>
              <w:right w:val="single" w:sz="4" w:space="0" w:color="000000"/>
            </w:tcBorders>
          </w:tcPr>
          <w:p w14:paraId="7574B9AC" w14:textId="77777777" w:rsidR="00464F92" w:rsidRDefault="002831B2">
            <w:pPr>
              <w:spacing w:line="240" w:lineRule="auto"/>
            </w:pPr>
            <w:r>
              <w:t xml:space="preserve">Salehi </w:t>
            </w:r>
            <w:r>
              <w:rPr>
                <w:i/>
                <w:iCs/>
              </w:rPr>
              <w:t>et al</w:t>
            </w:r>
            <w:r>
              <w:t>. (2022); Velte (2023)</w:t>
            </w:r>
          </w:p>
        </w:tc>
      </w:tr>
      <w:tr w:rsidR="00464F92" w14:paraId="33492827" w14:textId="77777777">
        <w:trPr>
          <w:trHeight w:val="770"/>
        </w:trPr>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11D2B8" w14:textId="77777777" w:rsidR="00464F92" w:rsidRDefault="002831B2">
            <w:pPr>
              <w:spacing w:line="240" w:lineRule="auto"/>
            </w:pPr>
            <w:r>
              <w:t>Ethical leadership</w:t>
            </w:r>
          </w:p>
        </w:tc>
        <w:tc>
          <w:tcPr>
            <w:tcW w:w="2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CDA61F" w14:textId="77777777" w:rsidR="00464F92" w:rsidRDefault="002831B2">
            <w:pPr>
              <w:spacing w:line="240" w:lineRule="auto"/>
            </w:pPr>
            <w:r>
              <w:t>Reinforces responsible management</w:t>
            </w:r>
          </w:p>
        </w:tc>
        <w:tc>
          <w:tcPr>
            <w:tcW w:w="25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6AE5D3" w14:textId="77777777" w:rsidR="00464F92" w:rsidRDefault="002831B2">
            <w:pPr>
              <w:spacing w:line="240" w:lineRule="auto"/>
            </w:pPr>
            <w:r>
              <w:t>Strengthens investor trust</w:t>
            </w:r>
          </w:p>
        </w:tc>
        <w:tc>
          <w:tcPr>
            <w:tcW w:w="2551" w:type="dxa"/>
            <w:tcBorders>
              <w:top w:val="single" w:sz="4" w:space="0" w:color="000000"/>
              <w:left w:val="single" w:sz="4" w:space="0" w:color="000000"/>
              <w:bottom w:val="single" w:sz="4" w:space="0" w:color="000000"/>
              <w:right w:val="single" w:sz="4" w:space="0" w:color="000000"/>
            </w:tcBorders>
          </w:tcPr>
          <w:p w14:paraId="14FFC584" w14:textId="77777777" w:rsidR="00464F92" w:rsidRDefault="002831B2">
            <w:pPr>
              <w:spacing w:line="240" w:lineRule="auto"/>
            </w:pPr>
            <w:r>
              <w:t xml:space="preserve">Salehi </w:t>
            </w:r>
            <w:r>
              <w:rPr>
                <w:i/>
                <w:iCs/>
              </w:rPr>
              <w:t>et al</w:t>
            </w:r>
            <w:r>
              <w:t>. (2022); Aguilera &amp; Castillo (2025)</w:t>
            </w:r>
          </w:p>
        </w:tc>
      </w:tr>
      <w:tr w:rsidR="00464F92" w:rsidRPr="006A0F0F" w14:paraId="01ADF23A" w14:textId="77777777">
        <w:trPr>
          <w:trHeight w:val="770"/>
        </w:trPr>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9639C9" w14:textId="77777777" w:rsidR="00464F92" w:rsidRDefault="002831B2">
            <w:pPr>
              <w:spacing w:line="240" w:lineRule="auto"/>
            </w:pPr>
            <w:r>
              <w:t>ESG reporting frameworks</w:t>
            </w:r>
          </w:p>
        </w:tc>
        <w:tc>
          <w:tcPr>
            <w:tcW w:w="2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3390C9" w14:textId="77777777" w:rsidR="00464F92" w:rsidRDefault="002831B2">
            <w:pPr>
              <w:spacing w:line="240" w:lineRule="auto"/>
            </w:pPr>
            <w:r>
              <w:t>Improves consistency and comparability</w:t>
            </w:r>
          </w:p>
        </w:tc>
        <w:tc>
          <w:tcPr>
            <w:tcW w:w="25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4654C6" w14:textId="77777777" w:rsidR="00464F92" w:rsidRDefault="002831B2">
            <w:pPr>
              <w:spacing w:line="240" w:lineRule="auto"/>
            </w:pPr>
            <w:r>
              <w:t>Supports more informed investment decisions</w:t>
            </w:r>
          </w:p>
        </w:tc>
        <w:tc>
          <w:tcPr>
            <w:tcW w:w="2551" w:type="dxa"/>
            <w:tcBorders>
              <w:top w:val="single" w:sz="4" w:space="0" w:color="000000"/>
              <w:left w:val="single" w:sz="4" w:space="0" w:color="000000"/>
              <w:bottom w:val="single" w:sz="4" w:space="0" w:color="000000"/>
              <w:right w:val="single" w:sz="4" w:space="0" w:color="000000"/>
            </w:tcBorders>
          </w:tcPr>
          <w:p w14:paraId="0C2EFD09" w14:textId="77777777" w:rsidR="00464F92" w:rsidRPr="000830A5" w:rsidRDefault="002831B2">
            <w:pPr>
              <w:spacing w:line="240" w:lineRule="auto"/>
              <w:rPr>
                <w:lang w:val="nl-NL"/>
              </w:rPr>
            </w:pPr>
            <w:r w:rsidRPr="000830A5">
              <w:rPr>
                <w:lang w:val="nl-NL"/>
              </w:rPr>
              <w:t xml:space="preserve">Luo </w:t>
            </w:r>
            <w:r w:rsidRPr="000830A5">
              <w:rPr>
                <w:i/>
                <w:iCs/>
                <w:lang w:val="nl-NL"/>
              </w:rPr>
              <w:t>et al</w:t>
            </w:r>
            <w:r w:rsidRPr="000830A5">
              <w:rPr>
                <w:lang w:val="nl-NL"/>
              </w:rPr>
              <w:t>. (2022); Khatri and Kjærland (2023)</w:t>
            </w:r>
          </w:p>
        </w:tc>
      </w:tr>
    </w:tbl>
    <w:p w14:paraId="09325824" w14:textId="77777777" w:rsidR="00464F92" w:rsidRDefault="002831B2">
      <w:pPr>
        <w:jc w:val="center"/>
      </w:pPr>
      <w:bookmarkStart w:id="59" w:name="_8s38c43h1mwc" w:colFirst="0" w:colLast="0"/>
      <w:bookmarkEnd w:id="59"/>
      <w:r>
        <w:t>(Source: Self-created based)</w:t>
      </w:r>
    </w:p>
    <w:p w14:paraId="6B6C11FA" w14:textId="77777777" w:rsidR="00464F92" w:rsidRPr="00EF7477" w:rsidRDefault="002831B2">
      <w:pPr>
        <w:pStyle w:val="Heading3"/>
        <w:rPr>
          <w:b w:val="0"/>
          <w:bCs w:val="0"/>
          <w:i w:val="0"/>
          <w:iCs w:val="0"/>
          <w:sz w:val="28"/>
          <w:szCs w:val="28"/>
        </w:rPr>
      </w:pPr>
      <w:bookmarkStart w:id="60" w:name="_Toc240715271"/>
      <w:r w:rsidRPr="00EF7477">
        <w:rPr>
          <w:i w:val="0"/>
          <w:iCs w:val="0"/>
          <w:sz w:val="28"/>
          <w:szCs w:val="28"/>
        </w:rPr>
        <w:t>4.5.2 Critical Analysis of Findings and Relation to Literature</w:t>
      </w:r>
      <w:bookmarkEnd w:id="60"/>
    </w:p>
    <w:p w14:paraId="2BFA9DCC" w14:textId="39064E6E" w:rsidR="00464F92" w:rsidRDefault="002831B2">
      <w:r>
        <w:t xml:space="preserve">The findings </w:t>
      </w:r>
      <w:r w:rsidR="002134FD">
        <w:t xml:space="preserve">largely align with the positive relationship between governance quality </w:t>
      </w:r>
      <w:r>
        <w:t xml:space="preserve">and foreign investment reported in the literature. The findings </w:t>
      </w:r>
      <w:r w:rsidR="002134FD">
        <w:t xml:space="preserve">show that governance can minimise information asymmetry and investor risk </w:t>
      </w:r>
      <w:r>
        <w:t xml:space="preserve">by being independent, ethical, accountable, and </w:t>
      </w:r>
      <w:r w:rsidR="006A1835">
        <w:t>risk-management-oriented</w:t>
      </w:r>
      <w:r>
        <w:t xml:space="preserve">. In a similar way, Wu </w:t>
      </w:r>
      <w:r>
        <w:rPr>
          <w:i/>
          <w:iCs/>
        </w:rPr>
        <w:t>et al</w:t>
      </w:r>
      <w:r>
        <w:t xml:space="preserve">. and Velte (2023) indicate that governance is </w:t>
      </w:r>
      <w:r>
        <w:lastRenderedPageBreak/>
        <w:t>important for increasing investor confidence and attracting foreign investments. Nonetheless, the literature reports some negative effects on investment, such as fragmented disclosure</w:t>
      </w:r>
      <w:r w:rsidR="006A1835">
        <w:t xml:space="preserve"> and</w:t>
      </w:r>
      <w:r>
        <w:t xml:space="preserve"> inconsistency </w:t>
      </w:r>
      <w:r w:rsidR="006A1835">
        <w:t>in</w:t>
      </w:r>
      <w:r>
        <w:t xml:space="preserve"> the measurement of the performance of </w:t>
      </w:r>
      <w:r w:rsidR="006A1835">
        <w:t>organisations</w:t>
      </w:r>
      <w:r>
        <w:t xml:space="preserve"> in terms of ESG.</w:t>
      </w:r>
    </w:p>
    <w:p w14:paraId="48845A93" w14:textId="6422B345" w:rsidR="00464F92" w:rsidRDefault="002831B2">
      <w:r>
        <w:t xml:space="preserve">Board supervision helps in lowering uncertainty </w:t>
      </w:r>
      <w:r w:rsidR="006A1835">
        <w:t>by</w:t>
      </w:r>
      <w:r>
        <w:t xml:space="preserve"> providing a critical assessment of the organisation’s major strategic decisions without relying entirely on executive discretion. Alkaraan </w:t>
      </w:r>
      <w:r>
        <w:rPr>
          <w:i/>
          <w:iCs/>
        </w:rPr>
        <w:t>et al</w:t>
      </w:r>
      <w:r>
        <w:t xml:space="preserve">. (2023) posit that proper governance mechanisms ensure a higher degree of controlled sustainable investment decisions, hence higher predictability for outside investors. Aguilera &amp; Castillo (2025) suggest that governance mechanisms can enhance control of the organisation, albeit their theoretical framework is broader than the actual situation of foreign investment in UK renewable energy. The accountability aspect increases accountability for the outcomes of the strategies, while transparency in the decision-making process ensures that investors are able to evaluate the performance of managers in a consistent manner. This position is reiterated by Wu </w:t>
      </w:r>
      <w:r>
        <w:rPr>
          <w:i/>
          <w:iCs/>
        </w:rPr>
        <w:t>et al</w:t>
      </w:r>
      <w:r>
        <w:t xml:space="preserve">. (2022), </w:t>
      </w:r>
      <w:r w:rsidR="006A1835">
        <w:t>although</w:t>
      </w:r>
      <w:r>
        <w:t xml:space="preserve"> governance mechanisms can be irrelevant where there is formal structure without implementation. Compliance with regulation provides yet another external benchmark to lower uncertainty through compliance challenges.</w:t>
      </w:r>
    </w:p>
    <w:p w14:paraId="18938D7A" w14:textId="77777777" w:rsidR="00464F92" w:rsidRDefault="002831B2">
      <w:r>
        <w:t>The results are interpreted deductively using Stakeholder Theory and Institutional Theory. Stakeholder Theory explains how transparency, accountability, and good governance practices improve relationships and build trust between companies and their investors or stakeholders (Awa, Etim and Ogbonda, 2024). Institutional Theory further explains how regulatory, normative, and competitive pressures compel organisations to adopt governance practices that meet external expectations, as discussed by Jonge (2024). As such, the results are consistent with the theoretical framework and suggest that good governance produces clear investment signals when its practices are internally and externally credible.</w:t>
      </w:r>
    </w:p>
    <w:p w14:paraId="6FA72D27" w14:textId="77777777" w:rsidR="00464F92" w:rsidRDefault="002831B2">
      <w:pPr>
        <w:pStyle w:val="Heading2"/>
      </w:pPr>
      <w:bookmarkStart w:id="61" w:name="_Toc240715272"/>
      <w:r>
        <w:t>4.6 Theme 4: ESG Reporting, Disclosure and Investment Transparency</w:t>
      </w:r>
      <w:bookmarkEnd w:id="61"/>
    </w:p>
    <w:p w14:paraId="7B7C14F8" w14:textId="77777777" w:rsidR="00464F92" w:rsidRDefault="002831B2">
      <w:r>
        <w:t>Theme four examines the significance of ESG reporting, disclosure quality, and transparency in attracting foreign investment. Codes identified under this theme include ESG disclosure, reporting, comparability, transparency, information quality and information asymmetry. The results show that investors need credible, comparable ESG data to make decisions about organisational sustainability, climate change risks, and governance quality. Thus, high-quality disclosures act as a means for communicating ESG performance among renewable energy organisations.</w:t>
      </w:r>
    </w:p>
    <w:p w14:paraId="623D6C32" w14:textId="77777777" w:rsidR="00464F92" w:rsidRDefault="002831B2">
      <w:r>
        <w:rPr>
          <w:noProof/>
        </w:rPr>
        <w:lastRenderedPageBreak/>
        <w:drawing>
          <wp:inline distT="114300" distB="114300" distL="114300" distR="114300" wp14:anchorId="5D1E73FD" wp14:editId="74549F80">
            <wp:extent cx="5731200" cy="33274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5731200" cy="3327400"/>
                    </a:xfrm>
                    <a:prstGeom prst="rect">
                      <a:avLst/>
                    </a:prstGeom>
                    <a:ln/>
                  </pic:spPr>
                </pic:pic>
              </a:graphicData>
            </a:graphic>
          </wp:inline>
        </w:drawing>
      </w:r>
    </w:p>
    <w:p w14:paraId="696CAEFA" w14:textId="77777777" w:rsidR="00464F92" w:rsidRDefault="002831B2">
      <w:pPr>
        <w:pStyle w:val="Heading5"/>
      </w:pPr>
      <w:bookmarkStart w:id="62" w:name="_rbn0r7cmm0ji" w:colFirst="0" w:colLast="0"/>
      <w:bookmarkEnd w:id="62"/>
      <w:r>
        <w:t>Figure 4.4: Synthesis of Theme 4 and outcome</w:t>
      </w:r>
    </w:p>
    <w:p w14:paraId="09818D7B" w14:textId="77777777" w:rsidR="00464F92" w:rsidRDefault="002831B2">
      <w:pPr>
        <w:jc w:val="center"/>
      </w:pPr>
      <w:r>
        <w:t>(Self-created)</w:t>
      </w:r>
    </w:p>
    <w:p w14:paraId="4A1D674C" w14:textId="77777777" w:rsidR="00464F92" w:rsidRPr="00EF7477" w:rsidRDefault="002831B2">
      <w:pPr>
        <w:pStyle w:val="Heading3"/>
        <w:rPr>
          <w:b w:val="0"/>
          <w:bCs w:val="0"/>
          <w:i w:val="0"/>
          <w:iCs w:val="0"/>
          <w:color w:val="000000"/>
          <w:sz w:val="28"/>
          <w:szCs w:val="28"/>
        </w:rPr>
      </w:pPr>
      <w:bookmarkStart w:id="63" w:name="_Toc240715273"/>
      <w:r w:rsidRPr="00EF7477">
        <w:rPr>
          <w:i w:val="0"/>
          <w:iCs w:val="0"/>
          <w:color w:val="000000"/>
          <w:sz w:val="28"/>
          <w:szCs w:val="28"/>
        </w:rPr>
        <w:t>4.6.1 ESG Disclosure and Investor Confidence</w:t>
      </w:r>
      <w:bookmarkEnd w:id="63"/>
    </w:p>
    <w:p w14:paraId="6510B09D" w14:textId="2E926E8C" w:rsidR="00464F92" w:rsidRDefault="002831B2">
      <w:r>
        <w:t xml:space="preserve">The evidence suggests that standardised ESG reporting practices can improve transparency and increase investor confidence. Sundarasen, Zyznarska-Dworczak and Mahmood (2026) have linked standardised reporting to greater consistency in reporting performance on the environment, social responsibility, and corporate governance. According to the literature discussed above, GRI provides overall sustainability reporting guidance, while SASB emphasises industry-specific information for investors. TCFD advocates reporting on climate-related risks and corporate governance practices, while ISSB calls for greater harmonisation of reporting across markets (Tumewang, 2025). Further, the results indicate that disclosure quality affects investment decision-making by minimising information asymmetry. Duan </w:t>
      </w:r>
      <w:r>
        <w:rPr>
          <w:i/>
          <w:iCs/>
        </w:rPr>
        <w:t>et al.</w:t>
      </w:r>
      <w:r>
        <w:t xml:space="preserve"> (2025) found that high-level, clear sustainability disclosure enables investors to evaluate organisational performance, climate-related risks, and investment opportunities more easily. Quality sustainability disclosure </w:t>
      </w:r>
      <w:r w:rsidR="00F406DD">
        <w:t>not</w:t>
      </w:r>
      <w:r>
        <w:t xml:space="preserve"> only </w:t>
      </w:r>
      <w:r w:rsidR="00F406DD">
        <w:t>shows</w:t>
      </w:r>
      <w:r>
        <w:t xml:space="preserve"> compliance with regulations and sustainability outcomes but also </w:t>
      </w:r>
      <w:r w:rsidR="00F406DD">
        <w:t>illustrates</w:t>
      </w:r>
      <w:r>
        <w:t xml:space="preserve"> risk management procedures. On the other hand, low disclosure may increase uncertainty and perceived investment risk.</w:t>
      </w:r>
    </w:p>
    <w:p w14:paraId="4C54675A" w14:textId="583D6978" w:rsidR="00464F92" w:rsidRDefault="002831B2">
      <w:r>
        <w:t xml:space="preserve">The aspect of information asymmetry cannot be disregarded since foreign investors might have inadequate direct understanding </w:t>
      </w:r>
      <w:r w:rsidR="00861C52">
        <w:t>of</w:t>
      </w:r>
      <w:r>
        <w:t xml:space="preserve"> UK renewable-energy companies and hence rely on their </w:t>
      </w:r>
      <w:r>
        <w:lastRenderedPageBreak/>
        <w:t xml:space="preserve">reported ESG data to evaluate possible investment opportunities. Comparability becomes relevant in situations where there is an inconsistency in the indicators, boundaries or reporting assumptions that different firms use in reporting their ESG data, making comparison challenging (Paola, Zorio-Grima and Merello, 2025). This signifies that not only the amount of information reported matters, but also the consistency, specificity and relevance of such reports </w:t>
      </w:r>
      <w:r w:rsidR="00861C52">
        <w:t>concerning</w:t>
      </w:r>
      <w:r>
        <w:t xml:space="preserve"> the financially material risks. The disclosure of climate risk is helpful to investors in evaluating the impact of the physical and transition risks on their future business operations and asset valuations. Such information would enable investors to easily identify those firms with substantive ESG capabilities from those with purely symbolic ESG reports.</w:t>
      </w:r>
    </w:p>
    <w:p w14:paraId="0F561974" w14:textId="77777777" w:rsidR="00F52FCE" w:rsidRDefault="00F52FCE"/>
    <w:p w14:paraId="5D0DCC3F" w14:textId="77777777" w:rsidR="00464F92" w:rsidRPr="00EF7477" w:rsidRDefault="002831B2">
      <w:pPr>
        <w:rPr>
          <w:b/>
          <w:bCs/>
          <w:sz w:val="28"/>
          <w:szCs w:val="28"/>
        </w:rPr>
      </w:pPr>
      <w:bookmarkStart w:id="64" w:name="_yyezatsv2u6x" w:colFirst="0" w:colLast="0"/>
      <w:bookmarkEnd w:id="64"/>
      <w:r w:rsidRPr="00EF7477">
        <w:rPr>
          <w:b/>
          <w:bCs/>
          <w:sz w:val="28"/>
          <w:szCs w:val="28"/>
        </w:rPr>
        <w:t xml:space="preserve"> Table 4.5: Evidence Relating ESG Reporting to Investment Transparency</w:t>
      </w:r>
    </w:p>
    <w:p w14:paraId="2F47352C" w14:textId="77777777" w:rsidR="00F52FCE" w:rsidRDefault="00F52FCE">
      <w:pPr>
        <w:rPr>
          <w:b/>
          <w:bCs/>
        </w:rPr>
      </w:pPr>
    </w:p>
    <w:tbl>
      <w:tblPr>
        <w:tblStyle w:val="a4"/>
        <w:tblW w:w="9634"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38"/>
        <w:gridCol w:w="2552"/>
        <w:gridCol w:w="2835"/>
        <w:gridCol w:w="2409"/>
      </w:tblGrid>
      <w:tr w:rsidR="00464F92" w14:paraId="62761C75" w14:textId="77777777">
        <w:trPr>
          <w:trHeight w:val="770"/>
        </w:trPr>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6183F2" w14:textId="77777777" w:rsidR="00464F92" w:rsidRDefault="002831B2">
            <w:pPr>
              <w:spacing w:line="240" w:lineRule="auto"/>
              <w:jc w:val="center"/>
              <w:rPr>
                <w:b/>
                <w:bCs/>
              </w:rPr>
            </w:pPr>
            <w:r>
              <w:rPr>
                <w:b/>
                <w:bCs/>
              </w:rPr>
              <w:t>ESG reporting factor</w:t>
            </w:r>
          </w:p>
        </w:tc>
        <w:tc>
          <w:tcPr>
            <w:tcW w:w="25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0FCCCE" w14:textId="77777777" w:rsidR="00464F92" w:rsidRDefault="002831B2">
            <w:pPr>
              <w:spacing w:line="240" w:lineRule="auto"/>
              <w:jc w:val="center"/>
              <w:rPr>
                <w:b/>
                <w:bCs/>
              </w:rPr>
            </w:pPr>
            <w:r>
              <w:rPr>
                <w:b/>
                <w:bCs/>
              </w:rPr>
              <w:t>Positive influence</w:t>
            </w:r>
          </w:p>
        </w:tc>
        <w:tc>
          <w:tcPr>
            <w:tcW w:w="2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30D846" w14:textId="77777777" w:rsidR="00464F92" w:rsidRDefault="002831B2">
            <w:pPr>
              <w:spacing w:line="240" w:lineRule="auto"/>
              <w:jc w:val="center"/>
              <w:rPr>
                <w:b/>
                <w:bCs/>
              </w:rPr>
            </w:pPr>
            <w:r>
              <w:rPr>
                <w:b/>
                <w:bCs/>
              </w:rPr>
              <w:t>Negative implication when weak</w:t>
            </w:r>
          </w:p>
        </w:tc>
        <w:tc>
          <w:tcPr>
            <w:tcW w:w="2409" w:type="dxa"/>
            <w:tcBorders>
              <w:top w:val="single" w:sz="4" w:space="0" w:color="000000"/>
              <w:left w:val="single" w:sz="4" w:space="0" w:color="000000"/>
              <w:bottom w:val="single" w:sz="4" w:space="0" w:color="000000"/>
              <w:right w:val="single" w:sz="4" w:space="0" w:color="000000"/>
            </w:tcBorders>
          </w:tcPr>
          <w:p w14:paraId="22E5BC50" w14:textId="77777777" w:rsidR="00464F92" w:rsidRDefault="002831B2">
            <w:pPr>
              <w:spacing w:line="240" w:lineRule="auto"/>
              <w:jc w:val="center"/>
              <w:rPr>
                <w:b/>
                <w:bCs/>
              </w:rPr>
            </w:pPr>
            <w:r>
              <w:rPr>
                <w:b/>
                <w:bCs/>
              </w:rPr>
              <w:t>Relevant sources from literature</w:t>
            </w:r>
          </w:p>
        </w:tc>
      </w:tr>
      <w:tr w:rsidR="00464F92" w14:paraId="54036EE8" w14:textId="77777777">
        <w:trPr>
          <w:trHeight w:val="770"/>
        </w:trPr>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2E94B6" w14:textId="77777777" w:rsidR="00464F92" w:rsidRDefault="002831B2">
            <w:pPr>
              <w:spacing w:line="240" w:lineRule="auto"/>
            </w:pPr>
            <w:r>
              <w:t>Standardised reporting</w:t>
            </w:r>
          </w:p>
        </w:tc>
        <w:tc>
          <w:tcPr>
            <w:tcW w:w="25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0BECA5" w14:textId="77777777" w:rsidR="00464F92" w:rsidRDefault="002831B2">
            <w:pPr>
              <w:spacing w:line="240" w:lineRule="auto"/>
            </w:pPr>
            <w:r>
              <w:t>Improves comparability</w:t>
            </w:r>
          </w:p>
        </w:tc>
        <w:tc>
          <w:tcPr>
            <w:tcW w:w="2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8270AD" w14:textId="77777777" w:rsidR="00464F92" w:rsidRDefault="002831B2">
            <w:pPr>
              <w:spacing w:line="240" w:lineRule="auto"/>
            </w:pPr>
            <w:r>
              <w:t>Difficult to compare organisations</w:t>
            </w:r>
          </w:p>
        </w:tc>
        <w:tc>
          <w:tcPr>
            <w:tcW w:w="2409" w:type="dxa"/>
            <w:tcBorders>
              <w:top w:val="single" w:sz="4" w:space="0" w:color="000000"/>
              <w:left w:val="single" w:sz="4" w:space="0" w:color="000000"/>
              <w:bottom w:val="single" w:sz="4" w:space="0" w:color="000000"/>
              <w:right w:val="single" w:sz="4" w:space="0" w:color="000000"/>
            </w:tcBorders>
          </w:tcPr>
          <w:p w14:paraId="4929648E" w14:textId="77777777" w:rsidR="00464F92" w:rsidRDefault="002831B2">
            <w:pPr>
              <w:spacing w:line="240" w:lineRule="auto"/>
            </w:pPr>
            <w:r>
              <w:t>Khatri and Kjærland (2023); Sundarasen, Zyznarska-Dworczak and Mahmood (2026)</w:t>
            </w:r>
          </w:p>
        </w:tc>
      </w:tr>
      <w:tr w:rsidR="00464F92" w14:paraId="1120FA0F" w14:textId="77777777">
        <w:trPr>
          <w:trHeight w:val="770"/>
        </w:trPr>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C29386" w14:textId="77777777" w:rsidR="00464F92" w:rsidRDefault="002831B2">
            <w:pPr>
              <w:spacing w:line="240" w:lineRule="auto"/>
            </w:pPr>
            <w:r>
              <w:t>ESG disclosure quality</w:t>
            </w:r>
          </w:p>
        </w:tc>
        <w:tc>
          <w:tcPr>
            <w:tcW w:w="25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A23BF8" w14:textId="77777777" w:rsidR="00464F92" w:rsidRDefault="002831B2">
            <w:pPr>
              <w:spacing w:line="240" w:lineRule="auto"/>
            </w:pPr>
            <w:r>
              <w:t>Reduces information asymmetry</w:t>
            </w:r>
          </w:p>
        </w:tc>
        <w:tc>
          <w:tcPr>
            <w:tcW w:w="2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E36D16" w14:textId="77777777" w:rsidR="00464F92" w:rsidRDefault="002831B2">
            <w:pPr>
              <w:spacing w:line="240" w:lineRule="auto"/>
            </w:pPr>
            <w:r>
              <w:t>Creates uncertainty</w:t>
            </w:r>
          </w:p>
        </w:tc>
        <w:tc>
          <w:tcPr>
            <w:tcW w:w="2409" w:type="dxa"/>
            <w:tcBorders>
              <w:top w:val="single" w:sz="4" w:space="0" w:color="000000"/>
              <w:left w:val="single" w:sz="4" w:space="0" w:color="000000"/>
              <w:bottom w:val="single" w:sz="4" w:space="0" w:color="000000"/>
              <w:right w:val="single" w:sz="4" w:space="0" w:color="000000"/>
            </w:tcBorders>
          </w:tcPr>
          <w:p w14:paraId="76DCD695" w14:textId="77777777" w:rsidR="00464F92" w:rsidRDefault="002831B2">
            <w:pPr>
              <w:spacing w:line="240" w:lineRule="auto"/>
            </w:pPr>
            <w:r>
              <w:t xml:space="preserve">Misiuda and Lachmann (2022); Duan </w:t>
            </w:r>
            <w:r>
              <w:rPr>
                <w:i/>
                <w:iCs/>
              </w:rPr>
              <w:t>et al</w:t>
            </w:r>
            <w:r>
              <w:t>. (2025)</w:t>
            </w:r>
          </w:p>
        </w:tc>
      </w:tr>
      <w:tr w:rsidR="00464F92" w14:paraId="726D633F" w14:textId="77777777">
        <w:trPr>
          <w:trHeight w:val="770"/>
        </w:trPr>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25C287" w14:textId="77777777" w:rsidR="00464F92" w:rsidRDefault="002831B2">
            <w:pPr>
              <w:spacing w:line="240" w:lineRule="auto"/>
            </w:pPr>
            <w:r>
              <w:t>Climate-risk disclosure</w:t>
            </w:r>
          </w:p>
        </w:tc>
        <w:tc>
          <w:tcPr>
            <w:tcW w:w="25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A48DE8" w14:textId="77777777" w:rsidR="00464F92" w:rsidRDefault="002831B2">
            <w:pPr>
              <w:spacing w:line="240" w:lineRule="auto"/>
            </w:pPr>
            <w:r>
              <w:t>Improves risk assessment</w:t>
            </w:r>
          </w:p>
        </w:tc>
        <w:tc>
          <w:tcPr>
            <w:tcW w:w="2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E4E774" w14:textId="77777777" w:rsidR="00464F92" w:rsidRDefault="002831B2">
            <w:pPr>
              <w:spacing w:line="240" w:lineRule="auto"/>
            </w:pPr>
            <w:r>
              <w:t>Obscures exposure to climate risks</w:t>
            </w:r>
          </w:p>
        </w:tc>
        <w:tc>
          <w:tcPr>
            <w:tcW w:w="2409" w:type="dxa"/>
            <w:tcBorders>
              <w:top w:val="single" w:sz="4" w:space="0" w:color="000000"/>
              <w:left w:val="single" w:sz="4" w:space="0" w:color="000000"/>
              <w:bottom w:val="single" w:sz="4" w:space="0" w:color="000000"/>
              <w:right w:val="single" w:sz="4" w:space="0" w:color="000000"/>
            </w:tcBorders>
          </w:tcPr>
          <w:p w14:paraId="779035D0" w14:textId="77777777" w:rsidR="00464F92" w:rsidRDefault="002831B2">
            <w:pPr>
              <w:spacing w:line="240" w:lineRule="auto"/>
            </w:pPr>
            <w:r w:rsidRPr="000830A5">
              <w:rPr>
                <w:lang w:val="nl-NL"/>
              </w:rPr>
              <w:t xml:space="preserve">Gebhardt </w:t>
            </w:r>
            <w:r w:rsidRPr="000830A5">
              <w:rPr>
                <w:i/>
                <w:iCs/>
                <w:lang w:val="nl-NL"/>
              </w:rPr>
              <w:t>et al</w:t>
            </w:r>
            <w:r w:rsidRPr="000830A5">
              <w:rPr>
                <w:lang w:val="nl-NL"/>
              </w:rPr>
              <w:t xml:space="preserve">. (2024); Duan </w:t>
            </w:r>
            <w:r w:rsidRPr="000830A5">
              <w:rPr>
                <w:i/>
                <w:iCs/>
                <w:lang w:val="nl-NL"/>
              </w:rPr>
              <w:t>et al</w:t>
            </w:r>
            <w:r w:rsidRPr="000830A5">
              <w:rPr>
                <w:lang w:val="nl-NL"/>
              </w:rPr>
              <w:t xml:space="preserve">. </w:t>
            </w:r>
            <w:r>
              <w:t>(2025)</w:t>
            </w:r>
          </w:p>
        </w:tc>
      </w:tr>
      <w:tr w:rsidR="00464F92" w14:paraId="7252B58A" w14:textId="77777777">
        <w:trPr>
          <w:trHeight w:val="770"/>
        </w:trPr>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855D4C" w14:textId="77777777" w:rsidR="00464F92" w:rsidRDefault="002831B2">
            <w:pPr>
              <w:spacing w:line="240" w:lineRule="auto"/>
            </w:pPr>
            <w:r>
              <w:t>Transparent sustainability reporting</w:t>
            </w:r>
          </w:p>
        </w:tc>
        <w:tc>
          <w:tcPr>
            <w:tcW w:w="25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591EBA" w14:textId="77777777" w:rsidR="00464F92" w:rsidRDefault="002831B2">
            <w:pPr>
              <w:spacing w:line="240" w:lineRule="auto"/>
            </w:pPr>
            <w:r>
              <w:t>Strengthens credibility and trust</w:t>
            </w:r>
          </w:p>
        </w:tc>
        <w:tc>
          <w:tcPr>
            <w:tcW w:w="2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FC918C" w14:textId="77777777" w:rsidR="00464F92" w:rsidRDefault="002831B2">
            <w:pPr>
              <w:spacing w:line="240" w:lineRule="auto"/>
            </w:pPr>
            <w:r>
              <w:t>Can reduce investor confidence</w:t>
            </w:r>
          </w:p>
        </w:tc>
        <w:tc>
          <w:tcPr>
            <w:tcW w:w="2409" w:type="dxa"/>
            <w:tcBorders>
              <w:top w:val="single" w:sz="4" w:space="0" w:color="000000"/>
              <w:left w:val="single" w:sz="4" w:space="0" w:color="000000"/>
              <w:bottom w:val="single" w:sz="4" w:space="0" w:color="000000"/>
              <w:right w:val="single" w:sz="4" w:space="0" w:color="000000"/>
            </w:tcBorders>
          </w:tcPr>
          <w:p w14:paraId="116888BF" w14:textId="77777777" w:rsidR="00464F92" w:rsidRDefault="002831B2">
            <w:pPr>
              <w:spacing w:line="240" w:lineRule="auto"/>
            </w:pPr>
            <w:r>
              <w:t>Chan and Hazan (2022); Misiuda and Lachmann (2022)</w:t>
            </w:r>
          </w:p>
        </w:tc>
      </w:tr>
      <w:tr w:rsidR="00464F92" w14:paraId="03530174" w14:textId="77777777">
        <w:trPr>
          <w:trHeight w:val="770"/>
        </w:trPr>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0B6B23" w14:textId="77777777" w:rsidR="00464F92" w:rsidRDefault="002831B2">
            <w:pPr>
              <w:spacing w:line="240" w:lineRule="auto"/>
            </w:pPr>
            <w:r>
              <w:t>International reporting frameworks</w:t>
            </w:r>
          </w:p>
        </w:tc>
        <w:tc>
          <w:tcPr>
            <w:tcW w:w="255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1A0F3B" w14:textId="77777777" w:rsidR="00464F92" w:rsidRDefault="002831B2">
            <w:pPr>
              <w:spacing w:line="240" w:lineRule="auto"/>
            </w:pPr>
            <w:r>
              <w:t>Supports consistency and decision-usefulness</w:t>
            </w:r>
          </w:p>
        </w:tc>
        <w:tc>
          <w:tcPr>
            <w:tcW w:w="2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C72B64" w14:textId="77777777" w:rsidR="00464F92" w:rsidRDefault="002831B2">
            <w:pPr>
              <w:spacing w:line="240" w:lineRule="auto"/>
            </w:pPr>
            <w:r>
              <w:t>Fragmented reporting may increase perceived risk</w:t>
            </w:r>
          </w:p>
        </w:tc>
        <w:tc>
          <w:tcPr>
            <w:tcW w:w="2409" w:type="dxa"/>
            <w:tcBorders>
              <w:top w:val="single" w:sz="4" w:space="0" w:color="000000"/>
              <w:left w:val="single" w:sz="4" w:space="0" w:color="000000"/>
              <w:bottom w:val="single" w:sz="4" w:space="0" w:color="000000"/>
              <w:right w:val="single" w:sz="4" w:space="0" w:color="000000"/>
            </w:tcBorders>
          </w:tcPr>
          <w:p w14:paraId="58D876D0" w14:textId="77777777" w:rsidR="00464F92" w:rsidRDefault="002831B2">
            <w:pPr>
              <w:spacing w:line="240" w:lineRule="auto"/>
            </w:pPr>
            <w:r w:rsidRPr="000830A5">
              <w:rPr>
                <w:lang w:val="nl-NL"/>
              </w:rPr>
              <w:t xml:space="preserve">Khatri and Kjærland (2023); Tumewang (2025); Luo </w:t>
            </w:r>
            <w:r w:rsidRPr="000830A5">
              <w:rPr>
                <w:i/>
                <w:iCs/>
                <w:lang w:val="nl-NL"/>
              </w:rPr>
              <w:t>et al</w:t>
            </w:r>
            <w:r w:rsidRPr="000830A5">
              <w:rPr>
                <w:lang w:val="nl-NL"/>
              </w:rPr>
              <w:t xml:space="preserve">. </w:t>
            </w:r>
            <w:r>
              <w:t>(2022)</w:t>
            </w:r>
          </w:p>
        </w:tc>
      </w:tr>
    </w:tbl>
    <w:p w14:paraId="226B643B" w14:textId="77777777" w:rsidR="00464F92" w:rsidRDefault="002831B2">
      <w:pPr>
        <w:spacing w:before="240" w:after="240"/>
        <w:jc w:val="center"/>
      </w:pPr>
      <w:bookmarkStart w:id="65" w:name="_8y8doz8an16m" w:colFirst="0" w:colLast="0"/>
      <w:bookmarkEnd w:id="65"/>
      <w:r>
        <w:t>(Self-created)</w:t>
      </w:r>
    </w:p>
    <w:p w14:paraId="31EA1EE5" w14:textId="77777777" w:rsidR="00D93908" w:rsidRDefault="00D93908">
      <w:pPr>
        <w:spacing w:before="240" w:after="240"/>
        <w:jc w:val="center"/>
      </w:pPr>
    </w:p>
    <w:p w14:paraId="0CF101E8" w14:textId="77777777" w:rsidR="00464F92" w:rsidRPr="00EF7477" w:rsidRDefault="002831B2">
      <w:pPr>
        <w:pStyle w:val="Heading3"/>
        <w:rPr>
          <w:i w:val="0"/>
          <w:iCs w:val="0"/>
          <w:color w:val="000000"/>
          <w:sz w:val="28"/>
          <w:szCs w:val="28"/>
        </w:rPr>
      </w:pPr>
      <w:bookmarkStart w:id="66" w:name="_Toc240715274"/>
      <w:r w:rsidRPr="00EF7477">
        <w:rPr>
          <w:i w:val="0"/>
          <w:iCs w:val="0"/>
          <w:color w:val="000000"/>
          <w:sz w:val="28"/>
          <w:szCs w:val="28"/>
        </w:rPr>
        <w:lastRenderedPageBreak/>
        <w:t>4.6.2 Critical Analysis of Findings and Relation to Literature</w:t>
      </w:r>
      <w:bookmarkEnd w:id="66"/>
    </w:p>
    <w:p w14:paraId="14E2DCED" w14:textId="6A4FB5AA" w:rsidR="00464F92" w:rsidRDefault="002831B2">
      <w:r>
        <w:t xml:space="preserve">These results clearly demonstrate the positive association revealed in the literature between transparent ESG reporting and foreign investment attraction. As Chan and Hazan (2022) discuss, strong sustainability reporting helps reduce information asymmetry, while Khatri and Kjærland (2023) highlight the role of GRI, ISSB, and TCFD in improving reporting consistency and comparability. </w:t>
      </w:r>
      <w:r w:rsidR="00861C52">
        <w:t>However</w:t>
      </w:r>
      <w:r>
        <w:t xml:space="preserve">, negative aspects are also reflected </w:t>
      </w:r>
      <w:r w:rsidR="00861C52">
        <w:t>in</w:t>
      </w:r>
      <w:r>
        <w:t xml:space="preserve"> the literature</w:t>
      </w:r>
      <w:r w:rsidR="00861C52">
        <w:t>,</w:t>
      </w:r>
      <w:r>
        <w:t xml:space="preserve"> including low reporting quality, disclosure fragmentation, inconsistent measurement and less organisational expertise that increase uncertainty and reduce stakeholder interest. Moreover, implementation costs can be a problem for small renewable energy organisations.</w:t>
      </w:r>
    </w:p>
    <w:p w14:paraId="5E423A0D" w14:textId="77777777" w:rsidR="00464F92" w:rsidRDefault="002831B2">
      <w:r>
        <w:t xml:space="preserve">Furthermore, the literature brings attention to major weaknesses in ESG reporting that might limit its usefulness for foreign investors. According to Misiuda and Lachmann (2022), fragmented sustainability reporting may result in challenges for the interpretation of disclosures by investors, especially when companies focus on various indicators. Likewise, Jonsdottir </w:t>
      </w:r>
      <w:r>
        <w:rPr>
          <w:i/>
          <w:iCs/>
        </w:rPr>
        <w:t>et al</w:t>
      </w:r>
      <w:r>
        <w:t xml:space="preserve">. (2022) point out problems related to acquiring reliable and useful ESG data, since inconsistent metrics may limit comparability among renewable energy companies. Additionally, Cruz and Matos (2023) relate issues in ESG-data acquisition to uncertainty related to investment evaluation, and Sundarasen </w:t>
      </w:r>
      <w:r>
        <w:rPr>
          <w:i/>
          <w:iCs/>
        </w:rPr>
        <w:t>et al</w:t>
      </w:r>
      <w:r>
        <w:t>. (2026) draw attention to organisational and regulatory aspects of reporting. Moreover, comprehensive reporting requires expenditures and is costly for smaller firms. Therefore, it is inappropriate to identify voluminous disclosure with credibility; without consistent metrics, assurance, and proper methodology, excessive ESG reporting may increase rather than decrease information load for investors.</w:t>
      </w:r>
    </w:p>
    <w:p w14:paraId="2DB9E947" w14:textId="77777777" w:rsidR="00464F92" w:rsidRDefault="002831B2">
      <w:r>
        <w:t>This can be understood from the perspective of Stakeholder Theory and Institutional Theory. According to Stakeholder Theory, transparency creates accountability and trust-based relationships between the firm and investors or other stakeholders, as discussed by George (2024). According to Institutional Theory, Jonge (2024) argues that ESG reporting is increasing due to regulatory, normative, and competitive pressures, meaning international standards have become increasingly significant for organisational legitimacy. Consequently, ESG reporting is not just about reporting; it is a way to bridge the information gap, legitimise, and build trust among foreign investors in the UK's renewable energy companies.</w:t>
      </w:r>
    </w:p>
    <w:p w14:paraId="5037197D" w14:textId="77777777" w:rsidR="00464F92" w:rsidRDefault="002831B2">
      <w:pPr>
        <w:pStyle w:val="Heading2"/>
      </w:pPr>
      <w:bookmarkStart w:id="67" w:name="_Toc240715275"/>
      <w:r>
        <w:t>4.7 Theme 5: Integrated ESG Performance and Foreign Investment Decisions</w:t>
      </w:r>
      <w:bookmarkEnd w:id="67"/>
    </w:p>
    <w:p w14:paraId="6CD9C24C" w14:textId="77777777" w:rsidR="00464F92" w:rsidRDefault="002831B2">
      <w:r>
        <w:t xml:space="preserve">Theme five highlights the joint influence of environmental, social, and governance practices on foreign investment decisions. The results show that investors are unlikely to consider ESG </w:t>
      </w:r>
      <w:r>
        <w:lastRenderedPageBreak/>
        <w:t xml:space="preserve">independently. Rather, Christine </w:t>
      </w:r>
      <w:r>
        <w:rPr>
          <w:i/>
          <w:iCs/>
        </w:rPr>
        <w:t>et al.</w:t>
      </w:r>
      <w:r>
        <w:t xml:space="preserve"> (2025) found that an organisation's ESG reputation depends on environmental, social, and governance practices complementing each other. The theoretical model developed in Chapter 2 also shows that ESG practices- the environment, society and governance are interrelated elements that have an impact on foreign investment decisions.</w:t>
      </w:r>
    </w:p>
    <w:p w14:paraId="78FFE168" w14:textId="5B8B1D13" w:rsidR="00464F92" w:rsidRDefault="002831B2">
      <w:r>
        <w:t xml:space="preserve">In this regard, the synthesis of existing research shows that ESG is an interrelated investment signal rather than a set of distinct organisational practices. In terms of the research contribution, this implies that the ability of organisations to attract foreign </w:t>
      </w:r>
      <w:r w:rsidR="00F52FCE">
        <w:t>investment</w:t>
      </w:r>
      <w:r>
        <w:t xml:space="preserve"> depends on the credibility and consistency of ESG performance in relation to all its components rather than on their particular strength (Kim, 2025). This aspect is especially important for </w:t>
      </w:r>
      <w:r w:rsidR="00861C52">
        <w:t xml:space="preserve">the </w:t>
      </w:r>
      <w:r>
        <w:t>UK renewable energy sector because investors should be able not only to estimate the sustainable development potential of a project but also its organisational capabilities in terms of management of uncertainties associated with regulatory, operational and reputational factors. At the same time, based on the findings, it can be assumed that disclosure serves as a channel via which the organisation can make its ESG performance investable because consistent practices without proper information might be considered less credible compared to the same level of performance with the help of credible information.</w:t>
      </w:r>
    </w:p>
    <w:p w14:paraId="0B77401B" w14:textId="77777777" w:rsidR="00464F92" w:rsidRDefault="002831B2">
      <w:pPr>
        <w:jc w:val="center"/>
      </w:pPr>
      <w:r>
        <w:rPr>
          <w:noProof/>
        </w:rPr>
        <w:drawing>
          <wp:inline distT="114300" distB="114300" distL="114300" distR="114300" wp14:anchorId="6D77F599" wp14:editId="2E15D16A">
            <wp:extent cx="5731200" cy="354330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5731200" cy="3543300"/>
                    </a:xfrm>
                    <a:prstGeom prst="rect">
                      <a:avLst/>
                    </a:prstGeom>
                    <a:ln/>
                  </pic:spPr>
                </pic:pic>
              </a:graphicData>
            </a:graphic>
          </wp:inline>
        </w:drawing>
      </w:r>
    </w:p>
    <w:p w14:paraId="78E2FFE1" w14:textId="77777777" w:rsidR="00464F92" w:rsidRDefault="002831B2">
      <w:pPr>
        <w:pStyle w:val="Heading5"/>
      </w:pPr>
      <w:bookmarkStart w:id="68" w:name="_6li6awjc6y7c" w:colFirst="0" w:colLast="0"/>
      <w:bookmarkEnd w:id="68"/>
      <w:r>
        <w:t>Figure 4.5: Synthesis of theme 5</w:t>
      </w:r>
    </w:p>
    <w:p w14:paraId="377F6428" w14:textId="77777777" w:rsidR="00464F92" w:rsidRDefault="002831B2">
      <w:pPr>
        <w:jc w:val="center"/>
      </w:pPr>
      <w:r>
        <w:t>(Self-created)</w:t>
      </w:r>
    </w:p>
    <w:p w14:paraId="2D323151" w14:textId="77777777" w:rsidR="00464F92" w:rsidRPr="002A0DFF" w:rsidRDefault="002831B2">
      <w:pPr>
        <w:pStyle w:val="Heading3"/>
        <w:rPr>
          <w:b w:val="0"/>
          <w:bCs w:val="0"/>
          <w:color w:val="000000"/>
          <w:sz w:val="28"/>
          <w:szCs w:val="28"/>
        </w:rPr>
      </w:pPr>
      <w:bookmarkStart w:id="69" w:name="_Toc240715276"/>
      <w:r w:rsidRPr="002A0DFF">
        <w:rPr>
          <w:i w:val="0"/>
          <w:iCs w:val="0"/>
          <w:color w:val="000000"/>
          <w:sz w:val="28"/>
          <w:szCs w:val="28"/>
        </w:rPr>
        <w:lastRenderedPageBreak/>
        <w:t>4.7.1</w:t>
      </w:r>
      <w:r w:rsidRPr="002A0DFF">
        <w:rPr>
          <w:color w:val="000000"/>
          <w:sz w:val="28"/>
          <w:szCs w:val="28"/>
        </w:rPr>
        <w:t xml:space="preserve"> </w:t>
      </w:r>
      <w:r w:rsidRPr="002A0DFF">
        <w:rPr>
          <w:i w:val="0"/>
          <w:iCs w:val="0"/>
          <w:color w:val="000000"/>
          <w:sz w:val="28"/>
          <w:szCs w:val="28"/>
        </w:rPr>
        <w:t>Integrated ESG Performance and Investor Confidence</w:t>
      </w:r>
      <w:bookmarkEnd w:id="69"/>
    </w:p>
    <w:p w14:paraId="799AC1A5" w14:textId="557D3899" w:rsidR="00464F92" w:rsidRDefault="002831B2">
      <w:r>
        <w:t>Strong performance on several ESG aspects can give foreign investors a much better idea of organisational performance and sustainability. Strong ESG systems are related to low investment risk</w:t>
      </w:r>
      <w:r w:rsidR="00861C52">
        <w:t>,</w:t>
      </w:r>
      <w:r>
        <w:t xml:space="preserve"> in the opinion of Gazzola, Amelio and Vota (2026), whereas ESG can help to build investor trust due to the commitment to sustainable development and responsibility for climate</w:t>
      </w:r>
      <w:r w:rsidR="00861C52">
        <w:t>,</w:t>
      </w:r>
      <w:r>
        <w:t xml:space="preserve"> in the opinion of Foley </w:t>
      </w:r>
      <w:r>
        <w:rPr>
          <w:i/>
          <w:iCs/>
        </w:rPr>
        <w:t>et al</w:t>
      </w:r>
      <w:r>
        <w:t>. (2024). Environmental performance can signal readiness to face the challenges associated with climate change. The social aspect can build relationships with stakeholders and ensure operational stability. Lastly, governance can guarantee transparency and accountability. ESG reporting and disclosure can be an important tool for linking the three aspects of ESG performance. Reporting on environmental, social, and governance aspects under the GRI, SASB, TCFD, and ISSB frameworks can increase comparability and allow evaluation of organisations' performance across the three aspects. On the other hand, inadequate disclosure can increase investment risk.</w:t>
      </w:r>
    </w:p>
    <w:p w14:paraId="4103D33F" w14:textId="05ED0E42" w:rsidR="00464F92" w:rsidRDefault="002831B2">
      <w:r>
        <w:t xml:space="preserve">The interconnectedness of ESG becomes crucial in relation to renewable energy since the investment decision is influenced by the interplay between the results achieved through sustainability, the credibility of the </w:t>
      </w:r>
      <w:r w:rsidR="00861C52">
        <w:t>organisation,</w:t>
      </w:r>
      <w:r>
        <w:t xml:space="preserve"> and financial considerations for the future. </w:t>
      </w:r>
      <w:r w:rsidR="00861C52">
        <w:t>Good</w:t>
      </w:r>
      <w:r>
        <w:t xml:space="preserve"> performance in environmental matters could be appealing</w:t>
      </w:r>
      <w:r w:rsidR="00861C52">
        <w:t>,</w:t>
      </w:r>
      <w:r>
        <w:t xml:space="preserve"> but any failures in </w:t>
      </w:r>
      <w:r w:rsidR="00861C52">
        <w:t>labour</w:t>
      </w:r>
      <w:r>
        <w:t xml:space="preserve"> practices</w:t>
      </w:r>
      <w:r w:rsidR="00861C52">
        <w:t xml:space="preserve"> or</w:t>
      </w:r>
      <w:r>
        <w:t xml:space="preserve"> governance could compromise the entire investment proposal (Kaka, Mahabir and Modley, 2025). On the other hand, the credibility of governance may enhance the likelihood of achieving the environmental targets as well as handling the social risks appropriately. This implies that ESG is evaluated by investors as a single system and not as separate criteria. In their study on the incorporation of sustainability into the investment process, as confirmed by Mohanty </w:t>
      </w:r>
      <w:r>
        <w:rPr>
          <w:i/>
          <w:iCs/>
        </w:rPr>
        <w:t>et al.</w:t>
      </w:r>
      <w:r>
        <w:t xml:space="preserve"> (2025). </w:t>
      </w:r>
    </w:p>
    <w:p w14:paraId="4ACBFEEA" w14:textId="77777777" w:rsidR="00464F92" w:rsidRDefault="002831B2">
      <w:r>
        <w:t>According to Meng and Shaikh (2023), environmental, social, and governance criteria have been integrated into the investment strategies of asset management, pension funds, and sovereign wealth funds, especially when investors aim to create long-term value while managing sustainability-related risks. Therefore, ESG performance integration may become an indicator of organisational resilience rather than merely meeting sustainability requirements.</w:t>
      </w:r>
    </w:p>
    <w:p w14:paraId="7ECEE13B" w14:textId="77777777" w:rsidR="00E841D0" w:rsidRDefault="00E841D0"/>
    <w:p w14:paraId="5D0B31A1" w14:textId="77777777" w:rsidR="00E841D0" w:rsidRDefault="00E841D0"/>
    <w:p w14:paraId="590FDFD8" w14:textId="77777777" w:rsidR="00E841D0" w:rsidRDefault="00E841D0"/>
    <w:p w14:paraId="38E620BD" w14:textId="77777777" w:rsidR="00E841D0" w:rsidRDefault="00E841D0"/>
    <w:p w14:paraId="7664AFE0" w14:textId="77777777" w:rsidR="00F52FCE" w:rsidRPr="002A0DFF" w:rsidRDefault="00F52FCE">
      <w:pPr>
        <w:rPr>
          <w:sz w:val="28"/>
          <w:szCs w:val="28"/>
        </w:rPr>
      </w:pPr>
    </w:p>
    <w:p w14:paraId="0EFF277C" w14:textId="77777777" w:rsidR="00464F92" w:rsidRPr="002A0DFF" w:rsidRDefault="002831B2">
      <w:pPr>
        <w:rPr>
          <w:b/>
          <w:bCs/>
          <w:sz w:val="28"/>
          <w:szCs w:val="28"/>
        </w:rPr>
      </w:pPr>
      <w:bookmarkStart w:id="70" w:name="_salngznk0oo8" w:colFirst="0" w:colLast="0"/>
      <w:bookmarkEnd w:id="70"/>
      <w:r w:rsidRPr="002A0DFF">
        <w:rPr>
          <w:b/>
          <w:bCs/>
          <w:sz w:val="28"/>
          <w:szCs w:val="28"/>
        </w:rPr>
        <w:lastRenderedPageBreak/>
        <w:t>Table 4.6: Cross-Theme Relationship between ESG and Foreign Investment</w:t>
      </w:r>
    </w:p>
    <w:p w14:paraId="3BE60C51" w14:textId="77777777" w:rsidR="00F52FCE" w:rsidRDefault="00F52FCE">
      <w:pPr>
        <w:rPr>
          <w:b/>
          <w:bCs/>
        </w:rPr>
      </w:pPr>
    </w:p>
    <w:tbl>
      <w:tblPr>
        <w:tblStyle w:val="a5"/>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74"/>
        <w:gridCol w:w="3330"/>
        <w:gridCol w:w="4021"/>
      </w:tblGrid>
      <w:tr w:rsidR="00464F92" w14:paraId="2E6955BC" w14:textId="77777777">
        <w:trPr>
          <w:trHeight w:val="770"/>
        </w:trPr>
        <w:tc>
          <w:tcPr>
            <w:tcW w:w="16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9A76AB" w14:textId="77777777" w:rsidR="00464F92" w:rsidRDefault="002831B2">
            <w:pPr>
              <w:spacing w:line="240" w:lineRule="auto"/>
              <w:jc w:val="center"/>
              <w:rPr>
                <w:b/>
                <w:bCs/>
              </w:rPr>
            </w:pPr>
            <w:r>
              <w:rPr>
                <w:b/>
                <w:bCs/>
              </w:rPr>
              <w:t>ESG dimension</w:t>
            </w:r>
          </w:p>
        </w:tc>
        <w:tc>
          <w:tcPr>
            <w:tcW w:w="3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C767EB" w14:textId="77777777" w:rsidR="00464F92" w:rsidRDefault="002831B2">
            <w:pPr>
              <w:spacing w:line="240" w:lineRule="auto"/>
              <w:jc w:val="center"/>
              <w:rPr>
                <w:b/>
                <w:bCs/>
              </w:rPr>
            </w:pPr>
            <w:r>
              <w:rPr>
                <w:b/>
                <w:bCs/>
              </w:rPr>
              <w:t>Key contribution</w:t>
            </w:r>
          </w:p>
        </w:tc>
        <w:tc>
          <w:tcPr>
            <w:tcW w:w="40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EA8E7E" w14:textId="77777777" w:rsidR="00464F92" w:rsidRDefault="002831B2">
            <w:pPr>
              <w:spacing w:line="240" w:lineRule="auto"/>
              <w:jc w:val="center"/>
              <w:rPr>
                <w:b/>
                <w:bCs/>
              </w:rPr>
            </w:pPr>
            <w:r>
              <w:rPr>
                <w:b/>
                <w:bCs/>
              </w:rPr>
              <w:t>Combined investment effect</w:t>
            </w:r>
          </w:p>
        </w:tc>
      </w:tr>
      <w:tr w:rsidR="00464F92" w14:paraId="0AD4602C" w14:textId="77777777">
        <w:trPr>
          <w:trHeight w:val="770"/>
        </w:trPr>
        <w:tc>
          <w:tcPr>
            <w:tcW w:w="16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0ADE99" w14:textId="77777777" w:rsidR="00464F92" w:rsidRDefault="002831B2">
            <w:pPr>
              <w:spacing w:line="240" w:lineRule="auto"/>
            </w:pPr>
            <w:r>
              <w:t>Environmental</w:t>
            </w:r>
          </w:p>
        </w:tc>
        <w:tc>
          <w:tcPr>
            <w:tcW w:w="3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0A4A22" w14:textId="77777777" w:rsidR="00464F92" w:rsidRDefault="002831B2">
            <w:pPr>
              <w:spacing w:line="240" w:lineRule="auto"/>
            </w:pPr>
            <w:r>
              <w:t>Climate resilience, carbon reduction and clean technology</w:t>
            </w:r>
          </w:p>
        </w:tc>
        <w:tc>
          <w:tcPr>
            <w:tcW w:w="40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CAB6D1" w14:textId="77777777" w:rsidR="00464F92" w:rsidRDefault="002831B2">
            <w:pPr>
              <w:spacing w:line="240" w:lineRule="auto"/>
            </w:pPr>
            <w:r>
              <w:t>Reduces environmental and transition risk</w:t>
            </w:r>
          </w:p>
        </w:tc>
      </w:tr>
      <w:tr w:rsidR="00464F92" w14:paraId="19ADEF0C" w14:textId="77777777">
        <w:trPr>
          <w:trHeight w:val="770"/>
        </w:trPr>
        <w:tc>
          <w:tcPr>
            <w:tcW w:w="16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7A2F36" w14:textId="77777777" w:rsidR="00464F92" w:rsidRDefault="002831B2">
            <w:pPr>
              <w:spacing w:line="240" w:lineRule="auto"/>
            </w:pPr>
            <w:r>
              <w:t>Social</w:t>
            </w:r>
          </w:p>
        </w:tc>
        <w:tc>
          <w:tcPr>
            <w:tcW w:w="3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71D913" w14:textId="77777777" w:rsidR="00464F92" w:rsidRDefault="002831B2">
            <w:pPr>
              <w:spacing w:line="240" w:lineRule="auto"/>
            </w:pPr>
            <w:r>
              <w:t>Employee welfare, DEI and community acceptance</w:t>
            </w:r>
          </w:p>
        </w:tc>
        <w:tc>
          <w:tcPr>
            <w:tcW w:w="40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A1790E" w14:textId="77777777" w:rsidR="00464F92" w:rsidRDefault="002831B2">
            <w:pPr>
              <w:spacing w:line="240" w:lineRule="auto"/>
            </w:pPr>
            <w:r>
              <w:t>Strengthens stakeholder relationships and operational stability</w:t>
            </w:r>
          </w:p>
        </w:tc>
      </w:tr>
      <w:tr w:rsidR="00464F92" w14:paraId="316EEE51" w14:textId="77777777">
        <w:trPr>
          <w:trHeight w:val="770"/>
        </w:trPr>
        <w:tc>
          <w:tcPr>
            <w:tcW w:w="16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B8547C" w14:textId="77777777" w:rsidR="00464F92" w:rsidRDefault="002831B2">
            <w:pPr>
              <w:spacing w:line="240" w:lineRule="auto"/>
            </w:pPr>
            <w:r>
              <w:t>Governance</w:t>
            </w:r>
          </w:p>
        </w:tc>
        <w:tc>
          <w:tcPr>
            <w:tcW w:w="3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8DEA91" w14:textId="77777777" w:rsidR="00464F92" w:rsidRDefault="002831B2">
            <w:pPr>
              <w:spacing w:line="240" w:lineRule="auto"/>
            </w:pPr>
            <w:r>
              <w:t>Accountability, board oversight and transparency</w:t>
            </w:r>
          </w:p>
        </w:tc>
        <w:tc>
          <w:tcPr>
            <w:tcW w:w="40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6CAE7E" w14:textId="77777777" w:rsidR="00464F92" w:rsidRDefault="002831B2">
            <w:pPr>
              <w:spacing w:line="240" w:lineRule="auto"/>
            </w:pPr>
            <w:r>
              <w:t>Reduces uncertainty and strengthens investor trust</w:t>
            </w:r>
          </w:p>
        </w:tc>
      </w:tr>
      <w:tr w:rsidR="00464F92" w14:paraId="3598B6A4" w14:textId="77777777">
        <w:trPr>
          <w:trHeight w:val="770"/>
        </w:trPr>
        <w:tc>
          <w:tcPr>
            <w:tcW w:w="16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B96B67" w14:textId="77777777" w:rsidR="00464F92" w:rsidRDefault="002831B2">
            <w:pPr>
              <w:spacing w:line="240" w:lineRule="auto"/>
            </w:pPr>
            <w:r>
              <w:t>ESG disclosure</w:t>
            </w:r>
          </w:p>
        </w:tc>
        <w:tc>
          <w:tcPr>
            <w:tcW w:w="3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59F6F4" w14:textId="77777777" w:rsidR="00464F92" w:rsidRDefault="002831B2">
            <w:pPr>
              <w:spacing w:line="240" w:lineRule="auto"/>
            </w:pPr>
            <w:r>
              <w:t>Comparability and reliable sustainability information</w:t>
            </w:r>
          </w:p>
        </w:tc>
        <w:tc>
          <w:tcPr>
            <w:tcW w:w="40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63D2BE" w14:textId="77777777" w:rsidR="00464F92" w:rsidRDefault="002831B2">
            <w:pPr>
              <w:spacing w:line="240" w:lineRule="auto"/>
            </w:pPr>
            <w:r>
              <w:t>Reduces information asymmetry</w:t>
            </w:r>
          </w:p>
        </w:tc>
      </w:tr>
      <w:tr w:rsidR="00464F92" w14:paraId="734AB10E" w14:textId="77777777">
        <w:trPr>
          <w:trHeight w:val="1040"/>
        </w:trPr>
        <w:tc>
          <w:tcPr>
            <w:tcW w:w="167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A36F78" w14:textId="77777777" w:rsidR="00464F92" w:rsidRDefault="002831B2">
            <w:pPr>
              <w:spacing w:line="240" w:lineRule="auto"/>
            </w:pPr>
            <w:r>
              <w:t>Integrated ESG</w:t>
            </w:r>
          </w:p>
        </w:tc>
        <w:tc>
          <w:tcPr>
            <w:tcW w:w="33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F829C9" w14:textId="77777777" w:rsidR="00464F92" w:rsidRDefault="002831B2">
            <w:pPr>
              <w:spacing w:line="240" w:lineRule="auto"/>
            </w:pPr>
            <w:r>
              <w:t>Alignment of E, S and G practices</w:t>
            </w:r>
          </w:p>
        </w:tc>
        <w:tc>
          <w:tcPr>
            <w:tcW w:w="40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67B9AB" w14:textId="77777777" w:rsidR="00464F92" w:rsidRDefault="002831B2">
            <w:pPr>
              <w:spacing w:line="240" w:lineRule="auto"/>
            </w:pPr>
            <w:r>
              <w:t>Strengthens overall investment attractiveness and long-term confidence</w:t>
            </w:r>
          </w:p>
        </w:tc>
      </w:tr>
    </w:tbl>
    <w:p w14:paraId="1377616C" w14:textId="77777777" w:rsidR="00464F92" w:rsidRDefault="002831B2">
      <w:pPr>
        <w:jc w:val="center"/>
      </w:pPr>
      <w:bookmarkStart w:id="71" w:name="_utwjyopy7zpn" w:colFirst="0" w:colLast="0"/>
      <w:bookmarkEnd w:id="71"/>
      <w:r>
        <w:t>(Self-created)</w:t>
      </w:r>
    </w:p>
    <w:p w14:paraId="65E11EF5" w14:textId="77777777" w:rsidR="00464F92" w:rsidRPr="00EF7477" w:rsidRDefault="002831B2">
      <w:pPr>
        <w:pStyle w:val="Heading3"/>
        <w:rPr>
          <w:i w:val="0"/>
          <w:iCs w:val="0"/>
          <w:color w:val="000000"/>
          <w:sz w:val="28"/>
          <w:szCs w:val="28"/>
        </w:rPr>
      </w:pPr>
      <w:bookmarkStart w:id="72" w:name="_Toc240715277"/>
      <w:r w:rsidRPr="00EF7477">
        <w:rPr>
          <w:i w:val="0"/>
          <w:iCs w:val="0"/>
          <w:color w:val="000000"/>
          <w:sz w:val="28"/>
          <w:szCs w:val="28"/>
        </w:rPr>
        <w:t>4.7.2</w:t>
      </w:r>
      <w:r w:rsidRPr="00EF7477">
        <w:rPr>
          <w:color w:val="000000"/>
          <w:sz w:val="28"/>
          <w:szCs w:val="28"/>
        </w:rPr>
        <w:t xml:space="preserve"> </w:t>
      </w:r>
      <w:r w:rsidRPr="00EF7477">
        <w:rPr>
          <w:i w:val="0"/>
          <w:iCs w:val="0"/>
          <w:color w:val="000000"/>
          <w:sz w:val="28"/>
          <w:szCs w:val="28"/>
        </w:rPr>
        <w:t>Critical Analysis of Findings and Relation to Literature</w:t>
      </w:r>
      <w:bookmarkEnd w:id="72"/>
    </w:p>
    <w:p w14:paraId="79B60892" w14:textId="77777777" w:rsidR="00F52FCE" w:rsidRPr="00F52FCE" w:rsidRDefault="00F52FCE" w:rsidP="00F52FCE"/>
    <w:p w14:paraId="086D9C16" w14:textId="77777777" w:rsidR="00464F92" w:rsidRDefault="002831B2">
      <w:r>
        <w:t xml:space="preserve">The findings affirm the positive perception in the literature that integrated ESG performance can increase investor confidence and reduce investor risk, making foreign investment more appealing. The findings also reveal a limitation in past ESG research, as much of the literature has focused on ESG factors individually rather than collectively. This gap in the literature highlights that past research lacks adequate discussion of this integration in the UK's renewable energy sector. While Basile and Ferrari (2024) favour ESG integration in investments, they offer a conceptual discussion without the empirical evidence of ESG integration in renewable-energy FDI. In deductive reasoning, Stakeholder Theory explains how integrated ESG improves trust and relationships among stakeholders such as investors, employees, communities, and regulators, while RBV explains how integrated ESG competencies serve as organisational resources that can be sources of competitive advantage (Yoo, 2025). In addition, </w:t>
      </w:r>
      <w:r>
        <w:lastRenderedPageBreak/>
        <w:t>Institutional Theory explains how organisational compliance with regulations and sustainability efforts enhance organisational legitimacy and reduce investor risk perception.</w:t>
      </w:r>
    </w:p>
    <w:p w14:paraId="7009ADDD" w14:textId="37BF612F" w:rsidR="00464F92" w:rsidRDefault="002831B2">
      <w:r>
        <w:t xml:space="preserve">Indeed, the results show that the combined impact of ESG might be even more essential for decision-making regarding foreign investments compared to the impact provided separately by each of the dimensions. </w:t>
      </w:r>
      <w:r w:rsidR="00BF1C6F">
        <w:t>Basile and Ferrari (2024) demonstrate the benefits of applying ESG criteria in investment decisions; however, the authors mainly rely on concepts and provide little empirical evidence</w:t>
      </w:r>
      <w:r>
        <w:t xml:space="preserve"> on how the three ESG dimensions might affect FDI into renewable energy. Moreover, Meng and Shaikh (2023) underline the importance of integrating the ESG criteria in </w:t>
      </w:r>
      <w:r w:rsidR="00861C52">
        <w:t xml:space="preserve">the </w:t>
      </w:r>
      <w:r>
        <w:t xml:space="preserve">investment process; however, the general nature of the study makes it hard to apply the research to the UK renewable energy environment directly. The article by Kim and Li (2021) supports the importance of linking ESG criteria with corporate finance. However, viewing the ESG criteria as one construct can hide the </w:t>
      </w:r>
      <w:r w:rsidR="00BF1C6F">
        <w:t>differences</w:t>
      </w:r>
      <w:r>
        <w:t xml:space="preserve"> between the environmental, social, and governance criteria</w:t>
      </w:r>
      <w:r w:rsidR="00861C52">
        <w:t>,</w:t>
      </w:r>
      <w:r>
        <w:t xml:space="preserve"> which leads to the problem that good performance in terms of environmental criteria cannot overcome bad governance or poor stakeholder management. Finally, the researchers Gazzola, Amelio and Vota (2026) claim that integrating the ESG criteria into the investment process creates sustainable value and decreases the risks as well. However, excessive reliance on ESG integration can create </w:t>
      </w:r>
      <w:r w:rsidR="00861C52">
        <w:t xml:space="preserve">the </w:t>
      </w:r>
      <w:r>
        <w:t xml:space="preserve">risk of weaknesses in terms of individual dimensions. Therefore, this study addressed a gap by emphasising that foreign investors may </w:t>
      </w:r>
      <w:r w:rsidR="00861C52">
        <w:t>assess</w:t>
      </w:r>
      <w:r>
        <w:t xml:space="preserve"> the alignment and </w:t>
      </w:r>
      <w:r w:rsidR="00861C52">
        <w:t>complementarity of</w:t>
      </w:r>
      <w:r>
        <w:t xml:space="preserve"> the factors of E, S and G rather than simply rewarding isolated ESG strengths. </w:t>
      </w:r>
    </w:p>
    <w:p w14:paraId="3E5FE821" w14:textId="77777777" w:rsidR="00464F92" w:rsidRDefault="002831B2">
      <w:pPr>
        <w:pStyle w:val="Heading2"/>
      </w:pPr>
      <w:bookmarkStart w:id="73" w:name="_Toc240715278"/>
      <w:r>
        <w:t>4.8 Cross-Theme Analysis Against Research Objectives</w:t>
      </w:r>
      <w:bookmarkEnd w:id="73"/>
    </w:p>
    <w:p w14:paraId="00590299" w14:textId="77777777" w:rsidR="00464F92" w:rsidRDefault="002831B2">
      <w:r>
        <w:t>The cross-thematic analysis highlights that ESG activities affect the process of attracting foreign investment through interconnected environmental, social, governance, and disclosure processes rather than through one particular aspect of ESG. As identified in Theme 1, a company's environmental performance, including reducing its carbon footprint and adapting to climate change, can reduce risk. Theme 2 shows that social responsibility, good treatment of employees, and community engagement can improve stakeholder relations and organisational stability, whereas Theme 3 shows that governance, transparency, and accountability can reduce uncertainty and build investor confidence. Finally, Theme 4 shows that ESG disclosure links these aspects by reducing information asymmetry.</w:t>
      </w:r>
    </w:p>
    <w:p w14:paraId="71C55B6E" w14:textId="77777777" w:rsidR="00464F92" w:rsidRDefault="002831B2">
      <w:r>
        <w:t xml:space="preserve">The results support the second objective by confirming the significance of the environment as a factor that attracts investment. The social and governance aspects address the third objective </w:t>
      </w:r>
      <w:r>
        <w:lastRenderedPageBreak/>
        <w:t>related to investor trust and capital attraction. More importantly, this analysis shows that the combined ESG approach is a much better indicator of investment than using individual factors, addressing the literature gap on the combined effect of ESG in the UK renewable energy sector.</w:t>
      </w:r>
    </w:p>
    <w:p w14:paraId="3B517F7A" w14:textId="77777777" w:rsidR="00464F92" w:rsidRDefault="002831B2">
      <w:pPr>
        <w:pStyle w:val="Heading2"/>
      </w:pPr>
      <w:bookmarkStart w:id="74" w:name="_Toc240715279"/>
      <w:r>
        <w:t>4.9 Chapter Summary</w:t>
      </w:r>
      <w:bookmarkEnd w:id="74"/>
    </w:p>
    <w:p w14:paraId="40943E6B" w14:textId="4F75470C" w:rsidR="00464F92" w:rsidRDefault="002831B2">
      <w:r>
        <w:t xml:space="preserve">Qualitative secondary data on the subject have been considered in this chapter from the perspective of five core themes, namely environmental actions, corporate social responsibility, corporate governance, ESG disclosure, and integration of ESG performance. It appears that ESG may help attract foreign investments through the reduction of risks, increasing transparency and stakeholder trust, and showcasing </w:t>
      </w:r>
      <w:r w:rsidR="00861C52">
        <w:t>organisational</w:t>
      </w:r>
      <w:r>
        <w:t xml:space="preserve"> capabilities. Nevertheless, there are numerous problems in its implementation.</w:t>
      </w:r>
    </w:p>
    <w:p w14:paraId="0503F416" w14:textId="77777777" w:rsidR="001E4A25" w:rsidRPr="005A4172" w:rsidRDefault="001E4A25">
      <w:pPr>
        <w:rPr>
          <w:b/>
          <w:bCs/>
          <w:sz w:val="32"/>
          <w:szCs w:val="32"/>
        </w:rPr>
      </w:pPr>
    </w:p>
    <w:p w14:paraId="4DC2C328" w14:textId="77777777" w:rsidR="007D7CCE" w:rsidRDefault="007D7CCE" w:rsidP="00013F53">
      <w:pPr>
        <w:rPr>
          <w:b/>
          <w:bCs/>
          <w:sz w:val="28"/>
          <w:szCs w:val="28"/>
        </w:rPr>
      </w:pPr>
    </w:p>
    <w:p w14:paraId="1053334B" w14:textId="77777777" w:rsidR="007D7CCE" w:rsidRDefault="007D7CCE" w:rsidP="00013F53">
      <w:pPr>
        <w:rPr>
          <w:b/>
          <w:bCs/>
          <w:sz w:val="28"/>
          <w:szCs w:val="28"/>
        </w:rPr>
      </w:pPr>
    </w:p>
    <w:p w14:paraId="4B9D0411" w14:textId="77777777" w:rsidR="007D7CCE" w:rsidRDefault="007D7CCE" w:rsidP="00013F53">
      <w:pPr>
        <w:rPr>
          <w:b/>
          <w:bCs/>
          <w:sz w:val="28"/>
          <w:szCs w:val="28"/>
        </w:rPr>
      </w:pPr>
    </w:p>
    <w:p w14:paraId="01CE7D0E" w14:textId="77777777" w:rsidR="007D7CCE" w:rsidRDefault="007D7CCE" w:rsidP="00013F53">
      <w:pPr>
        <w:rPr>
          <w:b/>
          <w:bCs/>
          <w:sz w:val="28"/>
          <w:szCs w:val="28"/>
        </w:rPr>
      </w:pPr>
    </w:p>
    <w:p w14:paraId="44334FF7" w14:textId="77777777" w:rsidR="007D7CCE" w:rsidRDefault="007D7CCE" w:rsidP="00013F53">
      <w:pPr>
        <w:rPr>
          <w:b/>
          <w:bCs/>
          <w:sz w:val="28"/>
          <w:szCs w:val="28"/>
        </w:rPr>
      </w:pPr>
    </w:p>
    <w:p w14:paraId="445903CD" w14:textId="77777777" w:rsidR="007D7CCE" w:rsidRDefault="007D7CCE" w:rsidP="00013F53">
      <w:pPr>
        <w:rPr>
          <w:b/>
          <w:bCs/>
          <w:sz w:val="28"/>
          <w:szCs w:val="28"/>
        </w:rPr>
      </w:pPr>
    </w:p>
    <w:p w14:paraId="1184DEC9" w14:textId="77777777" w:rsidR="007D7CCE" w:rsidRDefault="007D7CCE" w:rsidP="00013F53">
      <w:pPr>
        <w:rPr>
          <w:b/>
          <w:bCs/>
          <w:sz w:val="28"/>
          <w:szCs w:val="28"/>
        </w:rPr>
      </w:pPr>
    </w:p>
    <w:p w14:paraId="5370CB03" w14:textId="77777777" w:rsidR="007D7CCE" w:rsidRDefault="007D7CCE" w:rsidP="00013F53">
      <w:pPr>
        <w:rPr>
          <w:b/>
          <w:bCs/>
          <w:sz w:val="28"/>
          <w:szCs w:val="28"/>
        </w:rPr>
      </w:pPr>
    </w:p>
    <w:p w14:paraId="255CCAEA" w14:textId="77777777" w:rsidR="007D7CCE" w:rsidRDefault="007D7CCE" w:rsidP="00013F53">
      <w:pPr>
        <w:rPr>
          <w:b/>
          <w:bCs/>
          <w:sz w:val="28"/>
          <w:szCs w:val="28"/>
        </w:rPr>
      </w:pPr>
    </w:p>
    <w:p w14:paraId="20182E83" w14:textId="77777777" w:rsidR="007D7CCE" w:rsidRDefault="007D7CCE" w:rsidP="00013F53">
      <w:pPr>
        <w:rPr>
          <w:b/>
          <w:bCs/>
          <w:sz w:val="28"/>
          <w:szCs w:val="28"/>
        </w:rPr>
      </w:pPr>
    </w:p>
    <w:p w14:paraId="262CA580" w14:textId="77777777" w:rsidR="007D7CCE" w:rsidRDefault="007D7CCE" w:rsidP="00013F53">
      <w:pPr>
        <w:rPr>
          <w:b/>
          <w:bCs/>
          <w:sz w:val="28"/>
          <w:szCs w:val="28"/>
        </w:rPr>
      </w:pPr>
    </w:p>
    <w:p w14:paraId="3B1CD1B8" w14:textId="77777777" w:rsidR="007D7CCE" w:rsidRDefault="007D7CCE" w:rsidP="00013F53">
      <w:pPr>
        <w:rPr>
          <w:b/>
          <w:bCs/>
          <w:sz w:val="28"/>
          <w:szCs w:val="28"/>
        </w:rPr>
      </w:pPr>
    </w:p>
    <w:p w14:paraId="14058BB4" w14:textId="77777777" w:rsidR="007D7CCE" w:rsidRDefault="007D7CCE" w:rsidP="00013F53">
      <w:pPr>
        <w:rPr>
          <w:b/>
          <w:bCs/>
          <w:sz w:val="28"/>
          <w:szCs w:val="28"/>
        </w:rPr>
      </w:pPr>
    </w:p>
    <w:p w14:paraId="61916FE3" w14:textId="77777777" w:rsidR="007D7CCE" w:rsidRDefault="007D7CCE" w:rsidP="00013F53">
      <w:pPr>
        <w:rPr>
          <w:b/>
          <w:bCs/>
          <w:sz w:val="28"/>
          <w:szCs w:val="28"/>
        </w:rPr>
      </w:pPr>
    </w:p>
    <w:p w14:paraId="3DF3AF74" w14:textId="77777777" w:rsidR="007D7CCE" w:rsidRDefault="007D7CCE" w:rsidP="00013F53">
      <w:pPr>
        <w:rPr>
          <w:b/>
          <w:bCs/>
          <w:sz w:val="28"/>
          <w:szCs w:val="28"/>
        </w:rPr>
      </w:pPr>
    </w:p>
    <w:p w14:paraId="0E2F939A" w14:textId="77777777" w:rsidR="007D7CCE" w:rsidRDefault="007D7CCE" w:rsidP="00013F53">
      <w:pPr>
        <w:rPr>
          <w:b/>
          <w:bCs/>
          <w:sz w:val="28"/>
          <w:szCs w:val="28"/>
        </w:rPr>
      </w:pPr>
    </w:p>
    <w:p w14:paraId="37E0A763" w14:textId="77777777" w:rsidR="007D7CCE" w:rsidRDefault="007D7CCE" w:rsidP="00013F53">
      <w:pPr>
        <w:rPr>
          <w:b/>
          <w:bCs/>
          <w:sz w:val="28"/>
          <w:szCs w:val="28"/>
        </w:rPr>
      </w:pPr>
    </w:p>
    <w:p w14:paraId="64721C0A" w14:textId="77777777" w:rsidR="007D7CCE" w:rsidRDefault="007D7CCE" w:rsidP="00013F53">
      <w:pPr>
        <w:rPr>
          <w:b/>
          <w:bCs/>
          <w:sz w:val="28"/>
          <w:szCs w:val="28"/>
        </w:rPr>
      </w:pPr>
    </w:p>
    <w:p w14:paraId="426A8C6C" w14:textId="15CD4D4B" w:rsidR="007D7CCE" w:rsidRPr="008B74D1" w:rsidRDefault="002831B2" w:rsidP="008B74D1">
      <w:pPr>
        <w:pStyle w:val="Heading1"/>
      </w:pPr>
      <w:bookmarkStart w:id="75" w:name="_Toc240715280"/>
      <w:r w:rsidRPr="005A4172">
        <w:lastRenderedPageBreak/>
        <w:t>Chapter 5: Conclusion and Recommendations</w:t>
      </w:r>
      <w:bookmarkEnd w:id="75"/>
    </w:p>
    <w:p w14:paraId="0E461BB5" w14:textId="17521133" w:rsidR="007D7CCE" w:rsidRPr="006D3B5E" w:rsidRDefault="007D7CCE" w:rsidP="008B74D1">
      <w:pPr>
        <w:pStyle w:val="Heading2"/>
      </w:pPr>
      <w:bookmarkStart w:id="76" w:name="_Toc240715281"/>
      <w:r w:rsidRPr="006D3B5E">
        <w:t>5.0 Introduction</w:t>
      </w:r>
      <w:bookmarkEnd w:id="76"/>
    </w:p>
    <w:p w14:paraId="4F7ADA63" w14:textId="1EF8D283" w:rsidR="00FA3094" w:rsidRPr="003D6263" w:rsidRDefault="00FA3094" w:rsidP="00FA3094">
      <w:pPr>
        <w:rPr>
          <w:color w:val="EE0000"/>
        </w:rPr>
      </w:pPr>
      <w:r w:rsidRPr="006F295C">
        <w:rPr>
          <w:color w:val="000000" w:themeColor="text1"/>
        </w:rPr>
        <w:t>This chapter consists of the key findings</w:t>
      </w:r>
      <w:r w:rsidR="006C665E" w:rsidRPr="006F295C">
        <w:rPr>
          <w:color w:val="000000" w:themeColor="text1"/>
        </w:rPr>
        <w:t xml:space="preserve"> on the impact of ESG practice on foreign investment attraction in the renewable energy sector of the UK. This chapter reflects how the key findings</w:t>
      </w:r>
      <w:r w:rsidRPr="006F295C">
        <w:rPr>
          <w:color w:val="000000" w:themeColor="text1"/>
        </w:rPr>
        <w:t xml:space="preserve"> address the objectives and research questions of this study. </w:t>
      </w:r>
      <w:r w:rsidR="006C665E" w:rsidRPr="006F295C">
        <w:rPr>
          <w:color w:val="000000" w:themeColor="text1"/>
        </w:rPr>
        <w:t xml:space="preserve">This chapter also aims to </w:t>
      </w:r>
      <w:r w:rsidR="00A83981" w:rsidRPr="006F295C">
        <w:rPr>
          <w:color w:val="000000" w:themeColor="text1"/>
        </w:rPr>
        <w:t>present</w:t>
      </w:r>
      <w:r w:rsidR="006C665E" w:rsidRPr="006F295C">
        <w:rPr>
          <w:color w:val="000000" w:themeColor="text1"/>
        </w:rPr>
        <w:t xml:space="preserve"> practical recommendations </w:t>
      </w:r>
      <w:r w:rsidR="00A83981" w:rsidRPr="006F295C">
        <w:rPr>
          <w:color w:val="000000" w:themeColor="text1"/>
        </w:rPr>
        <w:t>for strengthening integrated ESG practices, along with identifying limitations for future research as well</w:t>
      </w:r>
      <w:r w:rsidR="00A83981" w:rsidRPr="003D6263">
        <w:rPr>
          <w:color w:val="EE0000"/>
        </w:rPr>
        <w:t>.</w:t>
      </w:r>
    </w:p>
    <w:p w14:paraId="33116B27" w14:textId="77777777" w:rsidR="00464F92" w:rsidRDefault="002831B2">
      <w:pPr>
        <w:pStyle w:val="Heading2"/>
      </w:pPr>
      <w:bookmarkStart w:id="77" w:name="_Toc240715282"/>
      <w:r>
        <w:t>5.1 Overall Findings and Research Aim</w:t>
      </w:r>
      <w:bookmarkEnd w:id="77"/>
      <w:r>
        <w:t xml:space="preserve"> </w:t>
      </w:r>
    </w:p>
    <w:p w14:paraId="3E488CF6" w14:textId="77777777" w:rsidR="00464F92" w:rsidRDefault="002831B2">
      <w:r>
        <w:t>This study examined the impact of ESG practices on the attractiveness of foreign investment in the UK renewable energy industry. The results show that ESG practices can make investments more attractive by lowering the level of risk, enhancing transparency, developing relationships with stakeholders, and building confidence among investors. Therefore, this study gives an overall response to the research aim and suggests that ESG is becoming an increasingly relevant issue for making foreign investments in the renewable energy industry.</w:t>
      </w:r>
    </w:p>
    <w:p w14:paraId="00549263" w14:textId="7DCEF2AE" w:rsidR="00464F92" w:rsidRDefault="002831B2">
      <w:pPr>
        <w:pStyle w:val="Heading2"/>
      </w:pPr>
      <w:bookmarkStart w:id="78" w:name="_Toc240715283"/>
      <w:r>
        <w:t xml:space="preserve">5.2 </w:t>
      </w:r>
      <w:r w:rsidR="00955436">
        <w:t>Summary of Key Findings</w:t>
      </w:r>
      <w:bookmarkEnd w:id="78"/>
    </w:p>
    <w:p w14:paraId="47808B59" w14:textId="4DE502B0" w:rsidR="00464F92" w:rsidRDefault="002831B2">
      <w:r>
        <w:t xml:space="preserve">This research analysed the impact of ESG practices on the attraction of foreign investments in the UK renewable energy sector. In connection with Research Objective 1, the </w:t>
      </w:r>
      <w:r w:rsidR="00B506DE">
        <w:t>findings</w:t>
      </w:r>
      <w:r>
        <w:t xml:space="preserve"> demonstrate that ESG practices can have an impact on foreign investments by serving as signals to investors about the </w:t>
      </w:r>
      <w:r w:rsidR="00D1643A">
        <w:t>organisation’s</w:t>
      </w:r>
      <w:r>
        <w:t xml:space="preserve"> environmental friendliness, resilience, risk management, and sustainability. At the same time, it can be stated that investors do not consider these aspects </w:t>
      </w:r>
      <w:r w:rsidR="00E841D0">
        <w:t>separately but</w:t>
      </w:r>
      <w:r>
        <w:t xml:space="preserve"> rather base their judgment on the consistency of the organization’s position from the environmental, social, governance, and disclosure perspectives.</w:t>
      </w:r>
    </w:p>
    <w:p w14:paraId="296EB5B1" w14:textId="37AD72EA" w:rsidR="00464F92" w:rsidRDefault="00574542">
      <w:r w:rsidRPr="006F295C">
        <w:rPr>
          <w:color w:val="000000" w:themeColor="text1"/>
        </w:rPr>
        <w:t xml:space="preserve">The findings show </w:t>
      </w:r>
      <w:r>
        <w:t>that</w:t>
      </w:r>
      <w:r w:rsidR="002831B2">
        <w:t xml:space="preserve"> social and governance considerations have an added role in bolstering investor confidence</w:t>
      </w:r>
      <w:r w:rsidR="00D1643A">
        <w:t>, which is linked with research objective 2</w:t>
      </w:r>
      <w:r w:rsidR="002831B2">
        <w:t xml:space="preserve">. Good stakeholder management and good treatment of employees, along with diversity and community relations, may contribute to </w:t>
      </w:r>
      <w:r w:rsidR="00861C52">
        <w:t>organisational</w:t>
      </w:r>
      <w:r w:rsidR="002831B2">
        <w:t xml:space="preserve"> stability, while governance, accountability, ethics, and risk management may help lower uncertainties regarding the decisions of investors. Therefore, ESG reliability is not limited to environmental performance but relies on </w:t>
      </w:r>
      <w:r w:rsidR="00861C52">
        <w:t>organisational</w:t>
      </w:r>
      <w:r w:rsidR="002831B2">
        <w:t xml:space="preserve"> structures for sustainability actions.</w:t>
      </w:r>
    </w:p>
    <w:p w14:paraId="173D1FCB" w14:textId="634B57CD" w:rsidR="00464F92" w:rsidRDefault="002831B2">
      <w:r>
        <w:lastRenderedPageBreak/>
        <w:t xml:space="preserve">Finally, in realising Objective 3, the </w:t>
      </w:r>
      <w:r w:rsidR="0045750B">
        <w:t>findings</w:t>
      </w:r>
      <w:r>
        <w:t xml:space="preserve"> </w:t>
      </w:r>
      <w:r w:rsidR="006F295C">
        <w:t>reveal</w:t>
      </w:r>
      <w:r>
        <w:t xml:space="preserve"> the need for renewable energy companies to embrace an integrated ESG strategy. The enhancement of ESG disclosure, governance of the board, stakeholder engagement, measurement tools and international investor relations will increase the legitimacy of the firm's sustainability performance. All in all, the study has established that integrated and open ESG practices can increase the appeal of renewable energy firms in the UK to international investors, although success is based on legitimacy and not ESG alone.</w:t>
      </w:r>
    </w:p>
    <w:p w14:paraId="1EF97615" w14:textId="77777777" w:rsidR="00464F92" w:rsidRDefault="002831B2">
      <w:pPr>
        <w:pStyle w:val="Heading2"/>
      </w:pPr>
      <w:bookmarkStart w:id="79" w:name="_Toc240715284"/>
      <w:r>
        <w:t>5.3 Conclusion on ESG disclosure</w:t>
      </w:r>
      <w:bookmarkEnd w:id="79"/>
    </w:p>
    <w:p w14:paraId="6333B41B" w14:textId="3764DF2A" w:rsidR="00464F92" w:rsidRDefault="002831B2">
      <w:r>
        <w:t xml:space="preserve">It can be noted that ESG disclosure is a pivotal way for renewable energy firms to make the transition from sustainability practice to credibility and investor trust. With high-quality disclosure, foreign investors will be able to estimate the performance of the firm in the aspects of environmental, social and governance performance based on reliable, understandable and comparable information. Moreover, the results show that the quality of disclosure is an important issue since the availability of information on ESG does not ensure credibility. Fragmented and selective disclosure may lead to difficulties in evaluation of organisational performance and increase uncertainties </w:t>
      </w:r>
      <w:r w:rsidR="00861C52">
        <w:t>for</w:t>
      </w:r>
      <w:r>
        <w:t xml:space="preserve"> international investors. Thus, ESG reporting must include a balanced approach to reporting about both strengths and weaknesses of the firm in terms of </w:t>
      </w:r>
      <w:r w:rsidR="00861C52">
        <w:t>environmental</w:t>
      </w:r>
      <w:r>
        <w:t xml:space="preserve">, </w:t>
      </w:r>
      <w:r w:rsidR="00861C52">
        <w:t>social,</w:t>
      </w:r>
      <w:r>
        <w:t xml:space="preserve"> and governance performance. In </w:t>
      </w:r>
      <w:r w:rsidR="00861C52">
        <w:t>this</w:t>
      </w:r>
      <w:r>
        <w:t xml:space="preserve"> way, credible ESG disclosure facilitates the linkage between organisational sustainability practices and foreign investment decisions, ensuring the importance of transparency as an essential element of an integrated ESG strategy.</w:t>
      </w:r>
    </w:p>
    <w:p w14:paraId="51915DA7" w14:textId="77777777" w:rsidR="00464F92" w:rsidRDefault="002831B2">
      <w:pPr>
        <w:pStyle w:val="Heading2"/>
      </w:pPr>
      <w:bookmarkStart w:id="80" w:name="_Toc240715285"/>
      <w:r>
        <w:t>5.4 Overall Implication and Contribution</w:t>
      </w:r>
      <w:bookmarkEnd w:id="80"/>
    </w:p>
    <w:p w14:paraId="50C2B472" w14:textId="5025D15B" w:rsidR="00464F92" w:rsidRDefault="002831B2">
      <w:r>
        <w:t xml:space="preserve">This research has significant implications </w:t>
      </w:r>
      <w:r w:rsidR="00861C52">
        <w:t>for</w:t>
      </w:r>
      <w:r>
        <w:t xml:space="preserve"> how renewable energy organisations can effectively attract foreign investments. Based on the results obtained, ESG should be integrated into strategic decisions and not used as an add-on reporting practice. Organisations will be able to enhance their ability to attract investments if they are able to harmonise their environmental initiatives with good governance, proper management of stakeholders, and transparency. Nonetheless, organisations should be careful </w:t>
      </w:r>
      <w:r w:rsidR="00861C52">
        <w:t>about</w:t>
      </w:r>
      <w:r>
        <w:t xml:space="preserve"> how they present their ESG initiatives to the world, since contradictions between commitment and reality can undermine investor confidence and the organisation's credibility.</w:t>
      </w:r>
    </w:p>
    <w:p w14:paraId="58915F04" w14:textId="4FBD3C06" w:rsidR="00464F92" w:rsidRDefault="002831B2">
      <w:r>
        <w:lastRenderedPageBreak/>
        <w:t xml:space="preserve">Moreover, this research adds to the body of knowledge in the field by focusing on the gap in the current literature regarding the consideration of the combined effect of ESG components on foreign investments in the UK renewable energy industry. Most of the previous literature has considered the ESG components in isolation, while this research </w:t>
      </w:r>
      <w:r w:rsidR="00861C52">
        <w:t>emphasises</w:t>
      </w:r>
      <w:r>
        <w:t xml:space="preserve"> the interconnectedness of these ESG components in influencing investment perception. Thus, the results contribute to the understanding of ESG from a </w:t>
      </w:r>
      <w:r w:rsidR="00BF1C6F">
        <w:t>performance perspective</w:t>
      </w:r>
      <w:r>
        <w:t xml:space="preserve"> </w:t>
      </w:r>
      <w:r w:rsidR="00144A9D">
        <w:t>rather than</w:t>
      </w:r>
      <w:r>
        <w:t xml:space="preserve"> that of an </w:t>
      </w:r>
      <w:r w:rsidR="00861C52">
        <w:t>organisation</w:t>
      </w:r>
      <w:r>
        <w:t>. This particular aspect of the contribution is significant for the UK renewable energy industry as well.</w:t>
      </w:r>
    </w:p>
    <w:p w14:paraId="5BF701FB" w14:textId="231AD4AB" w:rsidR="00464F92" w:rsidRPr="00BF1C6F" w:rsidRDefault="002831B2">
      <w:pPr>
        <w:pStyle w:val="Heading2"/>
        <w:rPr>
          <w:sz w:val="32"/>
          <w:szCs w:val="32"/>
        </w:rPr>
      </w:pPr>
      <w:bookmarkStart w:id="81" w:name="_Toc240715286"/>
      <w:r w:rsidRPr="00BF1C6F">
        <w:rPr>
          <w:sz w:val="28"/>
          <w:szCs w:val="28"/>
        </w:rPr>
        <w:t>5.</w:t>
      </w:r>
      <w:r w:rsidR="008B74D1" w:rsidRPr="00BF1C6F">
        <w:rPr>
          <w:sz w:val="32"/>
          <w:szCs w:val="32"/>
        </w:rPr>
        <w:t>5</w:t>
      </w:r>
      <w:r w:rsidRPr="00BF1C6F">
        <w:rPr>
          <w:sz w:val="32"/>
          <w:szCs w:val="32"/>
        </w:rPr>
        <w:t xml:space="preserve"> Recommendations</w:t>
      </w:r>
      <w:bookmarkEnd w:id="81"/>
      <w:r w:rsidRPr="00BF1C6F">
        <w:rPr>
          <w:sz w:val="32"/>
          <w:szCs w:val="32"/>
        </w:rPr>
        <w:t xml:space="preserve"> </w:t>
      </w:r>
    </w:p>
    <w:p w14:paraId="2E13D8BF" w14:textId="47231047" w:rsidR="00464F92" w:rsidRPr="00BF1C6F" w:rsidRDefault="002831B2" w:rsidP="008B74D1">
      <w:pPr>
        <w:pStyle w:val="Heading3"/>
        <w:rPr>
          <w:i w:val="0"/>
          <w:iCs w:val="0"/>
          <w:sz w:val="28"/>
          <w:szCs w:val="28"/>
        </w:rPr>
      </w:pPr>
      <w:bookmarkStart w:id="82" w:name="_Toc240715287"/>
      <w:r w:rsidRPr="00BF1C6F">
        <w:rPr>
          <w:i w:val="0"/>
          <w:iCs w:val="0"/>
          <w:sz w:val="28"/>
          <w:szCs w:val="28"/>
        </w:rPr>
        <w:t>5.</w:t>
      </w:r>
      <w:r w:rsidR="008B74D1" w:rsidRPr="00BF1C6F">
        <w:rPr>
          <w:i w:val="0"/>
          <w:iCs w:val="0"/>
          <w:sz w:val="28"/>
          <w:szCs w:val="28"/>
        </w:rPr>
        <w:t>5</w:t>
      </w:r>
      <w:r w:rsidRPr="00BF1C6F">
        <w:rPr>
          <w:i w:val="0"/>
          <w:iCs w:val="0"/>
          <w:sz w:val="28"/>
          <w:szCs w:val="28"/>
        </w:rPr>
        <w:t>.1 Develop an Integrated ESG Strategy</w:t>
      </w:r>
      <w:bookmarkEnd w:id="82"/>
    </w:p>
    <w:p w14:paraId="4A6ED3B4" w14:textId="08319FEB" w:rsidR="00464F92" w:rsidRDefault="002831B2">
      <w:r>
        <w:t xml:space="preserve">It is evident from the outcomes that there are connections among environmental, social, governance, and disclosure activities in terms of their impact on attracting foreign investments. Thus, companies involved in </w:t>
      </w:r>
      <w:r w:rsidR="00861C52">
        <w:t xml:space="preserve">the </w:t>
      </w:r>
      <w:r>
        <w:t xml:space="preserve">renewable energy business in the UK have to implement an integrated ESG strategy, </w:t>
      </w:r>
      <w:r w:rsidR="00861C52">
        <w:t>rather than addressing</w:t>
      </w:r>
      <w:r>
        <w:t xml:space="preserve"> the mentioned aspects separately, as suggested by Christine </w:t>
      </w:r>
      <w:r>
        <w:rPr>
          <w:i/>
          <w:iCs/>
        </w:rPr>
        <w:t>et al</w:t>
      </w:r>
      <w:r>
        <w:t xml:space="preserve">. (2025). In </w:t>
      </w:r>
      <w:r w:rsidR="00861C52">
        <w:t>this</w:t>
      </w:r>
      <w:r>
        <w:t xml:space="preserve"> way, common ESG goals, performance indicators, and responsibilities should be established. Moreover, senior management and </w:t>
      </w:r>
      <w:r w:rsidR="00861C52">
        <w:t xml:space="preserve">the </w:t>
      </w:r>
      <w:r>
        <w:t xml:space="preserve">board of directors have to make sure that environmental goals are consistent with social and governance ones, and ESG information is conveyed to foreign investors effectively. </w:t>
      </w:r>
    </w:p>
    <w:p w14:paraId="18BC82B3" w14:textId="1BF7D882" w:rsidR="00464F92" w:rsidRPr="00BF1C6F" w:rsidRDefault="002831B2" w:rsidP="008B74D1">
      <w:pPr>
        <w:pStyle w:val="Heading3"/>
        <w:rPr>
          <w:i w:val="0"/>
          <w:iCs w:val="0"/>
          <w:sz w:val="28"/>
          <w:szCs w:val="28"/>
        </w:rPr>
      </w:pPr>
      <w:bookmarkStart w:id="83" w:name="_Toc240715288"/>
      <w:r w:rsidRPr="00BF1C6F">
        <w:rPr>
          <w:i w:val="0"/>
          <w:iCs w:val="0"/>
          <w:sz w:val="28"/>
          <w:szCs w:val="28"/>
        </w:rPr>
        <w:t>5.</w:t>
      </w:r>
      <w:r w:rsidR="008B74D1" w:rsidRPr="00BF1C6F">
        <w:rPr>
          <w:i w:val="0"/>
          <w:iCs w:val="0"/>
          <w:sz w:val="28"/>
          <w:szCs w:val="28"/>
        </w:rPr>
        <w:t>5</w:t>
      </w:r>
      <w:r w:rsidRPr="00BF1C6F">
        <w:rPr>
          <w:i w:val="0"/>
          <w:iCs w:val="0"/>
          <w:sz w:val="28"/>
          <w:szCs w:val="28"/>
        </w:rPr>
        <w:t>.2 Improve ESG Reporting and Transparency</w:t>
      </w:r>
      <w:bookmarkEnd w:id="83"/>
    </w:p>
    <w:p w14:paraId="12EECC7F" w14:textId="34851E50" w:rsidR="00464F92" w:rsidRDefault="002831B2">
      <w:r>
        <w:t>The results demonstrate that standardised and uniform ESG reporting can promote comparability and overcome information asymmetries</w:t>
      </w:r>
      <w:r w:rsidR="00861C52">
        <w:t>,</w:t>
      </w:r>
      <w:r>
        <w:t xml:space="preserve"> while fragmented ESG reporting can create uncertainty and investment risks. Khamisu and Paluri (2024) recommend that renewable energy organisations should engage in consistent and standardised ESG reporting and present accurate and comparable ESG performance information. The process should start with the selection of the most important ESG indicators from the perspective of investors and organisational renewable energy operations, after which the organisation should assign responsibility for their measurement within its structures. Such reporting should focus on the disclosure of climate risks, carbon emissions, corporate governance, workforce performance, and other socially related factors (Honey, Ahsan and Migliori, 2024). It should be accompanied by a process of internal review of the disclosed information </w:t>
      </w:r>
      <w:r w:rsidR="006F295C">
        <w:t>to</w:t>
      </w:r>
      <w:r>
        <w:t xml:space="preserve"> ensure accuracy and uniformity. </w:t>
      </w:r>
      <w:r>
        <w:lastRenderedPageBreak/>
        <w:t xml:space="preserve">An independent verification of ESG reporting information is possible when appropriate. In any case, regular ESG reporting in terms of set targets would allow investors to assess the progress of the organisation. </w:t>
      </w:r>
    </w:p>
    <w:p w14:paraId="6E27D1D7" w14:textId="22E10FD9" w:rsidR="00464F92" w:rsidRPr="00BF1C6F" w:rsidRDefault="002831B2" w:rsidP="008B74D1">
      <w:pPr>
        <w:pStyle w:val="Heading3"/>
        <w:rPr>
          <w:i w:val="0"/>
          <w:iCs w:val="0"/>
          <w:sz w:val="28"/>
          <w:szCs w:val="28"/>
        </w:rPr>
      </w:pPr>
      <w:bookmarkStart w:id="84" w:name="_Toc240715289"/>
      <w:r w:rsidRPr="00BF1C6F">
        <w:rPr>
          <w:i w:val="0"/>
          <w:iCs w:val="0"/>
          <w:sz w:val="28"/>
          <w:szCs w:val="28"/>
        </w:rPr>
        <w:t>5.</w:t>
      </w:r>
      <w:r w:rsidR="008B74D1" w:rsidRPr="00BF1C6F">
        <w:rPr>
          <w:i w:val="0"/>
          <w:iCs w:val="0"/>
          <w:sz w:val="28"/>
          <w:szCs w:val="28"/>
        </w:rPr>
        <w:t>5</w:t>
      </w:r>
      <w:r w:rsidRPr="00BF1C6F">
        <w:rPr>
          <w:i w:val="0"/>
          <w:iCs w:val="0"/>
          <w:sz w:val="28"/>
          <w:szCs w:val="28"/>
        </w:rPr>
        <w:t>.3 Strengthen Governance and Board Accountability</w:t>
      </w:r>
      <w:bookmarkEnd w:id="84"/>
    </w:p>
    <w:p w14:paraId="08AA1DAB" w14:textId="63181CE4" w:rsidR="00464F92" w:rsidRDefault="002831B2">
      <w:r>
        <w:t xml:space="preserve">Renewable energy companies need to improve their governance and governance oversight to mitigate uncertainty and boost the confidence of international investors. Effective corporate governance principles such as board oversight, accountability, transparency, risk management, and ethics will enable assurance that the ESG commitments made have organisational mechanisms in place. According to Yucel and Yucel (2024), renewable energy firms need to enhance the role of the board of directors in ESG and integrate governance processes with sustainability goals. The practical steps should involve allocation of ESG roles to the board members and creation of an ESG or sustainability committee. Board members need to be well-trained on ESG matters so that they are able to assess environmental and social risks together with other financial risks. The progress made needs to be assessed through board meetings using ESG indicators, where major results and actions are noted down. Besides, organisations need to enhance assurance for their ESG matters, both internally and externally (Hecimovic and Canestrari-Soh, 2025). This will be a way of showing that ESG is integrated into governance, not just reporting, hence improving the credibility of the organisation and making foreign investments less risky. </w:t>
      </w:r>
    </w:p>
    <w:p w14:paraId="0140E6A4" w14:textId="68A84B3E" w:rsidR="00464F92" w:rsidRPr="00BF1C6F" w:rsidRDefault="002831B2" w:rsidP="008B74D1">
      <w:pPr>
        <w:pStyle w:val="Heading3"/>
        <w:rPr>
          <w:i w:val="0"/>
          <w:iCs w:val="0"/>
          <w:sz w:val="28"/>
          <w:szCs w:val="28"/>
        </w:rPr>
      </w:pPr>
      <w:bookmarkStart w:id="85" w:name="_Toc240715290"/>
      <w:r w:rsidRPr="00BF1C6F">
        <w:rPr>
          <w:i w:val="0"/>
          <w:iCs w:val="0"/>
          <w:sz w:val="28"/>
          <w:szCs w:val="28"/>
        </w:rPr>
        <w:t>5.</w:t>
      </w:r>
      <w:r w:rsidR="008B74D1" w:rsidRPr="00BF1C6F">
        <w:rPr>
          <w:i w:val="0"/>
          <w:iCs w:val="0"/>
          <w:sz w:val="28"/>
          <w:szCs w:val="28"/>
        </w:rPr>
        <w:t>5</w:t>
      </w:r>
      <w:r w:rsidRPr="00BF1C6F">
        <w:rPr>
          <w:i w:val="0"/>
          <w:iCs w:val="0"/>
          <w:sz w:val="28"/>
          <w:szCs w:val="28"/>
        </w:rPr>
        <w:t>.4 Strengthen Social Performance and Stakeholder Engagement</w:t>
      </w:r>
      <w:bookmarkEnd w:id="85"/>
    </w:p>
    <w:p w14:paraId="31DCD9ED" w14:textId="588E7B73" w:rsidR="00464F92" w:rsidRDefault="00861C52">
      <w:r>
        <w:t>Renewable</w:t>
      </w:r>
      <w:r w:rsidR="002831B2">
        <w:t xml:space="preserve"> energy </w:t>
      </w:r>
      <w:r>
        <w:t xml:space="preserve">firms </w:t>
      </w:r>
      <w:r w:rsidR="002831B2">
        <w:t xml:space="preserve">should work on their social performance by tackling issues like </w:t>
      </w:r>
      <w:r>
        <w:t xml:space="preserve">the </w:t>
      </w:r>
      <w:r w:rsidR="002831B2">
        <w:t xml:space="preserve">wellbeing of their employees, health and safety in the workplace, development of the workforce, and diversity in the workforce. According to Tong, Shahid and Mannan (2026), renewable energy firms should pay more attention to the aspect of social performance when making sustainability investments. The process should start </w:t>
      </w:r>
      <w:r>
        <w:t>with</w:t>
      </w:r>
      <w:r w:rsidR="002831B2">
        <w:t xml:space="preserve"> conducting an evaluation of social performance</w:t>
      </w:r>
      <w:r w:rsidR="00760960">
        <w:t>,</w:t>
      </w:r>
      <w:r w:rsidR="002831B2">
        <w:t xml:space="preserve"> where the company identifies gaps in terms of workforce practices and interactions with the affected communities. Targets should be set regarding issues like training hours, etc. Regular training programs, health and safety processes, and recruitment and development strategies need to be integrated into the organisation’s operations. Abdelkareem </w:t>
      </w:r>
      <w:r w:rsidR="002831B2">
        <w:rPr>
          <w:i/>
          <w:iCs/>
        </w:rPr>
        <w:t>et al.</w:t>
      </w:r>
      <w:r w:rsidR="002831B2">
        <w:t xml:space="preserve"> (2023) show that for communities that will be affected by renewable energy developments, organisations need to put in place consultation processes from the planning to </w:t>
      </w:r>
      <w:r w:rsidR="002831B2">
        <w:lastRenderedPageBreak/>
        <w:t xml:space="preserve">development stage of their projects, including meetings with the communities, feedback processes, and procedures for grievances. Employment opportunities, skill development, and other community benefits will also enhance acceptance of the projects. These processes need to be regularly monitored and evaluated by the top management and then disclosed under ESG reporting processes. This would allow organisations to show that they actively manage social performance and not just consider it as one of the ESG components. </w:t>
      </w:r>
    </w:p>
    <w:p w14:paraId="00A1235B" w14:textId="0A415408" w:rsidR="00464F92" w:rsidRPr="00BF1C6F" w:rsidRDefault="002831B2" w:rsidP="008B74D1">
      <w:pPr>
        <w:pStyle w:val="Heading3"/>
        <w:rPr>
          <w:i w:val="0"/>
          <w:iCs w:val="0"/>
        </w:rPr>
      </w:pPr>
      <w:bookmarkStart w:id="86" w:name="_Toc240715291"/>
      <w:r w:rsidRPr="00BF1C6F">
        <w:rPr>
          <w:i w:val="0"/>
          <w:iCs w:val="0"/>
          <w:sz w:val="28"/>
          <w:szCs w:val="28"/>
        </w:rPr>
        <w:t>5.</w:t>
      </w:r>
      <w:r w:rsidR="008B74D1" w:rsidRPr="00BF1C6F">
        <w:rPr>
          <w:i w:val="0"/>
          <w:iCs w:val="0"/>
          <w:sz w:val="28"/>
          <w:szCs w:val="28"/>
        </w:rPr>
        <w:t>5</w:t>
      </w:r>
      <w:r w:rsidRPr="00BF1C6F">
        <w:rPr>
          <w:i w:val="0"/>
          <w:iCs w:val="0"/>
          <w:sz w:val="28"/>
          <w:szCs w:val="28"/>
        </w:rPr>
        <w:t>.5 Build ESG Capabilities and Measurement Systems</w:t>
      </w:r>
      <w:bookmarkEnd w:id="86"/>
    </w:p>
    <w:p w14:paraId="40D61943" w14:textId="64B3AA7F" w:rsidR="00464F92" w:rsidRDefault="002831B2">
      <w:r>
        <w:t xml:space="preserve">Based on the results presented in the study, the cost of implementation, inconsistency in measuring and lack of organisational capacity may prevent the effective adoption of ESG. For renewable energy companies to adopt ESG, they will have to create ESG capability internally via training employees on the concept, measurement, and reporting of ESG (Nagriwum, Zhu and Saeed, 2025). First, the organisation needs to determine the ESG indicators that matter to it the most and develop standard procedures to gather and document the data. The next step will involve assigning ESG responsibilities to certain managers or functional groups in the firm, who should be supervised by senior management. Afterwards, digital measurement methods could be employed to keep the data consistent and measure performance against the set target values. The performance of ESG could be evaluated periodically through internal audit or management review to detect weak spots and improve the quality of ESG data. If there is not enough capacity to conduct ESG measurement internally, then it is recommended to start </w:t>
      </w:r>
      <w:r w:rsidR="00861C52">
        <w:t>by</w:t>
      </w:r>
      <w:r>
        <w:t xml:space="preserve"> hiring ESG experts to teach the employees. </w:t>
      </w:r>
    </w:p>
    <w:p w14:paraId="7093EE33" w14:textId="4C2E0143" w:rsidR="00464F92" w:rsidRPr="00BF1C6F" w:rsidRDefault="002831B2" w:rsidP="007E2A26">
      <w:pPr>
        <w:pStyle w:val="Heading3"/>
        <w:rPr>
          <w:i w:val="0"/>
          <w:iCs w:val="0"/>
        </w:rPr>
      </w:pPr>
      <w:bookmarkStart w:id="87" w:name="_Toc240715292"/>
      <w:r w:rsidRPr="00BF1C6F">
        <w:rPr>
          <w:i w:val="0"/>
          <w:iCs w:val="0"/>
          <w:sz w:val="28"/>
          <w:szCs w:val="28"/>
        </w:rPr>
        <w:t>5.</w:t>
      </w:r>
      <w:r w:rsidR="008B74D1" w:rsidRPr="00BF1C6F">
        <w:rPr>
          <w:i w:val="0"/>
          <w:iCs w:val="0"/>
          <w:sz w:val="28"/>
          <w:szCs w:val="28"/>
        </w:rPr>
        <w:t>5</w:t>
      </w:r>
      <w:r w:rsidRPr="00BF1C6F">
        <w:rPr>
          <w:i w:val="0"/>
          <w:iCs w:val="0"/>
          <w:sz w:val="28"/>
          <w:szCs w:val="28"/>
        </w:rPr>
        <w:t>.6 Improve Communication with Foreign Investors</w:t>
      </w:r>
      <w:bookmarkEnd w:id="87"/>
    </w:p>
    <w:p w14:paraId="762619D4" w14:textId="0E39457D" w:rsidR="00464F92" w:rsidRDefault="002831B2">
      <w:r>
        <w:t xml:space="preserve">From the above analysis, the results show that ESG information is more influential in influencing the attractiveness of investments if the connection of the information with risk, resilience, and the potential value of the firm is conveyed to the investors. Consequently, it is suggested that renewable energy firms adopt an appropriate ESG investor communication process (Qi </w:t>
      </w:r>
      <w:r>
        <w:rPr>
          <w:i/>
          <w:iCs/>
        </w:rPr>
        <w:t>et al</w:t>
      </w:r>
      <w:r>
        <w:t xml:space="preserve">., 2025). In order to achieve this objective, one way could be by ensuring there is an investor briefing process concerning ESG information, including </w:t>
      </w:r>
      <w:r w:rsidR="00BF1C6F">
        <w:t xml:space="preserve">the </w:t>
      </w:r>
      <w:r>
        <w:t>integration of material risks and opportunities of ESG issues in investor meetings</w:t>
      </w:r>
      <w:r w:rsidR="00BF1C6F">
        <w:t>,</w:t>
      </w:r>
      <w:r>
        <w:t xml:space="preserve"> as well as connecting sustainability goals with performance indicators and the financial </w:t>
      </w:r>
      <w:r w:rsidR="00861C52">
        <w:t>implications</w:t>
      </w:r>
      <w:r>
        <w:t xml:space="preserve"> of the same. The investor relations unit should coordinate with other units of the firm</w:t>
      </w:r>
      <w:r w:rsidR="00E44F3F">
        <w:t xml:space="preserve">, such as the sustainability unit, finance, and governance, to ensure that the information provided to investors is accurate </w:t>
      </w:r>
      <w:r w:rsidR="00E44F3F">
        <w:lastRenderedPageBreak/>
        <w:t xml:space="preserve">and consistent in annual reports, on the firm's website, and in </w:t>
      </w:r>
      <w:r>
        <w:t xml:space="preserve">investor meetings. In addition, there should be continuous updates on the progress made in relation to ESG goals, as well as explanations of why certain goals have not been met. </w:t>
      </w:r>
    </w:p>
    <w:p w14:paraId="7ACFFFE0" w14:textId="60BEB4DC" w:rsidR="00F212D3" w:rsidRPr="00BF1C6F" w:rsidRDefault="00FC6C7E" w:rsidP="007E2A26">
      <w:pPr>
        <w:pStyle w:val="Heading3"/>
        <w:rPr>
          <w:i w:val="0"/>
          <w:iCs w:val="0"/>
          <w:sz w:val="28"/>
          <w:szCs w:val="28"/>
        </w:rPr>
      </w:pPr>
      <w:bookmarkStart w:id="88" w:name="_Toc240715293"/>
      <w:r w:rsidRPr="00BF1C6F">
        <w:rPr>
          <w:i w:val="0"/>
          <w:iCs w:val="0"/>
          <w:sz w:val="28"/>
          <w:szCs w:val="28"/>
        </w:rPr>
        <w:t>5.</w:t>
      </w:r>
      <w:r w:rsidR="008B74D1" w:rsidRPr="00BF1C6F">
        <w:rPr>
          <w:i w:val="0"/>
          <w:iCs w:val="0"/>
          <w:sz w:val="28"/>
          <w:szCs w:val="28"/>
        </w:rPr>
        <w:t>5</w:t>
      </w:r>
      <w:r w:rsidRPr="00BF1C6F">
        <w:rPr>
          <w:i w:val="0"/>
          <w:iCs w:val="0"/>
          <w:sz w:val="28"/>
          <w:szCs w:val="28"/>
        </w:rPr>
        <w:t>.7 Limitation</w:t>
      </w:r>
      <w:r w:rsidR="00130691" w:rsidRPr="00BF1C6F">
        <w:rPr>
          <w:i w:val="0"/>
          <w:iCs w:val="0"/>
          <w:sz w:val="28"/>
          <w:szCs w:val="28"/>
        </w:rPr>
        <w:t xml:space="preserve"> of the study</w:t>
      </w:r>
      <w:bookmarkEnd w:id="88"/>
    </w:p>
    <w:p w14:paraId="251CDF2F" w14:textId="77443963" w:rsidR="003761D6" w:rsidRPr="008B74D1" w:rsidRDefault="003761D6" w:rsidP="003761D6">
      <w:pPr>
        <w:rPr>
          <w:color w:val="000000" w:themeColor="text1"/>
        </w:rPr>
      </w:pPr>
      <w:r w:rsidRPr="008B74D1">
        <w:rPr>
          <w:color w:val="000000" w:themeColor="text1"/>
        </w:rPr>
        <w:t>This study has several limitations as well. First, it is important to note that the research was purely based on qualitative secondary data, which means that there were no direct insights provided by foreign investors and renewable energy companies. The second limitation refers to the narrow literature database, which might fail to reflect all changes that happen in the ESG field.</w:t>
      </w:r>
      <w:r w:rsidR="006C2979" w:rsidRPr="008B74D1">
        <w:rPr>
          <w:color w:val="000000" w:themeColor="text1"/>
        </w:rPr>
        <w:t xml:space="preserve"> Lastly, there </w:t>
      </w:r>
      <w:r w:rsidR="00BF1C6F">
        <w:rPr>
          <w:color w:val="000000" w:themeColor="text1"/>
        </w:rPr>
        <w:t>is</w:t>
      </w:r>
      <w:r w:rsidR="006C2979" w:rsidRPr="008B74D1">
        <w:rPr>
          <w:color w:val="000000" w:themeColor="text1"/>
        </w:rPr>
        <w:t xml:space="preserve"> potential publication bias that may influence the identified evidence and </w:t>
      </w:r>
      <w:r w:rsidR="00BF1C6F">
        <w:rPr>
          <w:color w:val="000000" w:themeColor="text1"/>
        </w:rPr>
        <w:t>the interpretation of</w:t>
      </w:r>
      <w:r w:rsidR="006C2979" w:rsidRPr="008B74D1">
        <w:rPr>
          <w:color w:val="000000" w:themeColor="text1"/>
        </w:rPr>
        <w:t xml:space="preserve"> the decision.  </w:t>
      </w:r>
    </w:p>
    <w:p w14:paraId="2EB9CB3C" w14:textId="581D615A" w:rsidR="00464F92" w:rsidRPr="00BF1C6F" w:rsidRDefault="002831B2" w:rsidP="007E2A26">
      <w:pPr>
        <w:pStyle w:val="Heading3"/>
        <w:rPr>
          <w:i w:val="0"/>
          <w:iCs w:val="0"/>
          <w:sz w:val="28"/>
          <w:szCs w:val="28"/>
        </w:rPr>
      </w:pPr>
      <w:bookmarkStart w:id="89" w:name="_Toc240715294"/>
      <w:r w:rsidRPr="00BF1C6F">
        <w:rPr>
          <w:i w:val="0"/>
          <w:iCs w:val="0"/>
          <w:sz w:val="28"/>
          <w:szCs w:val="28"/>
        </w:rPr>
        <w:t>5.</w:t>
      </w:r>
      <w:r w:rsidR="008B74D1" w:rsidRPr="00BF1C6F">
        <w:rPr>
          <w:i w:val="0"/>
          <w:iCs w:val="0"/>
          <w:sz w:val="28"/>
          <w:szCs w:val="28"/>
        </w:rPr>
        <w:t>5</w:t>
      </w:r>
      <w:r w:rsidRPr="00BF1C6F">
        <w:rPr>
          <w:i w:val="0"/>
          <w:iCs w:val="0"/>
          <w:sz w:val="28"/>
          <w:szCs w:val="28"/>
        </w:rPr>
        <w:t>.</w:t>
      </w:r>
      <w:r w:rsidR="00130691" w:rsidRPr="00BF1C6F">
        <w:rPr>
          <w:i w:val="0"/>
          <w:iCs w:val="0"/>
          <w:sz w:val="28"/>
          <w:szCs w:val="28"/>
        </w:rPr>
        <w:t>8</w:t>
      </w:r>
      <w:r w:rsidRPr="00BF1C6F">
        <w:rPr>
          <w:i w:val="0"/>
          <w:iCs w:val="0"/>
          <w:sz w:val="28"/>
          <w:szCs w:val="28"/>
        </w:rPr>
        <w:t xml:space="preserve"> Recommendations for Future Research</w:t>
      </w:r>
      <w:bookmarkEnd w:id="89"/>
    </w:p>
    <w:p w14:paraId="28B681F5" w14:textId="2E5BAB37" w:rsidR="00464F92" w:rsidRDefault="002831B2">
      <w:r>
        <w:t xml:space="preserve">The results demonstrate the necessity for empirical research in relation to the joint influence of ESG components on decisions of foreign investment in the UK renewable energy sector. It is recommended that future researchers carry out primary research by conducting semi-structured interviews </w:t>
      </w:r>
      <w:r w:rsidR="00861C52">
        <w:t>with</w:t>
      </w:r>
      <w:r>
        <w:t xml:space="preserve"> foreign investors, investment managers, and renewable-energy managers, along with structured surveys to gather opinions on ESG performance. Interviews can be used </w:t>
      </w:r>
      <w:r w:rsidR="00BF1C6F">
        <w:t>to explore</w:t>
      </w:r>
      <w:r>
        <w:t xml:space="preserve"> the criteria of </w:t>
      </w:r>
      <w:r w:rsidR="00861C52">
        <w:t>trade-offs among</w:t>
      </w:r>
      <w:r>
        <w:t xml:space="preserve"> ESG components, whereas surveys will allow identifying patterns within a large sample of respondents. This approach needs to be conducted with the use of purposive or stratified sampling. Longitudinal studies should trace changes in the performance and investment decisions for several years, whereas comparative analysis may compare the UK with other renewable-energy markets. In addition, it is suggested that researchers develop </w:t>
      </w:r>
      <w:r w:rsidR="00861C52">
        <w:t>standardised</w:t>
      </w:r>
      <w:r>
        <w:t xml:space="preserve"> measures for integrated ESG performance.</w:t>
      </w:r>
    </w:p>
    <w:p w14:paraId="7CA46094" w14:textId="77777777" w:rsidR="00464F92" w:rsidRDefault="00464F92"/>
    <w:p w14:paraId="491A0008" w14:textId="77777777" w:rsidR="00464F92" w:rsidRDefault="00464F92"/>
    <w:p w14:paraId="05800CE6" w14:textId="77777777" w:rsidR="00464F92" w:rsidRDefault="00464F92"/>
    <w:p w14:paraId="1C7B8CCD" w14:textId="77777777" w:rsidR="00464F92" w:rsidRDefault="00464F92"/>
    <w:p w14:paraId="4AD5659F" w14:textId="77777777" w:rsidR="00464F92" w:rsidRDefault="00464F92"/>
    <w:p w14:paraId="15245114" w14:textId="2BB56C70" w:rsidR="00CF6F6D" w:rsidRDefault="00CF6F6D"/>
    <w:p w14:paraId="308099D4" w14:textId="77777777" w:rsidR="00BF1C6F" w:rsidRDefault="00BF1C6F">
      <w:pPr>
        <w:rPr>
          <w:b/>
          <w:bCs/>
          <w:sz w:val="28"/>
          <w:szCs w:val="28"/>
        </w:rPr>
      </w:pPr>
    </w:p>
    <w:p w14:paraId="0FE7AA64" w14:textId="3B1E515E" w:rsidR="00464F92" w:rsidRDefault="002831B2">
      <w:pPr>
        <w:pStyle w:val="Heading1"/>
      </w:pPr>
      <w:bookmarkStart w:id="90" w:name="_Toc240715295"/>
      <w:r>
        <w:lastRenderedPageBreak/>
        <w:t>References</w:t>
      </w:r>
      <w:bookmarkEnd w:id="90"/>
      <w:r>
        <w:t xml:space="preserve"> </w:t>
      </w:r>
    </w:p>
    <w:p w14:paraId="45807600" w14:textId="77777777" w:rsidR="00464F92" w:rsidRDefault="002831B2">
      <w:r>
        <w:t xml:space="preserve">Abdelkareem, M.A., Elsaid, K., Obaideen, K., Abdelkareem, M.A., Rezk, H., Wilberforce, T., Maghrabie, H.M. and Sayed, E.T. (2023) ‘Renewable energy systems: Comparisons, challenges and barriers, sustainability indicators, and the contribution to UN sustainable development goals’, </w:t>
      </w:r>
      <w:r>
        <w:rPr>
          <w:i/>
          <w:iCs/>
        </w:rPr>
        <w:t>International Journal of Thermofluids</w:t>
      </w:r>
      <w:r>
        <w:t xml:space="preserve">, 20(1), pp. 100498–100498. Available at: </w:t>
      </w:r>
      <w:hyperlink r:id="rId20">
        <w:r>
          <w:rPr>
            <w:color w:val="0000FF"/>
            <w:u w:val="single"/>
          </w:rPr>
          <w:t>https://doi.org/10.1016/j.ijft.2023.100498</w:t>
        </w:r>
      </w:hyperlink>
      <w:r>
        <w:t xml:space="preserve">. </w:t>
      </w:r>
    </w:p>
    <w:p w14:paraId="6C3BB643" w14:textId="77777777" w:rsidR="00464F92" w:rsidRDefault="002831B2">
      <w:r>
        <w:t xml:space="preserve">Abdirahman, A.A., Asif, M. and Mohsen, O. (2025) ‘Circular economy in the renewable energy sector: A review of growth trends, gaps and future directions’, </w:t>
      </w:r>
      <w:r>
        <w:rPr>
          <w:i/>
          <w:iCs/>
        </w:rPr>
        <w:t>Energy Nexus</w:t>
      </w:r>
      <w:r>
        <w:t xml:space="preserve">, 17, p. 100395. Available at: </w:t>
      </w:r>
      <w:hyperlink r:id="rId21">
        <w:r>
          <w:rPr>
            <w:color w:val="1155CC"/>
            <w:u w:val="single"/>
          </w:rPr>
          <w:t>https://doi.org/10.1016/j.nexus.2025.100395</w:t>
        </w:r>
      </w:hyperlink>
      <w:r>
        <w:t>.  (Accessed 01 August 2026)</w:t>
      </w:r>
    </w:p>
    <w:p w14:paraId="49CC277E" w14:textId="77777777" w:rsidR="00464F92" w:rsidRDefault="002831B2">
      <w:r>
        <w:t xml:space="preserve">Aguilera, R.V. and Castillo, M.R. (2025) ‘Toward an updated corporate governance framework: Fundamentals, disruptions, and future research’, </w:t>
      </w:r>
      <w:r>
        <w:rPr>
          <w:i/>
          <w:iCs/>
        </w:rPr>
        <w:t>BRQ Business Research Quarterly</w:t>
      </w:r>
      <w:r>
        <w:t xml:space="preserve">, 28(2). Available at: </w:t>
      </w:r>
      <w:hyperlink r:id="rId22">
        <w:r>
          <w:rPr>
            <w:color w:val="1155CC"/>
            <w:u w:val="single"/>
          </w:rPr>
          <w:t>https://doi.org/10.1177/23409444251320399</w:t>
        </w:r>
      </w:hyperlink>
      <w:r>
        <w:t xml:space="preserve">. </w:t>
      </w:r>
    </w:p>
    <w:p w14:paraId="3813F00E" w14:textId="77777777" w:rsidR="00464F92" w:rsidRDefault="002831B2">
      <w:r>
        <w:t xml:space="preserve">Ahmed, S.K., Mohammed, R.A., Nashwan, A.J., Ibrahim, R.H., Abdalla, A.Q., Ameen, B.M.M. and Khidhir, R.M. (2025) ‘Using thematic analysis in qualitative research’, </w:t>
      </w:r>
      <w:r>
        <w:rPr>
          <w:i/>
          <w:iCs/>
        </w:rPr>
        <w:t>Journal of Medicine, Surgery, and Public Health</w:t>
      </w:r>
      <w:r>
        <w:t xml:space="preserve">, 6(6), p. 100198. Available at: </w:t>
      </w:r>
      <w:hyperlink r:id="rId23">
        <w:r>
          <w:rPr>
            <w:color w:val="1155CC"/>
            <w:u w:val="single"/>
          </w:rPr>
          <w:t>https://doi.org/https://doi.org/10.1016/j.glmedi.2025.100198</w:t>
        </w:r>
      </w:hyperlink>
      <w:r>
        <w:t>. (Accessed 01 August 2026)</w:t>
      </w:r>
    </w:p>
    <w:p w14:paraId="6FED1669" w14:textId="77777777" w:rsidR="00464F92" w:rsidRDefault="002831B2">
      <w:r>
        <w:t xml:space="preserve">Aja Louise Murray and Xie, T. (2023) ‘Engaging adolescents in contemporary longitudinal health research: Strategies for promoting participation and retention’, </w:t>
      </w:r>
      <w:r>
        <w:rPr>
          <w:i/>
          <w:iCs/>
        </w:rPr>
        <w:t>Journal of Adolescent Health</w:t>
      </w:r>
      <w:r>
        <w:t xml:space="preserve">, 74(1). Available at: </w:t>
      </w:r>
      <w:hyperlink r:id="rId24">
        <w:r>
          <w:rPr>
            <w:color w:val="1155CC"/>
            <w:u w:val="single"/>
          </w:rPr>
          <w:t>https://doi.org/10.1016/j.jadohealth.2023.06.032</w:t>
        </w:r>
      </w:hyperlink>
      <w:r>
        <w:t>. (Accessed 01 August 2026)</w:t>
      </w:r>
    </w:p>
    <w:p w14:paraId="7581A55D" w14:textId="77777777" w:rsidR="00464F92" w:rsidRDefault="002831B2">
      <w:r>
        <w:t xml:space="preserve">Aja Louise Murray and Xie, T. (2023) ‘Engaging adolescents in contemporary longitudinal health research: Strategies for promoting participation and retention’, </w:t>
      </w:r>
      <w:r>
        <w:rPr>
          <w:i/>
          <w:iCs/>
        </w:rPr>
        <w:t>Journal of Adolescent Health</w:t>
      </w:r>
      <w:r>
        <w:t xml:space="preserve">, 74(1). Available at: </w:t>
      </w:r>
      <w:hyperlink r:id="rId25">
        <w:r>
          <w:rPr>
            <w:color w:val="1155CC"/>
            <w:u w:val="single"/>
          </w:rPr>
          <w:t>https://doi.org/10.1016/j.jadohealth.2023.06.032</w:t>
        </w:r>
      </w:hyperlink>
      <w:r>
        <w:t>.  (Accessed 01 August 2026)</w:t>
      </w:r>
    </w:p>
    <w:p w14:paraId="09B1DE4B" w14:textId="77777777" w:rsidR="00464F92" w:rsidRDefault="002831B2">
      <w:r>
        <w:t xml:space="preserve">Alkaraan, F., Elmarzouky, M., Hussainey, K. and Venkatesh, V.G. (2023) “Sustainable strategic investment decision-making practices in UK companies: The influence of governance mechanisms on synergy between industry 4.0 and circular economy,” </w:t>
      </w:r>
      <w:r>
        <w:rPr>
          <w:i/>
          <w:iCs/>
        </w:rPr>
        <w:t>Technological Forecasting and Social Change</w:t>
      </w:r>
      <w:r>
        <w:t xml:space="preserve">, 187(2), p. 122187. Available at: </w:t>
      </w:r>
      <w:hyperlink r:id="rId26">
        <w:r>
          <w:rPr>
            <w:color w:val="1155CC"/>
            <w:u w:val="single"/>
          </w:rPr>
          <w:t>https://www.sciencedirect.com/science/article/pii/S0040162522007089</w:t>
        </w:r>
      </w:hyperlink>
      <w:r>
        <w:t xml:space="preserve">  (Accessed 25 July 2026)</w:t>
      </w:r>
    </w:p>
    <w:p w14:paraId="07A9A051" w14:textId="764DCA9F" w:rsidR="00464F92" w:rsidRDefault="002831B2">
      <w:r>
        <w:t xml:space="preserve">Al-Najjar, B., Salama, A. and Abed, A. (2025) ‘From compliance to commitment: Examining the influence of corporate governance and social performance on </w:t>
      </w:r>
      <w:r w:rsidR="00310ADF">
        <w:t>firms'</w:t>
      </w:r>
      <w:r>
        <w:t xml:space="preserve"> circular economy </w:t>
      </w:r>
      <w:r>
        <w:lastRenderedPageBreak/>
        <w:t xml:space="preserve">initiatives’, </w:t>
      </w:r>
      <w:r>
        <w:rPr>
          <w:i/>
          <w:iCs/>
        </w:rPr>
        <w:t>Journal of Business Ethics</w:t>
      </w:r>
      <w:r>
        <w:t xml:space="preserve">, 205(3), pp. 539–562. Available at: </w:t>
      </w:r>
      <w:hyperlink r:id="rId27">
        <w:r>
          <w:rPr>
            <w:color w:val="0000FF"/>
            <w:u w:val="single"/>
          </w:rPr>
          <w:t>https://doi.org/10.1007/s10551-025-06111-9</w:t>
        </w:r>
      </w:hyperlink>
      <w:r>
        <w:t xml:space="preserve">. </w:t>
      </w:r>
    </w:p>
    <w:p w14:paraId="1177F854" w14:textId="77777777" w:rsidR="00464F92" w:rsidRDefault="002831B2">
      <w:r>
        <w:t xml:space="preserve">Ambili Jayachandran, Nair, V. and Aghila Sasidharan (2025) “Corporate &lt;scp&gt;ESG&lt;/scp&gt; integration: A qualitative analysis of managerial perceptions and industry variations among emerging economy firms,” </w:t>
      </w:r>
      <w:r>
        <w:rPr>
          <w:i/>
          <w:iCs/>
        </w:rPr>
        <w:t>Corporate Social Responsibility and Environmental Management</w:t>
      </w:r>
      <w:r>
        <w:t xml:space="preserve"> [Preprint]. Available at: </w:t>
      </w:r>
      <w:hyperlink r:id="rId28">
        <w:r>
          <w:rPr>
            <w:color w:val="1155CC"/>
            <w:u w:val="single"/>
          </w:rPr>
          <w:t>https://doi.org/10.1002/csr.70324</w:t>
        </w:r>
      </w:hyperlink>
      <w:r>
        <w:t>. (Accessed 29 July 2026)</w:t>
      </w:r>
    </w:p>
    <w:p w14:paraId="427E6B22" w14:textId="77777777" w:rsidR="00464F92" w:rsidRDefault="002831B2">
      <w:r>
        <w:t xml:space="preserve">Arbués, E., Abad-Villaverde, B., Costa-París, A., Balaguer, Á., Conesa-Lareo, M.-D. and Beltramo, C. (2025) ‘Socio-emotional competencies for sustainable development: An exploratory review’, </w:t>
      </w:r>
      <w:r>
        <w:rPr>
          <w:i/>
          <w:iCs/>
        </w:rPr>
        <w:t>Education Sciences</w:t>
      </w:r>
      <w:r>
        <w:t xml:space="preserve">, 15(7), p. 831. Available at: </w:t>
      </w:r>
      <w:hyperlink r:id="rId29">
        <w:r>
          <w:rPr>
            <w:color w:val="1155CC"/>
            <w:u w:val="single"/>
          </w:rPr>
          <w:t>https://doi.org/10.3390/educsci15070831</w:t>
        </w:r>
      </w:hyperlink>
      <w:r>
        <w:t>.  (Accessed 01 August 2026)</w:t>
      </w:r>
    </w:p>
    <w:p w14:paraId="06E0CF2C" w14:textId="77777777" w:rsidR="00464F92" w:rsidRDefault="002831B2">
      <w:r>
        <w:t xml:space="preserve">Awa, H.O., Etim, W. and Ogbonda, E. (2024) ‘Stakeholders, stakeholder theory and corporate social responsibility (CSR)’, </w:t>
      </w:r>
      <w:r>
        <w:rPr>
          <w:i/>
          <w:iCs/>
        </w:rPr>
        <w:t>International Journal of Corporate Social Responsibility</w:t>
      </w:r>
      <w:r>
        <w:t xml:space="preserve">, 9(1), pp. 1–14. Available at: </w:t>
      </w:r>
      <w:hyperlink r:id="rId30">
        <w:r>
          <w:rPr>
            <w:color w:val="1155CC"/>
            <w:u w:val="single"/>
          </w:rPr>
          <w:t>https://doi.org/https://doi.org/10.1186/s40991-024-00094-y</w:t>
        </w:r>
      </w:hyperlink>
      <w:r>
        <w:t xml:space="preserve">. </w:t>
      </w:r>
    </w:p>
    <w:p w14:paraId="797879F6" w14:textId="77777777" w:rsidR="00464F92" w:rsidRDefault="002831B2">
      <w:r>
        <w:t xml:space="preserve">Ayadi, I. and Hunjra, A.I. (2025) “Firms in Times of Economic uncertainty: Digital integration to counter information asymmetry and &lt;scp&gt;ESG&lt;/scp&gt; controversies,” Business ethics, the environment &amp;amp; responsibility [Preprint]. Available at: </w:t>
      </w:r>
      <w:hyperlink r:id="rId31">
        <w:r>
          <w:rPr>
            <w:color w:val="1155CC"/>
            <w:u w:val="single"/>
          </w:rPr>
          <w:t>https://doi.org/10.1111/beer.12779</w:t>
        </w:r>
      </w:hyperlink>
      <w:r>
        <w:t>. (Accessed 25 July 2026)</w:t>
      </w:r>
    </w:p>
    <w:p w14:paraId="1DEBCE4D" w14:textId="77777777" w:rsidR="00464F92" w:rsidRDefault="002831B2">
      <w:r>
        <w:t xml:space="preserve">Banerjee, S. and David, R. (2024) “Does ESG really matter? Assessing the relevance of ESG in indian investors’ decision-making dynamics,” </w:t>
      </w:r>
      <w:r>
        <w:rPr>
          <w:i/>
          <w:iCs/>
        </w:rPr>
        <w:t>Qualitative Research in Financial Markets</w:t>
      </w:r>
      <w:r>
        <w:t xml:space="preserve"> [Preprint]. Available at: </w:t>
      </w:r>
      <w:hyperlink r:id="rId32">
        <w:r>
          <w:rPr>
            <w:color w:val="1155CC"/>
            <w:u w:val="single"/>
          </w:rPr>
          <w:t>https://doi.org/10.1108/qrfm-10-2023-0241</w:t>
        </w:r>
      </w:hyperlink>
      <w:r>
        <w:t>. (Accessed 25 July 2026)</w:t>
      </w:r>
    </w:p>
    <w:p w14:paraId="7A562414" w14:textId="77777777" w:rsidR="00464F92" w:rsidRDefault="002831B2">
      <w:r>
        <w:t xml:space="preserve">Barezzani, S. (2025) ‘General Data Protection Regulation (GDPR)’, </w:t>
      </w:r>
      <w:r>
        <w:rPr>
          <w:i/>
          <w:iCs/>
        </w:rPr>
        <w:t>Encyclopedia of Cryptography, Security and Privacy</w:t>
      </w:r>
      <w:r>
        <w:t xml:space="preserve">, pp. 997–1002. Available at: </w:t>
      </w:r>
      <w:hyperlink r:id="rId33">
        <w:r>
          <w:rPr>
            <w:color w:val="1155CC"/>
            <w:u w:val="single"/>
          </w:rPr>
          <w:t>https://doi.org/10.1007/978-3-030-71522-9_1811</w:t>
        </w:r>
      </w:hyperlink>
      <w:r>
        <w:t>.  (Accessed 01 August 2026)</w:t>
      </w:r>
    </w:p>
    <w:p w14:paraId="55B317BD" w14:textId="77777777" w:rsidR="00464F92" w:rsidRDefault="002831B2">
      <w:r>
        <w:t xml:space="preserve">Basile, I. and Ferrari, P. (2024) “Integrating sustainability criteria into the investment process,” </w:t>
      </w:r>
      <w:r>
        <w:rPr>
          <w:i/>
          <w:iCs/>
        </w:rPr>
        <w:t>Contributions to Finance and Accounting</w:t>
      </w:r>
      <w:r>
        <w:t xml:space="preserve">, pp. 257–281. Available at: </w:t>
      </w:r>
      <w:hyperlink r:id="rId34">
        <w:r>
          <w:rPr>
            <w:color w:val="1155CC"/>
            <w:u w:val="single"/>
          </w:rPr>
          <w:t>https://doi.org/10.1007/978-3-031-59819-7_7</w:t>
        </w:r>
      </w:hyperlink>
      <w:r>
        <w:t>. (Accessed 25 July 2026)</w:t>
      </w:r>
    </w:p>
    <w:p w14:paraId="52A28CE5" w14:textId="77777777" w:rsidR="00464F92" w:rsidRDefault="002831B2">
      <w:r>
        <w:t xml:space="preserve">Batko, K. and Ślęzak, A. (2022) ‘The use of big data analytics in healthcare’, </w:t>
      </w:r>
      <w:r>
        <w:rPr>
          <w:i/>
          <w:iCs/>
        </w:rPr>
        <w:t>Journal of Big Data</w:t>
      </w:r>
      <w:r>
        <w:t xml:space="preserve">, 9(3), pp. 1–24. Available at: </w:t>
      </w:r>
      <w:hyperlink r:id="rId35">
        <w:r>
          <w:rPr>
            <w:color w:val="1155CC"/>
            <w:u w:val="single"/>
          </w:rPr>
          <w:t>https://doi.org/https://doi.org/10.1186/s40537-021-00553-4</w:t>
        </w:r>
      </w:hyperlink>
      <w:r>
        <w:t>.  (Accessed 01 August 2026)</w:t>
      </w:r>
    </w:p>
    <w:p w14:paraId="410401DC" w14:textId="77777777" w:rsidR="00464F92" w:rsidRDefault="002831B2">
      <w:r>
        <w:t xml:space="preserve">Bhandari, T.M. and Chaudhry, S. (2025) “Inclusivity for a diverse workforce: Organisational initiatives for a sustainable solution,” </w:t>
      </w:r>
      <w:r>
        <w:rPr>
          <w:i/>
          <w:iCs/>
        </w:rPr>
        <w:t>Development and Learning in Organisations: An international journal</w:t>
      </w:r>
      <w:r>
        <w:t xml:space="preserve"> [Preprint]. Available at: </w:t>
      </w:r>
      <w:hyperlink r:id="rId36">
        <w:r>
          <w:rPr>
            <w:color w:val="1155CC"/>
            <w:u w:val="single"/>
          </w:rPr>
          <w:t>https://doi.org/10.1108/dlo-01-2025-0024</w:t>
        </w:r>
      </w:hyperlink>
      <w:r>
        <w:t>. (Accessed 25 July 2026)</w:t>
      </w:r>
    </w:p>
    <w:p w14:paraId="51C83880" w14:textId="77777777" w:rsidR="00464F92" w:rsidRDefault="002831B2">
      <w:r>
        <w:lastRenderedPageBreak/>
        <w:t xml:space="preserve">Braun, V. and Clarke, V. (2024) ‘Supporting best practice in reflexive thematic analysis reporting in palliative medicine: A review of published research and introduction to the reflexive thematic analysis reporting guidelines (RTARG)’, </w:t>
      </w:r>
      <w:r>
        <w:rPr>
          <w:i/>
          <w:iCs/>
        </w:rPr>
        <w:t>Palliative Medicine</w:t>
      </w:r>
      <w:r>
        <w:t xml:space="preserve">, 38(6), pp. 608–616. Available at: </w:t>
      </w:r>
      <w:hyperlink r:id="rId37">
        <w:r>
          <w:rPr>
            <w:color w:val="1155CC"/>
            <w:u w:val="single"/>
          </w:rPr>
          <w:t>https://doi.org/10.1177/02692163241234800</w:t>
        </w:r>
      </w:hyperlink>
      <w:r>
        <w:t xml:space="preserve">. </w:t>
      </w:r>
    </w:p>
    <w:p w14:paraId="092C6FB4" w14:textId="77777777" w:rsidR="00464F92" w:rsidRDefault="002831B2">
      <w:r>
        <w:t xml:space="preserve">Bridget Okyerebea Menyeh and Acheampong, T. (2024) “Crowdfunding renewable energy investments: Investor perceptions and decision-making factors in an emerging market,” </w:t>
      </w:r>
      <w:r>
        <w:rPr>
          <w:i/>
          <w:iCs/>
        </w:rPr>
        <w:t>Energy Research &amp; Social Science</w:t>
      </w:r>
      <w:r>
        <w:t xml:space="preserve">, 114, pp. 103602–103602. Available at: </w:t>
      </w:r>
      <w:hyperlink r:id="rId38">
        <w:r>
          <w:rPr>
            <w:color w:val="1155CC"/>
            <w:u w:val="single"/>
          </w:rPr>
          <w:t>https://doi.org/10.1016/j.erss.2024.103602</w:t>
        </w:r>
      </w:hyperlink>
      <w:r>
        <w:t>. (Accessed 25 July 2026)</w:t>
      </w:r>
    </w:p>
    <w:p w14:paraId="08C600C5" w14:textId="5A5F1CBD" w:rsidR="00464F92" w:rsidRDefault="002831B2">
      <w:r>
        <w:t xml:space="preserve">Brieger, S.A., Jasinenko, A. and Feyzabadi, J.G. (2026) ‘Pathogen stress theory in business ethics: Bio-ecological influences on </w:t>
      </w:r>
      <w:r w:rsidR="00861C52">
        <w:t>firms'</w:t>
      </w:r>
      <w:r>
        <w:t xml:space="preserve"> environmental sustainability practices’, </w:t>
      </w:r>
      <w:r>
        <w:rPr>
          <w:i/>
          <w:iCs/>
        </w:rPr>
        <w:t>Journal of Business Ethics</w:t>
      </w:r>
      <w:r>
        <w:t xml:space="preserve"> [Preprint]. Available at: </w:t>
      </w:r>
      <w:hyperlink r:id="rId39">
        <w:r>
          <w:rPr>
            <w:color w:val="0000FF"/>
            <w:u w:val="single"/>
          </w:rPr>
          <w:t>https://doi.org/10.1007/s10551-026-06315-7</w:t>
        </w:r>
      </w:hyperlink>
      <w:r>
        <w:t xml:space="preserve">. </w:t>
      </w:r>
    </w:p>
    <w:p w14:paraId="2F1837C5" w14:textId="77777777" w:rsidR="00464F92" w:rsidRDefault="002831B2">
      <w:r>
        <w:t xml:space="preserve">Capili, B. and Anastasi, J.K. (2024) ‘An introduction to types of quasi-experimental designs’, </w:t>
      </w:r>
      <w:r>
        <w:rPr>
          <w:i/>
          <w:iCs/>
        </w:rPr>
        <w:t>AJN, American Journal of Nursing</w:t>
      </w:r>
      <w:r>
        <w:t xml:space="preserve">, 124(11), pp. 50–52. Available at: </w:t>
      </w:r>
      <w:hyperlink r:id="rId40">
        <w:r>
          <w:rPr>
            <w:color w:val="1155CC"/>
            <w:u w:val="single"/>
          </w:rPr>
          <w:t>https://doi.org/10.1097/01.naj.0001081740.74815.20</w:t>
        </w:r>
      </w:hyperlink>
      <w:r>
        <w:t>. (Accessed 01 August 2026)</w:t>
      </w:r>
    </w:p>
    <w:p w14:paraId="4F204EDE" w14:textId="77777777" w:rsidR="00464F92" w:rsidRDefault="002831B2">
      <w:r>
        <w:t xml:space="preserve">Chan, C.S. and Hazan, H. (2022) “The health hexagon model: Postulating a holistic lifestyle approach to mental health for times and places of uncertainty,” </w:t>
      </w:r>
      <w:r>
        <w:rPr>
          <w:i/>
          <w:iCs/>
        </w:rPr>
        <w:t>SSM - Mental Health</w:t>
      </w:r>
      <w:r>
        <w:t xml:space="preserve">, 2, p. 100071. Available at: </w:t>
      </w:r>
      <w:hyperlink r:id="rId41">
        <w:r>
          <w:rPr>
            <w:color w:val="1155CC"/>
            <w:u w:val="single"/>
          </w:rPr>
          <w:t>https://doi.org/10.1016/j.ssmmh.2022.100071</w:t>
        </w:r>
      </w:hyperlink>
      <w:r>
        <w:t>. (Accessed 25 July 2026)</w:t>
      </w:r>
    </w:p>
    <w:p w14:paraId="257E6D5F" w14:textId="77777777" w:rsidR="00464F92" w:rsidRDefault="002831B2">
      <w:r>
        <w:t xml:space="preserve">Christine, A.F., Hakam, D.F., Nainggolan, Y.A., Wiryono, S.K. and Hakam, L.I. (2025) ‘Environmental, social, and governance (ESG) impact on corporate financial strategy of energy and utilities companies worldwide’, </w:t>
      </w:r>
      <w:r>
        <w:rPr>
          <w:i/>
          <w:iCs/>
        </w:rPr>
        <w:t>Energy Strategy Reviews</w:t>
      </w:r>
      <w:r>
        <w:t xml:space="preserve">, 62, p. 101916. Available at: </w:t>
      </w:r>
      <w:hyperlink r:id="rId42">
        <w:r>
          <w:rPr>
            <w:color w:val="1155CC"/>
            <w:u w:val="single"/>
          </w:rPr>
          <w:t>https://doi.org/10.1016/j.esr.2025.101916</w:t>
        </w:r>
      </w:hyperlink>
      <w:r>
        <w:t xml:space="preserve">. </w:t>
      </w:r>
    </w:p>
    <w:p w14:paraId="7E369D5D" w14:textId="77777777" w:rsidR="00464F92" w:rsidRDefault="002831B2">
      <w:pPr>
        <w:spacing w:after="240"/>
      </w:pPr>
      <w:r>
        <w:t xml:space="preserve">Christine, A.F., Hakam, D.F., Nainggolan, Y.A., Wiryono, S.K. and Hakam, L.I. (2025) ‘Environmental, social, and governance (ESG) impact on corporate financial strategy of energy and utilities companies worldwide’, </w:t>
      </w:r>
      <w:r>
        <w:rPr>
          <w:i/>
          <w:iCs/>
        </w:rPr>
        <w:t>Energy Strategy Reviews</w:t>
      </w:r>
      <w:r>
        <w:t xml:space="preserve">, 62, p. 101916. Available at: </w:t>
      </w:r>
      <w:hyperlink r:id="rId43">
        <w:r>
          <w:rPr>
            <w:color w:val="1155CC"/>
            <w:u w:val="single"/>
          </w:rPr>
          <w:t>https://doi.org/10.1016/j.esr.2025.101916</w:t>
        </w:r>
      </w:hyperlink>
      <w:r>
        <w:t xml:space="preserve">. </w:t>
      </w:r>
    </w:p>
    <w:p w14:paraId="10400069" w14:textId="77777777" w:rsidR="00464F92" w:rsidRDefault="002831B2">
      <w:r>
        <w:t xml:space="preserve">Costa, J. (2024) ‘Mixed methods in educational large-scale studies: Integrating qualitative perspectives into secondary data analysis’, </w:t>
      </w:r>
      <w:r>
        <w:rPr>
          <w:i/>
          <w:iCs/>
        </w:rPr>
        <w:t>Education Sciences</w:t>
      </w:r>
      <w:r>
        <w:t xml:space="preserve">, 14(12), p. 1347. Available at: </w:t>
      </w:r>
      <w:hyperlink r:id="rId44">
        <w:r>
          <w:rPr>
            <w:color w:val="1155CC"/>
            <w:u w:val="single"/>
          </w:rPr>
          <w:t>https://doi.org/10.3390/educsci14121347</w:t>
        </w:r>
      </w:hyperlink>
      <w:r>
        <w:t>. (Accessed 01 August 2026)</w:t>
      </w:r>
    </w:p>
    <w:p w14:paraId="025C66C8" w14:textId="77777777" w:rsidR="00464F92" w:rsidRDefault="002831B2">
      <w:r>
        <w:t xml:space="preserve">Cruz, C.A. and Matos, F. (2023) “ESG maturity: A software framework for the challenges of ESG data in Investment,” </w:t>
      </w:r>
      <w:r>
        <w:rPr>
          <w:i/>
          <w:iCs/>
        </w:rPr>
        <w:t>Sustainability</w:t>
      </w:r>
      <w:r>
        <w:t xml:space="preserve">, 15(3), p. 2610. Available at: </w:t>
      </w:r>
      <w:hyperlink r:id="rId45">
        <w:r>
          <w:rPr>
            <w:color w:val="1155CC"/>
            <w:u w:val="single"/>
          </w:rPr>
          <w:t>https://doi.org/10.3390/su15032610</w:t>
        </w:r>
      </w:hyperlink>
      <w:r>
        <w:t>. (Accessed 25 July 2026)</w:t>
      </w:r>
    </w:p>
    <w:p w14:paraId="2DDFC7B2" w14:textId="77777777" w:rsidR="00464F92" w:rsidRDefault="002831B2">
      <w:r>
        <w:lastRenderedPageBreak/>
        <w:t xml:space="preserve">D’Adamo, I., Santo, F. Di, Donadel, A., Gastaldi, M. and Tavana, M. (2026) ‘Motivational and behavioural determinants of participation in renewable energy communities’, </w:t>
      </w:r>
      <w:r>
        <w:rPr>
          <w:i/>
          <w:iCs/>
        </w:rPr>
        <w:t>Sustainable Development</w:t>
      </w:r>
      <w:r>
        <w:t xml:space="preserve"> [Preprint]. Available at: </w:t>
      </w:r>
      <w:hyperlink r:id="rId46">
        <w:r>
          <w:rPr>
            <w:color w:val="0000FF"/>
            <w:u w:val="single"/>
          </w:rPr>
          <w:t>https://doi.org/10.1002/sd.71503</w:t>
        </w:r>
      </w:hyperlink>
      <w:r>
        <w:t xml:space="preserve">. </w:t>
      </w:r>
    </w:p>
    <w:p w14:paraId="7CFCC49D" w14:textId="77777777" w:rsidR="00464F92" w:rsidRDefault="002831B2">
      <w:r>
        <w:t xml:space="preserve">Daugaard, D. and Ding, A. (2022) “Global drivers for ESG performance: The body of knowledge,” Sustainability, 14(4), p. 2322. Available at: </w:t>
      </w:r>
      <w:hyperlink r:id="rId47">
        <w:r>
          <w:rPr>
            <w:color w:val="1155CC"/>
            <w:u w:val="single"/>
          </w:rPr>
          <w:t>https://doi.org/10.3390/su14042322</w:t>
        </w:r>
      </w:hyperlink>
      <w:r>
        <w:t>.(Accessed 25 July 2026)</w:t>
      </w:r>
    </w:p>
    <w:p w14:paraId="080FC0C9" w14:textId="77777777" w:rsidR="00464F92" w:rsidRDefault="002831B2">
      <w:r>
        <w:t xml:space="preserve">Davidescu, A.A., Manta, E.M., Bîrlan, I., Miler, A.-M. and Niță, S.-C. (2026) “Detecting greenwashing in ESG disclosure: An NLP-Based analysis of central and eastern European firms,” </w:t>
      </w:r>
      <w:r>
        <w:rPr>
          <w:i/>
          <w:iCs/>
        </w:rPr>
        <w:t>Sustainability</w:t>
      </w:r>
      <w:r>
        <w:t xml:space="preserve">, 18(3), p. 1486. Available at: </w:t>
      </w:r>
      <w:hyperlink r:id="rId48">
        <w:r>
          <w:rPr>
            <w:color w:val="1155CC"/>
            <w:u w:val="single"/>
          </w:rPr>
          <w:t>https://doi.org/10.3390/su18031486</w:t>
        </w:r>
      </w:hyperlink>
      <w:r>
        <w:t>. (Accessed 25 July 2026)</w:t>
      </w:r>
    </w:p>
    <w:p w14:paraId="5F639B56" w14:textId="77777777" w:rsidR="00464F92" w:rsidRDefault="002831B2">
      <w:r>
        <w:t xml:space="preserve">Douglas, H. (2022) ‘Sampling techniques for qualitative research’, </w:t>
      </w:r>
      <w:r>
        <w:rPr>
          <w:i/>
          <w:iCs/>
        </w:rPr>
        <w:t>Principles of Social Research Methodology</w:t>
      </w:r>
      <w:r>
        <w:t xml:space="preserve">, pp. 415–426. Available at: </w:t>
      </w:r>
      <w:hyperlink r:id="rId49">
        <w:r>
          <w:rPr>
            <w:color w:val="1155CC"/>
            <w:u w:val="single"/>
          </w:rPr>
          <w:t>https://doi.org/10.1007/978-981-19-5441-2_29</w:t>
        </w:r>
      </w:hyperlink>
      <w:r>
        <w:t>. (Accessed 01 August 2026)</w:t>
      </w:r>
    </w:p>
    <w:p w14:paraId="0B4B148D" w14:textId="77777777" w:rsidR="00464F92" w:rsidRDefault="002831B2">
      <w:r>
        <w:t xml:space="preserve">Duan, D., Wei, R., Wang, C. and Xia, B. (2025) ‘Opportunity or obstacle? Climate risk disclosure and corporate ESG performance’, </w:t>
      </w:r>
      <w:r>
        <w:rPr>
          <w:i/>
          <w:iCs/>
        </w:rPr>
        <w:t>International Review of Economics &amp; Finance</w:t>
      </w:r>
      <w:r>
        <w:t xml:space="preserve">, 100, p. 104101. Available at: </w:t>
      </w:r>
      <w:hyperlink r:id="rId50">
        <w:r>
          <w:rPr>
            <w:color w:val="1155CC"/>
            <w:u w:val="single"/>
          </w:rPr>
          <w:t>https://doi.org/10.1016/j.iref.2025.104101</w:t>
        </w:r>
      </w:hyperlink>
      <w:r>
        <w:t xml:space="preserve">. </w:t>
      </w:r>
    </w:p>
    <w:p w14:paraId="5A6024B0" w14:textId="77777777" w:rsidR="00464F92" w:rsidRDefault="002831B2">
      <w:r>
        <w:t xml:space="preserve">Ferguson, P. and Wollersheim, L. (2022) “From sustainable development to resilience? (Dis)continuities in climate and development policy governance discourse,” </w:t>
      </w:r>
      <w:r>
        <w:rPr>
          <w:i/>
          <w:iCs/>
        </w:rPr>
        <w:t>Sustainable Development</w:t>
      </w:r>
      <w:r>
        <w:t xml:space="preserve">, 31(1). Available at: </w:t>
      </w:r>
      <w:hyperlink r:id="rId51">
        <w:r>
          <w:rPr>
            <w:color w:val="1155CC"/>
            <w:u w:val="single"/>
          </w:rPr>
          <w:t>https://doi.org/10.1002/sd.2374</w:t>
        </w:r>
      </w:hyperlink>
      <w:r>
        <w:t>.  (Accessed 25 July 2026)</w:t>
      </w:r>
    </w:p>
    <w:p w14:paraId="356C4802" w14:textId="4A205ADD" w:rsidR="00464F92" w:rsidRDefault="002831B2">
      <w:r>
        <w:t xml:space="preserve">Foley, A.M., Heffron, R.J., Dlzar Al Kez, Furszyfer, D. D, McInerney, C. and Welfle, A. (2024) ‘Restoring trust in ESG investing through the adoption of just transition ethics’, </w:t>
      </w:r>
      <w:r>
        <w:rPr>
          <w:i/>
          <w:iCs/>
        </w:rPr>
        <w:t xml:space="preserve">Renewable &amp; </w:t>
      </w:r>
      <w:r w:rsidR="00861C52">
        <w:rPr>
          <w:i/>
          <w:iCs/>
        </w:rPr>
        <w:t>Sustainable Energy Reviews</w:t>
      </w:r>
      <w:r>
        <w:t xml:space="preserve">, 199, pp. 114557–114557. Available at: </w:t>
      </w:r>
      <w:hyperlink r:id="rId52">
        <w:r>
          <w:rPr>
            <w:color w:val="1155CC"/>
            <w:u w:val="single"/>
          </w:rPr>
          <w:t>https://doi.org/10.1016/j.rser.2024.114557</w:t>
        </w:r>
      </w:hyperlink>
      <w:r>
        <w:t xml:space="preserve">. </w:t>
      </w:r>
    </w:p>
    <w:p w14:paraId="161346ED" w14:textId="77777777" w:rsidR="00464F92" w:rsidRDefault="002831B2">
      <w:r>
        <w:t xml:space="preserve">Gandomi, A.H., Chen, F. and Abualigah, L. (2023) “Big data analytics using artificial intelligence,” </w:t>
      </w:r>
      <w:r>
        <w:rPr>
          <w:i/>
          <w:iCs/>
        </w:rPr>
        <w:t>Electronics</w:t>
      </w:r>
      <w:r>
        <w:t xml:space="preserve">, 12(4), p. 957. Available at: </w:t>
      </w:r>
      <w:hyperlink r:id="rId53">
        <w:r>
          <w:rPr>
            <w:color w:val="1155CC"/>
            <w:u w:val="single"/>
          </w:rPr>
          <w:t>https://doi.org/10.3390/electronics12040957</w:t>
        </w:r>
      </w:hyperlink>
      <w:r>
        <w:t>.(Accessed 25 July 2026)</w:t>
      </w:r>
    </w:p>
    <w:p w14:paraId="7C94AF89" w14:textId="77777777" w:rsidR="00464F92" w:rsidRDefault="002831B2">
      <w:r>
        <w:t xml:space="preserve">Garner, E. and Charlotte Louise Bagnall (2024) ‘Transitions from primary to secondary school in Greater Manchester: a qualitative exploration of the perspectives of year 6 children who receive pupil premium funding’, </w:t>
      </w:r>
      <w:r>
        <w:rPr>
          <w:i/>
          <w:iCs/>
        </w:rPr>
        <w:t>British Educational Research Journal</w:t>
      </w:r>
      <w:r>
        <w:t xml:space="preserve">, 50(6). Available at: </w:t>
      </w:r>
      <w:hyperlink r:id="rId54">
        <w:r>
          <w:rPr>
            <w:color w:val="1155CC"/>
            <w:u w:val="single"/>
          </w:rPr>
          <w:t>https://doi.org/10.1002/berj.4045</w:t>
        </w:r>
      </w:hyperlink>
      <w:r>
        <w:t>. (Accessed 01 August 2026)</w:t>
      </w:r>
    </w:p>
    <w:p w14:paraId="6F1F18DF" w14:textId="77777777" w:rsidR="00464F92" w:rsidRDefault="002831B2">
      <w:r>
        <w:t xml:space="preserve">Gazzola, P., Amelio, S. and Vota, V. (2026) ‘When does ESG create value? A literature review on benefits, credibility, and enabling factors’, </w:t>
      </w:r>
      <w:r>
        <w:rPr>
          <w:i/>
          <w:iCs/>
        </w:rPr>
        <w:t>Journal of Risk and Financial Management</w:t>
      </w:r>
      <w:r>
        <w:t xml:space="preserve">, 19(5), p. 360. Available at: </w:t>
      </w:r>
      <w:hyperlink r:id="rId55">
        <w:r>
          <w:rPr>
            <w:color w:val="1155CC"/>
            <w:u w:val="single"/>
          </w:rPr>
          <w:t>https://doi.org/10.3390/jrfm19050360</w:t>
        </w:r>
      </w:hyperlink>
      <w:r>
        <w:t xml:space="preserve">. </w:t>
      </w:r>
    </w:p>
    <w:p w14:paraId="170A17D4" w14:textId="77777777" w:rsidR="00464F92" w:rsidRDefault="002831B2">
      <w:r>
        <w:lastRenderedPageBreak/>
        <w:t xml:space="preserve">Gebhardt, M., Schneider, A., Siedler, F., Ottenstein, P. and Henning Zülch (2024) “Climate reporting in the fast lane? The impact of corporate governance on the disclosure of climate‐related risks and opportunities,” </w:t>
      </w:r>
      <w:r>
        <w:rPr>
          <w:i/>
          <w:iCs/>
        </w:rPr>
        <w:t>Business Strategy and the Environment</w:t>
      </w:r>
      <w:r>
        <w:t xml:space="preserve">, 33(7). Available at: </w:t>
      </w:r>
      <w:hyperlink r:id="rId56">
        <w:r>
          <w:rPr>
            <w:color w:val="1155CC"/>
            <w:u w:val="single"/>
          </w:rPr>
          <w:t>https://doi.org/10.1002/bse.3852</w:t>
        </w:r>
      </w:hyperlink>
      <w:r>
        <w:t>. (Accessed 25 July 2026)</w:t>
      </w:r>
    </w:p>
    <w:p w14:paraId="7940DA62" w14:textId="77777777" w:rsidR="00464F92" w:rsidRDefault="002831B2">
      <w:r>
        <w:t xml:space="preserve">George, C. (2024) </w:t>
      </w:r>
      <w:r>
        <w:rPr>
          <w:i/>
          <w:iCs/>
        </w:rPr>
        <w:t>Implementing stakeholder theory for business success | Creately</w:t>
      </w:r>
      <w:r>
        <w:t xml:space="preserve">, </w:t>
      </w:r>
      <w:r>
        <w:rPr>
          <w:i/>
          <w:iCs/>
        </w:rPr>
        <w:t>creately.com</w:t>
      </w:r>
      <w:r>
        <w:t xml:space="preserve">. Available at: </w:t>
      </w:r>
      <w:hyperlink r:id="rId57">
        <w:r>
          <w:rPr>
            <w:color w:val="1155CC"/>
            <w:u w:val="single"/>
          </w:rPr>
          <w:t>https://creately.com/guides/stakeholder-theory/</w:t>
        </w:r>
      </w:hyperlink>
      <w:r>
        <w:t xml:space="preserve">  (Accessed 25 July 2026)</w:t>
      </w:r>
    </w:p>
    <w:p w14:paraId="4806CE8C" w14:textId="77777777" w:rsidR="00464F92" w:rsidRDefault="002831B2">
      <w:r>
        <w:t xml:space="preserve">Ghazalat, A. (2025) ‘Board characteristics, board committees and voluntary disclosure as a catalyst of investment opportunities’, </w:t>
      </w:r>
      <w:r>
        <w:rPr>
          <w:i/>
          <w:iCs/>
        </w:rPr>
        <w:t>Discover Sustainability</w:t>
      </w:r>
      <w:r>
        <w:t xml:space="preserve">, 6(1). Available at: </w:t>
      </w:r>
      <w:hyperlink r:id="rId58">
        <w:r>
          <w:rPr>
            <w:color w:val="1155CC"/>
            <w:u w:val="single"/>
          </w:rPr>
          <w:t>https://doi.org/10.1007/s43621-025-01434-z</w:t>
        </w:r>
      </w:hyperlink>
      <w:r>
        <w:t xml:space="preserve">. </w:t>
      </w:r>
    </w:p>
    <w:p w14:paraId="482EAEBF" w14:textId="77777777" w:rsidR="00464F92" w:rsidRDefault="002831B2">
      <w:r>
        <w:t xml:space="preserve">Grishunin, S., Suloeva, S. and Burova, E. (2022) “Development of risk management mechanism and the system of Risk metrics to evaluate and enhance the Long-Term orientation of the strategies of non-financial companies,” </w:t>
      </w:r>
      <w:r>
        <w:rPr>
          <w:i/>
          <w:iCs/>
        </w:rPr>
        <w:t>Risks</w:t>
      </w:r>
      <w:r>
        <w:t xml:space="preserve">, 10(9), p. 182. Available at: </w:t>
      </w:r>
      <w:hyperlink r:id="rId59">
        <w:r>
          <w:rPr>
            <w:color w:val="1155CC"/>
            <w:u w:val="single"/>
          </w:rPr>
          <w:t>https://doi.org/10.3390/risks10090182</w:t>
        </w:r>
      </w:hyperlink>
      <w:r>
        <w:t>. (Accessed 25 July 2026)</w:t>
      </w:r>
    </w:p>
    <w:p w14:paraId="41F29FB7" w14:textId="77777777" w:rsidR="00464F92" w:rsidRDefault="002831B2">
      <w:r>
        <w:t xml:space="preserve">Hao, Y., Li, X. and Murshed, M. (2023) ‘Role of environmental regulation and renewable energy technology innovation in carbon neutrality: A sustainable investigation from China’, </w:t>
      </w:r>
      <w:r>
        <w:rPr>
          <w:i/>
          <w:iCs/>
        </w:rPr>
        <w:t>Energy Strategy Reviews</w:t>
      </w:r>
      <w:r>
        <w:t xml:space="preserve">, 48, pp. 101114–101114. Available at: </w:t>
      </w:r>
      <w:hyperlink r:id="rId60">
        <w:r>
          <w:rPr>
            <w:color w:val="0000FF"/>
            <w:u w:val="single"/>
          </w:rPr>
          <w:t>https://doi.org/10.1016/j.esr.2023.101114</w:t>
        </w:r>
      </w:hyperlink>
      <w:r>
        <w:t xml:space="preserve">. </w:t>
      </w:r>
    </w:p>
    <w:p w14:paraId="13E61084" w14:textId="77777777" w:rsidR="00464F92" w:rsidRDefault="002831B2">
      <w:r>
        <w:t xml:space="preserve">Harerimana, A., Wicking, K., Biedermann, N. and Yates, K. (2024) ‘Preparing for data collection: The mock interview as a researcher’s training tool’, </w:t>
      </w:r>
      <w:r>
        <w:rPr>
          <w:i/>
          <w:iCs/>
        </w:rPr>
        <w:t>Educational Research</w:t>
      </w:r>
      <w:r>
        <w:t xml:space="preserve">, 66(1), pp. 1–18. Available at: </w:t>
      </w:r>
      <w:hyperlink r:id="rId61">
        <w:r>
          <w:rPr>
            <w:color w:val="1155CC"/>
            <w:u w:val="single"/>
          </w:rPr>
          <w:t>https://doi.org/10.1080/00131881.2024.2302156</w:t>
        </w:r>
      </w:hyperlink>
      <w:r>
        <w:t>. (Accessed 01 August 2026)</w:t>
      </w:r>
    </w:p>
    <w:p w14:paraId="7C14540B" w14:textId="77777777" w:rsidR="00464F92" w:rsidRDefault="002831B2">
      <w:r>
        <w:t xml:space="preserve">Hecimovic, A. and Canestrari-Soh, D. (2025) ‘Strategies for internal auditors to expand their role in ESG assurance’, </w:t>
      </w:r>
      <w:r>
        <w:rPr>
          <w:i/>
          <w:iCs/>
        </w:rPr>
        <w:t>The British Accounting Review</w:t>
      </w:r>
      <w:r>
        <w:t xml:space="preserve">, p. 101805. Available at: </w:t>
      </w:r>
      <w:hyperlink r:id="rId62">
        <w:r>
          <w:rPr>
            <w:color w:val="0000FF"/>
            <w:u w:val="single"/>
          </w:rPr>
          <w:t>https://doi.org/10.1016/j.bar.2025.101805</w:t>
        </w:r>
      </w:hyperlink>
      <w:r>
        <w:t xml:space="preserve">. </w:t>
      </w:r>
    </w:p>
    <w:p w14:paraId="32E91DC3" w14:textId="77777777" w:rsidR="00464F92" w:rsidRDefault="002831B2">
      <w:r>
        <w:t xml:space="preserve">Hewage, Y.M., Cooray, A. and Ahmed, R. (2026) ‘A review of corporate reporting transparency quality: Current status and future directions’, </w:t>
      </w:r>
      <w:r>
        <w:rPr>
          <w:i/>
          <w:iCs/>
        </w:rPr>
        <w:t>Australian Accounting Review</w:t>
      </w:r>
      <w:r>
        <w:t xml:space="preserve">, 36(1), pp. 52–89. Available at: </w:t>
      </w:r>
      <w:hyperlink r:id="rId63">
        <w:r>
          <w:rPr>
            <w:color w:val="0000FF"/>
            <w:u w:val="single"/>
          </w:rPr>
          <w:t>https://doi.org/10.1111/auar.70019</w:t>
        </w:r>
      </w:hyperlink>
      <w:r>
        <w:t xml:space="preserve">. </w:t>
      </w:r>
    </w:p>
    <w:p w14:paraId="34278DBE" w14:textId="77777777" w:rsidR="00464F92" w:rsidRDefault="002831B2">
      <w:r>
        <w:t xml:space="preserve">Honey, D., Ahsan, T. and Migliori, S. (2024) ‘The impact of governance quality on corporate climate risk disclosure: The role of the governance committee’, </w:t>
      </w:r>
      <w:r>
        <w:rPr>
          <w:i/>
          <w:iCs/>
        </w:rPr>
        <w:t>International Review of Financial Analysis</w:t>
      </w:r>
      <w:r>
        <w:t xml:space="preserve">, pp. 103901–103901. Available at: </w:t>
      </w:r>
      <w:hyperlink r:id="rId64">
        <w:r>
          <w:rPr>
            <w:color w:val="0000FF"/>
            <w:u w:val="single"/>
          </w:rPr>
          <w:t>https://doi.org/10.1016/j.irfa.2024.103901</w:t>
        </w:r>
      </w:hyperlink>
      <w:r>
        <w:t xml:space="preserve">. </w:t>
      </w:r>
    </w:p>
    <w:p w14:paraId="6C758BEF" w14:textId="2FAC5B4A" w:rsidR="00464F92" w:rsidRDefault="002831B2">
      <w:r>
        <w:t>IEA (2024)</w:t>
      </w:r>
      <w:r w:rsidR="00861C52">
        <w:t>.</w:t>
      </w:r>
      <w:r>
        <w:t xml:space="preserve"> </w:t>
      </w:r>
      <w:r>
        <w:rPr>
          <w:i/>
          <w:iCs/>
        </w:rPr>
        <w:t>The world now invests almost twice as much in clean energy as it does in fossil fuels</w:t>
      </w:r>
      <w:r>
        <w:t xml:space="preserve">. Available at: </w:t>
      </w:r>
      <w:hyperlink r:id="rId65">
        <w:r>
          <w:rPr>
            <w:color w:val="0000FF"/>
            <w:u w:val="single"/>
          </w:rPr>
          <w:t>https://www.google.com/url?q=https://www.iea.org/reports/world-energy-</w:t>
        </w:r>
        <w:r>
          <w:rPr>
            <w:color w:val="0000FF"/>
            <w:u w:val="single"/>
          </w:rPr>
          <w:lastRenderedPageBreak/>
          <w:t>investment-2024/overview-and-key-findings&amp;sa=D&amp;source=docs&amp;ust=1784039311158302&amp;usg=AOvVaw04HHJQh7iLpeXE3vNtQdCJ</w:t>
        </w:r>
      </w:hyperlink>
      <w:r>
        <w:t>. (Accessed 12 July 2026)</w:t>
      </w:r>
    </w:p>
    <w:p w14:paraId="74864ED3" w14:textId="77777777" w:rsidR="00464F92" w:rsidRDefault="002831B2">
      <w:r>
        <w:t xml:space="preserve">Ikram, M. and Sadki, J.E. (2024) ‘Resilient and sustainable green technology strategies: A study of Morocco’s path toward sustainable development’, </w:t>
      </w:r>
      <w:r>
        <w:rPr>
          <w:i/>
          <w:iCs/>
        </w:rPr>
        <w:t>Sustainable Futures</w:t>
      </w:r>
      <w:r>
        <w:t xml:space="preserve">, 8, p. 100327. Available at: </w:t>
      </w:r>
      <w:hyperlink r:id="rId66">
        <w:r>
          <w:rPr>
            <w:color w:val="1155CC"/>
            <w:u w:val="single"/>
          </w:rPr>
          <w:t>https://doi.org/10.1016/j.sftr.2024.100327</w:t>
        </w:r>
      </w:hyperlink>
      <w:r>
        <w:t xml:space="preserve">. </w:t>
      </w:r>
    </w:p>
    <w:p w14:paraId="5F8AF05B" w14:textId="77777777" w:rsidR="00464F92" w:rsidRDefault="002831B2">
      <w:r>
        <w:t xml:space="preserve">Irshaidat, R. (2022) ‘Interpretivism vs. positivism in political marketing research’, </w:t>
      </w:r>
      <w:r>
        <w:rPr>
          <w:i/>
          <w:iCs/>
        </w:rPr>
        <w:t>Journal of Political Marketing</w:t>
      </w:r>
      <w:r>
        <w:t xml:space="preserve">, 21(2), pp. 1–35. Available at: </w:t>
      </w:r>
      <w:hyperlink r:id="rId67">
        <w:r>
          <w:rPr>
            <w:color w:val="1155CC"/>
            <w:u w:val="single"/>
          </w:rPr>
          <w:t>https://doi.org/https://doi.org/10.1080/15377857.2019.1624286</w:t>
        </w:r>
      </w:hyperlink>
      <w:r>
        <w:t>. (Accessed 01 August 2026)</w:t>
      </w:r>
    </w:p>
    <w:p w14:paraId="7033CF10" w14:textId="77777777" w:rsidR="00464F92" w:rsidRDefault="002831B2">
      <w:r>
        <w:t xml:space="preserve">Jafeel, A.Y., Abdalla, Y.A., Abdalla, A.A. and Warsame, M.H. (2023) ‘How corporate governance quality affects investment efficiency? An empirical analysis of nonfinancial companies in the Gulf Cooperation Council 2015-2020’, </w:t>
      </w:r>
      <w:r>
        <w:rPr>
          <w:i/>
          <w:iCs/>
        </w:rPr>
        <w:t>Cogent Business &amp; Management</w:t>
      </w:r>
      <w:r>
        <w:t xml:space="preserve">, 10(1). Available at: </w:t>
      </w:r>
      <w:hyperlink r:id="rId68">
        <w:r>
          <w:rPr>
            <w:color w:val="1155CC"/>
            <w:u w:val="single"/>
          </w:rPr>
          <w:t>https://doi.org/10.1080/23311975.2023.2198061</w:t>
        </w:r>
      </w:hyperlink>
      <w:r>
        <w:t xml:space="preserve">. </w:t>
      </w:r>
    </w:p>
    <w:p w14:paraId="0E9B8A42" w14:textId="77777777" w:rsidR="00464F92" w:rsidRDefault="002831B2">
      <w:r>
        <w:t xml:space="preserve">Jeon, J., Kim, L. and Park, J. (2025) ‘The ethics of generative AI in social science research: A qualitative approach for institutionally grounded AI research ethics’, </w:t>
      </w:r>
      <w:r>
        <w:rPr>
          <w:i/>
          <w:iCs/>
        </w:rPr>
        <w:t>Technology in Society</w:t>
      </w:r>
      <w:r>
        <w:t xml:space="preserve">, pp. 102836–102836. Available at: </w:t>
      </w:r>
      <w:hyperlink r:id="rId69">
        <w:r>
          <w:rPr>
            <w:color w:val="1155CC"/>
            <w:u w:val="single"/>
          </w:rPr>
          <w:t>https://doi.org/10.1016/j.techsoc.2025.102836</w:t>
        </w:r>
      </w:hyperlink>
      <w:r>
        <w:t>.  (Accessed 01 August 2026)</w:t>
      </w:r>
    </w:p>
    <w:p w14:paraId="0013B99B" w14:textId="77777777" w:rsidR="00464F92" w:rsidRDefault="002831B2">
      <w:r>
        <w:t xml:space="preserve">Jonge, A. de (2024) </w:t>
      </w:r>
      <w:r>
        <w:rPr>
          <w:i/>
          <w:iCs/>
        </w:rPr>
        <w:t>Institutional theory - an overview | ScienceDirect topics</w:t>
      </w:r>
      <w:r>
        <w:t xml:space="preserve">, </w:t>
      </w:r>
      <w:r>
        <w:rPr>
          <w:i/>
          <w:iCs/>
        </w:rPr>
        <w:t>ScienceDirect.com</w:t>
      </w:r>
      <w:r>
        <w:t xml:space="preserve">. Available at: </w:t>
      </w:r>
      <w:hyperlink r:id="rId70">
        <w:r>
          <w:rPr>
            <w:color w:val="1155CC"/>
            <w:u w:val="single"/>
          </w:rPr>
          <w:t>https://www.sciencedirect.com/topics/economics-econometrics-and-finance/institutional-theory</w:t>
        </w:r>
      </w:hyperlink>
      <w:r>
        <w:t xml:space="preserve">  (Accessed 25 July 2026)</w:t>
      </w:r>
    </w:p>
    <w:p w14:paraId="0FC4288F" w14:textId="77777777" w:rsidR="00464F92" w:rsidRDefault="002831B2">
      <w:r>
        <w:t xml:space="preserve">Jonsdottir, B., Sigurjonsson, T.O., Johannsdottir, L. and Wendt, S. (2022) “Barriers to using ESG data for Investment decisions,” </w:t>
      </w:r>
      <w:r>
        <w:rPr>
          <w:i/>
          <w:iCs/>
        </w:rPr>
        <w:t>Sustainability</w:t>
      </w:r>
      <w:r>
        <w:t xml:space="preserve">, 14(9), p. 5157. Available at: </w:t>
      </w:r>
      <w:hyperlink r:id="rId71">
        <w:r>
          <w:rPr>
            <w:color w:val="1155CC"/>
            <w:u w:val="single"/>
          </w:rPr>
          <w:t>https://doi.org/10.3390/su14095157</w:t>
        </w:r>
      </w:hyperlink>
      <w:r>
        <w:t>. (Accessed 25 July 2026)</w:t>
      </w:r>
    </w:p>
    <w:p w14:paraId="7354A0BB" w14:textId="77777777" w:rsidR="00464F92" w:rsidRDefault="002831B2">
      <w:r>
        <w:t xml:space="preserve">Kaka, K., Mahabir, J. and Modley, L.S. (2025) ‘An evaluation of incentives for private investors to fund ecological restoration projects: A case study of the top 50 JSE listed private companies’, </w:t>
      </w:r>
      <w:r>
        <w:rPr>
          <w:i/>
          <w:iCs/>
        </w:rPr>
        <w:t>Discover Sustainability</w:t>
      </w:r>
      <w:r>
        <w:t xml:space="preserve">, 6(1). Available at: </w:t>
      </w:r>
      <w:hyperlink r:id="rId72">
        <w:r>
          <w:rPr>
            <w:color w:val="0000FF"/>
            <w:u w:val="single"/>
          </w:rPr>
          <w:t>https://doi.org/10.1007/s43621-025-01101-3</w:t>
        </w:r>
      </w:hyperlink>
      <w:r>
        <w:t xml:space="preserve">. </w:t>
      </w:r>
    </w:p>
    <w:p w14:paraId="10A728EE" w14:textId="77777777" w:rsidR="00464F92" w:rsidRDefault="002831B2">
      <w:r>
        <w:t xml:space="preserve">Kandpal, V., Jaswal, A., Ernesto and Agarwal, N. (2024) “Sustainable energy transition, circular economy, and ESG practices,” </w:t>
      </w:r>
      <w:r>
        <w:rPr>
          <w:i/>
          <w:iCs/>
        </w:rPr>
        <w:t>Sustainable energy transition, circular economy, and ESG practices</w:t>
      </w:r>
      <w:r>
        <w:t xml:space="preserve">, pp. 1–51. Available at: </w:t>
      </w:r>
      <w:hyperlink r:id="rId73">
        <w:r>
          <w:rPr>
            <w:color w:val="1155CC"/>
            <w:u w:val="single"/>
          </w:rPr>
          <w:t>https://doi.org/10.1007/978-3-031-52943-6_1</w:t>
        </w:r>
      </w:hyperlink>
      <w:r>
        <w:t>. (Accessed 25 July 2026)</w:t>
      </w:r>
    </w:p>
    <w:p w14:paraId="77D9F19F" w14:textId="6B482E1E" w:rsidR="00464F92" w:rsidRDefault="002831B2">
      <w:pPr>
        <w:spacing w:after="240"/>
      </w:pPr>
      <w:r>
        <w:t>Khamisu, M.S. and Paluri, R.A. (2024) ‘Emerging trends of environmental</w:t>
      </w:r>
      <w:r w:rsidR="00861C52">
        <w:t>,</w:t>
      </w:r>
      <w:r>
        <w:t xml:space="preserve"> social and governance (ESG) disclosure research’, </w:t>
      </w:r>
      <w:r>
        <w:rPr>
          <w:i/>
          <w:iCs/>
        </w:rPr>
        <w:t>Cleaner Production Letters</w:t>
      </w:r>
      <w:r>
        <w:t xml:space="preserve">, 7, pp. 100079–100079. Available at: </w:t>
      </w:r>
      <w:hyperlink r:id="rId74">
        <w:r>
          <w:rPr>
            <w:color w:val="1155CC"/>
            <w:u w:val="single"/>
          </w:rPr>
          <w:t>https://doi.org/10.1016/j.clpl.2024.100079</w:t>
        </w:r>
      </w:hyperlink>
      <w:r>
        <w:t xml:space="preserve">. </w:t>
      </w:r>
    </w:p>
    <w:p w14:paraId="7F1765AE" w14:textId="77777777" w:rsidR="00464F92" w:rsidRDefault="002831B2">
      <w:r>
        <w:lastRenderedPageBreak/>
        <w:t xml:space="preserve">Khatri, I. and Kjærland, F. (2023) “Sustainability reporting practices and environmental performance amongst Nordic listed firms,” </w:t>
      </w:r>
      <w:r>
        <w:rPr>
          <w:i/>
          <w:iCs/>
        </w:rPr>
        <w:t>Journal of Cleaner Production</w:t>
      </w:r>
      <w:r>
        <w:t xml:space="preserve">, 418, p. 138172. Available at: </w:t>
      </w:r>
      <w:hyperlink r:id="rId75">
        <w:r>
          <w:rPr>
            <w:color w:val="1155CC"/>
            <w:u w:val="single"/>
          </w:rPr>
          <w:t>https://doi.org/10.1016/j.jclepro.2023.138172</w:t>
        </w:r>
      </w:hyperlink>
      <w:r>
        <w:t>. (Accessed 25 July 2026)</w:t>
      </w:r>
    </w:p>
    <w:p w14:paraId="3FA4CD41" w14:textId="77777777" w:rsidR="00464F92" w:rsidRDefault="002831B2">
      <w:r>
        <w:t xml:space="preserve">Kim, E. (2025) ‘The effect of foreign investors on ESG investment efficiency: Evidence from South Korea’, </w:t>
      </w:r>
      <w:r>
        <w:rPr>
          <w:i/>
          <w:iCs/>
        </w:rPr>
        <w:t>Sustainability</w:t>
      </w:r>
      <w:r>
        <w:t xml:space="preserve">, 17(5), pp. 2267–2267. Available at: </w:t>
      </w:r>
      <w:hyperlink r:id="rId76">
        <w:r>
          <w:rPr>
            <w:color w:val="0000FF"/>
            <w:u w:val="single"/>
          </w:rPr>
          <w:t>https://doi.org/10.3390/su17052267</w:t>
        </w:r>
      </w:hyperlink>
      <w:r>
        <w:t xml:space="preserve">. </w:t>
      </w:r>
    </w:p>
    <w:p w14:paraId="306318FF" w14:textId="77777777" w:rsidR="00464F92" w:rsidRDefault="002831B2">
      <w:r>
        <w:t xml:space="preserve">Kim, S. and Li, Z.F. (2021) “Understanding the impact of ESG practices in Corporate finance,” </w:t>
      </w:r>
      <w:r>
        <w:rPr>
          <w:i/>
          <w:iCs/>
        </w:rPr>
        <w:t>Sustainability</w:t>
      </w:r>
      <w:r>
        <w:t xml:space="preserve">, 13(7), p. 3746. Available at: </w:t>
      </w:r>
      <w:hyperlink r:id="rId77">
        <w:r>
          <w:rPr>
            <w:color w:val="1155CC"/>
            <w:u w:val="single"/>
          </w:rPr>
          <w:t>https://doi.org/https://doi.org/10.3390/su13073746</w:t>
        </w:r>
      </w:hyperlink>
      <w:r>
        <w:t>. (Accessed 25 July 2026)</w:t>
      </w:r>
    </w:p>
    <w:p w14:paraId="64C2B511" w14:textId="77777777" w:rsidR="00464F92" w:rsidRDefault="002831B2">
      <w:r>
        <w:t xml:space="preserve">Landi, G.C., Iandolo, F., Renzi, A. and Rey, A. (2022) “Embedding sustainability in risk management: The impact of environmental, social, and governance ratings on corporate financial risk,” </w:t>
      </w:r>
      <w:r>
        <w:rPr>
          <w:i/>
          <w:iCs/>
        </w:rPr>
        <w:t>Corporate Social Responsibility and Environmental Management</w:t>
      </w:r>
      <w:r>
        <w:t xml:space="preserve">, 29(4), pp. 1096–1107. </w:t>
      </w:r>
      <w:hyperlink r:id="rId78">
        <w:r>
          <w:rPr>
            <w:color w:val="0000FF"/>
            <w:u w:val="single"/>
          </w:rPr>
          <w:t>https://doi.org/10.1002/csr.2256</w:t>
        </w:r>
      </w:hyperlink>
      <w:r>
        <w:t xml:space="preserve"> (Accessed 12 July 2026)</w:t>
      </w:r>
    </w:p>
    <w:p w14:paraId="1CA9437D" w14:textId="77777777" w:rsidR="00464F92" w:rsidRDefault="002831B2">
      <w:r>
        <w:t xml:space="preserve">Lee, C.-C. (2023) “Analyses of the operating performance of information service companies based on indicators of financial statements,” </w:t>
      </w:r>
      <w:r>
        <w:rPr>
          <w:i/>
          <w:iCs/>
        </w:rPr>
        <w:t>Asia Pacific Management Review</w:t>
      </w:r>
      <w:r>
        <w:t xml:space="preserve">, 28(4). Available at: </w:t>
      </w:r>
      <w:hyperlink r:id="rId79">
        <w:r>
          <w:rPr>
            <w:color w:val="1155CC"/>
            <w:u w:val="single"/>
          </w:rPr>
          <w:t>https://doi.org/10.1016/j.apmrv.2023.01.002</w:t>
        </w:r>
      </w:hyperlink>
      <w:r>
        <w:t>. (Accessed 25 July 2026)</w:t>
      </w:r>
    </w:p>
    <w:p w14:paraId="248EE4FC" w14:textId="77777777" w:rsidR="00464F92" w:rsidRDefault="002831B2">
      <w:r>
        <w:t xml:space="preserve">Li, J., He, H.H., Jones, L., Gepp, A. and Lu, Y. (2025) “ESG investment among retail investors: A systematic literature review and future research agenda,” </w:t>
      </w:r>
      <w:r>
        <w:rPr>
          <w:i/>
          <w:iCs/>
        </w:rPr>
        <w:t>Journal of Accounting Literature</w:t>
      </w:r>
      <w:r>
        <w:t xml:space="preserve">, pp. 1–33. Available at: </w:t>
      </w:r>
      <w:hyperlink r:id="rId80">
        <w:r>
          <w:rPr>
            <w:color w:val="1155CC"/>
            <w:u w:val="single"/>
          </w:rPr>
          <w:t>https://doi.org/10.1108/jal-06-2025-0288</w:t>
        </w:r>
      </w:hyperlink>
      <w:r>
        <w:t>. (Accessed 25 July 2026)</w:t>
      </w:r>
    </w:p>
    <w:p w14:paraId="18F35178" w14:textId="77777777" w:rsidR="00464F92" w:rsidRDefault="002831B2">
      <w:r>
        <w:t xml:space="preserve">Li, X., Chang, Z. and Qi, J. (2025) ‘Foreign investment policy, market entry and corporate ESG performance’, </w:t>
      </w:r>
      <w:r>
        <w:rPr>
          <w:i/>
          <w:iCs/>
        </w:rPr>
        <w:t>International Review of Financial Analysis</w:t>
      </w:r>
      <w:r>
        <w:t xml:space="preserve">, 103, p. 104199. Available at: </w:t>
      </w:r>
      <w:hyperlink r:id="rId81">
        <w:r>
          <w:rPr>
            <w:color w:val="1155CC"/>
            <w:u w:val="single"/>
          </w:rPr>
          <w:t>https://doi.org/10.1016/j.irfa.2025.104199</w:t>
        </w:r>
      </w:hyperlink>
      <w:r>
        <w:t>. (Accessed 01 August 2026)</w:t>
      </w:r>
    </w:p>
    <w:p w14:paraId="49892BBB" w14:textId="77777777" w:rsidR="00464F92" w:rsidRDefault="002831B2">
      <w:r>
        <w:t xml:space="preserve">Liton Chandra Voumik, Md. Hasanur Rahman, Md. Maznur Rahman, Ridwan, M., Akter, S. and Asif Raihan (2023) “Toward a sustainable future: Examining the interconnectedness among Foreign Direct Investment (FDI), urbanisation, trade openness, economic growth, and energy usage in Australia,” </w:t>
      </w:r>
      <w:r>
        <w:rPr>
          <w:i/>
          <w:iCs/>
        </w:rPr>
        <w:t>Regional Sustainability</w:t>
      </w:r>
      <w:r>
        <w:t xml:space="preserve">, 4(4), pp. 405–415. Available at: </w:t>
      </w:r>
      <w:hyperlink r:id="rId82">
        <w:r>
          <w:rPr>
            <w:color w:val="0000FF"/>
            <w:u w:val="single"/>
          </w:rPr>
          <w:t>https://doi.org/10.1016/j.regsus.2023.11.003</w:t>
        </w:r>
      </w:hyperlink>
      <w:r>
        <w:t>. (Accessed 12 July 2026)</w:t>
      </w:r>
    </w:p>
    <w:p w14:paraId="2E5F752F" w14:textId="77777777" w:rsidR="00464F92" w:rsidRDefault="002831B2">
      <w:r>
        <w:t xml:space="preserve">Liu, Y., Zhang, F. and Zhang, H. (2023) ‘ceo foreign experience and corporate environmental, social, and governance (ESG) performance’, </w:t>
      </w:r>
      <w:r>
        <w:rPr>
          <w:i/>
          <w:iCs/>
        </w:rPr>
        <w:t>Business Strategy and the Environment</w:t>
      </w:r>
      <w:r>
        <w:t xml:space="preserve"> [Preprint]. Available at: </w:t>
      </w:r>
      <w:hyperlink r:id="rId83">
        <w:r>
          <w:rPr>
            <w:color w:val="1155CC"/>
            <w:u w:val="single"/>
          </w:rPr>
          <w:t>https://doi.org/10.1002/bse.3647</w:t>
        </w:r>
      </w:hyperlink>
      <w:r>
        <w:t>. (Accessed 01 August 2026)</w:t>
      </w:r>
    </w:p>
    <w:p w14:paraId="1F1F5428" w14:textId="77777777" w:rsidR="00464F92" w:rsidRDefault="002831B2">
      <w:r>
        <w:t xml:space="preserve">Lobus, N.V., Knyazeva, M.A., Popova, A.F. and Kulikovskiy, M.S. (2023) ‘Carbon footprint reduction and climate change mitigation: A review of the approaches, Technologies, and implementation challenges’, </w:t>
      </w:r>
      <w:r>
        <w:rPr>
          <w:i/>
          <w:iCs/>
        </w:rPr>
        <w:t>C</w:t>
      </w:r>
      <w:r>
        <w:t xml:space="preserve">, 9(4), p. 120. Available at: </w:t>
      </w:r>
      <w:hyperlink r:id="rId84">
        <w:r>
          <w:rPr>
            <w:color w:val="1155CC"/>
            <w:u w:val="single"/>
          </w:rPr>
          <w:t>https://doi.org/10.3390/c9040120</w:t>
        </w:r>
      </w:hyperlink>
      <w:r>
        <w:t xml:space="preserve">. </w:t>
      </w:r>
    </w:p>
    <w:p w14:paraId="0FEC5255" w14:textId="77777777" w:rsidR="00464F92" w:rsidRDefault="002831B2">
      <w:r>
        <w:lastRenderedPageBreak/>
        <w:t xml:space="preserve">Luo, Le and Tang, Q. (2022) “The real effects of ESG reporting and GRI standards on carbon mitigation: International evidence,” </w:t>
      </w:r>
      <w:r>
        <w:rPr>
          <w:i/>
          <w:iCs/>
        </w:rPr>
        <w:t>Business Strategy and the Environment</w:t>
      </w:r>
      <w:r>
        <w:t xml:space="preserve">, 32(6), pp. 2985–3000. Available at: </w:t>
      </w:r>
      <w:hyperlink r:id="rId85">
        <w:r>
          <w:rPr>
            <w:color w:val="1155CC"/>
            <w:u w:val="single"/>
          </w:rPr>
          <w:t>https://doi.org/10.1002/bse.3281</w:t>
        </w:r>
      </w:hyperlink>
      <w:r>
        <w:t>. (Accessed 25 July 2026)</w:t>
      </w:r>
    </w:p>
    <w:p w14:paraId="781F4B83" w14:textId="77777777" w:rsidR="00464F92" w:rsidRDefault="002831B2">
      <w:r>
        <w:t xml:space="preserve">Lutfi, A., Hamza Alqudah, Mahmaod Alrawad, Ahmad Farhan Alshira’h, Malek Hamed Alshirah, Mohammed Amin Almaiah, Adi Alsyouf and Mohammed Faisal Hassan (2023) “Green environmental management system to support environmental performance: What factors influence SMEs to adopt green innovations?” </w:t>
      </w:r>
      <w:r>
        <w:rPr>
          <w:i/>
          <w:iCs/>
        </w:rPr>
        <w:t>Sustainability</w:t>
      </w:r>
      <w:r>
        <w:t xml:space="preserve">, 15(13), pp. 10645–10645. Available at: </w:t>
      </w:r>
      <w:hyperlink r:id="rId86">
        <w:r>
          <w:rPr>
            <w:color w:val="1155CC"/>
            <w:u w:val="single"/>
          </w:rPr>
          <w:t>https://doi.org/10.3390/su151310645</w:t>
        </w:r>
      </w:hyperlink>
      <w:r>
        <w:t>.(Accessed 25 July 2026)</w:t>
      </w:r>
    </w:p>
    <w:p w14:paraId="63A0C91D" w14:textId="77777777" w:rsidR="00464F92" w:rsidRDefault="002831B2">
      <w:r>
        <w:t xml:space="preserve">Madero-Gómez, S.M., Rubio Leal, Y.L., Olivas-Luján, M. and Yusliza, M.Y. (2023) “Companies could benefit when they focus on employee wellbeing and the environment: A systematic review of Sustainable human resource management,” </w:t>
      </w:r>
      <w:r>
        <w:rPr>
          <w:i/>
          <w:iCs/>
        </w:rPr>
        <w:t>Sustainability</w:t>
      </w:r>
      <w:r>
        <w:t xml:space="preserve">, 15(6), p. 5435. Available at: </w:t>
      </w:r>
      <w:hyperlink r:id="rId87">
        <w:r>
          <w:rPr>
            <w:color w:val="1155CC"/>
            <w:u w:val="single"/>
          </w:rPr>
          <w:t>https://doi.org/10.3390/su15065435</w:t>
        </w:r>
      </w:hyperlink>
      <w:r>
        <w:t>. (Accessed 25 July 2026)</w:t>
      </w:r>
    </w:p>
    <w:p w14:paraId="2A50465D" w14:textId="77777777" w:rsidR="00464F92" w:rsidRDefault="002831B2">
      <w:r>
        <w:t xml:space="preserve">Maka, A.O.M., Ghalut, T. and Elsaye, E. (2024) “The pathway toward decarbonisation and net-zero emissions by 2050: The role of solar energy technology,” </w:t>
      </w:r>
      <w:r>
        <w:rPr>
          <w:i/>
          <w:iCs/>
        </w:rPr>
        <w:t>Green Technologies and Sustainability</w:t>
      </w:r>
      <w:r>
        <w:t xml:space="preserve">, 2(3), p. 100107. Available at: </w:t>
      </w:r>
      <w:hyperlink r:id="rId88">
        <w:r>
          <w:rPr>
            <w:color w:val="0000FF"/>
            <w:u w:val="single"/>
          </w:rPr>
          <w:t>https://doi.org/10.1016/j.grets.2024.100107</w:t>
        </w:r>
      </w:hyperlink>
      <w:r>
        <w:t>.(Accessed 12 July 2026)</w:t>
      </w:r>
    </w:p>
    <w:p w14:paraId="64A815AE" w14:textId="77777777" w:rsidR="00464F92" w:rsidRDefault="002831B2">
      <w:r>
        <w:t xml:space="preserve">Mason-Jones, R., Davies, P.G. and Thomas, A. (2022) “Applying the Theory of Constraints to Explore the UK Renewable-Energy Supply Chain,” </w:t>
      </w:r>
      <w:r>
        <w:rPr>
          <w:i/>
          <w:iCs/>
        </w:rPr>
        <w:t>Sustainability</w:t>
      </w:r>
      <w:r>
        <w:t xml:space="preserve">, 14(20), p. 13307. Available at: </w:t>
      </w:r>
      <w:hyperlink r:id="rId89">
        <w:r>
          <w:rPr>
            <w:color w:val="0000FF"/>
            <w:u w:val="single"/>
          </w:rPr>
          <w:t>https://doi.org/10.3390/su142013307</w:t>
        </w:r>
      </w:hyperlink>
      <w:r>
        <w:t>.(Accessed 12 July 2026)</w:t>
      </w:r>
    </w:p>
    <w:p w14:paraId="1F54A162" w14:textId="77777777" w:rsidR="00464F92" w:rsidRDefault="002831B2">
      <w:r>
        <w:t xml:space="preserve">Mbanaso, U.M., Abrahams, L. and Okafor, K.C. (2023) ‘Research Philosophy, Design and Methodology’, </w:t>
      </w:r>
      <w:r>
        <w:rPr>
          <w:i/>
          <w:iCs/>
        </w:rPr>
        <w:t>Research Philosophy, Design and Methodology</w:t>
      </w:r>
      <w:r>
        <w:t xml:space="preserve">, 1(1), pp. 81–113. Available at: </w:t>
      </w:r>
      <w:hyperlink r:id="rId90">
        <w:r>
          <w:rPr>
            <w:color w:val="1155CC"/>
            <w:u w:val="single"/>
          </w:rPr>
          <w:t>https://doi.org/https://doi.org/10.1007/978-3-031-30031-8_6</w:t>
        </w:r>
      </w:hyperlink>
      <w:r>
        <w:t>. (Accessed 01 August 2026)</w:t>
      </w:r>
    </w:p>
    <w:p w14:paraId="0CBFF908" w14:textId="77777777" w:rsidR="00464F92" w:rsidRDefault="002831B2">
      <w:r>
        <w:t xml:space="preserve">Meng, X. and Shaikh, G.M. (2023) “Evaluating environmental, social, and governance criteria and green finance investment strategies using fuzzy AHP and fuzzy WASPAS,” </w:t>
      </w:r>
      <w:r>
        <w:rPr>
          <w:i/>
          <w:iCs/>
        </w:rPr>
        <w:t>Sustainability</w:t>
      </w:r>
      <w:r>
        <w:t xml:space="preserve">, 15(8), p. 6786. Available at: </w:t>
      </w:r>
      <w:hyperlink r:id="rId91">
        <w:r>
          <w:rPr>
            <w:color w:val="1155CC"/>
            <w:u w:val="single"/>
          </w:rPr>
          <w:t>https://doi.org/10.3390/su15086786</w:t>
        </w:r>
      </w:hyperlink>
      <w:r>
        <w:t>. (Accessed 25 July 2026)</w:t>
      </w:r>
    </w:p>
    <w:p w14:paraId="3BC165DF" w14:textId="77777777" w:rsidR="00464F92" w:rsidRDefault="002831B2">
      <w:r>
        <w:t xml:space="preserve">Mensi, W., Aslan, A., Vo, X.V. and Kang, S.H. (2023) ‘Time-frequency spillovers and connectedness between precious metals, oil futures and financial markets: Hedge and haven implications’, </w:t>
      </w:r>
      <w:r>
        <w:rPr>
          <w:i/>
          <w:iCs/>
        </w:rPr>
        <w:t>International Review of Economics &amp; Finance</w:t>
      </w:r>
      <w:r>
        <w:t xml:space="preserve">, 83, pp. 219–232. Available at: </w:t>
      </w:r>
      <w:hyperlink r:id="rId92">
        <w:r>
          <w:rPr>
            <w:color w:val="1155CC"/>
            <w:u w:val="single"/>
          </w:rPr>
          <w:t>https://doi.org/10.1016/j.iref.2022.08.015</w:t>
        </w:r>
      </w:hyperlink>
      <w:r>
        <w:t>. (Accessed 01 August 2026)</w:t>
      </w:r>
    </w:p>
    <w:p w14:paraId="056DFE2C" w14:textId="77777777" w:rsidR="00464F92" w:rsidRDefault="002831B2">
      <w:r>
        <w:t xml:space="preserve">Misiuda, M. and Lachmann, M. (2022) “Investors’ perceptions of Sustainability Reporting—A review of the experimental literature,” </w:t>
      </w:r>
      <w:r>
        <w:rPr>
          <w:i/>
          <w:iCs/>
        </w:rPr>
        <w:t>Sustainability</w:t>
      </w:r>
      <w:r>
        <w:t xml:space="preserve">, 14(24), p. 16746. Available at: </w:t>
      </w:r>
      <w:hyperlink r:id="rId93">
        <w:r>
          <w:rPr>
            <w:color w:val="1155CC"/>
            <w:u w:val="single"/>
          </w:rPr>
          <w:t>https://doi.org/10.3390/su142416746</w:t>
        </w:r>
      </w:hyperlink>
      <w:r>
        <w:t>. (Accessed 25 July 2026)</w:t>
      </w:r>
    </w:p>
    <w:p w14:paraId="67BC8F83" w14:textId="2FFF4794" w:rsidR="00464F92" w:rsidRDefault="002831B2">
      <w:r>
        <w:lastRenderedPageBreak/>
        <w:t xml:space="preserve">Mohanty, A., Priya, V.K., Paithe, U.N. and Mohanty, A. (2025) ‘“E” of environmental, social, and governance (ESG) in India: Reporting, review and prospects’, </w:t>
      </w:r>
      <w:r>
        <w:rPr>
          <w:i/>
          <w:iCs/>
        </w:rPr>
        <w:t>Discover Global Society</w:t>
      </w:r>
      <w:r>
        <w:t xml:space="preserve">, 3(1). Available at: </w:t>
      </w:r>
      <w:hyperlink r:id="rId94">
        <w:r>
          <w:rPr>
            <w:color w:val="0000FF"/>
            <w:u w:val="single"/>
          </w:rPr>
          <w:t>https://doi.org/10.1007/s44282-025-00288-0</w:t>
        </w:r>
      </w:hyperlink>
      <w:r>
        <w:t xml:space="preserve">. </w:t>
      </w:r>
    </w:p>
    <w:p w14:paraId="47DA70E7" w14:textId="77777777" w:rsidR="00464F92" w:rsidRDefault="002831B2">
      <w:pPr>
        <w:spacing w:after="240"/>
      </w:pPr>
      <w:r>
        <w:t xml:space="preserve">Nagriwum, T.M., Zhu, N. and Saeed, U.F. (2025) ‘Navigating &lt;scp&gt;ESG&lt;/scp&gt; performance through management ability, innovation, and stakeholder pressure. A novel moderation analysis’, </w:t>
      </w:r>
      <w:r>
        <w:rPr>
          <w:i/>
          <w:iCs/>
        </w:rPr>
        <w:t>Business Ethics the Environment &amp; Responsibility</w:t>
      </w:r>
      <w:r>
        <w:t xml:space="preserve"> [Preprint]. Available at: </w:t>
      </w:r>
      <w:hyperlink r:id="rId95">
        <w:r>
          <w:rPr>
            <w:color w:val="1155CC"/>
            <w:u w:val="single"/>
          </w:rPr>
          <w:t>https://doi.org/10.1111/beer.70055</w:t>
        </w:r>
      </w:hyperlink>
      <w:r>
        <w:t xml:space="preserve">. </w:t>
      </w:r>
    </w:p>
    <w:p w14:paraId="222A1F5E" w14:textId="77777777" w:rsidR="00464F92" w:rsidRDefault="002831B2">
      <w:r>
        <w:t xml:space="preserve">Ngo, D.-T., Aouedi, O., Piamrat, K., Hassan, T. and Raipin, P. (2025) ‘Rethinking traffic prediction in Mobile Network Digital Twins: A flexible inductive graph-based learning model for data-scarce scenarios’, </w:t>
      </w:r>
      <w:r>
        <w:rPr>
          <w:i/>
          <w:iCs/>
        </w:rPr>
        <w:t>Computer Networks</w:t>
      </w:r>
      <w:r>
        <w:t xml:space="preserve">, 271, p. 111569. Available at: </w:t>
      </w:r>
      <w:hyperlink r:id="rId96">
        <w:r>
          <w:rPr>
            <w:color w:val="1155CC"/>
            <w:u w:val="single"/>
          </w:rPr>
          <w:t>https://doi.org/10.1016/j.comnet.2025.111569</w:t>
        </w:r>
      </w:hyperlink>
      <w:r>
        <w:t>. (Accessed 19 August 2026)</w:t>
      </w:r>
    </w:p>
    <w:p w14:paraId="45021DA2" w14:textId="77777777" w:rsidR="00464F92" w:rsidRDefault="002831B2">
      <w:r>
        <w:t xml:space="preserve">Nyakuwanika, M. and Panicker, M. (2025) “The role of environmental accounting in mitigating climate change: ESG disclosures and effective Reporting—A systematic literature review,” </w:t>
      </w:r>
      <w:r>
        <w:rPr>
          <w:i/>
          <w:iCs/>
        </w:rPr>
        <w:t>Journal of Risk and Financial Management</w:t>
      </w:r>
      <w:r>
        <w:t xml:space="preserve">, 18(9), pp. 480–480. Available at: </w:t>
      </w:r>
      <w:hyperlink r:id="rId97">
        <w:r>
          <w:rPr>
            <w:color w:val="1155CC"/>
            <w:u w:val="single"/>
          </w:rPr>
          <w:t>https://doi.org/10.3390/jrfm18090480</w:t>
        </w:r>
      </w:hyperlink>
      <w:r>
        <w:t>. (Accessed 25 July 2026)</w:t>
      </w:r>
    </w:p>
    <w:p w14:paraId="7D37AA70" w14:textId="77777777" w:rsidR="00464F92" w:rsidRDefault="002831B2">
      <w:r>
        <w:t xml:space="preserve">Özbek, S. and Naimoğlu, M. (2025) ‘The effectiveness of renewable energy technology under the EKC hypothesis and the impact of fossil and nuclear energy investments on the UK’s Ecological Footprint’, </w:t>
      </w:r>
      <w:r>
        <w:rPr>
          <w:i/>
          <w:iCs/>
        </w:rPr>
        <w:t>Energy</w:t>
      </w:r>
      <w:r>
        <w:t xml:space="preserve">, 322, p. 135351. Available at: </w:t>
      </w:r>
      <w:hyperlink r:id="rId98">
        <w:r>
          <w:rPr>
            <w:color w:val="1155CC"/>
            <w:u w:val="single"/>
          </w:rPr>
          <w:t>https://doi.org/10.1016/j.energy.2025.135351</w:t>
        </w:r>
      </w:hyperlink>
      <w:r>
        <w:t>. (Accessed 01 August 2026)</w:t>
      </w:r>
    </w:p>
    <w:p w14:paraId="5B927BAE" w14:textId="77777777" w:rsidR="00464F92" w:rsidRDefault="002831B2">
      <w:r>
        <w:t xml:space="preserve">Paola, V., Zorio-Grima, A. and Merello, P. (2025) ‘Sustainability reporting assurance: Knowledge, lags, levels, and providers in leading global companies’, </w:t>
      </w:r>
      <w:r>
        <w:rPr>
          <w:i/>
          <w:iCs/>
        </w:rPr>
        <w:t>Journal of Innovation &amp; Knowledge</w:t>
      </w:r>
      <w:r>
        <w:t xml:space="preserve">, 12, pp. 100899–100899. Available at: </w:t>
      </w:r>
      <w:hyperlink r:id="rId99">
        <w:r>
          <w:rPr>
            <w:color w:val="0000FF"/>
            <w:u w:val="single"/>
          </w:rPr>
          <w:t>https://doi.org/10.1016/j.jik.2025.100899</w:t>
        </w:r>
      </w:hyperlink>
      <w:r>
        <w:t xml:space="preserve">. </w:t>
      </w:r>
    </w:p>
    <w:p w14:paraId="1D9F98C1" w14:textId="77777777" w:rsidR="00464F92" w:rsidRDefault="002831B2">
      <w:r>
        <w:t xml:space="preserve">Patro, A., Mishra, G. and Lee, C.-H. (2025) ‘The impact of ESG reporting on the cost of equity capital in India: The moderating role of external auditors’, </w:t>
      </w:r>
      <w:r>
        <w:rPr>
          <w:i/>
          <w:iCs/>
        </w:rPr>
        <w:t>IIMB Management Review</w:t>
      </w:r>
      <w:r>
        <w:t xml:space="preserve">, p. 100615. Available at: </w:t>
      </w:r>
      <w:hyperlink r:id="rId100">
        <w:r>
          <w:rPr>
            <w:color w:val="0000FF"/>
            <w:u w:val="single"/>
          </w:rPr>
          <w:t>https://doi.org/10.1016/j.iimb.2025.100615</w:t>
        </w:r>
      </w:hyperlink>
      <w:r>
        <w:t xml:space="preserve">. </w:t>
      </w:r>
    </w:p>
    <w:p w14:paraId="0EB3F617" w14:textId="77777777" w:rsidR="00464F92" w:rsidRDefault="002831B2">
      <w:r>
        <w:t xml:space="preserve">Pileckaitė, O. and Subačienė, R. (2026) ‘Mismatches between environmental performance and sustainable investments as signals of misleading green corporate messaging’, </w:t>
      </w:r>
      <w:r>
        <w:rPr>
          <w:i/>
          <w:iCs/>
        </w:rPr>
        <w:t>Journal of Risk and Financial Management</w:t>
      </w:r>
      <w:r>
        <w:t xml:space="preserve">, 19(8), p. 592. Available at: </w:t>
      </w:r>
      <w:hyperlink r:id="rId101">
        <w:r>
          <w:rPr>
            <w:color w:val="0000FF"/>
            <w:u w:val="single"/>
          </w:rPr>
          <w:t>https://doi.org/10.3390/jrfm19080592</w:t>
        </w:r>
      </w:hyperlink>
      <w:r>
        <w:t xml:space="preserve">. </w:t>
      </w:r>
    </w:p>
    <w:p w14:paraId="28F478E5" w14:textId="77777777" w:rsidR="00464F92" w:rsidRDefault="002831B2">
      <w:pPr>
        <w:spacing w:after="240"/>
      </w:pPr>
      <w:r>
        <w:t xml:space="preserve">Qi, T., Ma, H., Guang, F. and Zhu, D. (2025) ‘The influence of enterprise ESG performance on overseas business income - evidence from China’, </w:t>
      </w:r>
      <w:r>
        <w:rPr>
          <w:i/>
          <w:iCs/>
        </w:rPr>
        <w:t>Journal of Environmental Management</w:t>
      </w:r>
      <w:r>
        <w:t xml:space="preserve">, 373, p. 123790. Available at: </w:t>
      </w:r>
      <w:hyperlink r:id="rId102">
        <w:r>
          <w:rPr>
            <w:color w:val="1155CC"/>
            <w:u w:val="single"/>
          </w:rPr>
          <w:t>https://doi.org/10.1016/j.jenvman.2024.123790</w:t>
        </w:r>
      </w:hyperlink>
      <w:r>
        <w:t xml:space="preserve">. </w:t>
      </w:r>
    </w:p>
    <w:p w14:paraId="45CEA6EF" w14:textId="77777777" w:rsidR="00464F92" w:rsidRDefault="002831B2">
      <w:r>
        <w:lastRenderedPageBreak/>
        <w:t xml:space="preserve">Robinson, R.S. (2024) ‘Purposive sampling’, </w:t>
      </w:r>
      <w:r>
        <w:rPr>
          <w:i/>
          <w:iCs/>
        </w:rPr>
        <w:t>Springer eBooks</w:t>
      </w:r>
      <w:r>
        <w:t xml:space="preserve">, 1(1), pp. 5645–5647. Available at: </w:t>
      </w:r>
      <w:hyperlink r:id="rId103">
        <w:r>
          <w:rPr>
            <w:color w:val="1155CC"/>
            <w:u w:val="single"/>
          </w:rPr>
          <w:t>https://doi.org/10.1007/978-3-031-17299-1_2337</w:t>
        </w:r>
      </w:hyperlink>
      <w:r>
        <w:t>. (Accessed 01 August 2026)</w:t>
      </w:r>
    </w:p>
    <w:p w14:paraId="23E6EC14" w14:textId="77777777" w:rsidR="00464F92" w:rsidRDefault="002831B2">
      <w:r>
        <w:t xml:space="preserve">Sadiq, M., Leong, M.K., Zhou, Jiayao and Siddiqui, K. (2025) “The effect of perceived firm diversity, equity and inclusion (&lt;scp&gt;DEI&lt;/scp&gt;) on employee wellbeing and green performance: A moderated mediated model,” </w:t>
      </w:r>
      <w:r>
        <w:rPr>
          <w:i/>
          <w:iCs/>
        </w:rPr>
        <w:t>Corporate Social Responsibility and Environmental Management</w:t>
      </w:r>
      <w:r>
        <w:t xml:space="preserve"> [Preprint]. Available at: </w:t>
      </w:r>
      <w:hyperlink r:id="rId104">
        <w:r>
          <w:rPr>
            <w:color w:val="1155CC"/>
            <w:u w:val="single"/>
          </w:rPr>
          <w:t>https://doi.org/10.1002/csr.70186</w:t>
        </w:r>
      </w:hyperlink>
      <w:r>
        <w:t>. (Accessed 25 July 2026)</w:t>
      </w:r>
    </w:p>
    <w:p w14:paraId="6CFB7927" w14:textId="77777777" w:rsidR="00464F92" w:rsidRDefault="002831B2">
      <w:r>
        <w:t xml:space="preserve">Salehi, M., Ammar Ajel, R. and Zimon, G. (2022) “The relationship between corporate governance and financial reporting transparency,” </w:t>
      </w:r>
      <w:r>
        <w:rPr>
          <w:i/>
          <w:iCs/>
        </w:rPr>
        <w:t>Journal of Financial Reporting and Accounting</w:t>
      </w:r>
      <w:r>
        <w:t xml:space="preserve">, 21(5), pp. 1049–1072. Available at: </w:t>
      </w:r>
      <w:hyperlink r:id="rId105">
        <w:r>
          <w:rPr>
            <w:color w:val="1155CC"/>
            <w:u w:val="single"/>
          </w:rPr>
          <w:t>https://doi.org/10.1108/jfra-04-2021-0102</w:t>
        </w:r>
      </w:hyperlink>
      <w:r>
        <w:t>. (Accessed 25 July 2026)</w:t>
      </w:r>
    </w:p>
    <w:p w14:paraId="0663CEB9" w14:textId="77777777" w:rsidR="00464F92" w:rsidRDefault="002831B2">
      <w:r>
        <w:t xml:space="preserve">Scheer, D., Venghaus, S., Sardo, S., Stark, S., Kuppler, S., Schmidt, M.W. and Carsten Hoyer-Klick (2025) ‘No easy way out: Towards a framework concept of long-term governance’, </w:t>
      </w:r>
      <w:r>
        <w:rPr>
          <w:i/>
          <w:iCs/>
        </w:rPr>
        <w:t>Energy Sustainability and Society</w:t>
      </w:r>
      <w:r>
        <w:t xml:space="preserve">, 15(1). Available at: </w:t>
      </w:r>
      <w:hyperlink r:id="rId106">
        <w:r>
          <w:rPr>
            <w:color w:val="0000FF"/>
            <w:u w:val="single"/>
          </w:rPr>
          <w:t>https://doi.org/10.1186/s13705-025-00513-3</w:t>
        </w:r>
      </w:hyperlink>
      <w:r>
        <w:t xml:space="preserve">. </w:t>
      </w:r>
    </w:p>
    <w:p w14:paraId="3DFE44EE" w14:textId="77777777" w:rsidR="00464F92" w:rsidRDefault="002831B2">
      <w:r>
        <w:t xml:space="preserve">Serpa, S. and Sá, M.J. (2025) “Embedding sustainability in Organisations through climate, culture, and leadership,” </w:t>
      </w:r>
      <w:r>
        <w:rPr>
          <w:i/>
          <w:iCs/>
        </w:rPr>
        <w:t>Sustainability</w:t>
      </w:r>
      <w:r>
        <w:t xml:space="preserve">, 17(3), pp. 1186–1186. Available at: </w:t>
      </w:r>
      <w:hyperlink r:id="rId107">
        <w:r>
          <w:rPr>
            <w:color w:val="1155CC"/>
            <w:u w:val="single"/>
          </w:rPr>
          <w:t>https://doi.org/10.3390/su17031186</w:t>
        </w:r>
      </w:hyperlink>
      <w:r>
        <w:t>.  (Accessed 25 July 2026)</w:t>
      </w:r>
    </w:p>
    <w:p w14:paraId="5EA7415D" w14:textId="77777777" w:rsidR="00464F92" w:rsidRDefault="002831B2">
      <w:r>
        <w:t xml:space="preserve">Sinha, P., Binita Paudel, Mosimann, T., Ahmed, H., Gaotswake Patience Kovane, Moagi, M. and Phuti, A. (2024) ‘Comprehensive criteria for reporting qualitative research (CCQR): Reporting Guideline for Global Health qualitative research methods’, </w:t>
      </w:r>
      <w:r>
        <w:rPr>
          <w:i/>
          <w:iCs/>
        </w:rPr>
        <w:t>International Journal of Environmental Research and Public Health</w:t>
      </w:r>
      <w:r>
        <w:t xml:space="preserve">, 21(8), pp. 1005–1005. Available at: </w:t>
      </w:r>
      <w:hyperlink r:id="rId108">
        <w:r>
          <w:rPr>
            <w:color w:val="1155CC"/>
            <w:u w:val="single"/>
          </w:rPr>
          <w:t>https://doi.org/10.3390/ijerph21081005</w:t>
        </w:r>
      </w:hyperlink>
      <w:r>
        <w:t>. (Accessed 19 August 2026)</w:t>
      </w:r>
    </w:p>
    <w:p w14:paraId="518383FF" w14:textId="77777777" w:rsidR="00464F92" w:rsidRDefault="002831B2">
      <w:r>
        <w:t xml:space="preserve">Squire, C.M., Giombi, K.C., Rupert, D.J., Amoozegar, J. and Williams, P. (2023) ‘Determining appropriate sample size for qualitative interviews: code saturation (preprint)’, </w:t>
      </w:r>
      <w:r>
        <w:rPr>
          <w:i/>
          <w:iCs/>
        </w:rPr>
        <w:t>JMIR. Journal of medical internet research/Journal of medical internet research</w:t>
      </w:r>
      <w:r>
        <w:t xml:space="preserve">, 26. Available at: </w:t>
      </w:r>
      <w:hyperlink r:id="rId109">
        <w:r>
          <w:rPr>
            <w:color w:val="1155CC"/>
            <w:u w:val="single"/>
          </w:rPr>
          <w:t>https://doi.org/10.2196/52998</w:t>
        </w:r>
      </w:hyperlink>
      <w:r>
        <w:t>. (Accessed 01 August 2026)</w:t>
      </w:r>
    </w:p>
    <w:p w14:paraId="3D6BA71A" w14:textId="77777777" w:rsidR="00464F92" w:rsidRDefault="002831B2">
      <w:r>
        <w:t xml:space="preserve">Sundarasen, S., Zyznarska-Dworczak, B. and Mahmood, N.A. (2026) ‘Understanding ESG reporting drivers: Governance mechanisms, firm attributes, and regulatory roles’, </w:t>
      </w:r>
      <w:r>
        <w:rPr>
          <w:i/>
          <w:iCs/>
        </w:rPr>
        <w:t>Cogent Business &amp;amp; Management</w:t>
      </w:r>
      <w:r>
        <w:t xml:space="preserve">, 13(1). Available at: </w:t>
      </w:r>
      <w:hyperlink r:id="rId110">
        <w:r>
          <w:rPr>
            <w:color w:val="1155CC"/>
            <w:u w:val="single"/>
          </w:rPr>
          <w:t>https://doi.org/10.1080/23311975.2026.2622212</w:t>
        </w:r>
      </w:hyperlink>
      <w:r>
        <w:t xml:space="preserve">. </w:t>
      </w:r>
    </w:p>
    <w:p w14:paraId="65F665A3" w14:textId="77777777" w:rsidR="00464F92" w:rsidRDefault="002831B2">
      <w:r>
        <w:t xml:space="preserve">Tauseef, S. and Kundi, Y.M. (2025) ‘Employee health and safety policy and firm performance: Does Board gender diversity make a difference?’, </w:t>
      </w:r>
      <w:r>
        <w:rPr>
          <w:i/>
          <w:iCs/>
        </w:rPr>
        <w:t>Management Research Review</w:t>
      </w:r>
      <w:r>
        <w:t xml:space="preserve">, pp. 1–17. Available at: </w:t>
      </w:r>
      <w:hyperlink r:id="rId111">
        <w:r>
          <w:rPr>
            <w:color w:val="1155CC"/>
            <w:u w:val="single"/>
          </w:rPr>
          <w:t>https://doi.org/10.1108/mrr-11-2024-0899</w:t>
        </w:r>
      </w:hyperlink>
      <w:r>
        <w:t xml:space="preserve">. </w:t>
      </w:r>
    </w:p>
    <w:p w14:paraId="38A60C36" w14:textId="77777777" w:rsidR="00464F92" w:rsidRDefault="002831B2">
      <w:pPr>
        <w:spacing w:after="240"/>
      </w:pPr>
      <w:r>
        <w:lastRenderedPageBreak/>
        <w:t xml:space="preserve">Tong, Shahid, M.M. and Mannan, H. (2026) ‘Integrating corporate social responsibility and renewable energy adoption: A pathway to sustainable performance in ecologically fragile regions’, </w:t>
      </w:r>
      <w:r>
        <w:rPr>
          <w:i/>
          <w:iCs/>
        </w:rPr>
        <w:t>Energy Strategy Reviews</w:t>
      </w:r>
      <w:r>
        <w:t xml:space="preserve">, 65, p. 102272. Available at: </w:t>
      </w:r>
      <w:hyperlink r:id="rId112">
        <w:r>
          <w:rPr>
            <w:color w:val="1155CC"/>
            <w:u w:val="single"/>
          </w:rPr>
          <w:t>https://doi.org/10.1016/j.esr.2026.102272</w:t>
        </w:r>
      </w:hyperlink>
      <w:r>
        <w:t xml:space="preserve">. </w:t>
      </w:r>
    </w:p>
    <w:p w14:paraId="552F3FF8" w14:textId="77777777" w:rsidR="00464F92" w:rsidRDefault="002831B2">
      <w:r>
        <w:t xml:space="preserve">Tumewang, Y.K. (2025) ‘Task force on climate‐related financial disclosures: A systematic literature review and future research agenda’, </w:t>
      </w:r>
      <w:r>
        <w:rPr>
          <w:i/>
          <w:iCs/>
        </w:rPr>
        <w:t>Business Strategy and the Environment</w:t>
      </w:r>
      <w:r>
        <w:t xml:space="preserve"> [Preprint]. Available at: </w:t>
      </w:r>
      <w:hyperlink r:id="rId113">
        <w:r>
          <w:rPr>
            <w:color w:val="1155CC"/>
            <w:u w:val="single"/>
          </w:rPr>
          <w:t>https://doi.org/10.1002/bse.70112</w:t>
        </w:r>
      </w:hyperlink>
      <w:r>
        <w:t xml:space="preserve">. </w:t>
      </w:r>
    </w:p>
    <w:p w14:paraId="10B5EA75" w14:textId="77777777" w:rsidR="00464F92" w:rsidRDefault="002831B2">
      <w:r>
        <w:t xml:space="preserve">Ugwu, C.N., Ugwu, O.P.-C., Alum, E.U., Eze, V.H.U., Basajja, M., Ugwu, J.N., Ogenyi, F.C., Ejemot-Nwadiaro, R.I., Okon, M.B., Egba, S.I. and Uti, D.E. (2025) “Sustainable development goals (SDGs) and resilient healthcare systems: Addressing medicine and public health challenges in conflict zones,” </w:t>
      </w:r>
      <w:r>
        <w:rPr>
          <w:i/>
          <w:iCs/>
        </w:rPr>
        <w:t>Medicine</w:t>
      </w:r>
      <w:r>
        <w:t xml:space="preserve">, 104(7), p. e41535. Available at: </w:t>
      </w:r>
      <w:hyperlink r:id="rId114">
        <w:r>
          <w:rPr>
            <w:color w:val="1155CC"/>
            <w:u w:val="single"/>
          </w:rPr>
          <w:t>https://doi.org/10.1097/md.0000000000041535</w:t>
        </w:r>
      </w:hyperlink>
      <w:r>
        <w:t>. (Accessed 25 July 2026)</w:t>
      </w:r>
    </w:p>
    <w:p w14:paraId="2DF04A6B" w14:textId="78C77AC9" w:rsidR="00464F92" w:rsidRDefault="002831B2">
      <w:r>
        <w:t xml:space="preserve">Varghese, A., Davidson, B.G.J., George, J.P. and Muttungal, P.V. (2026) ‘Diversity, equity, and inclusion (DEI) initiatives; </w:t>
      </w:r>
      <w:r w:rsidR="007D7E23">
        <w:t>organisational</w:t>
      </w:r>
      <w:r>
        <w:t xml:space="preserve"> culture; and employee retention: Situational traits—Mediated model’, </w:t>
      </w:r>
      <w:r>
        <w:rPr>
          <w:i/>
          <w:iCs/>
        </w:rPr>
        <w:t>FIIB Business Review</w:t>
      </w:r>
      <w:r>
        <w:t xml:space="preserve"> [Preprint]. Available at: </w:t>
      </w:r>
      <w:hyperlink r:id="rId115">
        <w:r>
          <w:rPr>
            <w:color w:val="1155CC"/>
            <w:u w:val="single"/>
          </w:rPr>
          <w:t>https://doi.org/10.1177/23197145261421995</w:t>
        </w:r>
      </w:hyperlink>
      <w:r>
        <w:t xml:space="preserve">. </w:t>
      </w:r>
    </w:p>
    <w:p w14:paraId="7663C262" w14:textId="77777777" w:rsidR="00464F92" w:rsidRDefault="002831B2">
      <w:r>
        <w:t xml:space="preserve">Velte, P. (2023) “Sustainable institutional investors and corporate biodiversity disclosure: Does sustainable board governance matter?,” </w:t>
      </w:r>
      <w:r>
        <w:rPr>
          <w:i/>
          <w:iCs/>
        </w:rPr>
        <w:t>Corporate Social Responsibility and Environmental Management</w:t>
      </w:r>
      <w:r>
        <w:t xml:space="preserve"> [Preprint]. Available at: </w:t>
      </w:r>
      <w:hyperlink r:id="rId116">
        <w:r>
          <w:rPr>
            <w:color w:val="1155CC"/>
            <w:u w:val="single"/>
          </w:rPr>
          <w:t>https://doi.org/10.1002/csr.2537</w:t>
        </w:r>
      </w:hyperlink>
      <w:r>
        <w:t>.  (Accessed 25 July 2026)</w:t>
      </w:r>
    </w:p>
    <w:p w14:paraId="6C252FCC" w14:textId="77777777" w:rsidR="00464F92" w:rsidRDefault="002831B2">
      <w:r>
        <w:t xml:space="preserve">Vinay Kandpal, Jaswal, A., Ernesto and Agarwal, N. (2024) “Sustainable investment strategies for Renewable energy and circular economy projects,” pp. 201–216. Available at: </w:t>
      </w:r>
      <w:hyperlink r:id="rId117">
        <w:r>
          <w:rPr>
            <w:color w:val="1155CC"/>
            <w:u w:val="single"/>
          </w:rPr>
          <w:t>https://doi.org/10.1007/978-3-031-52943-6_6</w:t>
        </w:r>
      </w:hyperlink>
      <w:r>
        <w:t>. (Accessed 25 July 2026)</w:t>
      </w:r>
    </w:p>
    <w:p w14:paraId="69A78B3C" w14:textId="77777777" w:rsidR="00464F92" w:rsidRDefault="002831B2">
      <w:r>
        <w:t xml:space="preserve">Wu, D., Ding, H. and Cheng, Y. (2025) ‘Green technology investment in competitive supply chains: Exploring technology spillovers and altruistic preferences under carbon tax policy’, </w:t>
      </w:r>
      <w:r>
        <w:rPr>
          <w:i/>
          <w:iCs/>
        </w:rPr>
        <w:t>Journal of Cleaner Production</w:t>
      </w:r>
      <w:r>
        <w:t xml:space="preserve">, pp. 145871–145871. Available at: </w:t>
      </w:r>
      <w:hyperlink r:id="rId118">
        <w:r>
          <w:rPr>
            <w:color w:val="0000FF"/>
            <w:u w:val="single"/>
          </w:rPr>
          <w:t>https://doi.org/10.1016/j.jclepro.2025.145871</w:t>
        </w:r>
      </w:hyperlink>
      <w:r>
        <w:t xml:space="preserve">. </w:t>
      </w:r>
    </w:p>
    <w:p w14:paraId="5B956CD0" w14:textId="77777777" w:rsidR="00464F92" w:rsidRDefault="002831B2">
      <w:r>
        <w:t xml:space="preserve">Wu, L. and Jin, S. (2022) “Corporate social responsibility and sustainability: From a corporate governance perspective,” </w:t>
      </w:r>
      <w:r>
        <w:rPr>
          <w:i/>
          <w:iCs/>
        </w:rPr>
        <w:t>Sustainability</w:t>
      </w:r>
      <w:r>
        <w:t xml:space="preserve">, 14(22). Available at: </w:t>
      </w:r>
      <w:hyperlink r:id="rId119">
        <w:r>
          <w:rPr>
            <w:color w:val="0000FF"/>
            <w:u w:val="single"/>
          </w:rPr>
          <w:t>https://doi.org/10.3390/su142215457</w:t>
        </w:r>
      </w:hyperlink>
      <w:r>
        <w:t>. (Accessed 12 July 2026)</w:t>
      </w:r>
    </w:p>
    <w:p w14:paraId="0E7C569C" w14:textId="77777777" w:rsidR="00464F92" w:rsidRDefault="002831B2">
      <w:r>
        <w:t xml:space="preserve">Wu, L., Tian, W., Zhu, Y., Oleksii Lyulyov and Tetyana Pimonenko (2025) “The effect of Governance structure on green technology innovation: Based on the internal control </w:t>
      </w:r>
      <w:r>
        <w:lastRenderedPageBreak/>
        <w:t xml:space="preserve">perspective,” </w:t>
      </w:r>
      <w:r>
        <w:rPr>
          <w:i/>
          <w:iCs/>
        </w:rPr>
        <w:t>Business Strategy and the Environment</w:t>
      </w:r>
      <w:r>
        <w:t xml:space="preserve"> [Preprint]. Available at: </w:t>
      </w:r>
      <w:hyperlink r:id="rId120">
        <w:r>
          <w:rPr>
            <w:color w:val="1155CC"/>
            <w:u w:val="single"/>
          </w:rPr>
          <w:t>https://doi.org/10.1002/bse.70202</w:t>
        </w:r>
      </w:hyperlink>
      <w:r>
        <w:t>. (Accessed 25 July 2026)</w:t>
      </w:r>
    </w:p>
    <w:p w14:paraId="5313597D" w14:textId="77777777" w:rsidR="00464F92" w:rsidRDefault="002831B2">
      <w:r>
        <w:t xml:space="preserve">Ye, J. and Dela, E. (2023) “The Effect of Green Investment and Green Financing on Sustainable Business Performance of Foreign Chemical Industries Operating in Indonesia: The Mediating Role of Corporate Social Responsibility,” </w:t>
      </w:r>
      <w:r>
        <w:rPr>
          <w:i/>
          <w:iCs/>
        </w:rPr>
        <w:t>Sustainability</w:t>
      </w:r>
      <w:r>
        <w:t xml:space="preserve">, 15(14), pp. 11218–11218. Available at: </w:t>
      </w:r>
      <w:hyperlink r:id="rId121">
        <w:r>
          <w:rPr>
            <w:color w:val="0000FF"/>
            <w:u w:val="single"/>
          </w:rPr>
          <w:t>https://doi.org/10.3390/su151411218</w:t>
        </w:r>
      </w:hyperlink>
      <w:r>
        <w:t>. (Accessed 12 July 2026)</w:t>
      </w:r>
    </w:p>
    <w:p w14:paraId="285D00CE" w14:textId="044F70A0" w:rsidR="00464F92" w:rsidRDefault="002831B2">
      <w:r>
        <w:t xml:space="preserve">Yoo, B.-C. (2025) ‘Exploring stakeholder and </w:t>
      </w:r>
      <w:r w:rsidR="00113D7D">
        <w:t>organisational</w:t>
      </w:r>
      <w:r>
        <w:t xml:space="preserve"> influences on ESG management in the logistics sector’, </w:t>
      </w:r>
      <w:r>
        <w:rPr>
          <w:i/>
          <w:iCs/>
        </w:rPr>
        <w:t>Sustainability</w:t>
      </w:r>
      <w:r>
        <w:t xml:space="preserve">, 17(9), pp. 4243–4243. Available at: </w:t>
      </w:r>
      <w:hyperlink r:id="rId122">
        <w:r>
          <w:rPr>
            <w:color w:val="1155CC"/>
            <w:u w:val="single"/>
          </w:rPr>
          <w:t>https://doi.org/10.3390/su17094243</w:t>
        </w:r>
      </w:hyperlink>
      <w:r>
        <w:t xml:space="preserve">. </w:t>
      </w:r>
    </w:p>
    <w:p w14:paraId="12F4A3FF" w14:textId="77777777" w:rsidR="00464F92" w:rsidRDefault="002831B2">
      <w:r>
        <w:t xml:space="preserve">Yucel, M. and Yucel, S. (2024) ‘Environmental, social, and governance (ESG) Dynamics in the energy sector: Strategic approaches for sustainable development’, </w:t>
      </w:r>
      <w:r>
        <w:rPr>
          <w:i/>
          <w:iCs/>
        </w:rPr>
        <w:t>Energies</w:t>
      </w:r>
      <w:r>
        <w:t xml:space="preserve">, 17(24), pp. 6291–6291. Available at: </w:t>
      </w:r>
      <w:hyperlink r:id="rId123">
        <w:r>
          <w:rPr>
            <w:color w:val="1155CC"/>
            <w:u w:val="single"/>
          </w:rPr>
          <w:t>https://doi.org/10.3390/en17246291</w:t>
        </w:r>
      </w:hyperlink>
      <w:r>
        <w:t>.</w:t>
      </w:r>
    </w:p>
    <w:p w14:paraId="4E443A36" w14:textId="77777777" w:rsidR="00464F92" w:rsidRDefault="002831B2">
      <w:r>
        <w:t xml:space="preserve">Zeng, Q., Li, C. and Magazzino, C. (2024) ‘Impact of green energy production for sustainable economic growth and green economic recovery’, </w:t>
      </w:r>
      <w:r>
        <w:rPr>
          <w:i/>
          <w:iCs/>
        </w:rPr>
        <w:t>Heliyon</w:t>
      </w:r>
      <w:r>
        <w:t xml:space="preserve">, 10(17), p. e36643. Available at: </w:t>
      </w:r>
      <w:hyperlink r:id="rId124">
        <w:r>
          <w:rPr>
            <w:color w:val="1155CC"/>
            <w:u w:val="single"/>
          </w:rPr>
          <w:t>https://doi.org/10.1016/j.heliyon.2024.e36643</w:t>
        </w:r>
      </w:hyperlink>
      <w:r>
        <w:t>.</w:t>
      </w:r>
    </w:p>
    <w:p w14:paraId="2A7A1BE2" w14:textId="77777777" w:rsidR="00464F92" w:rsidRDefault="002831B2">
      <w:r>
        <w:t xml:space="preserve">Zhu, Y., Zhang, H., Siddik, A.B., Zheng, Y. and Sobhani, F.A. (2023) “Understanding corporate green competitive advantage through green technology adoption and green dynamic capabilities: Does green product innovation matter?” </w:t>
      </w:r>
      <w:r>
        <w:rPr>
          <w:i/>
          <w:iCs/>
        </w:rPr>
        <w:t>Systems</w:t>
      </w:r>
      <w:r>
        <w:t xml:space="preserve">, 11(9), p. 461. Available at: </w:t>
      </w:r>
      <w:hyperlink r:id="rId125">
        <w:r>
          <w:rPr>
            <w:color w:val="1155CC"/>
            <w:u w:val="single"/>
          </w:rPr>
          <w:t>https://doi.org/10.3390/systems11090461</w:t>
        </w:r>
      </w:hyperlink>
      <w:r>
        <w:t>. (Accessed 25 July 2026)</w:t>
      </w:r>
    </w:p>
    <w:p w14:paraId="298C8704" w14:textId="77777777" w:rsidR="00464F92" w:rsidRDefault="00464F92"/>
    <w:sectPr w:rsidR="00464F92">
      <w:footerReference w:type="default" r:id="rId126"/>
      <w:footerReference w:type="first" r:id="rId127"/>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A57DC" w14:textId="77777777" w:rsidR="00057757" w:rsidRDefault="00057757">
      <w:pPr>
        <w:spacing w:line="240" w:lineRule="auto"/>
      </w:pPr>
      <w:r>
        <w:separator/>
      </w:r>
    </w:p>
  </w:endnote>
  <w:endnote w:type="continuationSeparator" w:id="0">
    <w:p w14:paraId="43AFBFFA" w14:textId="77777777" w:rsidR="00057757" w:rsidRDefault="00057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embedRegular r:id="rId1" w:fontKey="{3B412412-7F30-4E61-B796-41787A9B5539}"/>
    <w:embedBold r:id="rId2" w:fontKey="{2FA30055-DC5B-410F-A800-FE7F91CF325F}"/>
  </w:font>
  <w:font w:name="Trebuchet MS">
    <w:panose1 w:val="020B0603020202020204"/>
    <w:charset w:val="00"/>
    <w:family w:val="swiss"/>
    <w:pitch w:val="variable"/>
    <w:sig w:usb0="00000687" w:usb1="00000000" w:usb2="00000000" w:usb3="00000000" w:csb0="0000009F" w:csb1="00000000"/>
    <w:embedRegular r:id="rId3" w:fontKey="{D74AB08B-9BE1-4879-BFB9-D9B7AD2713A2}"/>
    <w:embedBold r:id="rId4" w:fontKey="{DBE6E3E7-3710-4F0F-A6E7-8EFDA953F780}"/>
  </w:font>
  <w:font w:name="Cambria">
    <w:panose1 w:val="02040503050406030204"/>
    <w:charset w:val="00"/>
    <w:family w:val="roman"/>
    <w:pitch w:val="variable"/>
    <w:sig w:usb0="E00006FF" w:usb1="420024FF" w:usb2="02000000" w:usb3="00000000" w:csb0="0000019F" w:csb1="00000000"/>
    <w:embedRegular r:id="rId5" w:fontKey="{2BCF98D7-6A44-4720-8BE9-08188FD1A3CE}"/>
  </w:font>
  <w:font w:name="Calibri">
    <w:panose1 w:val="020F0502020204030204"/>
    <w:charset w:val="00"/>
    <w:family w:val="swiss"/>
    <w:pitch w:val="variable"/>
    <w:sig w:usb0="E4002EFF" w:usb1="C200247B" w:usb2="00000009" w:usb3="00000000" w:csb0="000001FF" w:csb1="00000000"/>
    <w:embedRegular r:id="rId6" w:fontKey="{2B3A3471-54D3-40DC-850A-B9545573A1A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8AD36" w14:textId="5669ABDE" w:rsidR="00464F92" w:rsidRDefault="002831B2">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1A79BB40" w14:textId="77777777" w:rsidR="00464F92" w:rsidRDefault="00464F92">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1EBEE" w14:textId="7C7CAF9A" w:rsidR="00464F92" w:rsidRDefault="002831B2">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DA4FEB9" w14:textId="77777777" w:rsidR="00464F92" w:rsidRDefault="00464F92">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3DB59" w14:textId="77777777" w:rsidR="00057757" w:rsidRDefault="00057757">
      <w:pPr>
        <w:spacing w:line="240" w:lineRule="auto"/>
      </w:pPr>
      <w:r>
        <w:separator/>
      </w:r>
    </w:p>
  </w:footnote>
  <w:footnote w:type="continuationSeparator" w:id="0">
    <w:p w14:paraId="091F9DE0" w14:textId="77777777" w:rsidR="00057757" w:rsidRDefault="000577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8779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53415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36814138">
    <w:abstractNumId w:val="0"/>
  </w:num>
  <w:num w:numId="2" w16cid:durableId="1783912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F92"/>
    <w:rsid w:val="00013F53"/>
    <w:rsid w:val="0001624F"/>
    <w:rsid w:val="00020E8E"/>
    <w:rsid w:val="00032E37"/>
    <w:rsid w:val="00037729"/>
    <w:rsid w:val="00057757"/>
    <w:rsid w:val="0006008E"/>
    <w:rsid w:val="00063BD9"/>
    <w:rsid w:val="000830A5"/>
    <w:rsid w:val="00097447"/>
    <w:rsid w:val="0010703C"/>
    <w:rsid w:val="00113D7D"/>
    <w:rsid w:val="00130691"/>
    <w:rsid w:val="001318CB"/>
    <w:rsid w:val="00144A9D"/>
    <w:rsid w:val="0014744B"/>
    <w:rsid w:val="00165106"/>
    <w:rsid w:val="001877DE"/>
    <w:rsid w:val="00187D52"/>
    <w:rsid w:val="001903A0"/>
    <w:rsid w:val="001A0B3C"/>
    <w:rsid w:val="001C4B47"/>
    <w:rsid w:val="001D67E6"/>
    <w:rsid w:val="001E4A25"/>
    <w:rsid w:val="001E711A"/>
    <w:rsid w:val="001F43A3"/>
    <w:rsid w:val="001F58FD"/>
    <w:rsid w:val="002134FD"/>
    <w:rsid w:val="002566B4"/>
    <w:rsid w:val="00260CB4"/>
    <w:rsid w:val="002831B2"/>
    <w:rsid w:val="00286E5A"/>
    <w:rsid w:val="002A0DFF"/>
    <w:rsid w:val="002A3A43"/>
    <w:rsid w:val="002A6904"/>
    <w:rsid w:val="002B58A5"/>
    <w:rsid w:val="002B5B24"/>
    <w:rsid w:val="00304E84"/>
    <w:rsid w:val="00310ADF"/>
    <w:rsid w:val="00321069"/>
    <w:rsid w:val="00341100"/>
    <w:rsid w:val="0037543A"/>
    <w:rsid w:val="003761D6"/>
    <w:rsid w:val="00397133"/>
    <w:rsid w:val="003B4927"/>
    <w:rsid w:val="003D6263"/>
    <w:rsid w:val="003E23D0"/>
    <w:rsid w:val="003E7885"/>
    <w:rsid w:val="003F3097"/>
    <w:rsid w:val="0040380D"/>
    <w:rsid w:val="00407F2F"/>
    <w:rsid w:val="00430002"/>
    <w:rsid w:val="004342FF"/>
    <w:rsid w:val="00451AF8"/>
    <w:rsid w:val="0045750B"/>
    <w:rsid w:val="00464F92"/>
    <w:rsid w:val="00480297"/>
    <w:rsid w:val="00486BD0"/>
    <w:rsid w:val="004A382E"/>
    <w:rsid w:val="004C222E"/>
    <w:rsid w:val="004C55D1"/>
    <w:rsid w:val="004E1F4D"/>
    <w:rsid w:val="00506FE1"/>
    <w:rsid w:val="0051109C"/>
    <w:rsid w:val="00525B31"/>
    <w:rsid w:val="005741A5"/>
    <w:rsid w:val="00574542"/>
    <w:rsid w:val="00585758"/>
    <w:rsid w:val="005A4172"/>
    <w:rsid w:val="005A7950"/>
    <w:rsid w:val="005B106D"/>
    <w:rsid w:val="005B7EDF"/>
    <w:rsid w:val="005D248F"/>
    <w:rsid w:val="005E6907"/>
    <w:rsid w:val="00607985"/>
    <w:rsid w:val="00607994"/>
    <w:rsid w:val="00641F19"/>
    <w:rsid w:val="00647D75"/>
    <w:rsid w:val="006674E4"/>
    <w:rsid w:val="00675C3D"/>
    <w:rsid w:val="006A0F0F"/>
    <w:rsid w:val="006A1835"/>
    <w:rsid w:val="006B72C1"/>
    <w:rsid w:val="006C1C9D"/>
    <w:rsid w:val="006C294A"/>
    <w:rsid w:val="006C2979"/>
    <w:rsid w:val="006C665E"/>
    <w:rsid w:val="006D2A9F"/>
    <w:rsid w:val="006D3B5E"/>
    <w:rsid w:val="006F295C"/>
    <w:rsid w:val="006F614A"/>
    <w:rsid w:val="006F6590"/>
    <w:rsid w:val="00731AC0"/>
    <w:rsid w:val="00735BAB"/>
    <w:rsid w:val="00760960"/>
    <w:rsid w:val="00787ACF"/>
    <w:rsid w:val="007A0B5D"/>
    <w:rsid w:val="007C54BD"/>
    <w:rsid w:val="007D7CCE"/>
    <w:rsid w:val="007D7E23"/>
    <w:rsid w:val="007E2A26"/>
    <w:rsid w:val="008053B1"/>
    <w:rsid w:val="00806A10"/>
    <w:rsid w:val="00831BF6"/>
    <w:rsid w:val="00847D19"/>
    <w:rsid w:val="00861C52"/>
    <w:rsid w:val="00873E0E"/>
    <w:rsid w:val="00874150"/>
    <w:rsid w:val="00876B14"/>
    <w:rsid w:val="00884153"/>
    <w:rsid w:val="00887105"/>
    <w:rsid w:val="008B74D1"/>
    <w:rsid w:val="008C10B6"/>
    <w:rsid w:val="008C73C7"/>
    <w:rsid w:val="008D1EAF"/>
    <w:rsid w:val="008F0BA7"/>
    <w:rsid w:val="008F7BAB"/>
    <w:rsid w:val="00943C5E"/>
    <w:rsid w:val="00955436"/>
    <w:rsid w:val="009C1B0E"/>
    <w:rsid w:val="009F2FEF"/>
    <w:rsid w:val="009F75CD"/>
    <w:rsid w:val="00A20552"/>
    <w:rsid w:val="00A26331"/>
    <w:rsid w:val="00A34169"/>
    <w:rsid w:val="00A513EE"/>
    <w:rsid w:val="00A66A7E"/>
    <w:rsid w:val="00A74CF3"/>
    <w:rsid w:val="00A80C6D"/>
    <w:rsid w:val="00A83981"/>
    <w:rsid w:val="00A92F2A"/>
    <w:rsid w:val="00A92FB4"/>
    <w:rsid w:val="00AB22F1"/>
    <w:rsid w:val="00AC2EDD"/>
    <w:rsid w:val="00AC34F1"/>
    <w:rsid w:val="00AD4796"/>
    <w:rsid w:val="00AF5EF1"/>
    <w:rsid w:val="00B27ED8"/>
    <w:rsid w:val="00B41835"/>
    <w:rsid w:val="00B506DE"/>
    <w:rsid w:val="00B916F6"/>
    <w:rsid w:val="00BA3A53"/>
    <w:rsid w:val="00BA63F1"/>
    <w:rsid w:val="00BD3522"/>
    <w:rsid w:val="00BD6789"/>
    <w:rsid w:val="00BD7527"/>
    <w:rsid w:val="00BE4B2C"/>
    <w:rsid w:val="00BF1C6F"/>
    <w:rsid w:val="00BF363B"/>
    <w:rsid w:val="00BF518B"/>
    <w:rsid w:val="00C04D6B"/>
    <w:rsid w:val="00C05173"/>
    <w:rsid w:val="00C30EE4"/>
    <w:rsid w:val="00C667BB"/>
    <w:rsid w:val="00C83CF3"/>
    <w:rsid w:val="00C87F59"/>
    <w:rsid w:val="00C91CC4"/>
    <w:rsid w:val="00CF0AA0"/>
    <w:rsid w:val="00CF2982"/>
    <w:rsid w:val="00CF6F6D"/>
    <w:rsid w:val="00D1643A"/>
    <w:rsid w:val="00D2048E"/>
    <w:rsid w:val="00D5236C"/>
    <w:rsid w:val="00D645AD"/>
    <w:rsid w:val="00D93908"/>
    <w:rsid w:val="00D966A3"/>
    <w:rsid w:val="00DA6CE4"/>
    <w:rsid w:val="00E07FD6"/>
    <w:rsid w:val="00E10269"/>
    <w:rsid w:val="00E3026A"/>
    <w:rsid w:val="00E401FC"/>
    <w:rsid w:val="00E4260C"/>
    <w:rsid w:val="00E44F3F"/>
    <w:rsid w:val="00E54DAE"/>
    <w:rsid w:val="00E80200"/>
    <w:rsid w:val="00E841D0"/>
    <w:rsid w:val="00E9136D"/>
    <w:rsid w:val="00E94C95"/>
    <w:rsid w:val="00ED42E8"/>
    <w:rsid w:val="00ED6620"/>
    <w:rsid w:val="00EF7477"/>
    <w:rsid w:val="00F212D3"/>
    <w:rsid w:val="00F406DD"/>
    <w:rsid w:val="00F52FCE"/>
    <w:rsid w:val="00F543C1"/>
    <w:rsid w:val="00F66E0D"/>
    <w:rsid w:val="00F67943"/>
    <w:rsid w:val="00F7474E"/>
    <w:rsid w:val="00F81537"/>
    <w:rsid w:val="00FA3094"/>
    <w:rsid w:val="00FC6C7E"/>
    <w:rsid w:val="00FE29AA"/>
    <w:rsid w:val="00FF50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3A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color w:val="000000"/>
      <w:sz w:val="26"/>
      <w:szCs w:val="26"/>
    </w:rPr>
  </w:style>
  <w:style w:type="paragraph" w:styleId="Heading3">
    <w:name w:val="heading 3"/>
    <w:basedOn w:val="Normal"/>
    <w:next w:val="Normal"/>
    <w:uiPriority w:val="9"/>
    <w:unhideWhenUsed/>
    <w:qFormat/>
    <w:pPr>
      <w:keepNext/>
      <w:keepLines/>
      <w:spacing w:before="320" w:after="80"/>
      <w:outlineLvl w:val="2"/>
    </w:pPr>
    <w:rPr>
      <w:b/>
      <w:bCs/>
      <w:i/>
      <w:iCs/>
    </w:rPr>
  </w:style>
  <w:style w:type="paragraph" w:styleId="Heading4">
    <w:name w:val="heading 4"/>
    <w:basedOn w:val="Normal"/>
    <w:next w:val="Normal"/>
    <w:uiPriority w:val="9"/>
    <w:unhideWhenUsed/>
    <w:qFormat/>
    <w:pPr>
      <w:keepNext/>
      <w:keepLines/>
      <w:spacing w:before="280" w:after="80"/>
      <w:outlineLvl w:val="3"/>
    </w:pPr>
    <w:rPr>
      <w:b/>
      <w:bCs/>
      <w:i/>
      <w:iCs/>
    </w:rPr>
  </w:style>
  <w:style w:type="paragraph" w:styleId="Heading5">
    <w:name w:val="heading 5"/>
    <w:basedOn w:val="Normal"/>
    <w:next w:val="Normal"/>
    <w:uiPriority w:val="9"/>
    <w:unhideWhenUsed/>
    <w:qFormat/>
    <w:pPr>
      <w:keepNext/>
      <w:keepLines/>
      <w:jc w:val="center"/>
      <w:outlineLvl w:val="4"/>
    </w:pPr>
    <w:rPr>
      <w:b/>
      <w:bCs/>
      <w:color w:val="000000"/>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paragraph" w:styleId="FootnoteText">
    <w:name w:val="footnote text"/>
    <w:basedOn w:val="Normal"/>
    <w:link w:val="FootnoteTextChar"/>
    <w:uiPriority w:val="99"/>
    <w:semiHidden/>
    <w:unhideWhenUsed/>
    <w:rsid w:val="00063BD9"/>
    <w:pPr>
      <w:spacing w:line="240" w:lineRule="auto"/>
    </w:pPr>
    <w:rPr>
      <w:sz w:val="20"/>
      <w:szCs w:val="20"/>
    </w:rPr>
  </w:style>
  <w:style w:type="character" w:customStyle="1" w:styleId="FootnoteTextChar">
    <w:name w:val="Footnote Text Char"/>
    <w:basedOn w:val="DefaultParagraphFont"/>
    <w:link w:val="FootnoteText"/>
    <w:uiPriority w:val="99"/>
    <w:semiHidden/>
    <w:rsid w:val="00063BD9"/>
    <w:rPr>
      <w:sz w:val="20"/>
      <w:szCs w:val="20"/>
    </w:rPr>
  </w:style>
  <w:style w:type="character" w:styleId="FootnoteReference">
    <w:name w:val="footnote reference"/>
    <w:basedOn w:val="DefaultParagraphFont"/>
    <w:uiPriority w:val="99"/>
    <w:semiHidden/>
    <w:unhideWhenUsed/>
    <w:rsid w:val="00063BD9"/>
    <w:rPr>
      <w:vertAlign w:val="superscript"/>
    </w:rPr>
  </w:style>
  <w:style w:type="character" w:customStyle="1" w:styleId="TitleChar">
    <w:name w:val="Title Char"/>
    <w:basedOn w:val="DefaultParagraphFont"/>
    <w:link w:val="Title"/>
    <w:uiPriority w:val="10"/>
    <w:rsid w:val="009F2FEF"/>
    <w:rPr>
      <w:sz w:val="52"/>
      <w:szCs w:val="52"/>
    </w:rPr>
  </w:style>
  <w:style w:type="paragraph" w:styleId="BodyText">
    <w:name w:val="Body Text"/>
    <w:basedOn w:val="Normal"/>
    <w:link w:val="BodyTextChar"/>
    <w:uiPriority w:val="1"/>
    <w:qFormat/>
    <w:rsid w:val="009F2FEF"/>
    <w:pPr>
      <w:widowControl w:val="0"/>
      <w:autoSpaceDE w:val="0"/>
      <w:autoSpaceDN w:val="0"/>
      <w:spacing w:before="180" w:line="240" w:lineRule="auto"/>
      <w:ind w:left="23"/>
      <w:jc w:val="left"/>
    </w:pPr>
    <w:rPr>
      <w:rFonts w:ascii="Segoe UI Symbol" w:eastAsia="Segoe UI Symbol" w:hAnsi="Segoe UI Symbol" w:cs="Segoe UI Symbol"/>
      <w:lang w:val="en-US"/>
    </w:rPr>
  </w:style>
  <w:style w:type="character" w:customStyle="1" w:styleId="BodyTextChar">
    <w:name w:val="Body Text Char"/>
    <w:basedOn w:val="DefaultParagraphFont"/>
    <w:link w:val="BodyText"/>
    <w:uiPriority w:val="1"/>
    <w:rsid w:val="009F2FEF"/>
    <w:rPr>
      <w:rFonts w:ascii="Segoe UI Symbol" w:eastAsia="Segoe UI Symbol" w:hAnsi="Segoe UI Symbol" w:cs="Segoe UI Symbol"/>
      <w:lang w:val="en-US"/>
    </w:rPr>
  </w:style>
  <w:style w:type="paragraph" w:customStyle="1" w:styleId="TableParagraph">
    <w:name w:val="Table Paragraph"/>
    <w:basedOn w:val="Normal"/>
    <w:uiPriority w:val="1"/>
    <w:qFormat/>
    <w:rsid w:val="009F2FEF"/>
    <w:pPr>
      <w:widowControl w:val="0"/>
      <w:autoSpaceDE w:val="0"/>
      <w:autoSpaceDN w:val="0"/>
      <w:spacing w:line="240" w:lineRule="auto"/>
      <w:ind w:left="107"/>
      <w:jc w:val="left"/>
    </w:pPr>
    <w:rPr>
      <w:rFonts w:ascii="Segoe UI Symbol" w:eastAsia="Segoe UI Symbol" w:hAnsi="Segoe UI Symbol" w:cs="Segoe UI Symbol"/>
      <w:sz w:val="22"/>
      <w:szCs w:val="22"/>
      <w:lang w:val="en-US"/>
    </w:rPr>
  </w:style>
  <w:style w:type="paragraph" w:styleId="TOC1">
    <w:name w:val="toc 1"/>
    <w:basedOn w:val="Normal"/>
    <w:next w:val="Normal"/>
    <w:autoRedefine/>
    <w:uiPriority w:val="39"/>
    <w:unhideWhenUsed/>
    <w:rsid w:val="00CF2982"/>
    <w:pPr>
      <w:spacing w:after="100"/>
    </w:pPr>
  </w:style>
  <w:style w:type="paragraph" w:styleId="TOC2">
    <w:name w:val="toc 2"/>
    <w:basedOn w:val="Normal"/>
    <w:next w:val="Normal"/>
    <w:autoRedefine/>
    <w:uiPriority w:val="39"/>
    <w:unhideWhenUsed/>
    <w:rsid w:val="00CF2982"/>
    <w:pPr>
      <w:spacing w:after="100"/>
      <w:ind w:left="240"/>
    </w:pPr>
  </w:style>
  <w:style w:type="paragraph" w:styleId="TOC3">
    <w:name w:val="toc 3"/>
    <w:basedOn w:val="Normal"/>
    <w:next w:val="Normal"/>
    <w:autoRedefine/>
    <w:uiPriority w:val="39"/>
    <w:unhideWhenUsed/>
    <w:rsid w:val="008B74D1"/>
    <w:pPr>
      <w:tabs>
        <w:tab w:val="right" w:pos="9019"/>
      </w:tabs>
      <w:spacing w:after="100"/>
      <w:ind w:left="480"/>
    </w:pPr>
    <w:rPr>
      <w:noProof/>
      <w:color w:val="000000" w:themeColor="text1"/>
    </w:rPr>
  </w:style>
  <w:style w:type="character" w:styleId="Hyperlink">
    <w:name w:val="Hyperlink"/>
    <w:basedOn w:val="DefaultParagraphFont"/>
    <w:uiPriority w:val="99"/>
    <w:unhideWhenUsed/>
    <w:rsid w:val="00CF2982"/>
    <w:rPr>
      <w:color w:val="0000FF" w:themeColor="hyperlink"/>
      <w:u w:val="single"/>
    </w:rPr>
  </w:style>
  <w:style w:type="character" w:styleId="CommentReference">
    <w:name w:val="annotation reference"/>
    <w:basedOn w:val="DefaultParagraphFont"/>
    <w:uiPriority w:val="99"/>
    <w:semiHidden/>
    <w:unhideWhenUsed/>
    <w:rsid w:val="007D7CCE"/>
    <w:rPr>
      <w:sz w:val="16"/>
      <w:szCs w:val="16"/>
    </w:rPr>
  </w:style>
  <w:style w:type="paragraph" w:styleId="CommentText">
    <w:name w:val="annotation text"/>
    <w:basedOn w:val="Normal"/>
    <w:link w:val="CommentTextChar"/>
    <w:uiPriority w:val="99"/>
    <w:unhideWhenUsed/>
    <w:rsid w:val="007D7CCE"/>
    <w:pPr>
      <w:spacing w:line="240" w:lineRule="auto"/>
    </w:pPr>
    <w:rPr>
      <w:sz w:val="20"/>
      <w:szCs w:val="20"/>
    </w:rPr>
  </w:style>
  <w:style w:type="character" w:customStyle="1" w:styleId="CommentTextChar">
    <w:name w:val="Comment Text Char"/>
    <w:basedOn w:val="DefaultParagraphFont"/>
    <w:link w:val="CommentText"/>
    <w:uiPriority w:val="99"/>
    <w:rsid w:val="007D7CCE"/>
    <w:rPr>
      <w:sz w:val="20"/>
      <w:szCs w:val="20"/>
    </w:rPr>
  </w:style>
  <w:style w:type="paragraph" w:styleId="CommentSubject">
    <w:name w:val="annotation subject"/>
    <w:basedOn w:val="CommentText"/>
    <w:next w:val="CommentText"/>
    <w:link w:val="CommentSubjectChar"/>
    <w:uiPriority w:val="99"/>
    <w:semiHidden/>
    <w:unhideWhenUsed/>
    <w:rsid w:val="007D7CCE"/>
    <w:rPr>
      <w:b/>
      <w:bCs/>
    </w:rPr>
  </w:style>
  <w:style w:type="character" w:customStyle="1" w:styleId="CommentSubjectChar">
    <w:name w:val="Comment Subject Char"/>
    <w:basedOn w:val="CommentTextChar"/>
    <w:link w:val="CommentSubject"/>
    <w:uiPriority w:val="99"/>
    <w:semiHidden/>
    <w:rsid w:val="007D7CCE"/>
    <w:rPr>
      <w:b/>
      <w:bCs/>
      <w:sz w:val="20"/>
      <w:szCs w:val="20"/>
    </w:rPr>
  </w:style>
  <w:style w:type="paragraph" w:styleId="Header">
    <w:name w:val="header"/>
    <w:basedOn w:val="Normal"/>
    <w:link w:val="HeaderChar"/>
    <w:uiPriority w:val="99"/>
    <w:unhideWhenUsed/>
    <w:rsid w:val="00E4260C"/>
    <w:pPr>
      <w:tabs>
        <w:tab w:val="center" w:pos="4513"/>
        <w:tab w:val="right" w:pos="9026"/>
      </w:tabs>
      <w:spacing w:line="240" w:lineRule="auto"/>
    </w:pPr>
  </w:style>
  <w:style w:type="character" w:customStyle="1" w:styleId="HeaderChar">
    <w:name w:val="Header Char"/>
    <w:basedOn w:val="DefaultParagraphFont"/>
    <w:link w:val="Header"/>
    <w:uiPriority w:val="99"/>
    <w:rsid w:val="00E4260C"/>
  </w:style>
  <w:style w:type="paragraph" w:styleId="Footer">
    <w:name w:val="footer"/>
    <w:basedOn w:val="Normal"/>
    <w:link w:val="FooterChar"/>
    <w:uiPriority w:val="99"/>
    <w:unhideWhenUsed/>
    <w:rsid w:val="00E4260C"/>
    <w:pPr>
      <w:tabs>
        <w:tab w:val="center" w:pos="4513"/>
        <w:tab w:val="right" w:pos="9026"/>
      </w:tabs>
      <w:spacing w:line="240" w:lineRule="auto"/>
    </w:pPr>
  </w:style>
  <w:style w:type="character" w:customStyle="1" w:styleId="FooterChar">
    <w:name w:val="Footer Char"/>
    <w:basedOn w:val="DefaultParagraphFont"/>
    <w:link w:val="Footer"/>
    <w:uiPriority w:val="99"/>
    <w:rsid w:val="00E4260C"/>
  </w:style>
  <w:style w:type="paragraph" w:styleId="TOC5">
    <w:name w:val="toc 5"/>
    <w:basedOn w:val="Normal"/>
    <w:next w:val="Normal"/>
    <w:autoRedefine/>
    <w:uiPriority w:val="39"/>
    <w:unhideWhenUsed/>
    <w:rsid w:val="006D3B5E"/>
    <w:pPr>
      <w:spacing w:after="100"/>
      <w:ind w:left="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doi.org/10.1007/978-3-031-52943-6_6" TargetMode="External"/><Relationship Id="rId21" Type="http://schemas.openxmlformats.org/officeDocument/2006/relationships/hyperlink" Target="https://doi.org/10.1016/j.nexus.2025.100395" TargetMode="External"/><Relationship Id="rId42" Type="http://schemas.openxmlformats.org/officeDocument/2006/relationships/hyperlink" Target="https://doi.org/10.1016/j.esr.2025.101916" TargetMode="External"/><Relationship Id="rId47" Type="http://schemas.openxmlformats.org/officeDocument/2006/relationships/hyperlink" Target="https://doi.org/10.3390/su14042322" TargetMode="External"/><Relationship Id="rId63" Type="http://schemas.openxmlformats.org/officeDocument/2006/relationships/hyperlink" Target="https://doi.org/10.1111/auar.70019" TargetMode="External"/><Relationship Id="rId68" Type="http://schemas.openxmlformats.org/officeDocument/2006/relationships/hyperlink" Target="https://doi.org/10.1080/23311975.2023.2198061" TargetMode="External"/><Relationship Id="rId84" Type="http://schemas.openxmlformats.org/officeDocument/2006/relationships/hyperlink" Target="https://doi.org/10.3390/c9040120" TargetMode="External"/><Relationship Id="rId89" Type="http://schemas.openxmlformats.org/officeDocument/2006/relationships/hyperlink" Target="https://doi.org/10.3390/su142013307" TargetMode="External"/><Relationship Id="rId112" Type="http://schemas.openxmlformats.org/officeDocument/2006/relationships/hyperlink" Target="https://doi.org/10.1016/j.esr.2026.102272" TargetMode="External"/><Relationship Id="rId16" Type="http://schemas.openxmlformats.org/officeDocument/2006/relationships/image" Target="media/image8.png"/><Relationship Id="rId107" Type="http://schemas.openxmlformats.org/officeDocument/2006/relationships/hyperlink" Target="https://doi.org/10.3390/su17031186" TargetMode="External"/><Relationship Id="rId11" Type="http://schemas.openxmlformats.org/officeDocument/2006/relationships/image" Target="media/image3.png"/><Relationship Id="rId32" Type="http://schemas.openxmlformats.org/officeDocument/2006/relationships/hyperlink" Target="https://doi.org/10.1108/qrfm-10-2023-0241" TargetMode="External"/><Relationship Id="rId37" Type="http://schemas.openxmlformats.org/officeDocument/2006/relationships/hyperlink" Target="https://doi.org/10.1177/02692163241234800" TargetMode="External"/><Relationship Id="rId53" Type="http://schemas.openxmlformats.org/officeDocument/2006/relationships/hyperlink" Target="https://doi.org/10.3390/electronics12040957" TargetMode="External"/><Relationship Id="rId58" Type="http://schemas.openxmlformats.org/officeDocument/2006/relationships/hyperlink" Target="https://doi.org/10.1007/s43621-025-01434-z" TargetMode="External"/><Relationship Id="rId74" Type="http://schemas.openxmlformats.org/officeDocument/2006/relationships/hyperlink" Target="https://doi.org/10.1016/j.clpl.2024.100079" TargetMode="External"/><Relationship Id="rId79" Type="http://schemas.openxmlformats.org/officeDocument/2006/relationships/hyperlink" Target="https://doi.org/10.1016/j.apmrv.2023.01.002" TargetMode="External"/><Relationship Id="rId102" Type="http://schemas.openxmlformats.org/officeDocument/2006/relationships/hyperlink" Target="https://doi.org/10.1016/j.jenvman.2024.123790" TargetMode="External"/><Relationship Id="rId123" Type="http://schemas.openxmlformats.org/officeDocument/2006/relationships/hyperlink" Target="https://doi.org/10.3390/en17246291"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doi.org/https://doi.org/10.1007/978-3-031-30031-8_6" TargetMode="External"/><Relationship Id="rId95" Type="http://schemas.openxmlformats.org/officeDocument/2006/relationships/hyperlink" Target="https://doi.org/10.1111/beer.70055" TargetMode="External"/><Relationship Id="rId22" Type="http://schemas.openxmlformats.org/officeDocument/2006/relationships/hyperlink" Target="https://doi.org/10.1177/23409444251320399" TargetMode="External"/><Relationship Id="rId27" Type="http://schemas.openxmlformats.org/officeDocument/2006/relationships/hyperlink" Target="https://doi.org/10.1007/s10551-025-06111-9" TargetMode="External"/><Relationship Id="rId43" Type="http://schemas.openxmlformats.org/officeDocument/2006/relationships/hyperlink" Target="https://doi.org/10.1016/j.esr.2025.101916" TargetMode="External"/><Relationship Id="rId48" Type="http://schemas.openxmlformats.org/officeDocument/2006/relationships/hyperlink" Target="https://doi.org/10.3390/su18031486" TargetMode="External"/><Relationship Id="rId64" Type="http://schemas.openxmlformats.org/officeDocument/2006/relationships/hyperlink" Target="https://doi.org/10.1016/j.irfa.2024.103901" TargetMode="External"/><Relationship Id="rId69" Type="http://schemas.openxmlformats.org/officeDocument/2006/relationships/hyperlink" Target="https://doi.org/10.1016/j.techsoc.2025.102836" TargetMode="External"/><Relationship Id="rId113" Type="http://schemas.openxmlformats.org/officeDocument/2006/relationships/hyperlink" Target="https://doi.org/10.1002/bse.70112" TargetMode="External"/><Relationship Id="rId118" Type="http://schemas.openxmlformats.org/officeDocument/2006/relationships/hyperlink" Target="https://doi.org/10.1016/j.jclepro.2025.145871" TargetMode="External"/><Relationship Id="rId80" Type="http://schemas.openxmlformats.org/officeDocument/2006/relationships/hyperlink" Target="https://doi.org/10.1108/jal-06-2025-0288" TargetMode="External"/><Relationship Id="rId85" Type="http://schemas.openxmlformats.org/officeDocument/2006/relationships/hyperlink" Target="https://doi.org/10.1002/bse.3281" TargetMode="Externa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hyperlink" Target="https://doi.org/10.1007/978-3-030-71522-9_1811" TargetMode="External"/><Relationship Id="rId38" Type="http://schemas.openxmlformats.org/officeDocument/2006/relationships/hyperlink" Target="https://doi.org/10.1016/j.erss.2024.103602" TargetMode="External"/><Relationship Id="rId59" Type="http://schemas.openxmlformats.org/officeDocument/2006/relationships/hyperlink" Target="https://doi.org/10.3390/risks10090182" TargetMode="External"/><Relationship Id="rId103" Type="http://schemas.openxmlformats.org/officeDocument/2006/relationships/hyperlink" Target="https://doi.org/10.1007/978-3-031-17299-1_2337" TargetMode="External"/><Relationship Id="rId108" Type="http://schemas.openxmlformats.org/officeDocument/2006/relationships/hyperlink" Target="https://doi.org/10.3390/ijerph21081005" TargetMode="External"/><Relationship Id="rId124" Type="http://schemas.openxmlformats.org/officeDocument/2006/relationships/hyperlink" Target="https://doi.org/10.1016/j.heliyon.2024.e36643" TargetMode="External"/><Relationship Id="rId129" Type="http://schemas.openxmlformats.org/officeDocument/2006/relationships/theme" Target="theme/theme1.xml"/><Relationship Id="rId54" Type="http://schemas.openxmlformats.org/officeDocument/2006/relationships/hyperlink" Target="https://doi.org/10.1002/berj.4045" TargetMode="External"/><Relationship Id="rId70" Type="http://schemas.openxmlformats.org/officeDocument/2006/relationships/hyperlink" Target="https://www.sciencedirect.com/topics/economics-econometrics-and-finance/institutional-theory" TargetMode="External"/><Relationship Id="rId75" Type="http://schemas.openxmlformats.org/officeDocument/2006/relationships/hyperlink" Target="https://doi.org/10.1016/j.jclepro.2023.138172" TargetMode="External"/><Relationship Id="rId91" Type="http://schemas.openxmlformats.org/officeDocument/2006/relationships/hyperlink" Target="https://doi.org/10.3390/su15086786" TargetMode="External"/><Relationship Id="rId96" Type="http://schemas.openxmlformats.org/officeDocument/2006/relationships/hyperlink" Target="https://doi.org/10.1016/j.comnet.2025.11156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oi.org/https://doi.org/10.1016/j.glmedi.2025.100198" TargetMode="External"/><Relationship Id="rId28" Type="http://schemas.openxmlformats.org/officeDocument/2006/relationships/hyperlink" Target="https://doi.org/10.1002/csr.70324" TargetMode="External"/><Relationship Id="rId49" Type="http://schemas.openxmlformats.org/officeDocument/2006/relationships/hyperlink" Target="https://doi.org/10.1007/978-981-19-5441-2_29" TargetMode="External"/><Relationship Id="rId114" Type="http://schemas.openxmlformats.org/officeDocument/2006/relationships/hyperlink" Target="https://doi.org/10.1097/md.0000000000041535" TargetMode="External"/><Relationship Id="rId119" Type="http://schemas.openxmlformats.org/officeDocument/2006/relationships/hyperlink" Target="https://doi.org/10.3390/su142215457" TargetMode="External"/><Relationship Id="rId44" Type="http://schemas.openxmlformats.org/officeDocument/2006/relationships/hyperlink" Target="https://doi.org/10.3390/educsci14121347" TargetMode="External"/><Relationship Id="rId60" Type="http://schemas.openxmlformats.org/officeDocument/2006/relationships/hyperlink" Target="https://doi.org/10.1016/j.esr.2023.101114" TargetMode="External"/><Relationship Id="rId65" Type="http://schemas.openxmlformats.org/officeDocument/2006/relationships/hyperlink" Target="https://www.iea.org/reports/world-energy-investment-2024/overview-and-key-findings" TargetMode="External"/><Relationship Id="rId81" Type="http://schemas.openxmlformats.org/officeDocument/2006/relationships/hyperlink" Target="https://doi.org/10.1016/j.irfa.2025.104199" TargetMode="External"/><Relationship Id="rId86" Type="http://schemas.openxmlformats.org/officeDocument/2006/relationships/hyperlink" Target="https://doi.org/10.3390/su151310645"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doi.org/10.1007/s10551-026-06315-7" TargetMode="External"/><Relationship Id="rId109" Type="http://schemas.openxmlformats.org/officeDocument/2006/relationships/hyperlink" Target="https://doi.org/10.2196/52998" TargetMode="External"/><Relationship Id="rId34" Type="http://schemas.openxmlformats.org/officeDocument/2006/relationships/hyperlink" Target="https://doi.org/10.1007/978-3-031-59819-7_7" TargetMode="External"/><Relationship Id="rId50" Type="http://schemas.openxmlformats.org/officeDocument/2006/relationships/hyperlink" Target="https://doi.org/10.1016/j.iref.2025.104101" TargetMode="External"/><Relationship Id="rId55" Type="http://schemas.openxmlformats.org/officeDocument/2006/relationships/hyperlink" Target="https://doi.org/10.3390/jrfm19050360" TargetMode="External"/><Relationship Id="rId76" Type="http://schemas.openxmlformats.org/officeDocument/2006/relationships/hyperlink" Target="https://doi.org/10.3390/su17052267" TargetMode="External"/><Relationship Id="rId97" Type="http://schemas.openxmlformats.org/officeDocument/2006/relationships/hyperlink" Target="https://doi.org/10.3390/jrfm18090480" TargetMode="External"/><Relationship Id="rId104" Type="http://schemas.openxmlformats.org/officeDocument/2006/relationships/hyperlink" Target="https://doi.org/10.1002/csr.70186" TargetMode="External"/><Relationship Id="rId120" Type="http://schemas.openxmlformats.org/officeDocument/2006/relationships/hyperlink" Target="https://doi.org/10.1002/bse.70202" TargetMode="External"/><Relationship Id="rId125" Type="http://schemas.openxmlformats.org/officeDocument/2006/relationships/hyperlink" Target="https://doi.org/10.3390/systems11090461" TargetMode="External"/><Relationship Id="rId7" Type="http://schemas.openxmlformats.org/officeDocument/2006/relationships/endnotes" Target="endnotes.xml"/><Relationship Id="rId71" Type="http://schemas.openxmlformats.org/officeDocument/2006/relationships/hyperlink" Target="https://doi.org/10.3390/su14095157" TargetMode="External"/><Relationship Id="rId92" Type="http://schemas.openxmlformats.org/officeDocument/2006/relationships/hyperlink" Target="https://doi.org/10.1016/j.iref.2022.08.015" TargetMode="External"/><Relationship Id="rId2" Type="http://schemas.openxmlformats.org/officeDocument/2006/relationships/numbering" Target="numbering.xml"/><Relationship Id="rId29" Type="http://schemas.openxmlformats.org/officeDocument/2006/relationships/hyperlink" Target="https://doi.org/10.3390/educsci15070831" TargetMode="External"/><Relationship Id="rId24" Type="http://schemas.openxmlformats.org/officeDocument/2006/relationships/hyperlink" Target="https://doi.org/10.1016/j.jadohealth.2023.06.032" TargetMode="External"/><Relationship Id="rId40" Type="http://schemas.openxmlformats.org/officeDocument/2006/relationships/hyperlink" Target="https://doi.org/10.1097/01.naj.0001081740.74815.20" TargetMode="External"/><Relationship Id="rId45" Type="http://schemas.openxmlformats.org/officeDocument/2006/relationships/hyperlink" Target="https://doi.org/10.3390/su15032610" TargetMode="External"/><Relationship Id="rId66" Type="http://schemas.openxmlformats.org/officeDocument/2006/relationships/hyperlink" Target="https://doi.org/10.1016/j.sftr.2024.100327" TargetMode="External"/><Relationship Id="rId87" Type="http://schemas.openxmlformats.org/officeDocument/2006/relationships/hyperlink" Target="https://doi.org/10.3390/su15065435" TargetMode="External"/><Relationship Id="rId110" Type="http://schemas.openxmlformats.org/officeDocument/2006/relationships/hyperlink" Target="https://doi.org/10.1080/23311975.2026.2622212" TargetMode="External"/><Relationship Id="rId115" Type="http://schemas.openxmlformats.org/officeDocument/2006/relationships/hyperlink" Target="https://doi.org/10.1177/23197145261421995" TargetMode="External"/><Relationship Id="rId61" Type="http://schemas.openxmlformats.org/officeDocument/2006/relationships/hyperlink" Target="https://doi.org/10.1080/00131881.2024.2302156" TargetMode="External"/><Relationship Id="rId82" Type="http://schemas.openxmlformats.org/officeDocument/2006/relationships/hyperlink" Target="https://doi.org/10.1016/j.regsus.2023.11.003"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hyperlink" Target="https://doi.org/https://doi.org/10.1186/s40991-024-00094-y" TargetMode="External"/><Relationship Id="rId35" Type="http://schemas.openxmlformats.org/officeDocument/2006/relationships/hyperlink" Target="https://doi.org/https://doi.org/10.1186/s40537-021-00553-4" TargetMode="External"/><Relationship Id="rId56" Type="http://schemas.openxmlformats.org/officeDocument/2006/relationships/hyperlink" Target="https://doi.org/10.1002/bse.3852" TargetMode="External"/><Relationship Id="rId77" Type="http://schemas.openxmlformats.org/officeDocument/2006/relationships/hyperlink" Target="https://doi.org/https://doi.org/10.3390/su13073746" TargetMode="External"/><Relationship Id="rId100" Type="http://schemas.openxmlformats.org/officeDocument/2006/relationships/hyperlink" Target="https://doi.org/10.1016/j.iimb.2025.100615" TargetMode="External"/><Relationship Id="rId105" Type="http://schemas.openxmlformats.org/officeDocument/2006/relationships/hyperlink" Target="https://doi.org/10.1108/jfra-04-2021-0102" TargetMode="External"/><Relationship Id="rId12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1002/sd.2374" TargetMode="External"/><Relationship Id="rId72" Type="http://schemas.openxmlformats.org/officeDocument/2006/relationships/hyperlink" Target="https://doi.org/10.1007/s43621-025-01101-3" TargetMode="External"/><Relationship Id="rId93" Type="http://schemas.openxmlformats.org/officeDocument/2006/relationships/hyperlink" Target="https://doi.org/10.3390/su142416746" TargetMode="External"/><Relationship Id="rId98" Type="http://schemas.openxmlformats.org/officeDocument/2006/relationships/hyperlink" Target="https://doi.org/10.1016/j.energy.2025.135351" TargetMode="External"/><Relationship Id="rId121" Type="http://schemas.openxmlformats.org/officeDocument/2006/relationships/hyperlink" Target="https://doi.org/10.3390/su151411218" TargetMode="External"/><Relationship Id="rId3" Type="http://schemas.openxmlformats.org/officeDocument/2006/relationships/styles" Target="styles.xml"/><Relationship Id="rId25" Type="http://schemas.openxmlformats.org/officeDocument/2006/relationships/hyperlink" Target="https://doi.org/10.1016/j.jadohealth.2023.06.032" TargetMode="External"/><Relationship Id="rId46" Type="http://schemas.openxmlformats.org/officeDocument/2006/relationships/hyperlink" Target="https://doi.org/10.1002/sd.71503" TargetMode="External"/><Relationship Id="rId67" Type="http://schemas.openxmlformats.org/officeDocument/2006/relationships/hyperlink" Target="https://doi.org/https://doi.org/10.1080/15377857.2019.1624286" TargetMode="External"/><Relationship Id="rId116" Type="http://schemas.openxmlformats.org/officeDocument/2006/relationships/hyperlink" Target="https://doi.org/10.1002/csr.2537" TargetMode="External"/><Relationship Id="rId20" Type="http://schemas.openxmlformats.org/officeDocument/2006/relationships/hyperlink" Target="https://doi.org/10.1016/j.ijft.2023.100498" TargetMode="External"/><Relationship Id="rId41" Type="http://schemas.openxmlformats.org/officeDocument/2006/relationships/hyperlink" Target="https://doi.org/10.1016/j.ssmmh.2022.100071" TargetMode="External"/><Relationship Id="rId62" Type="http://schemas.openxmlformats.org/officeDocument/2006/relationships/hyperlink" Target="https://doi.org/10.1016/j.bar.2025.101805" TargetMode="External"/><Relationship Id="rId83" Type="http://schemas.openxmlformats.org/officeDocument/2006/relationships/hyperlink" Target="https://doi.org/10.1002/bse.3647" TargetMode="External"/><Relationship Id="rId88" Type="http://schemas.openxmlformats.org/officeDocument/2006/relationships/hyperlink" Target="https://doi.org/10.1016/j.grets.2024.100107" TargetMode="External"/><Relationship Id="rId111" Type="http://schemas.openxmlformats.org/officeDocument/2006/relationships/hyperlink" Target="https://doi.org/10.1108/mrr-11-2024-0899" TargetMode="External"/><Relationship Id="rId15" Type="http://schemas.openxmlformats.org/officeDocument/2006/relationships/image" Target="media/image7.png"/><Relationship Id="rId36" Type="http://schemas.openxmlformats.org/officeDocument/2006/relationships/hyperlink" Target="https://doi.org/10.1108/dlo-01-2025-0024" TargetMode="External"/><Relationship Id="rId57" Type="http://schemas.openxmlformats.org/officeDocument/2006/relationships/hyperlink" Target="https://creately.com/guides/stakeholder-theory/" TargetMode="External"/><Relationship Id="rId106" Type="http://schemas.openxmlformats.org/officeDocument/2006/relationships/hyperlink" Target="https://doi.org/10.1186/s13705-025-00513-3" TargetMode="External"/><Relationship Id="rId127" Type="http://schemas.openxmlformats.org/officeDocument/2006/relationships/footer" Target="footer2.xml"/><Relationship Id="rId10" Type="http://schemas.openxmlformats.org/officeDocument/2006/relationships/image" Target="media/image2.png"/><Relationship Id="rId31" Type="http://schemas.openxmlformats.org/officeDocument/2006/relationships/hyperlink" Target="https://doi.org/10.1111/beer.12779" TargetMode="External"/><Relationship Id="rId52" Type="http://schemas.openxmlformats.org/officeDocument/2006/relationships/hyperlink" Target="https://doi.org/10.1016/j.rser.2024.114557" TargetMode="External"/><Relationship Id="rId73" Type="http://schemas.openxmlformats.org/officeDocument/2006/relationships/hyperlink" Target="https://doi.org/10.1007/978-3-031-52943-6_1" TargetMode="External"/><Relationship Id="rId78" Type="http://schemas.openxmlformats.org/officeDocument/2006/relationships/hyperlink" Target="https://doi.org/10.1002/csr.2256" TargetMode="External"/><Relationship Id="rId94" Type="http://schemas.openxmlformats.org/officeDocument/2006/relationships/hyperlink" Target="https://doi.org/10.1007/s44282-025-00288-0" TargetMode="External"/><Relationship Id="rId99" Type="http://schemas.openxmlformats.org/officeDocument/2006/relationships/hyperlink" Target="https://doi.org/10.1016/j.jik.2025.100899" TargetMode="External"/><Relationship Id="rId101" Type="http://schemas.openxmlformats.org/officeDocument/2006/relationships/hyperlink" Target="https://doi.org/10.3390/jrfm19080592" TargetMode="External"/><Relationship Id="rId122" Type="http://schemas.openxmlformats.org/officeDocument/2006/relationships/hyperlink" Target="https://doi.org/10.3390/su17094243" TargetMode="External"/><Relationship Id="rId4" Type="http://schemas.openxmlformats.org/officeDocument/2006/relationships/settings" Target="settings.xml"/><Relationship Id="rId9" Type="http://schemas.openxmlformats.org/officeDocument/2006/relationships/hyperlink" Target="https://www.grammarly.com/" TargetMode="External"/><Relationship Id="rId26" Type="http://schemas.openxmlformats.org/officeDocument/2006/relationships/hyperlink" Target="https://www.sciencedirect.com/science/article/pii/S0040162522007089"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AC0E9-965D-41FC-B91A-ECADBF0F3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24033</Words>
  <Characters>136991</Characters>
  <Application>Microsoft Office Word</Application>
  <DocSecurity>0</DocSecurity>
  <Lines>1141</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2026-09-19T14:27:00Z</dcterms:created>
  <dcterms:modified xsi:type="dcterms:W3CDTF">2026-09-23T21:04:00Z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93b3976e-8333-4463-9385-c130d693e424</vt:lpwstr>
  </property>
</Properties>
</file>