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1B982" w14:textId="7AB1A97A" w:rsidR="009B01B5" w:rsidRPr="00AF459E" w:rsidRDefault="009B01B5">
      <w:pPr>
        <w:rPr>
          <w:b/>
          <w:bCs/>
        </w:rPr>
      </w:pPr>
      <w:r w:rsidRPr="00AF459E">
        <w:rPr>
          <w:b/>
          <w:bCs/>
        </w:rPr>
        <w:t xml:space="preserve">Intangible Cultural Heritage: </w:t>
      </w:r>
      <w:r w:rsidR="002105CA">
        <w:rPr>
          <w:b/>
          <w:bCs/>
        </w:rPr>
        <w:t>A</w:t>
      </w:r>
      <w:r w:rsidRPr="00AF459E">
        <w:rPr>
          <w:b/>
          <w:bCs/>
        </w:rPr>
        <w:t xml:space="preserve"> </w:t>
      </w:r>
      <w:r w:rsidR="002105CA">
        <w:rPr>
          <w:b/>
          <w:bCs/>
        </w:rPr>
        <w:t>P</w:t>
      </w:r>
      <w:r w:rsidRPr="00AF459E">
        <w:rPr>
          <w:b/>
          <w:bCs/>
        </w:rPr>
        <w:t xml:space="preserve">olicy </w:t>
      </w:r>
      <w:r w:rsidR="002105CA">
        <w:rPr>
          <w:b/>
          <w:bCs/>
        </w:rPr>
        <w:t>T</w:t>
      </w:r>
      <w:r w:rsidR="00AF459E" w:rsidRPr="00AF459E">
        <w:rPr>
          <w:b/>
          <w:bCs/>
        </w:rPr>
        <w:t xml:space="preserve">ale of </w:t>
      </w:r>
      <w:r w:rsidR="002105CA">
        <w:rPr>
          <w:b/>
          <w:bCs/>
        </w:rPr>
        <w:t>T</w:t>
      </w:r>
      <w:r w:rsidR="00AF459E" w:rsidRPr="00AF459E">
        <w:rPr>
          <w:b/>
          <w:bCs/>
        </w:rPr>
        <w:t xml:space="preserve">wo </w:t>
      </w:r>
      <w:r w:rsidR="002105CA">
        <w:rPr>
          <w:b/>
          <w:bCs/>
        </w:rPr>
        <w:t>N</w:t>
      </w:r>
      <w:r w:rsidR="00AF459E" w:rsidRPr="00AF459E">
        <w:rPr>
          <w:b/>
          <w:bCs/>
        </w:rPr>
        <w:t>ations</w:t>
      </w:r>
    </w:p>
    <w:p w14:paraId="34BCADD1" w14:textId="2000B664" w:rsidR="00231AD4" w:rsidRDefault="00B040B6">
      <w:r>
        <w:t>The United Kingdom</w:t>
      </w:r>
      <w:r w:rsidR="00DF6326">
        <w:t xml:space="preserve"> (UK)</w:t>
      </w:r>
      <w:r>
        <w:t xml:space="preserve"> has often been criticised for a perceived failure to engage meaningfully with intangible heritage</w:t>
      </w:r>
      <w:r w:rsidR="00B16C9C">
        <w:t>.</w:t>
      </w:r>
      <w:r w:rsidR="009D0A7E">
        <w:t xml:space="preserve"> Smith and Waterton have argued that</w:t>
      </w:r>
      <w:r w:rsidR="004B237C">
        <w:t xml:space="preserve"> the UK </w:t>
      </w:r>
      <w:r w:rsidR="0060540A">
        <w:t>struggles to understand intangible heritage</w:t>
      </w:r>
      <w:r w:rsidR="009D0A7E">
        <w:t>, due to a powerful authorised heritage discourse</w:t>
      </w:r>
      <w:r w:rsidR="00EA488A">
        <w:t xml:space="preserve"> </w:t>
      </w:r>
      <w:r w:rsidR="0060540A">
        <w:t xml:space="preserve">(AHD) </w:t>
      </w:r>
      <w:r w:rsidR="00EA488A">
        <w:t xml:space="preserve">operating in the </w:t>
      </w:r>
      <w:r w:rsidR="00DF6326">
        <w:t>UK</w:t>
      </w:r>
      <w:r w:rsidR="00EA488A">
        <w:t xml:space="preserve">, which privileges </w:t>
      </w:r>
      <w:r w:rsidR="005938DE">
        <w:t>elite, monumental, tangible remains</w:t>
      </w:r>
      <w:r w:rsidR="00231AD4">
        <w:t>:</w:t>
      </w:r>
    </w:p>
    <w:p w14:paraId="4F1DC94B" w14:textId="24E0BA93" w:rsidR="00231AD4" w:rsidRDefault="00231AD4" w:rsidP="00231AD4">
      <w:pPr>
        <w:pStyle w:val="NoSpacing"/>
      </w:pPr>
      <w:r>
        <w:t>The idea that heritage is ‘good’, ‘safe’ and ‘tangible’ has been so successfully absorbed into the UK management process that any attempts to deviate away from, or disrupt, this cultural norm are met with incomprehensibility.</w:t>
      </w:r>
      <w:r w:rsidR="00F0655C">
        <w:rPr>
          <w:rStyle w:val="FootnoteReference"/>
        </w:rPr>
        <w:footnoteReference w:id="1"/>
      </w:r>
    </w:p>
    <w:p w14:paraId="5B465F4F" w14:textId="27B5D093" w:rsidR="007D6085" w:rsidRDefault="00DF6326">
      <w:r>
        <w:t xml:space="preserve">They argue that this is why the UK has not ratified the </w:t>
      </w:r>
      <w:r w:rsidR="008260D4">
        <w:t>2003 Convention for the Safeguarding of Intangible Heritage (hereinafter the 2003 Convention)</w:t>
      </w:r>
      <w:r w:rsidR="0057184B">
        <w:t xml:space="preserve"> and</w:t>
      </w:r>
      <w:r w:rsidR="008D2866">
        <w:t>,</w:t>
      </w:r>
      <w:r w:rsidR="0057184B">
        <w:t xml:space="preserve"> togeth</w:t>
      </w:r>
      <w:r w:rsidR="00220ABC">
        <w:t>er</w:t>
      </w:r>
      <w:r w:rsidR="00C6173A">
        <w:t xml:space="preserve"> with </w:t>
      </w:r>
      <w:proofErr w:type="spellStart"/>
      <w:r w:rsidR="00C6173A">
        <w:t>Hassard</w:t>
      </w:r>
      <w:proofErr w:type="spellEnd"/>
      <w:r w:rsidR="008D2866">
        <w:t>,</w:t>
      </w:r>
      <w:r w:rsidR="00C6173A">
        <w:t xml:space="preserve"> suggest that a failure to do so equates to a failure to adequately engage with and protect intangible heritage in the UK.</w:t>
      </w:r>
      <w:r w:rsidR="00C6173A">
        <w:rPr>
          <w:rStyle w:val="FootnoteReference"/>
        </w:rPr>
        <w:footnoteReference w:id="2"/>
      </w:r>
      <w:r w:rsidR="0093030F">
        <w:t xml:space="preserve"> </w:t>
      </w:r>
      <w:r w:rsidR="00FB2B1B">
        <w:t xml:space="preserve">While it is true that the United Kingdom </w:t>
      </w:r>
      <w:r>
        <w:t>is yet to ratify the</w:t>
      </w:r>
      <w:r w:rsidR="00241632">
        <w:t xml:space="preserve"> 2003 Convention, it is not true that the UK has made no provision </w:t>
      </w:r>
      <w:r w:rsidR="00D870C8">
        <w:t>for the protection of Intangible Cultural Heritage (ICH) in its laws and policies.</w:t>
      </w:r>
      <w:r w:rsidR="00D95136">
        <w:t xml:space="preserve"> In fact,</w:t>
      </w:r>
      <w:r w:rsidR="00721AB6">
        <w:t xml:space="preserve"> </w:t>
      </w:r>
      <w:r w:rsidR="00666BFF">
        <w:t xml:space="preserve">the well-established </w:t>
      </w:r>
      <w:r w:rsidR="0011330A">
        <w:t xml:space="preserve">concepts of </w:t>
      </w:r>
      <w:r w:rsidR="0011330A" w:rsidRPr="00AF3841">
        <w:rPr>
          <w:i/>
          <w:iCs/>
        </w:rPr>
        <w:t>conservation areas</w:t>
      </w:r>
      <w:r w:rsidR="0011330A">
        <w:t xml:space="preserve"> and the </w:t>
      </w:r>
      <w:r w:rsidR="0011330A" w:rsidRPr="00AF3841">
        <w:rPr>
          <w:i/>
          <w:iCs/>
        </w:rPr>
        <w:t>setting of heritage</w:t>
      </w:r>
      <w:r w:rsidR="00AF3841">
        <w:rPr>
          <w:i/>
          <w:iCs/>
        </w:rPr>
        <w:t>/historic</w:t>
      </w:r>
      <w:r w:rsidR="0011330A" w:rsidRPr="00AF3841">
        <w:rPr>
          <w:i/>
          <w:iCs/>
        </w:rPr>
        <w:t xml:space="preserve"> assets</w:t>
      </w:r>
      <w:r w:rsidR="0011330A">
        <w:t xml:space="preserve"> have played an important part in safeguarding the UK’s ICH</w:t>
      </w:r>
      <w:r w:rsidR="007D6085">
        <w:t xml:space="preserve"> since the mid-20</w:t>
      </w:r>
      <w:r w:rsidR="007D6085" w:rsidRPr="007D6085">
        <w:rPr>
          <w:vertAlign w:val="superscript"/>
        </w:rPr>
        <w:t>th</w:t>
      </w:r>
      <w:r w:rsidR="007D6085">
        <w:t xml:space="preserve"> century.</w:t>
      </w:r>
      <w:r w:rsidR="0039774E">
        <w:t xml:space="preserve"> </w:t>
      </w:r>
      <w:r w:rsidR="007D6085">
        <w:t xml:space="preserve">However, to appreciate this it is first necessary to </w:t>
      </w:r>
      <w:r w:rsidR="00BF2D97">
        <w:t xml:space="preserve">re-examine </w:t>
      </w:r>
      <w:r w:rsidR="007D6085">
        <w:t xml:space="preserve">ICH </w:t>
      </w:r>
      <w:r w:rsidR="008F10D9">
        <w:t xml:space="preserve">to understand </w:t>
      </w:r>
      <w:r w:rsidR="003F361D">
        <w:t xml:space="preserve">its </w:t>
      </w:r>
      <w:r w:rsidR="00FA3C2C">
        <w:t xml:space="preserve">conceptual </w:t>
      </w:r>
      <w:r w:rsidR="003F361D">
        <w:t>structure</w:t>
      </w:r>
      <w:r w:rsidR="00FA3C2C">
        <w:t>, as developed by both the 2003 Convention and recent scholarship</w:t>
      </w:r>
      <w:r w:rsidR="00E808A4">
        <w:t>.</w:t>
      </w:r>
      <w:r w:rsidR="003F361D">
        <w:t xml:space="preserve"> </w:t>
      </w:r>
      <w:r w:rsidR="00B6029C">
        <w:t>This essay will argue</w:t>
      </w:r>
      <w:r w:rsidR="003F361D">
        <w:t xml:space="preserve"> that </w:t>
      </w:r>
      <w:r w:rsidR="00FA3C2C">
        <w:t xml:space="preserve">the </w:t>
      </w:r>
      <w:r w:rsidR="003F361D">
        <w:t xml:space="preserve">ICH </w:t>
      </w:r>
      <w:r w:rsidR="0072150A">
        <w:t xml:space="preserve">is a process which </w:t>
      </w:r>
      <w:r w:rsidR="003F361D">
        <w:t xml:space="preserve">comprises two key facets: </w:t>
      </w:r>
      <w:r w:rsidR="00887911">
        <w:t xml:space="preserve">the </w:t>
      </w:r>
      <w:r w:rsidR="00193DF8">
        <w:rPr>
          <w:i/>
          <w:iCs/>
        </w:rPr>
        <w:t>discernment of heritage</w:t>
      </w:r>
      <w:r w:rsidR="00887911">
        <w:t xml:space="preserve"> and the </w:t>
      </w:r>
      <w:r w:rsidR="00887911" w:rsidRPr="00887911">
        <w:rPr>
          <w:i/>
          <w:iCs/>
        </w:rPr>
        <w:t>embodiment</w:t>
      </w:r>
      <w:r w:rsidR="00887911">
        <w:t xml:space="preserve"> </w:t>
      </w:r>
      <w:r w:rsidR="00887911" w:rsidRPr="00C11CD0">
        <w:rPr>
          <w:i/>
          <w:iCs/>
        </w:rPr>
        <w:t>of heritage</w:t>
      </w:r>
      <w:r w:rsidR="00887911">
        <w:t>.</w:t>
      </w:r>
      <w:r w:rsidR="00E808A4">
        <w:t xml:space="preserve"> </w:t>
      </w:r>
      <w:r w:rsidR="003A22FE">
        <w:t>Once this is understood the aspects of ICH that are protected</w:t>
      </w:r>
      <w:r w:rsidR="001709A2">
        <w:t xml:space="preserve"> by UK policy and law</w:t>
      </w:r>
      <w:r w:rsidR="003A22FE">
        <w:t xml:space="preserve">, and those that are not, become clearer, as do </w:t>
      </w:r>
      <w:r w:rsidR="0098070F">
        <w:t xml:space="preserve">the reasons for </w:t>
      </w:r>
      <w:r w:rsidR="00CD2167">
        <w:t xml:space="preserve">the UK’s hesitation </w:t>
      </w:r>
      <w:r w:rsidR="00C742CE">
        <w:t xml:space="preserve">in </w:t>
      </w:r>
      <w:r w:rsidR="00794B1A">
        <w:t>ratifying the 2003 Convention.</w:t>
      </w:r>
    </w:p>
    <w:p w14:paraId="4579A328" w14:textId="3E2535F6" w:rsidR="009313EF" w:rsidRDefault="00C51BF7">
      <w:r>
        <w:t>The UK’s relationship with ICH is further complicated by its constitutional structure</w:t>
      </w:r>
      <w:r w:rsidR="00307E69">
        <w:t>, as it consists of four nations</w:t>
      </w:r>
      <w:r w:rsidR="00DC58FA">
        <w:t xml:space="preserve">, each with subtly different </w:t>
      </w:r>
      <w:r w:rsidR="007737E4">
        <w:t xml:space="preserve">heritage-related </w:t>
      </w:r>
      <w:r w:rsidR="00DC58FA">
        <w:t>laws and policies</w:t>
      </w:r>
      <w:r w:rsidR="007737E4">
        <w:t>.</w:t>
      </w:r>
      <w:r>
        <w:t xml:space="preserve"> </w:t>
      </w:r>
      <w:r w:rsidR="007D2F96">
        <w:t xml:space="preserve">Of particular interest in relation to ICH, is the </w:t>
      </w:r>
      <w:r w:rsidR="00165B86">
        <w:t xml:space="preserve">development of Welsh heritage policy and law since devolution. </w:t>
      </w:r>
      <w:r w:rsidR="00727960">
        <w:t>Since t</w:t>
      </w:r>
      <w:r w:rsidR="009313EF">
        <w:t>he political devolution of Wales in 199</w:t>
      </w:r>
      <w:r w:rsidR="00825426">
        <w:t>8</w:t>
      </w:r>
      <w:r w:rsidR="00D45A3A">
        <w:t xml:space="preserve"> </w:t>
      </w:r>
      <w:r w:rsidR="00727960">
        <w:t xml:space="preserve">there has been a subtle but clear </w:t>
      </w:r>
      <w:r w:rsidR="00830766">
        <w:t>divergence between how heritage is understood and described in policy and more recently in law</w:t>
      </w:r>
      <w:r w:rsidR="00F4605C">
        <w:t>, when compared to England</w:t>
      </w:r>
      <w:r w:rsidR="00830766">
        <w:t>.</w:t>
      </w:r>
      <w:r w:rsidR="00825426">
        <w:rPr>
          <w:rStyle w:val="FootnoteReference"/>
        </w:rPr>
        <w:footnoteReference w:id="3"/>
      </w:r>
      <w:r w:rsidR="00830766">
        <w:t xml:space="preserve"> </w:t>
      </w:r>
      <w:r w:rsidR="008B62A5">
        <w:t xml:space="preserve">This has included both </w:t>
      </w:r>
      <w:r w:rsidR="00151B84">
        <w:t xml:space="preserve">divergence in definitions of key concepts to </w:t>
      </w:r>
      <w:r w:rsidR="0087449F">
        <w:t>make</w:t>
      </w:r>
      <w:r w:rsidR="00151B84">
        <w:t xml:space="preserve"> more direct reference to ICH, and more recently a specific legal requirement to </w:t>
      </w:r>
      <w:r w:rsidR="00B41142">
        <w:t xml:space="preserve">record historic place names in </w:t>
      </w:r>
      <w:r w:rsidR="00B41142">
        <w:lastRenderedPageBreak/>
        <w:t>Wales</w:t>
      </w:r>
      <w:r w:rsidR="002051B4">
        <w:t xml:space="preserve">. </w:t>
      </w:r>
      <w:r w:rsidR="00AB2084">
        <w:t xml:space="preserve">This divergence has occurred </w:t>
      </w:r>
      <w:r w:rsidR="0034573D">
        <w:t>during the same period as the development</w:t>
      </w:r>
      <w:r w:rsidR="000F0FCA">
        <w:t xml:space="preserve"> and </w:t>
      </w:r>
      <w:r w:rsidR="0034573D">
        <w:t>adoption</w:t>
      </w:r>
      <w:r w:rsidR="000F0FCA">
        <w:t xml:space="preserve"> of the 2003 Convention,</w:t>
      </w:r>
      <w:r w:rsidR="0034573D">
        <w:t xml:space="preserve"> and much of the debate around ICH</w:t>
      </w:r>
      <w:r w:rsidR="00F927F1">
        <w:t xml:space="preserve"> over the last twenty years</w:t>
      </w:r>
      <w:r w:rsidR="00312D0D">
        <w:t>.</w:t>
      </w:r>
      <w:r w:rsidR="009F25E4">
        <w:t xml:space="preserve"> </w:t>
      </w:r>
      <w:r w:rsidR="00830766">
        <w:t>T</w:t>
      </w:r>
      <w:r w:rsidR="00F4605C">
        <w:t xml:space="preserve">his </w:t>
      </w:r>
      <w:r w:rsidR="00D45A3A">
        <w:t>provides a</w:t>
      </w:r>
      <w:r w:rsidR="006B2A98">
        <w:t xml:space="preserve">n </w:t>
      </w:r>
      <w:r w:rsidR="00D45A3A">
        <w:t>opportunity to examine</w:t>
      </w:r>
      <w:r w:rsidR="007C38E4">
        <w:t xml:space="preserve"> </w:t>
      </w:r>
      <w:r w:rsidR="001312A2">
        <w:t>how the Welsh and English</w:t>
      </w:r>
      <w:r w:rsidR="002D2A71">
        <w:t>/UK</w:t>
      </w:r>
      <w:r w:rsidR="001312A2">
        <w:t xml:space="preserve"> Governments have responded to ICH</w:t>
      </w:r>
      <w:r w:rsidR="00AD42D5">
        <w:t xml:space="preserve">, and whether the </w:t>
      </w:r>
      <w:r w:rsidR="00235CD4">
        <w:t xml:space="preserve">divergences represent a move from dealing with the </w:t>
      </w:r>
      <w:r w:rsidR="00235CD4" w:rsidRPr="00440E88">
        <w:rPr>
          <w:i/>
          <w:iCs/>
        </w:rPr>
        <w:t>discernment of heritage</w:t>
      </w:r>
      <w:r w:rsidR="00235CD4">
        <w:t xml:space="preserve"> to the </w:t>
      </w:r>
      <w:r w:rsidR="00235CD4" w:rsidRPr="00440E88">
        <w:rPr>
          <w:i/>
          <w:iCs/>
        </w:rPr>
        <w:t>embodiment of heritage</w:t>
      </w:r>
      <w:r w:rsidR="00A2212C">
        <w:t>, and thus a fuller engagement with ICH.</w:t>
      </w:r>
      <w:r w:rsidR="009B45C7">
        <w:t xml:space="preserve"> </w:t>
      </w:r>
      <w:r w:rsidR="00190DC2">
        <w:t xml:space="preserve">It also provides an opportunity to explore the relationship </w:t>
      </w:r>
      <w:r w:rsidR="00380481">
        <w:t>between ICH and nationalism</w:t>
      </w:r>
      <w:r w:rsidR="00534E3B">
        <w:t>.</w:t>
      </w:r>
    </w:p>
    <w:p w14:paraId="783CDBFC" w14:textId="068D47E5" w:rsidR="004F293C" w:rsidRDefault="004F293C">
      <w:r>
        <w:t xml:space="preserve">This essay </w:t>
      </w:r>
      <w:r w:rsidR="005969FE">
        <w:t xml:space="preserve">will </w:t>
      </w:r>
      <w:r w:rsidR="00294BF0">
        <w:t xml:space="preserve">therefore </w:t>
      </w:r>
      <w:r w:rsidR="00674E0F">
        <w:t xml:space="preserve">examine how </w:t>
      </w:r>
      <w:r w:rsidR="00B019AF">
        <w:t>policy and law in Wales and England</w:t>
      </w:r>
      <w:r w:rsidR="000D7AD1">
        <w:t xml:space="preserve"> engages with ICH</w:t>
      </w:r>
      <w:r w:rsidR="000F48AF">
        <w:t xml:space="preserve">. This will </w:t>
      </w:r>
      <w:r w:rsidR="00A944AD">
        <w:t>inform a discussion on w</w:t>
      </w:r>
      <w:r w:rsidR="000F48AF">
        <w:t>hether devolution has allowed a fuller engagement of heritage policy in Wales with ICH</w:t>
      </w:r>
      <w:r w:rsidR="00A944AD">
        <w:t xml:space="preserve">, the role of nationalism, and what </w:t>
      </w:r>
      <w:r w:rsidR="009F6D49">
        <w:t>issues may arise from the</w:t>
      </w:r>
      <w:r w:rsidR="005D3EF2">
        <w:t xml:space="preserve"> r</w:t>
      </w:r>
      <w:r w:rsidR="00EB4267">
        <w:t xml:space="preserve">atification of the 2003 Convention </w:t>
      </w:r>
      <w:r w:rsidR="00DE1E37">
        <w:t>by the UK, should this come to pass.</w:t>
      </w:r>
      <w:r w:rsidR="00487856">
        <w:t xml:space="preserve"> This examination and discussion will be preceded </w:t>
      </w:r>
      <w:r w:rsidR="002A6EA9">
        <w:t xml:space="preserve">and informed </w:t>
      </w:r>
      <w:r w:rsidR="00435581">
        <w:t xml:space="preserve">firstly </w:t>
      </w:r>
      <w:r w:rsidR="00487856">
        <w:t xml:space="preserve">by a re-examination of the conceptual structure of ICH, in light of </w:t>
      </w:r>
      <w:r w:rsidR="00077FF1">
        <w:t xml:space="preserve">academic research, </w:t>
      </w:r>
      <w:r w:rsidR="00594C98">
        <w:t xml:space="preserve">and </w:t>
      </w:r>
      <w:r w:rsidR="00435581">
        <w:t xml:space="preserve">secondly </w:t>
      </w:r>
      <w:r w:rsidR="00594C98">
        <w:t>a review of the</w:t>
      </w:r>
      <w:r w:rsidR="004B48C9">
        <w:t xml:space="preserve"> history of the</w:t>
      </w:r>
      <w:r w:rsidR="00594C98">
        <w:t xml:space="preserve"> legal and policy regime</w:t>
      </w:r>
      <w:r w:rsidR="002A6EA9">
        <w:t xml:space="preserve"> for heritage</w:t>
      </w:r>
      <w:r w:rsidR="00594C98">
        <w:t xml:space="preserve"> in the UK, and how it engages</w:t>
      </w:r>
      <w:r w:rsidR="00435581">
        <w:t xml:space="preserve"> </w:t>
      </w:r>
      <w:r w:rsidR="00594C98">
        <w:t>with ICH.</w:t>
      </w:r>
    </w:p>
    <w:p w14:paraId="295419CD" w14:textId="05307409" w:rsidR="00C7498D" w:rsidRPr="00704A8E" w:rsidRDefault="00704A8E">
      <w:pPr>
        <w:rPr>
          <w:u w:val="single"/>
        </w:rPr>
      </w:pPr>
      <w:r w:rsidRPr="00704A8E">
        <w:rPr>
          <w:u w:val="single"/>
        </w:rPr>
        <w:t xml:space="preserve">Understanding </w:t>
      </w:r>
      <w:r w:rsidR="002105CA">
        <w:rPr>
          <w:u w:val="single"/>
        </w:rPr>
        <w:t>I</w:t>
      </w:r>
      <w:r w:rsidRPr="00704A8E">
        <w:rPr>
          <w:u w:val="single"/>
        </w:rPr>
        <w:t xml:space="preserve">ntangible </w:t>
      </w:r>
      <w:r w:rsidR="002105CA">
        <w:rPr>
          <w:u w:val="single"/>
        </w:rPr>
        <w:t>H</w:t>
      </w:r>
      <w:r w:rsidRPr="00704A8E">
        <w:rPr>
          <w:u w:val="single"/>
        </w:rPr>
        <w:t>eritage</w:t>
      </w:r>
    </w:p>
    <w:p w14:paraId="107E0E62" w14:textId="60A0DF7C" w:rsidR="00704A8E" w:rsidRDefault="001622A5">
      <w:r>
        <w:t xml:space="preserve">The 2003 Convention </w:t>
      </w:r>
      <w:r w:rsidR="007D3A97">
        <w:t>provides a lengthy definition of ICH</w:t>
      </w:r>
      <w:r w:rsidR="00860F94">
        <w:t>, but the beginning of the main definition is worth reproducing:</w:t>
      </w:r>
    </w:p>
    <w:p w14:paraId="258C2FDE" w14:textId="426E4270" w:rsidR="00860F94" w:rsidRDefault="00860F94" w:rsidP="00860F94">
      <w:pPr>
        <w:pStyle w:val="NoSpacing"/>
      </w:pPr>
      <w:r w:rsidRPr="00860F94">
        <w:t xml:space="preserve">The </w:t>
      </w:r>
      <w:r w:rsidR="009329CE">
        <w:t>‘</w:t>
      </w:r>
      <w:r w:rsidRPr="00860F94">
        <w:t>intangible cultural heritage</w:t>
      </w:r>
      <w:r w:rsidR="009329CE">
        <w:t>’</w:t>
      </w:r>
      <w:r w:rsidRPr="00860F94">
        <w:t xml:space="preserve"> means the practices, representations, expressions, knowledge, skills – as well as the instruments, objects, artefacts and cultural spaces associated therewith – that communities, groups and, in some cases, individuals recognize as part of their cultural heritage.</w:t>
      </w:r>
      <w:r w:rsidR="00AA0FC3">
        <w:rPr>
          <w:rStyle w:val="FootnoteReference"/>
        </w:rPr>
        <w:footnoteReference w:id="4"/>
      </w:r>
    </w:p>
    <w:p w14:paraId="75935F4C" w14:textId="056672A5" w:rsidR="00905095" w:rsidRDefault="00A04209">
      <w:r>
        <w:t xml:space="preserve">The definition then goes on to describe </w:t>
      </w:r>
      <w:r w:rsidR="00BF14DD">
        <w:t xml:space="preserve">how ICH is </w:t>
      </w:r>
      <w:r w:rsidR="002603D1">
        <w:t>constantly recreated by groups in response to their environment and history</w:t>
      </w:r>
      <w:r w:rsidR="00B3458C">
        <w:t xml:space="preserve">, and </w:t>
      </w:r>
      <w:r w:rsidR="00905095">
        <w:t>lists the following ways in which ICH is manifested:</w:t>
      </w:r>
    </w:p>
    <w:p w14:paraId="6ABD7850" w14:textId="2576B8A9" w:rsidR="00905095" w:rsidRDefault="00FA7B92" w:rsidP="00FA7B92">
      <w:pPr>
        <w:pStyle w:val="NoSpacing"/>
      </w:pPr>
      <w:r>
        <w:t>(a) oral traditions and expressions, including language as a vehicle of the intangible cultural heritage; (b) performing arts; (c) social practices, rituals and festive events; (d) knowledge and practices concerning nature and the universe; (e) traditional craftsmanship.</w:t>
      </w:r>
      <w:r>
        <w:rPr>
          <w:rStyle w:val="FootnoteReference"/>
        </w:rPr>
        <w:footnoteReference w:id="5"/>
      </w:r>
    </w:p>
    <w:p w14:paraId="765F04B4" w14:textId="0417B22C" w:rsidR="00860F94" w:rsidRDefault="00C36A5A">
      <w:r>
        <w:t xml:space="preserve">Despite the recognition within the definition of </w:t>
      </w:r>
      <w:r w:rsidR="00E23AB6">
        <w:t xml:space="preserve">“cultural spaces” and the fact that ICH is recreated in response to the environment in which a group finds itself, the </w:t>
      </w:r>
      <w:r w:rsidR="00FD00C6">
        <w:t>division of heritage into tangible and intangible domains has been controversial.</w:t>
      </w:r>
      <w:r w:rsidR="00AE19D2">
        <w:t xml:space="preserve"> Harrison and Rose have </w:t>
      </w:r>
      <w:r w:rsidR="00F84C12">
        <w:t>argued that the tangible and intangible are intertwined and not easily separated when describing how Aboriginal peoples value and interact with elements within their landscape.</w:t>
      </w:r>
      <w:r w:rsidR="005423AD">
        <w:rPr>
          <w:rStyle w:val="FootnoteReference"/>
        </w:rPr>
        <w:footnoteReference w:id="6"/>
      </w:r>
      <w:r w:rsidR="005423AD">
        <w:t xml:space="preserve"> </w:t>
      </w:r>
      <w:r w:rsidR="00315999">
        <w:t xml:space="preserve">Smith and Waterton argue that all heritage is by </w:t>
      </w:r>
      <w:r w:rsidR="00315999">
        <w:lastRenderedPageBreak/>
        <w:t>nature intangible</w:t>
      </w:r>
      <w:r w:rsidR="00090EDB">
        <w:t xml:space="preserve">, and that any tangible elements are experienced </w:t>
      </w:r>
      <w:r w:rsidR="00CB6B45">
        <w:t xml:space="preserve">and made heritage </w:t>
      </w:r>
      <w:r w:rsidR="00090EDB">
        <w:t>through the intangible.</w:t>
      </w:r>
      <w:r w:rsidR="006C4FC8">
        <w:rPr>
          <w:rStyle w:val="FootnoteReference"/>
        </w:rPr>
        <w:footnoteReference w:id="7"/>
      </w:r>
      <w:r w:rsidR="00090EDB">
        <w:t xml:space="preserve"> </w:t>
      </w:r>
      <w:r w:rsidR="00883621">
        <w:t xml:space="preserve">Similarly, </w:t>
      </w:r>
      <w:r w:rsidR="00873953">
        <w:t xml:space="preserve">Eoin and King argue </w:t>
      </w:r>
      <w:r w:rsidR="005F4E56">
        <w:t xml:space="preserve">in </w:t>
      </w:r>
      <w:r w:rsidR="00987692">
        <w:t xml:space="preserve">their report of </w:t>
      </w:r>
      <w:r w:rsidR="00FF6C0A">
        <w:t>a</w:t>
      </w:r>
      <w:r w:rsidR="005F4E56">
        <w:t xml:space="preserve"> case study recording the </w:t>
      </w:r>
      <w:r w:rsidR="00640F23">
        <w:t>ICH</w:t>
      </w:r>
      <w:r w:rsidR="005F4E56">
        <w:t xml:space="preserve"> of a village in </w:t>
      </w:r>
      <w:r w:rsidR="00D443B0">
        <w:t xml:space="preserve">Lesotho, that “almost no intangible heritage </w:t>
      </w:r>
      <w:r w:rsidR="005F2AFC">
        <w:t xml:space="preserve">is </w:t>
      </w:r>
      <w:r w:rsidR="00D443B0">
        <w:t>with</w:t>
      </w:r>
      <w:r w:rsidR="005F2AFC">
        <w:t>out material correlates</w:t>
      </w:r>
      <w:r w:rsidR="00987692">
        <w:t>”</w:t>
      </w:r>
      <w:r w:rsidR="00A877E6">
        <w:t>, highlighting, like Harrison and Rose, the importance of specific places to give ICH activities meaning</w:t>
      </w:r>
      <w:r w:rsidR="00B17E3B">
        <w:t>.</w:t>
      </w:r>
      <w:r w:rsidR="005F2AFC">
        <w:rPr>
          <w:rStyle w:val="FootnoteReference"/>
        </w:rPr>
        <w:footnoteReference w:id="8"/>
      </w:r>
      <w:r w:rsidR="00D443B0">
        <w:t xml:space="preserve"> </w:t>
      </w:r>
      <w:proofErr w:type="spellStart"/>
      <w:r w:rsidR="00883621">
        <w:t>S</w:t>
      </w:r>
      <w:r w:rsidR="00B27CA7">
        <w:t>kounti</w:t>
      </w:r>
      <w:proofErr w:type="spellEnd"/>
      <w:r w:rsidR="00B27CA7">
        <w:t xml:space="preserve"> </w:t>
      </w:r>
      <w:r w:rsidR="004C488C">
        <w:t>presses this point further</w:t>
      </w:r>
      <w:r w:rsidR="00E8037B">
        <w:t xml:space="preserve"> when writing about the intangible use of Place </w:t>
      </w:r>
      <w:proofErr w:type="spellStart"/>
      <w:r w:rsidR="00E8037B">
        <w:t>Jema</w:t>
      </w:r>
      <w:r w:rsidR="00E8037B" w:rsidRPr="00E8037B">
        <w:rPr>
          <w:rFonts w:cstheme="minorHAnsi"/>
        </w:rPr>
        <w:t>â</w:t>
      </w:r>
      <w:proofErr w:type="spellEnd"/>
      <w:r w:rsidR="00E8037B">
        <w:t xml:space="preserve"> in Morocco, and </w:t>
      </w:r>
      <w:r w:rsidR="0034214A">
        <w:t xml:space="preserve">questions whether </w:t>
      </w:r>
      <w:r w:rsidR="00E8037B">
        <w:t xml:space="preserve">anything intangible can actually exist in the absence of some tangible element, as even the most </w:t>
      </w:r>
      <w:r w:rsidR="0032599D">
        <w:t xml:space="preserve">intangible thought is anchored in a human head, </w:t>
      </w:r>
      <w:r w:rsidR="00B949B9">
        <w:t>at a specific time, at a specific location</w:t>
      </w:r>
      <w:r w:rsidR="0032599D">
        <w:t>.</w:t>
      </w:r>
      <w:r w:rsidR="0032599D">
        <w:rPr>
          <w:rStyle w:val="FootnoteReference"/>
        </w:rPr>
        <w:footnoteReference w:id="9"/>
      </w:r>
    </w:p>
    <w:p w14:paraId="26B8D96C" w14:textId="20540558" w:rsidR="002A07C0" w:rsidRDefault="0077177D">
      <w:r>
        <w:t>The</w:t>
      </w:r>
      <w:r w:rsidR="0007666E">
        <w:t xml:space="preserve"> way intangible heritage is being articulated by these scholars </w:t>
      </w:r>
      <w:r w:rsidR="007003C0">
        <w:t xml:space="preserve">highlights another aspect to </w:t>
      </w:r>
      <w:r w:rsidR="003C2FBB">
        <w:t xml:space="preserve">ICH which is not clearly articulated in the 2003 Convention wording, although it may be hinted at. This is the process by which </w:t>
      </w:r>
      <w:r w:rsidR="00B63EB6">
        <w:t xml:space="preserve">people </w:t>
      </w:r>
      <w:r w:rsidR="00B63EB6" w:rsidRPr="00E8719E">
        <w:rPr>
          <w:i/>
          <w:iCs/>
        </w:rPr>
        <w:t>connect</w:t>
      </w:r>
      <w:r w:rsidR="00B63EB6">
        <w:t xml:space="preserve"> the tangible and intangible, and recognise and identify </w:t>
      </w:r>
      <w:r w:rsidR="00E62774">
        <w:t>the cultural space which is relevant to, and gives meaning to</w:t>
      </w:r>
      <w:r w:rsidR="003E6752">
        <w:t>,</w:t>
      </w:r>
      <w:r w:rsidR="00E62774">
        <w:t xml:space="preserve"> intangible activity. </w:t>
      </w:r>
      <w:r w:rsidR="008A36F6">
        <w:t xml:space="preserve">For example, in the example of Place </w:t>
      </w:r>
      <w:proofErr w:type="spellStart"/>
      <w:r w:rsidR="008A36F6">
        <w:t>Jema</w:t>
      </w:r>
      <w:r w:rsidR="008A36F6" w:rsidRPr="00E8037B">
        <w:rPr>
          <w:rFonts w:cstheme="minorHAnsi"/>
        </w:rPr>
        <w:t>â</w:t>
      </w:r>
      <w:proofErr w:type="spellEnd"/>
      <w:r w:rsidR="008A36F6">
        <w:t xml:space="preserve"> in Morocco discussed by </w:t>
      </w:r>
      <w:proofErr w:type="spellStart"/>
      <w:r w:rsidR="008A36F6">
        <w:t>Skounti</w:t>
      </w:r>
      <w:proofErr w:type="spellEnd"/>
      <w:r w:rsidR="008A36F6">
        <w:t>, the</w:t>
      </w:r>
      <w:r w:rsidR="00804465">
        <w:t xml:space="preserve"> intangible activities which were being discussed and safeguarded were the lively and ancient traditional storytelling and performances</w:t>
      </w:r>
      <w:r w:rsidR="0082123F">
        <w:t xml:space="preserve"> which took place in this square. </w:t>
      </w:r>
      <w:r w:rsidR="00AF6246">
        <w:t xml:space="preserve">While the activities themselves are undoubtedly important, so is the fact that they take place within the square, and that this culture has </w:t>
      </w:r>
      <w:r w:rsidR="00AF6246" w:rsidRPr="00981CBB">
        <w:rPr>
          <w:i/>
          <w:iCs/>
        </w:rPr>
        <w:t xml:space="preserve">chosen this locale </w:t>
      </w:r>
      <w:r w:rsidR="00241866" w:rsidRPr="00981CBB">
        <w:rPr>
          <w:i/>
          <w:iCs/>
        </w:rPr>
        <w:t>for that purpose</w:t>
      </w:r>
      <w:r w:rsidR="00241866">
        <w:t xml:space="preserve">. As </w:t>
      </w:r>
      <w:proofErr w:type="spellStart"/>
      <w:r w:rsidR="00241866">
        <w:t>Skounti</w:t>
      </w:r>
      <w:proofErr w:type="spellEnd"/>
      <w:r w:rsidR="00241866">
        <w:t xml:space="preserve"> puts it: “The </w:t>
      </w:r>
      <w:r w:rsidR="00A71AA5">
        <w:t>s</w:t>
      </w:r>
      <w:r w:rsidR="00241866">
        <w:t>quare is destined to change indefinitely. The challenge for conservation is not the form that performances take, but their survival.</w:t>
      </w:r>
      <w:r w:rsidR="00A71AA5">
        <w:t>”</w:t>
      </w:r>
      <w:r w:rsidR="00A71AA5">
        <w:rPr>
          <w:rStyle w:val="FootnoteReference"/>
        </w:rPr>
        <w:footnoteReference w:id="10"/>
      </w:r>
    </w:p>
    <w:p w14:paraId="65FADD88" w14:textId="28E0FC4A" w:rsidR="003E6752" w:rsidRPr="00AC2186" w:rsidRDefault="00BB74F8">
      <w:r>
        <w:t>This process of recognising, identifying</w:t>
      </w:r>
      <w:r w:rsidR="00D37C1C">
        <w:t>,</w:t>
      </w:r>
      <w:r>
        <w:t xml:space="preserve"> and valuing a locale, object or </w:t>
      </w:r>
      <w:r w:rsidR="007C2065">
        <w:t xml:space="preserve">building as the correct and meaningful </w:t>
      </w:r>
      <w:r w:rsidR="0024233F">
        <w:t>tangible referent for the expression of ICH</w:t>
      </w:r>
      <w:r w:rsidR="001B6591">
        <w:t xml:space="preserve"> will be referred to as the </w:t>
      </w:r>
      <w:r w:rsidR="00193DF8">
        <w:rPr>
          <w:i/>
          <w:iCs/>
        </w:rPr>
        <w:t>discernment of heritage</w:t>
      </w:r>
      <w:r w:rsidR="001B6591">
        <w:t xml:space="preserve">. This is distinct from the </w:t>
      </w:r>
      <w:r w:rsidR="008F7FF5">
        <w:t xml:space="preserve">ICH activities which may take place at a specific place within a landscape, which will be referred to as the </w:t>
      </w:r>
      <w:r w:rsidR="008F7FF5" w:rsidRPr="008F7FF5">
        <w:rPr>
          <w:i/>
          <w:iCs/>
        </w:rPr>
        <w:t>embodiment of heritage</w:t>
      </w:r>
      <w:r w:rsidR="008F7FF5">
        <w:t>.</w:t>
      </w:r>
      <w:r w:rsidR="003A4489">
        <w:t xml:space="preserve"> </w:t>
      </w:r>
      <w:r w:rsidR="00D65E1D">
        <w:t xml:space="preserve">Once this distinction is made, it is clear that the 2003 Convention is primarily focussed on </w:t>
      </w:r>
      <w:r w:rsidR="00D65E1D" w:rsidRPr="00D65E1D">
        <w:rPr>
          <w:i/>
          <w:iCs/>
        </w:rPr>
        <w:t>the embodiment of heritage</w:t>
      </w:r>
      <w:r w:rsidR="00D65E1D">
        <w:t>. However, the</w:t>
      </w:r>
      <w:r w:rsidR="001A458F">
        <w:t xml:space="preserve"> process of </w:t>
      </w:r>
      <w:r w:rsidR="00193DF8" w:rsidRPr="0017102C">
        <w:rPr>
          <w:i/>
          <w:iCs/>
        </w:rPr>
        <w:t>discernment of heritage</w:t>
      </w:r>
      <w:r w:rsidR="001A458F">
        <w:t xml:space="preserve"> is a vital aspect of </w:t>
      </w:r>
      <w:r w:rsidR="007563E2">
        <w:t xml:space="preserve">ICH, and its importance can be seen clearly in Rose’s description of </w:t>
      </w:r>
      <w:r w:rsidR="00022796">
        <w:t xml:space="preserve">how Aboriginal people in Australia </w:t>
      </w:r>
      <w:r w:rsidR="00CB2E2B">
        <w:t xml:space="preserve">infuse the landscape they occupy with </w:t>
      </w:r>
      <w:r w:rsidR="006D1EB9">
        <w:t xml:space="preserve">cultural and spiritual </w:t>
      </w:r>
      <w:r w:rsidR="003C02CD">
        <w:t>meaning and</w:t>
      </w:r>
      <w:r w:rsidR="006D1EB9">
        <w:t xml:space="preserve"> mourn the loss of elements within it as it hampers their ability to </w:t>
      </w:r>
      <w:r w:rsidR="00CD2C47">
        <w:t xml:space="preserve">authentically embody </w:t>
      </w:r>
      <w:r w:rsidR="0093618C">
        <w:t>that</w:t>
      </w:r>
      <w:r w:rsidR="00CD2C47">
        <w:t xml:space="preserve"> landscape.</w:t>
      </w:r>
      <w:r w:rsidR="00930EDE">
        <w:rPr>
          <w:rStyle w:val="FootnoteReference"/>
        </w:rPr>
        <w:footnoteReference w:id="11"/>
      </w:r>
      <w:r w:rsidR="00117BFD">
        <w:t xml:space="preserve"> </w:t>
      </w:r>
    </w:p>
    <w:p w14:paraId="77200EE5" w14:textId="391FE9AC" w:rsidR="001408B0" w:rsidRPr="00AC2186" w:rsidRDefault="002105CA">
      <w:pPr>
        <w:rPr>
          <w:u w:val="single"/>
        </w:rPr>
      </w:pPr>
      <w:r w:rsidRPr="00AC2186">
        <w:rPr>
          <w:u w:val="single"/>
        </w:rPr>
        <w:lastRenderedPageBreak/>
        <w:t>UK Law and ICH: A Brief History</w:t>
      </w:r>
    </w:p>
    <w:p w14:paraId="41686915" w14:textId="6958636B" w:rsidR="00CA680C" w:rsidRPr="00097042" w:rsidRDefault="00CA680C">
      <w:pPr>
        <w:rPr>
          <w:i/>
          <w:iCs/>
        </w:rPr>
      </w:pPr>
      <w:r w:rsidRPr="00097042">
        <w:rPr>
          <w:i/>
          <w:iCs/>
        </w:rPr>
        <w:t xml:space="preserve">Identifying </w:t>
      </w:r>
      <w:r w:rsidR="00097042">
        <w:rPr>
          <w:i/>
          <w:iCs/>
        </w:rPr>
        <w:t>Important</w:t>
      </w:r>
      <w:r w:rsidRPr="00097042">
        <w:rPr>
          <w:i/>
          <w:iCs/>
        </w:rPr>
        <w:t xml:space="preserve"> </w:t>
      </w:r>
      <w:r w:rsidR="00097042">
        <w:rPr>
          <w:i/>
          <w:iCs/>
        </w:rPr>
        <w:t>S</w:t>
      </w:r>
      <w:r w:rsidRPr="00097042">
        <w:rPr>
          <w:i/>
          <w:iCs/>
        </w:rPr>
        <w:t>paces</w:t>
      </w:r>
    </w:p>
    <w:p w14:paraId="5ACD9079" w14:textId="4AF671C7" w:rsidR="002105CA" w:rsidRDefault="0092017E">
      <w:r w:rsidRPr="00AC2186">
        <w:t xml:space="preserve">When the </w:t>
      </w:r>
      <w:r w:rsidR="00261FBF">
        <w:t>importance</w:t>
      </w:r>
      <w:r w:rsidRPr="00AC2186">
        <w:t xml:space="preserve"> of t</w:t>
      </w:r>
      <w:r w:rsidR="008343B7" w:rsidRPr="00AC2186">
        <w:t xml:space="preserve">he </w:t>
      </w:r>
      <w:r w:rsidR="00193DF8">
        <w:rPr>
          <w:i/>
          <w:iCs/>
        </w:rPr>
        <w:t>discernment of heritage</w:t>
      </w:r>
      <w:r w:rsidR="008343B7" w:rsidRPr="00AC2186">
        <w:t xml:space="preserve"> to the concept of ICH is recognised, the nature of the interaction of the UK’s laws and policies with ICH </w:t>
      </w:r>
      <w:r w:rsidR="00A81611" w:rsidRPr="00AC2186">
        <w:t xml:space="preserve">can be appreciated. </w:t>
      </w:r>
      <w:r w:rsidR="00EE5B1F" w:rsidRPr="00AC2186">
        <w:t xml:space="preserve">A key aspect of the </w:t>
      </w:r>
      <w:r w:rsidR="00193DF8">
        <w:rPr>
          <w:i/>
          <w:iCs/>
        </w:rPr>
        <w:t>discernment of heritage</w:t>
      </w:r>
      <w:r w:rsidR="00EE5B1F" w:rsidRPr="00AC2186">
        <w:t xml:space="preserve"> is </w:t>
      </w:r>
      <w:r w:rsidR="00DB3E92" w:rsidRPr="00AC2186">
        <w:t xml:space="preserve">the identification of cultural spaces which provide the context for the </w:t>
      </w:r>
      <w:r w:rsidR="00AC2186" w:rsidRPr="00AC2186">
        <w:t xml:space="preserve">ICH activities, or </w:t>
      </w:r>
      <w:r w:rsidR="00AC2186" w:rsidRPr="00AC2186">
        <w:rPr>
          <w:i/>
          <w:iCs/>
        </w:rPr>
        <w:t>embodiment of heritage</w:t>
      </w:r>
      <w:r w:rsidR="00AC2186">
        <w:t>, that give meaning to a culture.</w:t>
      </w:r>
      <w:r w:rsidR="009B31EB">
        <w:t xml:space="preserve"> The need to protect spaces for this purpose was recognised early in the UK</w:t>
      </w:r>
      <w:r w:rsidR="001C6DC1">
        <w:t>. The earliest example seems to be from the 1909 Housing, Town Planning</w:t>
      </w:r>
      <w:r w:rsidR="002D77E5">
        <w:t>, Etc Act</w:t>
      </w:r>
      <w:r w:rsidR="00816DE7">
        <w:t xml:space="preserve">, which </w:t>
      </w:r>
      <w:r w:rsidR="00F329A3">
        <w:t>allowed</w:t>
      </w:r>
      <w:r w:rsidR="00816DE7">
        <w:t xml:space="preserve"> local government boards to </w:t>
      </w:r>
      <w:r w:rsidR="00025ED7">
        <w:t>make provisions for any “areas of special character”</w:t>
      </w:r>
      <w:r w:rsidR="00CF2323">
        <w:t>.</w:t>
      </w:r>
      <w:r w:rsidR="00327B93">
        <w:rPr>
          <w:rStyle w:val="FootnoteReference"/>
        </w:rPr>
        <w:footnoteReference w:id="12"/>
      </w:r>
      <w:r w:rsidR="00CF2323">
        <w:t xml:space="preserve"> This was expanded in the </w:t>
      </w:r>
      <w:r w:rsidR="004959AA">
        <w:t>1919</w:t>
      </w:r>
      <w:r w:rsidR="00CF2323">
        <w:t xml:space="preserve"> Housing Etc Act which provided the power for planning schemes to be made in relation </w:t>
      </w:r>
      <w:r w:rsidR="00020887">
        <w:t>to the historic, architectural, or artistic interest in a locality</w:t>
      </w:r>
      <w:r w:rsidR="000046FB">
        <w:t>, and also mentions the character of an ar</w:t>
      </w:r>
      <w:r w:rsidR="00E3165C">
        <w:t>ea as being relevant.</w:t>
      </w:r>
      <w:r w:rsidR="00DD62B7">
        <w:rPr>
          <w:rStyle w:val="FootnoteReference"/>
        </w:rPr>
        <w:footnoteReference w:id="13"/>
      </w:r>
      <w:r w:rsidR="008D6F88">
        <w:t xml:space="preserve"> This power was continued in the 1923 Housing </w:t>
      </w:r>
      <w:proofErr w:type="spellStart"/>
      <w:r w:rsidR="008D6F88">
        <w:t>Ect</w:t>
      </w:r>
      <w:proofErr w:type="spellEnd"/>
      <w:r w:rsidR="008D6F88">
        <w:t xml:space="preserve"> Act.</w:t>
      </w:r>
      <w:r w:rsidR="008D6F88">
        <w:rPr>
          <w:rStyle w:val="FootnoteReference"/>
        </w:rPr>
        <w:footnoteReference w:id="14"/>
      </w:r>
      <w:r w:rsidR="00BA5EF8">
        <w:t xml:space="preserve"> </w:t>
      </w:r>
      <w:r w:rsidR="002B0D35">
        <w:t xml:space="preserve">These early acts of Parliament were not </w:t>
      </w:r>
      <w:r w:rsidR="00FD3EA2">
        <w:t>heritage specific acts, but were about planning and development</w:t>
      </w:r>
      <w:r w:rsidR="00066B88">
        <w:t xml:space="preserve">. </w:t>
      </w:r>
      <w:r w:rsidR="00C41297">
        <w:t>Nonetheless</w:t>
      </w:r>
      <w:r w:rsidR="00066B88">
        <w:t>, they represent the earliest examples of places being identified</w:t>
      </w:r>
      <w:r w:rsidR="001B3634">
        <w:t xml:space="preserve"> for protection</w:t>
      </w:r>
      <w:r w:rsidR="00066B88">
        <w:t xml:space="preserve"> for reasons of perceived </w:t>
      </w:r>
      <w:r w:rsidR="00380DF4">
        <w:t>historic interest</w:t>
      </w:r>
      <w:r w:rsidR="00371525">
        <w:t>, an intangible quality, as well as tangible elements (architectural and artistic)</w:t>
      </w:r>
      <w:r w:rsidR="00C17832">
        <w:t>.</w:t>
      </w:r>
    </w:p>
    <w:p w14:paraId="5FA2AA1C" w14:textId="63AACD41" w:rsidR="00BF2659" w:rsidRDefault="00B41F2F">
      <w:r>
        <w:t xml:space="preserve">However, </w:t>
      </w:r>
      <w:r w:rsidR="0054508B">
        <w:t xml:space="preserve">the protection provided by these acts was </w:t>
      </w:r>
      <w:r w:rsidR="00D12CB4">
        <w:t>modest</w:t>
      </w:r>
      <w:r w:rsidR="00C00B92">
        <w:t xml:space="preserve"> and the loss of historic areas within cities and towns accelerated after the Second World War</w:t>
      </w:r>
      <w:r w:rsidR="00413FE7">
        <w:t xml:space="preserve">, stirring </w:t>
      </w:r>
      <w:r w:rsidR="0054508B">
        <w:t xml:space="preserve">public opinion </w:t>
      </w:r>
      <w:r w:rsidR="004E750E">
        <w:t>to put pressure on politicians to act.</w:t>
      </w:r>
      <w:r w:rsidR="00992531">
        <w:rPr>
          <w:rStyle w:val="FootnoteReference"/>
        </w:rPr>
        <w:footnoteReference w:id="15"/>
      </w:r>
      <w:r w:rsidR="004E750E">
        <w:t xml:space="preserve"> </w:t>
      </w:r>
      <w:r w:rsidR="00A95507">
        <w:t>This led to the eventual passing of the 1967 Civic Amenities Act, which established the concept of a conservation area</w:t>
      </w:r>
      <w:r w:rsidR="003F2C5C">
        <w:t>, and introduced a key requirement:</w:t>
      </w:r>
    </w:p>
    <w:p w14:paraId="278206FF" w14:textId="77F06027" w:rsidR="003F2C5C" w:rsidRDefault="00F131BA" w:rsidP="00F131BA">
      <w:pPr>
        <w:pStyle w:val="NoSpacing"/>
      </w:pPr>
      <w:r>
        <w:t>(5) Where any area is for the time being designated as a Conservation Area, special attention shall be paid to the desirability of preserving or enhancing its character or appearance in the exercise. with respect to any buildings or other land in that area.</w:t>
      </w:r>
      <w:r>
        <w:rPr>
          <w:rStyle w:val="FootnoteReference"/>
        </w:rPr>
        <w:footnoteReference w:id="16"/>
      </w:r>
    </w:p>
    <w:p w14:paraId="0D47E414" w14:textId="362DEDD5" w:rsidR="002105CA" w:rsidRDefault="00597071">
      <w:r>
        <w:t xml:space="preserve">This requirement was carried forward to the </w:t>
      </w:r>
      <w:r w:rsidR="00B64365">
        <w:t xml:space="preserve">1971 Town &amp; Country Planning </w:t>
      </w:r>
      <w:r w:rsidR="00E63536">
        <w:t>Act and</w:t>
      </w:r>
      <w:r w:rsidR="00B64365">
        <w:t xml:space="preserve"> can be found in the current 1990 Planning (Listed Buildings and Conservation Areas</w:t>
      </w:r>
      <w:r w:rsidR="00C720AC">
        <w:t>) Act (hereinafter the 1990 Act).</w:t>
      </w:r>
      <w:r w:rsidR="00E63536">
        <w:rPr>
          <w:rStyle w:val="FootnoteReference"/>
        </w:rPr>
        <w:footnoteReference w:id="17"/>
      </w:r>
      <w:r w:rsidR="00B96AE3">
        <w:t xml:space="preserve"> </w:t>
      </w:r>
      <w:r w:rsidR="00F47401">
        <w:t xml:space="preserve">A key detail </w:t>
      </w:r>
      <w:r w:rsidR="00A53FCD">
        <w:t>is that conservation areas are designated locally by local authorities</w:t>
      </w:r>
      <w:r w:rsidR="004B5786">
        <w:t>, and were actively encouraged to do so, with minimal requirements to produce official, technical evidence to support these decisions</w:t>
      </w:r>
      <w:r w:rsidR="00661B01">
        <w:t>.</w:t>
      </w:r>
      <w:r w:rsidR="00661B01">
        <w:rPr>
          <w:rStyle w:val="FootnoteReference"/>
        </w:rPr>
        <w:footnoteReference w:id="18"/>
      </w:r>
      <w:r w:rsidR="00A53FCD">
        <w:t xml:space="preserve"> </w:t>
      </w:r>
      <w:r w:rsidR="002B763D">
        <w:t xml:space="preserve">This has the effect of allowing the local </w:t>
      </w:r>
      <w:r w:rsidR="00193DF8">
        <w:rPr>
          <w:i/>
          <w:iCs/>
        </w:rPr>
        <w:t>discernment of heritage</w:t>
      </w:r>
      <w:r w:rsidR="002B763D">
        <w:t xml:space="preserve"> inform and to an </w:t>
      </w:r>
      <w:r w:rsidR="002B763D">
        <w:lastRenderedPageBreak/>
        <w:t xml:space="preserve">extent determine </w:t>
      </w:r>
      <w:r w:rsidR="007415E0">
        <w:t>spaces</w:t>
      </w:r>
      <w:r w:rsidR="002B763D">
        <w:t xml:space="preserve"> in which development proposals are restricted to preserve</w:t>
      </w:r>
      <w:r w:rsidR="007507F4">
        <w:t xml:space="preserve"> a</w:t>
      </w:r>
      <w:r w:rsidR="002B763D">
        <w:t xml:space="preserve"> </w:t>
      </w:r>
      <w:r w:rsidR="007415E0">
        <w:t xml:space="preserve">locally valued </w:t>
      </w:r>
      <w:r w:rsidR="007507F4">
        <w:t>character.</w:t>
      </w:r>
      <w:r w:rsidR="0018264C">
        <w:t xml:space="preserve"> </w:t>
      </w:r>
      <w:r w:rsidR="007507F4">
        <w:t xml:space="preserve">Conservation Areas </w:t>
      </w:r>
      <w:r w:rsidR="005B1C1E">
        <w:t xml:space="preserve">are often designated and described with reference to architectural elements, however </w:t>
      </w:r>
      <w:r w:rsidR="00F71CCA">
        <w:t xml:space="preserve">the use of the space </w:t>
      </w:r>
      <w:r w:rsidR="00C012F6">
        <w:t>could form</w:t>
      </w:r>
      <w:r w:rsidR="00F71CCA">
        <w:t xml:space="preserve"> part of the character protected. For example, the</w:t>
      </w:r>
      <w:r w:rsidR="003639E5">
        <w:t xml:space="preserve"> </w:t>
      </w:r>
      <w:r w:rsidR="003639E5" w:rsidRPr="003639E5">
        <w:t xml:space="preserve">West </w:t>
      </w:r>
      <w:proofErr w:type="spellStart"/>
      <w:r w:rsidR="003639E5" w:rsidRPr="003639E5">
        <w:t>Malling</w:t>
      </w:r>
      <w:proofErr w:type="spellEnd"/>
      <w:r w:rsidR="003639E5" w:rsidRPr="003639E5">
        <w:t xml:space="preserve"> Conservation Area</w:t>
      </w:r>
      <w:r w:rsidR="003639E5">
        <w:t xml:space="preserve"> Appraisal, which was adopted in 2002, </w:t>
      </w:r>
      <w:r w:rsidR="00AD5708">
        <w:t xml:space="preserve">notes that the location of the original medieval market </w:t>
      </w:r>
      <w:r w:rsidR="0010691F">
        <w:t>was still used for this purpose on occasion as part of its assessment of the importance of the area.</w:t>
      </w:r>
      <w:r w:rsidR="003639E5">
        <w:rPr>
          <w:rStyle w:val="FootnoteReference"/>
        </w:rPr>
        <w:footnoteReference w:id="19"/>
      </w:r>
      <w:r w:rsidR="00BE7C25">
        <w:t xml:space="preserve"> </w:t>
      </w:r>
      <w:r w:rsidR="00372E94">
        <w:t xml:space="preserve">This is a clear example of the </w:t>
      </w:r>
      <w:r w:rsidR="00193DF8">
        <w:rPr>
          <w:i/>
          <w:iCs/>
        </w:rPr>
        <w:t>discernment of heritage</w:t>
      </w:r>
      <w:r w:rsidR="00A9703C">
        <w:t>, where an area is identified as an importan</w:t>
      </w:r>
      <w:r w:rsidR="00143B0E">
        <w:t>t</w:t>
      </w:r>
      <w:r w:rsidR="00A9703C">
        <w:t xml:space="preserve"> space </w:t>
      </w:r>
      <w:r w:rsidR="00EF575B">
        <w:t xml:space="preserve">for the culture to </w:t>
      </w:r>
      <w:r w:rsidR="000D714C">
        <w:t>continue to take part in ICH activities.</w:t>
      </w:r>
    </w:p>
    <w:p w14:paraId="2EE42D5C" w14:textId="51BCBBCF" w:rsidR="00036FFA" w:rsidRPr="00036FFA" w:rsidRDefault="00036FFA">
      <w:pPr>
        <w:rPr>
          <w:i/>
          <w:iCs/>
        </w:rPr>
      </w:pPr>
      <w:r w:rsidRPr="00036FFA">
        <w:rPr>
          <w:i/>
          <w:iCs/>
        </w:rPr>
        <w:t>Recognising the experience of heritage in law</w:t>
      </w:r>
    </w:p>
    <w:p w14:paraId="06337D5A" w14:textId="72F873B4" w:rsidR="00036FFA" w:rsidRDefault="000C4852">
      <w:r>
        <w:t xml:space="preserve">In 1990, two new </w:t>
      </w:r>
      <w:r w:rsidR="00841D5A">
        <w:t xml:space="preserve">Planning Acts were passed by Parliament, one to consolidate laws for </w:t>
      </w:r>
      <w:r w:rsidR="00026A1D">
        <w:t>p</w:t>
      </w:r>
      <w:r w:rsidR="00841D5A">
        <w:t xml:space="preserve">lanning </w:t>
      </w:r>
      <w:r w:rsidR="00026A1D">
        <w:t>m</w:t>
      </w:r>
      <w:r w:rsidR="00841D5A">
        <w:t xml:space="preserve">atters, and the other for </w:t>
      </w:r>
      <w:r w:rsidR="00AE3054">
        <w:t>c</w:t>
      </w:r>
      <w:r w:rsidR="00372DB1">
        <w:t xml:space="preserve">onservation </w:t>
      </w:r>
      <w:r w:rsidR="00AE3054">
        <w:t>a</w:t>
      </w:r>
      <w:r w:rsidR="00372DB1">
        <w:t xml:space="preserve">reas and </w:t>
      </w:r>
      <w:r w:rsidR="00AE3054">
        <w:t>l</w:t>
      </w:r>
      <w:r w:rsidR="00372DB1">
        <w:t xml:space="preserve">isted </w:t>
      </w:r>
      <w:r w:rsidR="00AE3054">
        <w:t>b</w:t>
      </w:r>
      <w:r w:rsidR="00372DB1">
        <w:t>uildings.</w:t>
      </w:r>
      <w:r w:rsidR="00FF3686">
        <w:t xml:space="preserve"> In </w:t>
      </w:r>
      <w:r w:rsidR="002978A0">
        <w:t xml:space="preserve">the parliamentary debates which preceded the passing of the laws, the </w:t>
      </w:r>
      <w:r w:rsidR="00A76164">
        <w:t xml:space="preserve">acts were discussed as consolidation acts, whose intention was to clarify and simplify </w:t>
      </w:r>
      <w:r w:rsidR="00A90079">
        <w:t>planning law, which had become complex following numerous amendments to the 1971 Town &amp; Country Planning Act.</w:t>
      </w:r>
      <w:r w:rsidR="00A90079">
        <w:rPr>
          <w:rStyle w:val="FootnoteReference"/>
        </w:rPr>
        <w:footnoteReference w:id="20"/>
      </w:r>
      <w:r w:rsidR="009E554C">
        <w:t xml:space="preserve"> </w:t>
      </w:r>
      <w:r w:rsidR="00A01815">
        <w:t>However, the 1990 Act introduced a</w:t>
      </w:r>
      <w:r w:rsidR="00CF5677">
        <w:t xml:space="preserve"> concept that would have a profound effect on how heritage was understood in place-making in the UK</w:t>
      </w:r>
      <w:r w:rsidR="004601C4">
        <w:t>;</w:t>
      </w:r>
      <w:r w:rsidR="003E4631">
        <w:t xml:space="preserve"> the setting of a listed building</w:t>
      </w:r>
      <w:r w:rsidR="00CF5677">
        <w:t>:</w:t>
      </w:r>
    </w:p>
    <w:p w14:paraId="277AD73E" w14:textId="5791F4E9" w:rsidR="00520966" w:rsidRDefault="00810B83" w:rsidP="00810B83">
      <w:pPr>
        <w:pStyle w:val="NoSpacing"/>
      </w:pPr>
      <w:r>
        <w:t>(1) In considering whether to grant planning permission for development which affects a listed building or its setting, the local planning authority or, as the case may be, the Secretary of State shall have special regard to the desirability of preserving the building or its setting or any features of special architectural or historic interest which it possesses.</w:t>
      </w:r>
      <w:r w:rsidR="00E53EE0">
        <w:rPr>
          <w:rStyle w:val="FootnoteReference"/>
        </w:rPr>
        <w:footnoteReference w:id="21"/>
      </w:r>
    </w:p>
    <w:p w14:paraId="77B4FFB1" w14:textId="3C3FDBCB" w:rsidR="0017347C" w:rsidRDefault="00C8122F">
      <w:r>
        <w:t>The origin of the term</w:t>
      </w:r>
      <w:r w:rsidR="009F7B2B">
        <w:t xml:space="preserve"> setting</w:t>
      </w:r>
      <w:r>
        <w:t xml:space="preserve"> is </w:t>
      </w:r>
      <w:r w:rsidR="0008674E">
        <w:t>obscure and</w:t>
      </w:r>
      <w:r>
        <w:t xml:space="preserve"> is not anticipated in any of the preceding acts of Parliament, or publicly available </w:t>
      </w:r>
      <w:r w:rsidR="00884681">
        <w:t>policy documents from this period.</w:t>
      </w:r>
      <w:r w:rsidR="00884681">
        <w:rPr>
          <w:rStyle w:val="FootnoteReference"/>
        </w:rPr>
        <w:footnoteReference w:id="22"/>
      </w:r>
      <w:r w:rsidR="00526688">
        <w:t xml:space="preserve"> </w:t>
      </w:r>
      <w:r w:rsidR="00FE5382">
        <w:t xml:space="preserve">The earliest reference </w:t>
      </w:r>
      <w:r w:rsidR="00122E64">
        <w:t xml:space="preserve">to the use of the term setting in the sense suggested by the act is in </w:t>
      </w:r>
      <w:r w:rsidR="00932C16">
        <w:t>a 1987 English Heritage (EH) publication about archaeology and landscapes, but no definition is provided.</w:t>
      </w:r>
      <w:r w:rsidR="00EB724F">
        <w:rPr>
          <w:rStyle w:val="FootnoteReference"/>
        </w:rPr>
        <w:footnoteReference w:id="23"/>
      </w:r>
      <w:r w:rsidR="00932C16">
        <w:t xml:space="preserve"> </w:t>
      </w:r>
      <w:r w:rsidR="00526688">
        <w:t xml:space="preserve">At the time of its introduction, the term was undefined, and soon began to </w:t>
      </w:r>
      <w:r w:rsidR="0075205C">
        <w:t>become a contentious issue at planning appeals, where</w:t>
      </w:r>
      <w:r w:rsidR="00251D98">
        <w:t xml:space="preserve"> the requirement noted above was used by planning authorities to refuse planning applications. </w:t>
      </w:r>
      <w:proofErr w:type="spellStart"/>
      <w:r w:rsidR="00AD28EA">
        <w:t>Collcutt</w:t>
      </w:r>
      <w:proofErr w:type="spellEnd"/>
      <w:r w:rsidR="00AD28EA">
        <w:t>, in one of the only academic articles to address this issue</w:t>
      </w:r>
      <w:r w:rsidR="00D70F15">
        <w:t>,</w:t>
      </w:r>
      <w:r w:rsidR="004E7E17">
        <w:t xml:space="preserve"> records </w:t>
      </w:r>
      <w:r w:rsidR="008F6346">
        <w:t>several</w:t>
      </w:r>
      <w:r w:rsidR="004E7E17">
        <w:t xml:space="preserve"> </w:t>
      </w:r>
      <w:r w:rsidR="004E7E17">
        <w:lastRenderedPageBreak/>
        <w:t xml:space="preserve">examples and notes that at </w:t>
      </w:r>
      <w:r w:rsidR="00CF075F">
        <w:t>that</w:t>
      </w:r>
      <w:r w:rsidR="004E7E17">
        <w:t xml:space="preserve"> time </w:t>
      </w:r>
      <w:r w:rsidR="00CF075F">
        <w:t>(1999)</w:t>
      </w:r>
      <w:r w:rsidR="004E7E17">
        <w:t xml:space="preserve">, no definition for the term had been </w:t>
      </w:r>
      <w:r w:rsidR="008F6346">
        <w:t>provided.</w:t>
      </w:r>
      <w:r w:rsidR="008F6346">
        <w:rPr>
          <w:rStyle w:val="FootnoteReference"/>
        </w:rPr>
        <w:footnoteReference w:id="24"/>
      </w:r>
      <w:r w:rsidR="008F6346">
        <w:t xml:space="preserve"> </w:t>
      </w:r>
      <w:r w:rsidR="0031256B">
        <w:t>Planning Policy Guidance</w:t>
      </w:r>
      <w:r w:rsidR="00C565A3">
        <w:t xml:space="preserve"> notes</w:t>
      </w:r>
      <w:r w:rsidR="0031256B">
        <w:t xml:space="preserve"> 15</w:t>
      </w:r>
      <w:r w:rsidR="00C565A3">
        <w:t xml:space="preserve"> and 16</w:t>
      </w:r>
      <w:r w:rsidR="0031256B">
        <w:t>, the UK Government’s policy statement</w:t>
      </w:r>
      <w:r w:rsidR="00F61DD4">
        <w:t xml:space="preserve">s </w:t>
      </w:r>
      <w:r w:rsidR="00E47EB2">
        <w:t xml:space="preserve">from the early 1990s </w:t>
      </w:r>
      <w:r w:rsidR="00F61DD4">
        <w:t>on</w:t>
      </w:r>
      <w:r w:rsidR="0031256B">
        <w:t xml:space="preserve"> how it would implement the requirements of the 1990 Act </w:t>
      </w:r>
      <w:r w:rsidR="00F61DD4">
        <w:t xml:space="preserve">both </w:t>
      </w:r>
      <w:r w:rsidR="0031256B">
        <w:t xml:space="preserve">discuss setting but </w:t>
      </w:r>
      <w:r w:rsidR="00C565A3">
        <w:t>do</w:t>
      </w:r>
      <w:r w:rsidR="00977D68">
        <w:t xml:space="preserve"> not</w:t>
      </w:r>
      <w:r w:rsidR="0031256B">
        <w:t xml:space="preserve"> define it.</w:t>
      </w:r>
      <w:r w:rsidR="00E837C3">
        <w:rPr>
          <w:rStyle w:val="FootnoteReference"/>
        </w:rPr>
        <w:footnoteReference w:id="25"/>
      </w:r>
      <w:r w:rsidR="0031256B">
        <w:t xml:space="preserve"> </w:t>
      </w:r>
      <w:r w:rsidR="00CB587C">
        <w:t xml:space="preserve">It </w:t>
      </w:r>
      <w:r w:rsidR="00977D68">
        <w:t>was only in 2008 with the publication of Conservation Principles by</w:t>
      </w:r>
      <w:r w:rsidR="00CB587C">
        <w:t xml:space="preserve"> </w:t>
      </w:r>
      <w:r w:rsidR="00932C16">
        <w:t>EH</w:t>
      </w:r>
      <w:r w:rsidR="00CB587C">
        <w:t xml:space="preserve">, which </w:t>
      </w:r>
      <w:r w:rsidR="00977D68">
        <w:t xml:space="preserve">provided the first </w:t>
      </w:r>
      <w:r w:rsidR="00E837C3">
        <w:t>definition of</w:t>
      </w:r>
      <w:r w:rsidR="00CB587C">
        <w:t xml:space="preserve"> setting as “</w:t>
      </w:r>
      <w:r w:rsidR="00FD2E3C">
        <w:t>t</w:t>
      </w:r>
      <w:r w:rsidR="008011E9" w:rsidRPr="008011E9">
        <w:t>he surroundings in which a place is experienced, its local context, embracing present and past relationships to the adjacent landscape</w:t>
      </w:r>
      <w:r w:rsidR="008011E9">
        <w:t>.”</w:t>
      </w:r>
      <w:r w:rsidR="008011E9">
        <w:rPr>
          <w:rStyle w:val="FootnoteReference"/>
        </w:rPr>
        <w:footnoteReference w:id="26"/>
      </w:r>
      <w:r w:rsidR="00855FFF">
        <w:t xml:space="preserve"> This was later simplified to </w:t>
      </w:r>
      <w:r w:rsidR="00E955FE">
        <w:t>“the surroundings in which a</w:t>
      </w:r>
      <w:r w:rsidR="00A94FED">
        <w:t>n</w:t>
      </w:r>
      <w:r w:rsidR="00E955FE">
        <w:t xml:space="preserve"> asset is experienced” in </w:t>
      </w:r>
      <w:r w:rsidR="00A94FED">
        <w:t>subsequent Government policy in 2010</w:t>
      </w:r>
      <w:r w:rsidR="003E3C5A">
        <w:t>, and was updated once more to “the surroundings in which a heritage asset is experienced</w:t>
      </w:r>
      <w:r w:rsidR="00AD046C">
        <w:t>” in EH guidance in 2011, which has remained the definition in Engl</w:t>
      </w:r>
      <w:r w:rsidR="004B0F2E">
        <w:t>ish</w:t>
      </w:r>
      <w:r w:rsidR="00AD046C">
        <w:t xml:space="preserve"> planning policy since that time.</w:t>
      </w:r>
      <w:r w:rsidR="00AD046C">
        <w:rPr>
          <w:rStyle w:val="FootnoteReference"/>
        </w:rPr>
        <w:footnoteReference w:id="27"/>
      </w:r>
    </w:p>
    <w:p w14:paraId="0354EEAD" w14:textId="2FF103DD" w:rsidR="00B61B71" w:rsidRDefault="00933D73">
      <w:r>
        <w:t xml:space="preserve">The concept of </w:t>
      </w:r>
      <w:r w:rsidR="0044409C">
        <w:t xml:space="preserve">the </w:t>
      </w:r>
      <w:r>
        <w:t xml:space="preserve">setting </w:t>
      </w:r>
      <w:r w:rsidR="0044409C">
        <w:t xml:space="preserve">of a heritage asset introduced the idea that </w:t>
      </w:r>
      <w:r w:rsidR="00127CE5">
        <w:t xml:space="preserve">the way in which a historic feature is understood, </w:t>
      </w:r>
      <w:r w:rsidR="00742F1F">
        <w:t>appreciated,</w:t>
      </w:r>
      <w:r w:rsidR="00127CE5">
        <w:t xml:space="preserve"> </w:t>
      </w:r>
      <w:r w:rsidR="00517C99">
        <w:t xml:space="preserve">and seen should be matters of significant weight in the determination of planning applications, and by extension to the shaping of the </w:t>
      </w:r>
      <w:r w:rsidR="00102600">
        <w:t xml:space="preserve">landscape in the UK. A clear example of this can be seen in </w:t>
      </w:r>
      <w:r w:rsidR="00577E34">
        <w:t>a now famous case</w:t>
      </w:r>
      <w:r w:rsidR="006B1411">
        <w:t xml:space="preserve"> in 2014</w:t>
      </w:r>
      <w:r w:rsidR="00BC046B">
        <w:t xml:space="preserve">, Barnwell Manor, where </w:t>
      </w:r>
      <w:r w:rsidR="000E34C6">
        <w:t xml:space="preserve">the High Court quashed </w:t>
      </w:r>
      <w:r w:rsidR="00BF7405">
        <w:t xml:space="preserve">a decision to allow the construction of a wind turbine scheme due to </w:t>
      </w:r>
      <w:r w:rsidR="006C078A">
        <w:t>effects to the setting of</w:t>
      </w:r>
      <w:r w:rsidR="000A3B3C">
        <w:t xml:space="preserve"> </w:t>
      </w:r>
      <w:proofErr w:type="spellStart"/>
      <w:r w:rsidR="000A3B3C" w:rsidRPr="000A3B3C">
        <w:t>Lyveden</w:t>
      </w:r>
      <w:proofErr w:type="spellEnd"/>
      <w:r w:rsidR="000A3B3C" w:rsidRPr="000A3B3C">
        <w:t xml:space="preserve"> New </w:t>
      </w:r>
      <w:proofErr w:type="spellStart"/>
      <w:r w:rsidR="000A3B3C" w:rsidRPr="000A3B3C">
        <w:t>Bield</w:t>
      </w:r>
      <w:proofErr w:type="spellEnd"/>
      <w:r w:rsidR="000A3B3C">
        <w:t>, a grade I listed building.</w:t>
      </w:r>
      <w:r w:rsidR="002E37F9">
        <w:rPr>
          <w:rStyle w:val="FootnoteReference"/>
        </w:rPr>
        <w:footnoteReference w:id="28"/>
      </w:r>
      <w:r w:rsidR="002E37F9">
        <w:t xml:space="preserve"> </w:t>
      </w:r>
      <w:r w:rsidR="003F2BCF">
        <w:t xml:space="preserve">One of the reasons for the decision was that the judges found that the planning inspector had not adequately </w:t>
      </w:r>
      <w:r w:rsidR="006664FD">
        <w:t xml:space="preserve">articulated and considered how the setting of the building, including </w:t>
      </w:r>
      <w:r w:rsidR="003A627F">
        <w:t xml:space="preserve">elements such as its layout and history, </w:t>
      </w:r>
      <w:r w:rsidR="00F708A2">
        <w:t xml:space="preserve">and how it was </w:t>
      </w:r>
      <w:r w:rsidR="00F708A2" w:rsidRPr="00F708A2">
        <w:rPr>
          <w:i/>
          <w:iCs/>
        </w:rPr>
        <w:t>experienced</w:t>
      </w:r>
      <w:r w:rsidR="00F708A2">
        <w:t xml:space="preserve">, </w:t>
      </w:r>
      <w:r w:rsidR="003A627F">
        <w:t xml:space="preserve">contributed to its </w:t>
      </w:r>
      <w:r w:rsidR="00063735">
        <w:t>significance</w:t>
      </w:r>
      <w:r w:rsidR="003A627F">
        <w:t>.</w:t>
      </w:r>
      <w:r w:rsidR="006B1411">
        <w:rPr>
          <w:rStyle w:val="FootnoteReference"/>
        </w:rPr>
        <w:footnoteReference w:id="29"/>
      </w:r>
    </w:p>
    <w:p w14:paraId="4010638A" w14:textId="62198A58" w:rsidR="00BD3032" w:rsidRDefault="00067500">
      <w:r>
        <w:t>In the discussion of laws, policies, official guidance</w:t>
      </w:r>
      <w:r w:rsidR="00B2055E">
        <w:t>,</w:t>
      </w:r>
      <w:r>
        <w:t xml:space="preserve"> and legal cases, it is easy to lose sight of the overall objective of the </w:t>
      </w:r>
      <w:r w:rsidR="00063735">
        <w:t xml:space="preserve">legal and policy </w:t>
      </w:r>
      <w:r w:rsidR="00F26A96">
        <w:t xml:space="preserve">developments described above. It is a case of the society of the UK </w:t>
      </w:r>
      <w:r w:rsidR="00820ECB">
        <w:t>deciding, through its laws and policies, to identify which elements in its shared landscape merited protection for the appreciation of its people.</w:t>
      </w:r>
      <w:r w:rsidR="003844AA">
        <w:t xml:space="preserve"> </w:t>
      </w:r>
      <w:proofErr w:type="spellStart"/>
      <w:r w:rsidR="001838A1">
        <w:t>Delafons</w:t>
      </w:r>
      <w:proofErr w:type="spellEnd"/>
      <w:r w:rsidR="001838A1">
        <w:t xml:space="preserve"> records a speech given by Lord </w:t>
      </w:r>
      <w:r w:rsidR="001838A1">
        <w:lastRenderedPageBreak/>
        <w:t xml:space="preserve">Sandford to the </w:t>
      </w:r>
      <w:r w:rsidR="00057B7F">
        <w:t>House of Lords</w:t>
      </w:r>
      <w:r w:rsidR="008B00D1">
        <w:t xml:space="preserve"> in 1973</w:t>
      </w:r>
      <w:r w:rsidR="00630940">
        <w:t xml:space="preserve"> on how heritage policies </w:t>
      </w:r>
      <w:r w:rsidR="00EE4DD5">
        <w:t>could drive a new approach to place-making</w:t>
      </w:r>
      <w:r w:rsidR="008B00D1">
        <w:t xml:space="preserve">, which </w:t>
      </w:r>
      <w:r w:rsidR="002C1057">
        <w:t>shows that this dynamic was in the minds of Government officials</w:t>
      </w:r>
      <w:r w:rsidR="00BD3032">
        <w:t>:</w:t>
      </w:r>
    </w:p>
    <w:p w14:paraId="1D28E8FE" w14:textId="5D74DC62" w:rsidR="006835A5" w:rsidRDefault="00BD3032" w:rsidP="006835A5">
      <w:pPr>
        <w:pStyle w:val="NoSpacing"/>
      </w:pPr>
      <w:r>
        <w:t>But the new approach must be broader than this</w:t>
      </w:r>
      <w:r w:rsidR="00E02D0F">
        <w:t>. It can be realised within the present plan-making procedures. It should take account of the grow</w:t>
      </w:r>
      <w:r w:rsidR="006F0EEE">
        <w:t>th</w:t>
      </w:r>
      <w:r w:rsidR="00E02D0F">
        <w:t xml:space="preserve"> of public opinion in favour of conserving the familiar and cherished local s</w:t>
      </w:r>
      <w:r w:rsidR="00EC1550">
        <w:t xml:space="preserve">cene. It should also have care for the conservation of existing communities and the social fabric, </w:t>
      </w:r>
      <w:r w:rsidR="006835A5">
        <w:t>wherever public opinion points clearly towards it.</w:t>
      </w:r>
      <w:r w:rsidR="006835A5">
        <w:rPr>
          <w:rStyle w:val="FootnoteReference"/>
        </w:rPr>
        <w:footnoteReference w:id="30"/>
      </w:r>
    </w:p>
    <w:p w14:paraId="157494C8" w14:textId="667EBCA9" w:rsidR="00B61B71" w:rsidRDefault="00F35874">
      <w:r>
        <w:t xml:space="preserve">The speech connects the </w:t>
      </w:r>
      <w:r w:rsidR="00C66DCB">
        <w:t>protection of</w:t>
      </w:r>
      <w:r w:rsidR="00731C9F">
        <w:t xml:space="preserve"> historic areas and buildings with public </w:t>
      </w:r>
      <w:r w:rsidR="00944078">
        <w:t>perceptions</w:t>
      </w:r>
      <w:r w:rsidR="00731C9F">
        <w:t xml:space="preserve">, and the conservation of </w:t>
      </w:r>
      <w:r w:rsidR="00956A7A">
        <w:t xml:space="preserve">existing communities. In other words, </w:t>
      </w:r>
      <w:r w:rsidR="006F1192">
        <w:t xml:space="preserve">the protection of spaces is important to sustaining </w:t>
      </w:r>
      <w:r w:rsidR="0070794D">
        <w:t>communal life.</w:t>
      </w:r>
      <w:r w:rsidR="00E7087F">
        <w:t xml:space="preserve"> While the contexts are very differen</w:t>
      </w:r>
      <w:r w:rsidR="00AA4977">
        <w:t xml:space="preserve">t, </w:t>
      </w:r>
      <w:r w:rsidR="00E7087F">
        <w:t xml:space="preserve">the underlying impulse to protect elements within </w:t>
      </w:r>
      <w:r w:rsidR="0047789E">
        <w:t xml:space="preserve">the </w:t>
      </w:r>
      <w:r w:rsidR="003E0160">
        <w:t>landscape</w:t>
      </w:r>
      <w:r w:rsidR="0047789E">
        <w:t xml:space="preserve"> which </w:t>
      </w:r>
      <w:r w:rsidR="00A04637">
        <w:t>are</w:t>
      </w:r>
      <w:r w:rsidR="0047789E">
        <w:t xml:space="preserve"> meaning</w:t>
      </w:r>
      <w:r w:rsidR="00A04637">
        <w:t>ful</w:t>
      </w:r>
      <w:r w:rsidR="0047789E">
        <w:t xml:space="preserve"> </w:t>
      </w:r>
      <w:r w:rsidR="006161DE">
        <w:t xml:space="preserve">is the same as that recorded by </w:t>
      </w:r>
      <w:r w:rsidR="00600D29">
        <w:t xml:space="preserve">Harrison and Rose in relation to Aboriginal peoples </w:t>
      </w:r>
      <w:r w:rsidR="000A0D07">
        <w:t xml:space="preserve">mourning the destruction of parts of their landscape by </w:t>
      </w:r>
      <w:r w:rsidR="00A80BCF">
        <w:t>British</w:t>
      </w:r>
      <w:r w:rsidR="000A0D07">
        <w:t xml:space="preserve"> settlers.</w:t>
      </w:r>
      <w:r w:rsidR="001B790E">
        <w:rPr>
          <w:rStyle w:val="FootnoteReference"/>
        </w:rPr>
        <w:footnoteReference w:id="31"/>
      </w:r>
    </w:p>
    <w:p w14:paraId="5DDB455F" w14:textId="75CD5A0A" w:rsidR="00141B24" w:rsidRDefault="00141B24">
      <w:r>
        <w:t>These laws and policies can therefore be seen as</w:t>
      </w:r>
      <w:r w:rsidR="005E4BAD">
        <w:t xml:space="preserve"> an expression of</w:t>
      </w:r>
      <w:r>
        <w:t xml:space="preserve"> the UK’s </w:t>
      </w:r>
      <w:r w:rsidR="00193DF8">
        <w:rPr>
          <w:i/>
          <w:iCs/>
        </w:rPr>
        <w:t>discernment of heritage</w:t>
      </w:r>
      <w:r>
        <w:t xml:space="preserve">, </w:t>
      </w:r>
      <w:r w:rsidR="00E7087F">
        <w:t>the connection point of their ICH with the tangible remains from the past.</w:t>
      </w:r>
      <w:r w:rsidR="00363CDB">
        <w:t xml:space="preserve"> </w:t>
      </w:r>
      <w:r w:rsidR="00FF06E0">
        <w:t>Therefore, w</w:t>
      </w:r>
      <w:r w:rsidR="00363CDB">
        <w:t xml:space="preserve">hile Smith and Waterton are undoubtedly correct when they note that </w:t>
      </w:r>
      <w:r w:rsidR="004C6796">
        <w:t>there seemed to be a tightening</w:t>
      </w:r>
      <w:r w:rsidR="00701CE3">
        <w:t xml:space="preserve"> of AHD</w:t>
      </w:r>
      <w:r w:rsidR="004C6796">
        <w:t xml:space="preserve"> in England against the idea of ICH after the 2003 Convention</w:t>
      </w:r>
      <w:r w:rsidR="009E6B16">
        <w:t xml:space="preserve"> (</w:t>
      </w:r>
      <w:r w:rsidR="002F2AD4">
        <w:t>or more specifically against</w:t>
      </w:r>
      <w:r w:rsidR="003F034C">
        <w:t xml:space="preserve"> passing laws pertaining to</w:t>
      </w:r>
      <w:r w:rsidR="002F2AD4">
        <w:t xml:space="preserve"> the </w:t>
      </w:r>
      <w:r w:rsidR="002F2AD4" w:rsidRPr="002F2AD4">
        <w:rPr>
          <w:i/>
          <w:iCs/>
        </w:rPr>
        <w:t>embodiment of heritage</w:t>
      </w:r>
      <w:r w:rsidR="009E6B16" w:rsidRPr="009E6B16">
        <w:t>)</w:t>
      </w:r>
      <w:r w:rsidR="004C6796">
        <w:t xml:space="preserve"> </w:t>
      </w:r>
      <w:r w:rsidR="00DD5261">
        <w:t xml:space="preserve">it is also true that an important element of ICH was being recognised and protected in the UK </w:t>
      </w:r>
      <w:r w:rsidR="009B15CF">
        <w:t xml:space="preserve">at the same time: the </w:t>
      </w:r>
      <w:r w:rsidR="00193DF8">
        <w:rPr>
          <w:i/>
          <w:iCs/>
        </w:rPr>
        <w:t>discernment of heritage</w:t>
      </w:r>
      <w:r w:rsidR="009B15CF">
        <w:t>.</w:t>
      </w:r>
      <w:r w:rsidR="000B2C0D">
        <w:rPr>
          <w:rStyle w:val="FootnoteReference"/>
        </w:rPr>
        <w:footnoteReference w:id="32"/>
      </w:r>
    </w:p>
    <w:p w14:paraId="616AF48E" w14:textId="14E5A3EF" w:rsidR="002105CA" w:rsidRPr="002105CA" w:rsidRDefault="002105CA">
      <w:pPr>
        <w:rPr>
          <w:u w:val="single"/>
        </w:rPr>
      </w:pPr>
      <w:r w:rsidRPr="002105CA">
        <w:rPr>
          <w:u w:val="single"/>
        </w:rPr>
        <w:t xml:space="preserve">Welsh Devolution: </w:t>
      </w:r>
      <w:r>
        <w:rPr>
          <w:u w:val="single"/>
        </w:rPr>
        <w:t>E</w:t>
      </w:r>
      <w:r w:rsidRPr="002105CA">
        <w:rPr>
          <w:u w:val="single"/>
        </w:rPr>
        <w:t xml:space="preserve">volution and </w:t>
      </w:r>
      <w:r>
        <w:rPr>
          <w:u w:val="single"/>
        </w:rPr>
        <w:t>D</w:t>
      </w:r>
      <w:r w:rsidRPr="002105CA">
        <w:rPr>
          <w:u w:val="single"/>
        </w:rPr>
        <w:t>ivergence</w:t>
      </w:r>
    </w:p>
    <w:p w14:paraId="12CFDB08" w14:textId="1810FFE4" w:rsidR="002105CA" w:rsidRDefault="005F489F">
      <w:r>
        <w:t>Welsh Devolution in 1998</w:t>
      </w:r>
      <w:r w:rsidR="00484373">
        <w:t xml:space="preserve"> and more importantly the</w:t>
      </w:r>
      <w:r w:rsidR="00D03403">
        <w:t xml:space="preserve"> Government of</w:t>
      </w:r>
      <w:r w:rsidR="00484373">
        <w:t xml:space="preserve"> Wales Act 2006</w:t>
      </w:r>
      <w:r>
        <w:t xml:space="preserve"> occurred at a key moment in the history of the development of protections for the </w:t>
      </w:r>
      <w:r w:rsidR="00193DF8">
        <w:rPr>
          <w:i/>
          <w:iCs/>
        </w:rPr>
        <w:t>discernment of heritage</w:t>
      </w:r>
      <w:r>
        <w:t xml:space="preserve"> in the UK</w:t>
      </w:r>
      <w:r w:rsidR="0089231F">
        <w:t xml:space="preserve">. </w:t>
      </w:r>
      <w:r w:rsidR="00883BEA">
        <w:t xml:space="preserve">The </w:t>
      </w:r>
      <w:r w:rsidR="0085753E">
        <w:t xml:space="preserve">2006 Act </w:t>
      </w:r>
      <w:r w:rsidR="00883BEA">
        <w:t xml:space="preserve">included </w:t>
      </w:r>
      <w:r w:rsidR="00132F8D">
        <w:t>the granting of powers in relation to planning and development</w:t>
      </w:r>
      <w:r w:rsidR="002D034B">
        <w:t>,</w:t>
      </w:r>
      <w:r w:rsidR="0085753E">
        <w:t xml:space="preserve"> and the historic environment</w:t>
      </w:r>
      <w:r w:rsidR="0089231F">
        <w:t>.</w:t>
      </w:r>
      <w:r w:rsidR="0089231F">
        <w:rPr>
          <w:rStyle w:val="FootnoteReference"/>
        </w:rPr>
        <w:footnoteReference w:id="33"/>
      </w:r>
      <w:r w:rsidR="0089231F">
        <w:t xml:space="preserve"> </w:t>
      </w:r>
      <w:r w:rsidR="009A457C">
        <w:t>At this time</w:t>
      </w:r>
      <w:r w:rsidR="00672034">
        <w:t xml:space="preserve"> </w:t>
      </w:r>
      <w:r w:rsidR="0096676E">
        <w:t xml:space="preserve">the setting of heritage assets had not yet been defined, </w:t>
      </w:r>
      <w:r w:rsidR="00DA3A84">
        <w:t>n</w:t>
      </w:r>
      <w:r w:rsidR="0096676E">
        <w:t xml:space="preserve">or </w:t>
      </w:r>
      <w:r w:rsidR="00DA3A84">
        <w:t xml:space="preserve">had </w:t>
      </w:r>
      <w:r w:rsidR="0096676E">
        <w:t xml:space="preserve">any of the key guidance notes </w:t>
      </w:r>
      <w:r w:rsidR="00DA3A84">
        <w:t xml:space="preserve">been </w:t>
      </w:r>
      <w:r w:rsidR="0096676E">
        <w:t xml:space="preserve">drafted. This meant that </w:t>
      </w:r>
      <w:r w:rsidR="00DA653F">
        <w:t>from 2006</w:t>
      </w:r>
      <w:r w:rsidR="00932AEF">
        <w:t xml:space="preserve"> Wales </w:t>
      </w:r>
      <w:r w:rsidR="000D3F33">
        <w:t>could develop its own policy approach and definitions</w:t>
      </w:r>
      <w:r w:rsidR="009C2CB2">
        <w:t xml:space="preserve"> in relation to heritage. </w:t>
      </w:r>
      <w:r w:rsidR="000A2F79">
        <w:t xml:space="preserve">The changes that have emerged </w:t>
      </w:r>
      <w:r w:rsidR="008214B4">
        <w:t xml:space="preserve">can </w:t>
      </w:r>
      <w:r w:rsidR="000A2F79">
        <w:t xml:space="preserve">appear </w:t>
      </w:r>
      <w:r w:rsidR="00B74DCA">
        <w:t>subtle but</w:t>
      </w:r>
      <w:r w:rsidR="000A2F79">
        <w:t xml:space="preserve"> belie a more profound </w:t>
      </w:r>
      <w:r w:rsidR="00532C75">
        <w:t xml:space="preserve">divergence in how ICH is </w:t>
      </w:r>
      <w:r w:rsidR="003D3DE4">
        <w:t>conceived of in both national contexts</w:t>
      </w:r>
      <w:r w:rsidR="000073F0">
        <w:t>.</w:t>
      </w:r>
      <w:r w:rsidR="00721CC7">
        <w:t xml:space="preserve"> Three key instances of this divergence are discussed below.</w:t>
      </w:r>
    </w:p>
    <w:p w14:paraId="3524ACD1" w14:textId="73F356FB" w:rsidR="0020312A" w:rsidRDefault="002B1D85">
      <w:r>
        <w:t xml:space="preserve">The first example </w:t>
      </w:r>
      <w:r w:rsidR="00DE69C2">
        <w:t>is seen in t</w:t>
      </w:r>
      <w:r w:rsidR="00255AB9">
        <w:t>he Welsh Government</w:t>
      </w:r>
      <w:r w:rsidR="00DE69C2">
        <w:t>’</w:t>
      </w:r>
      <w:r w:rsidR="00255AB9">
        <w:t xml:space="preserve">s </w:t>
      </w:r>
      <w:r w:rsidR="00A96847">
        <w:t>historic environment service</w:t>
      </w:r>
      <w:r w:rsidR="00DE69C2">
        <w:t xml:space="preserve"> (</w:t>
      </w:r>
      <w:proofErr w:type="spellStart"/>
      <w:r w:rsidR="00A96847">
        <w:t>Cadw</w:t>
      </w:r>
      <w:proofErr w:type="spellEnd"/>
      <w:r w:rsidR="00DE69C2">
        <w:t>)</w:t>
      </w:r>
      <w:r w:rsidR="00A96847">
        <w:t xml:space="preserve"> version of Conservation Principles</w:t>
      </w:r>
      <w:r w:rsidR="00025EC0">
        <w:t>, which was produced</w:t>
      </w:r>
      <w:r w:rsidR="00A96847">
        <w:t xml:space="preserve"> in 2011. </w:t>
      </w:r>
      <w:r w:rsidR="00B22E11">
        <w:t xml:space="preserve">This document states that it is based on EH’s </w:t>
      </w:r>
      <w:r w:rsidR="00B706C9">
        <w:lastRenderedPageBreak/>
        <w:t>2008 publication of the same name</w:t>
      </w:r>
      <w:r w:rsidR="00B22E11">
        <w:t xml:space="preserve">, </w:t>
      </w:r>
      <w:r w:rsidR="00662483">
        <w:t>and there are many similarities</w:t>
      </w:r>
      <w:r w:rsidR="00965855">
        <w:t>. However</w:t>
      </w:r>
      <w:r w:rsidR="00662483">
        <w:t xml:space="preserve">, there is a small but important difference </w:t>
      </w:r>
      <w:r w:rsidR="00704414">
        <w:t xml:space="preserve">in how the </w:t>
      </w:r>
      <w:proofErr w:type="spellStart"/>
      <w:r w:rsidR="00704414">
        <w:t>Cadw</w:t>
      </w:r>
      <w:proofErr w:type="spellEnd"/>
      <w:r w:rsidR="00704414">
        <w:t xml:space="preserve"> document understands what heritage is</w:t>
      </w:r>
      <w:r w:rsidR="004117B9">
        <w:t xml:space="preserve"> when compared to EH’s document. In paragraph 2.1 of the </w:t>
      </w:r>
      <w:proofErr w:type="spellStart"/>
      <w:r w:rsidR="004117B9">
        <w:t>Cadw</w:t>
      </w:r>
      <w:proofErr w:type="spellEnd"/>
      <w:r w:rsidR="004117B9">
        <w:t xml:space="preserve"> document, </w:t>
      </w:r>
      <w:r w:rsidR="00A73996">
        <w:t xml:space="preserve">the historic environment is </w:t>
      </w:r>
      <w:r w:rsidR="00A10DA4">
        <w:t xml:space="preserve">defined in tangible terms as archaeological sites and historic buildings. However, a </w:t>
      </w:r>
      <w:r w:rsidR="00A10DA4" w:rsidRPr="00965855">
        <w:rPr>
          <w:i/>
          <w:iCs/>
        </w:rPr>
        <w:t>historic asset</w:t>
      </w:r>
      <w:r w:rsidR="00A10DA4">
        <w:t xml:space="preserve"> is described in the following, striking terms: “</w:t>
      </w:r>
      <w:r w:rsidR="003B45B3" w:rsidRPr="003B45B3">
        <w:t>Any part of the historic environment to which</w:t>
      </w:r>
      <w:r w:rsidR="003B45B3">
        <w:t xml:space="preserve"> </w:t>
      </w:r>
      <w:r w:rsidR="003B45B3" w:rsidRPr="003B45B3">
        <w:t>people have given a distinctive historical association or identity is</w:t>
      </w:r>
      <w:r w:rsidR="003B45B3">
        <w:t xml:space="preserve"> </w:t>
      </w:r>
      <w:r w:rsidR="003B45B3" w:rsidRPr="003B45B3">
        <w:t>considered here to be an historic asset.</w:t>
      </w:r>
      <w:r w:rsidR="003B45B3">
        <w:t>”</w:t>
      </w:r>
      <w:r w:rsidR="0084462F">
        <w:t xml:space="preserve"> It goes on to describe the significance of a historic asset as encompassing the values people give it.</w:t>
      </w:r>
      <w:r w:rsidR="009E1619">
        <w:rPr>
          <w:rStyle w:val="FootnoteReference"/>
        </w:rPr>
        <w:footnoteReference w:id="34"/>
      </w:r>
      <w:r w:rsidR="0084462F">
        <w:t xml:space="preserve"> </w:t>
      </w:r>
      <w:r w:rsidR="00BE2E63">
        <w:t xml:space="preserve">By contrast </w:t>
      </w:r>
      <w:r w:rsidR="008D19C8">
        <w:t xml:space="preserve">at the equivalent point </w:t>
      </w:r>
      <w:r w:rsidR="00BE2E63">
        <w:t>the EH document</w:t>
      </w:r>
      <w:r w:rsidR="008D19C8">
        <w:t xml:space="preserve"> describes a “place” as follows: </w:t>
      </w:r>
      <w:r w:rsidR="00330263">
        <w:t>“</w:t>
      </w:r>
      <w:r w:rsidR="008D19C8" w:rsidRPr="008D19C8">
        <w:t>Any fixed part of the historic environment with a distinctive identity perceived by people can be considered a place</w:t>
      </w:r>
      <w:r w:rsidR="00330263">
        <w:t>.”</w:t>
      </w:r>
      <w:r w:rsidR="00330263">
        <w:rPr>
          <w:rStyle w:val="FootnoteReference"/>
        </w:rPr>
        <w:footnoteReference w:id="35"/>
      </w:r>
      <w:r w:rsidR="00CE0831">
        <w:t xml:space="preserve"> </w:t>
      </w:r>
      <w:r w:rsidR="004C5A51">
        <w:t xml:space="preserve">The EH document implies that the historic environment </w:t>
      </w:r>
      <w:r w:rsidR="00697146">
        <w:t xml:space="preserve">already </w:t>
      </w:r>
      <w:r w:rsidR="004C5A51">
        <w:t>has a</w:t>
      </w:r>
      <w:r w:rsidR="00697146">
        <w:t xml:space="preserve"> distinctive</w:t>
      </w:r>
      <w:r w:rsidR="004C5A51">
        <w:t xml:space="preserve"> identity that is perceived by people. </w:t>
      </w:r>
      <w:r w:rsidR="0066088F">
        <w:t xml:space="preserve">The </w:t>
      </w:r>
      <w:proofErr w:type="spellStart"/>
      <w:r w:rsidR="0066088F">
        <w:t>Cadw</w:t>
      </w:r>
      <w:proofErr w:type="spellEnd"/>
      <w:r w:rsidR="0066088F">
        <w:t xml:space="preserve"> document </w:t>
      </w:r>
      <w:r w:rsidR="002C6787">
        <w:t xml:space="preserve">emphasises that it is people who give </w:t>
      </w:r>
      <w:r w:rsidR="00C07A6D">
        <w:t>an element of the historic environment a distinctive identity</w:t>
      </w:r>
      <w:r w:rsidR="00283FD1">
        <w:t xml:space="preserve">, in </w:t>
      </w:r>
      <w:r w:rsidR="00BF068D">
        <w:t>a clear</w:t>
      </w:r>
      <w:r w:rsidR="00CB660F">
        <w:t xml:space="preserve"> parallel with Smith’s view that it is </w:t>
      </w:r>
      <w:r w:rsidR="00927391">
        <w:t>people who make heritage</w:t>
      </w:r>
      <w:r w:rsidR="00153956">
        <w:t xml:space="preserve"> based on their value systems and culture.</w:t>
      </w:r>
      <w:r w:rsidR="00153956">
        <w:rPr>
          <w:rStyle w:val="FootnoteReference"/>
        </w:rPr>
        <w:footnoteReference w:id="36"/>
      </w:r>
    </w:p>
    <w:p w14:paraId="0E333E79" w14:textId="4C04F413" w:rsidR="0020312A" w:rsidRDefault="00B001D4">
      <w:r>
        <w:t xml:space="preserve">The second can be seen in how the definitions of setting have diverged </w:t>
      </w:r>
      <w:r w:rsidR="003D014C">
        <w:t xml:space="preserve">in both nations. As has been noted above, in England, the initial definition set out in EH’s </w:t>
      </w:r>
      <w:r w:rsidR="00C017CF">
        <w:t xml:space="preserve">Conservation Principles in 2008 included reference to past and present relationships, implying a broader understanding of </w:t>
      </w:r>
      <w:r w:rsidR="00412087">
        <w:t xml:space="preserve">what is entailed in the concept. However, this was soon dropped, and the current definition </w:t>
      </w:r>
      <w:r w:rsidR="00FC54F3">
        <w:t xml:space="preserve">adopted in England. The </w:t>
      </w:r>
      <w:proofErr w:type="spellStart"/>
      <w:r w:rsidR="00FC54F3">
        <w:t>Cadw</w:t>
      </w:r>
      <w:proofErr w:type="spellEnd"/>
      <w:r w:rsidR="00FC54F3">
        <w:t xml:space="preserve"> definition of setting </w:t>
      </w:r>
      <w:r w:rsidR="00E52F84">
        <w:t xml:space="preserve">provided in their version of Conservation Principles </w:t>
      </w:r>
      <w:r w:rsidR="00FC54F3">
        <w:t>started at a similar point a</w:t>
      </w:r>
      <w:r w:rsidR="00E52F84">
        <w:t xml:space="preserve">s EH’s </w:t>
      </w:r>
      <w:r w:rsidR="0058427D">
        <w:t xml:space="preserve">and defined setting as: </w:t>
      </w:r>
      <w:r w:rsidR="00C4489B">
        <w:t>“</w:t>
      </w:r>
      <w:r w:rsidR="00C4489B" w:rsidRPr="00C4489B">
        <w:t>The surroundings in which an historic asset is experienced, its local context, embracing present and past relationships to the adjacent landscape.</w:t>
      </w:r>
      <w:r w:rsidR="00C4489B">
        <w:t>”</w:t>
      </w:r>
      <w:r w:rsidR="00C37A53">
        <w:rPr>
          <w:rStyle w:val="FootnoteReference"/>
        </w:rPr>
        <w:footnoteReference w:id="37"/>
      </w:r>
      <w:r w:rsidR="00861582">
        <w:t xml:space="preserve"> However, when </w:t>
      </w:r>
      <w:proofErr w:type="spellStart"/>
      <w:r w:rsidR="00861582">
        <w:t>Cadw</w:t>
      </w:r>
      <w:proofErr w:type="spellEnd"/>
      <w:r w:rsidR="00861582">
        <w:t xml:space="preserve"> released their own guidance on setting </w:t>
      </w:r>
      <w:r w:rsidR="00177A27">
        <w:t xml:space="preserve">in 2017 </w:t>
      </w:r>
      <w:r w:rsidR="00D853C3">
        <w:t>the definition was expanded</w:t>
      </w:r>
      <w:r w:rsidR="00CC44A7">
        <w:t>:</w:t>
      </w:r>
    </w:p>
    <w:p w14:paraId="5359CD8F" w14:textId="76B7B63B" w:rsidR="00CC44A7" w:rsidRDefault="00494204" w:rsidP="00494204">
      <w:pPr>
        <w:pStyle w:val="NoSpacing"/>
      </w:pPr>
      <w:r w:rsidRPr="00494204">
        <w:t>The setting of a historic asset includes the surroundings in which it is understood, experienced and appreciated, embracing present and past relationships to the surrounding landscape.</w:t>
      </w:r>
      <w:r w:rsidR="008F777E">
        <w:rPr>
          <w:rStyle w:val="FootnoteReference"/>
        </w:rPr>
        <w:footnoteReference w:id="38"/>
      </w:r>
    </w:p>
    <w:p w14:paraId="77DB658E" w14:textId="3E08D9D3" w:rsidR="00A97A51" w:rsidRDefault="00F86B5D">
      <w:r>
        <w:t xml:space="preserve">In one sense, this definition is articulating </w:t>
      </w:r>
      <w:r w:rsidR="00DD4028">
        <w:t xml:space="preserve">more or less the same concept as the definition in England. </w:t>
      </w:r>
      <w:r w:rsidR="00556246">
        <w:t>However, the inclusion of the clause “embracing present and past relationships to the surrounding landscape</w:t>
      </w:r>
      <w:r w:rsidR="00282907">
        <w:t xml:space="preserve">” </w:t>
      </w:r>
      <w:r w:rsidR="00D80781">
        <w:t>emphasises th</w:t>
      </w:r>
      <w:r w:rsidR="00361C78">
        <w:t xml:space="preserve">at experiencing a historic asset is more than merely seeing it, but a matter of understanding </w:t>
      </w:r>
      <w:r w:rsidR="00311F33">
        <w:t>its historic context and how this is reflected in the surrounding landscape.</w:t>
      </w:r>
      <w:r w:rsidR="005A7BF5">
        <w:t xml:space="preserve"> </w:t>
      </w:r>
      <w:r w:rsidR="00842198">
        <w:t xml:space="preserve">Once again, it emphasises the role of people </w:t>
      </w:r>
      <w:r w:rsidR="00AD2F48">
        <w:t xml:space="preserve">and their intangible </w:t>
      </w:r>
      <w:r w:rsidR="00A46D76">
        <w:t xml:space="preserve">cultural history, in determining what it is </w:t>
      </w:r>
      <w:r w:rsidR="00A46D76">
        <w:lastRenderedPageBreak/>
        <w:t xml:space="preserve">that they experience as heritage, whereas the English definition assumes that </w:t>
      </w:r>
      <w:r w:rsidR="00A97A51">
        <w:t xml:space="preserve">the heritage is already there to be experienced. </w:t>
      </w:r>
    </w:p>
    <w:p w14:paraId="463513C4" w14:textId="585728F4" w:rsidR="00551E75" w:rsidRDefault="00626483">
      <w:r>
        <w:t xml:space="preserve">While divergences in how heritage is understood can be clearly seen between England and Wales, it is also the case that </w:t>
      </w:r>
      <w:r w:rsidR="005C47E3">
        <w:t xml:space="preserve">these policy developments simply reflect differences in how each nation approaches their </w:t>
      </w:r>
      <w:r w:rsidR="00193DF8">
        <w:rPr>
          <w:i/>
          <w:iCs/>
        </w:rPr>
        <w:t>discernment of heritage</w:t>
      </w:r>
      <w:r w:rsidR="005C47E3">
        <w:t xml:space="preserve">. </w:t>
      </w:r>
      <w:r w:rsidR="00D87BE0">
        <w:t>The effect of how the policies are applied in each nation is similar, in restricting development within the setting of heritage/historic assets</w:t>
      </w:r>
      <w:r w:rsidR="002C01EB">
        <w:t xml:space="preserve">. The only difference that might occur is that </w:t>
      </w:r>
      <w:r w:rsidR="00AF3301">
        <w:t>land would be considered to form part of the setting of a historic asset in Wales</w:t>
      </w:r>
      <w:r w:rsidR="007F2804">
        <w:t xml:space="preserve"> due to past historical associations</w:t>
      </w:r>
      <w:r w:rsidR="00AF3301">
        <w:t>, may not</w:t>
      </w:r>
      <w:r w:rsidR="00771EFD">
        <w:t>, under similar circumstances,</w:t>
      </w:r>
      <w:r w:rsidR="00AF3301">
        <w:t xml:space="preserve"> </w:t>
      </w:r>
      <w:r w:rsidR="007F2804">
        <w:t xml:space="preserve">be considered to form part of the setting of a heritage asset </w:t>
      </w:r>
      <w:r w:rsidR="00771EFD">
        <w:t>in England</w:t>
      </w:r>
      <w:r w:rsidR="004E5A10">
        <w:t xml:space="preserve">, due to how the term is defined. In </w:t>
      </w:r>
      <w:r w:rsidR="005B6E25">
        <w:t xml:space="preserve">other words, there is a difference in </w:t>
      </w:r>
      <w:r w:rsidR="005B6E25" w:rsidRPr="005B6E25">
        <w:rPr>
          <w:i/>
          <w:iCs/>
        </w:rPr>
        <w:t>how</w:t>
      </w:r>
      <w:r w:rsidR="005B6E25">
        <w:t xml:space="preserve"> they are choosing to protect elements within their landscapes, but not in </w:t>
      </w:r>
      <w:r w:rsidR="005B6E25" w:rsidRPr="005B6E25">
        <w:rPr>
          <w:i/>
          <w:iCs/>
        </w:rPr>
        <w:t>what</w:t>
      </w:r>
      <w:r w:rsidR="005B6E25">
        <w:t xml:space="preserve"> they are doing.</w:t>
      </w:r>
    </w:p>
    <w:p w14:paraId="1EBADBF0" w14:textId="6D887D06" w:rsidR="002105CA" w:rsidRDefault="006305BB">
      <w:r>
        <w:t xml:space="preserve">The third example, however, </w:t>
      </w:r>
      <w:r w:rsidR="0001411F">
        <w:t xml:space="preserve">may be the first example of a law passed within the UK to protect elements of ICH which would comprise the </w:t>
      </w:r>
      <w:r w:rsidR="0001411F" w:rsidRPr="0001411F">
        <w:rPr>
          <w:i/>
          <w:iCs/>
        </w:rPr>
        <w:t>embodiment of heritage</w:t>
      </w:r>
      <w:r w:rsidR="0001411F">
        <w:t xml:space="preserve">. </w:t>
      </w:r>
      <w:r w:rsidR="00BA2764">
        <w:t xml:space="preserve">The </w:t>
      </w:r>
      <w:r w:rsidR="00FE7513" w:rsidRPr="00FE7513">
        <w:t>Historic Environment (Wales) Act 2016</w:t>
      </w:r>
      <w:r w:rsidR="00FE7513">
        <w:t xml:space="preserve"> was a consolidation exercise, bringing together </w:t>
      </w:r>
      <w:r w:rsidR="00DF04EA">
        <w:t>several</w:t>
      </w:r>
      <w:r w:rsidR="00FE7513">
        <w:t xml:space="preserve"> </w:t>
      </w:r>
      <w:r w:rsidR="00DF04EA">
        <w:t xml:space="preserve">functions related to the historic environment into a single act. However, it also included a </w:t>
      </w:r>
      <w:r w:rsidR="0008526D">
        <w:t>requirement for ministers to maintain a list of historic place names</w:t>
      </w:r>
      <w:r w:rsidR="00DB2165">
        <w:t>, and to make those place names available through local historic environment records.</w:t>
      </w:r>
      <w:r w:rsidR="00FD097A">
        <w:rPr>
          <w:rStyle w:val="FootnoteReference"/>
        </w:rPr>
        <w:footnoteReference w:id="39"/>
      </w:r>
      <w:r w:rsidR="00FD097A">
        <w:t xml:space="preserve"> Belford noted that this </w:t>
      </w:r>
      <w:r w:rsidR="004D43ED">
        <w:t>element of the act was included to secure the support of Plaid Cymru, the Welsh nationalist party</w:t>
      </w:r>
      <w:r w:rsidR="00671B04">
        <w:t>.</w:t>
      </w:r>
      <w:r w:rsidR="00671B04">
        <w:rPr>
          <w:rStyle w:val="FootnoteReference"/>
        </w:rPr>
        <w:footnoteReference w:id="40"/>
      </w:r>
      <w:r w:rsidR="005B5ECD">
        <w:t xml:space="preserve"> </w:t>
      </w:r>
      <w:r w:rsidR="00FC1A55">
        <w:t>The inclusion of this requirement has resulted in an interesting policy</w:t>
      </w:r>
      <w:r w:rsidR="00123FFA">
        <w:t xml:space="preserve"> being developed. </w:t>
      </w:r>
      <w:r w:rsidR="00987792">
        <w:t>If</w:t>
      </w:r>
      <w:r w:rsidR="00123FFA">
        <w:t xml:space="preserve"> a property owner applies to their local authority to change the name of their property, before determining the application </w:t>
      </w:r>
      <w:r w:rsidR="0012641B">
        <w:t xml:space="preserve">Welsh local authorities must now search the list of historic place names to see if the property had a historic name. If it does, the authority </w:t>
      </w:r>
      <w:r w:rsidR="00987792">
        <w:t>is</w:t>
      </w:r>
      <w:r w:rsidR="0012641B">
        <w:t xml:space="preserve"> instructed to “encourage” the owner to either retain the name, or to consider changing it to the historic name, as appropriate.</w:t>
      </w:r>
      <w:r w:rsidR="00987792">
        <w:t xml:space="preserve"> </w:t>
      </w:r>
      <w:r w:rsidR="000A7AB6">
        <w:t xml:space="preserve">No guidance is provided on what </w:t>
      </w:r>
      <w:r w:rsidR="00BE7DE0">
        <w:t xml:space="preserve">would occur should an owner refuse. These requirements are set out in a statutory guidance note on the use of historic environment records issued by </w:t>
      </w:r>
      <w:proofErr w:type="spellStart"/>
      <w:r w:rsidR="00BE7DE0">
        <w:t>Cadw</w:t>
      </w:r>
      <w:proofErr w:type="spellEnd"/>
      <w:r w:rsidR="00BE7DE0">
        <w:t>.</w:t>
      </w:r>
      <w:r w:rsidR="00BE7DE0">
        <w:rPr>
          <w:rStyle w:val="FootnoteReference"/>
        </w:rPr>
        <w:footnoteReference w:id="41"/>
      </w:r>
      <w:r w:rsidR="00661052">
        <w:t xml:space="preserve"> </w:t>
      </w:r>
      <w:r w:rsidR="00A55CCF">
        <w:t>There is no equivalent law or policy in England for historic place names</w:t>
      </w:r>
      <w:r w:rsidR="00D3524A">
        <w:t>.</w:t>
      </w:r>
    </w:p>
    <w:p w14:paraId="1F10123E" w14:textId="2DD29F50" w:rsidR="00F76006" w:rsidRDefault="009D443F">
      <w:r>
        <w:t xml:space="preserve">This requirement </w:t>
      </w:r>
      <w:r w:rsidR="00D3647B">
        <w:t xml:space="preserve">crosses beyond the </w:t>
      </w:r>
      <w:r w:rsidR="00193DF8">
        <w:rPr>
          <w:i/>
          <w:iCs/>
        </w:rPr>
        <w:t>discernment of heritage</w:t>
      </w:r>
      <w:r w:rsidR="00D3647B">
        <w:t xml:space="preserve">, to endorsing a particular </w:t>
      </w:r>
      <w:r w:rsidR="00D3647B" w:rsidRPr="00D3647B">
        <w:rPr>
          <w:i/>
          <w:iCs/>
        </w:rPr>
        <w:t>embodiment of heritage</w:t>
      </w:r>
      <w:r w:rsidR="00D3647B">
        <w:t xml:space="preserve">. It is not merely </w:t>
      </w:r>
      <w:r w:rsidR="005D7883">
        <w:t>identifying</w:t>
      </w:r>
      <w:r w:rsidR="0086697F">
        <w:t xml:space="preserve"> culturally significant spaces that should be protected</w:t>
      </w:r>
      <w:r w:rsidR="005D7883">
        <w:t xml:space="preserve"> </w:t>
      </w:r>
      <w:r w:rsidR="00BF209F">
        <w:t xml:space="preserve">from </w:t>
      </w:r>
      <w:r w:rsidR="005D7883">
        <w:t>change</w:t>
      </w:r>
      <w:r w:rsidR="00CB20CB">
        <w:t xml:space="preserve">. It is also seeking to </w:t>
      </w:r>
      <w:r w:rsidR="00A11421">
        <w:t xml:space="preserve">identify and protect </w:t>
      </w:r>
      <w:r w:rsidR="00EF60E1">
        <w:t xml:space="preserve">a certain way of naming places, which in turn </w:t>
      </w:r>
      <w:r w:rsidR="00EF60E1">
        <w:lastRenderedPageBreak/>
        <w:t>becomes a way of understanding</w:t>
      </w:r>
      <w:r w:rsidR="00FD5668">
        <w:t xml:space="preserve"> them.</w:t>
      </w:r>
      <w:r w:rsidR="00E477BA">
        <w:t xml:space="preserve"> </w:t>
      </w:r>
      <w:r w:rsidR="005311CD">
        <w:t>By</w:t>
      </w:r>
      <w:r w:rsidR="00E477BA">
        <w:t xml:space="preserve"> </w:t>
      </w:r>
      <w:r w:rsidR="007B50EA">
        <w:t xml:space="preserve">doing this Wales </w:t>
      </w:r>
      <w:r w:rsidR="005311CD">
        <w:t>has become</w:t>
      </w:r>
      <w:r w:rsidR="007B50EA">
        <w:t xml:space="preserve"> more aligned with the aims of the 2003 Convention.</w:t>
      </w:r>
      <w:r w:rsidR="005311CD">
        <w:t xml:space="preserve"> </w:t>
      </w:r>
      <w:r w:rsidR="004C3D31">
        <w:t xml:space="preserve">The </w:t>
      </w:r>
      <w:r w:rsidR="002F57ED">
        <w:t xml:space="preserve">key </w:t>
      </w:r>
      <w:r w:rsidR="00A27E2C">
        <w:t>driver for this</w:t>
      </w:r>
      <w:r w:rsidR="002F57ED">
        <w:t xml:space="preserve"> was the </w:t>
      </w:r>
      <w:r w:rsidR="0034415E">
        <w:t>influence</w:t>
      </w:r>
      <w:r w:rsidR="002F57ED">
        <w:t xml:space="preserve"> of </w:t>
      </w:r>
      <w:r w:rsidR="0034415E">
        <w:t>the nationalist party Plaid Cymru.</w:t>
      </w:r>
    </w:p>
    <w:p w14:paraId="2FAC0BE0" w14:textId="6BB91BAA" w:rsidR="008F7061" w:rsidRPr="00641ED0" w:rsidRDefault="00641ED0">
      <w:pPr>
        <w:rPr>
          <w:u w:val="single"/>
        </w:rPr>
      </w:pPr>
      <w:r w:rsidRPr="00641ED0">
        <w:rPr>
          <w:u w:val="single"/>
        </w:rPr>
        <w:t>Discussion, Analysis and Conclusion</w:t>
      </w:r>
    </w:p>
    <w:p w14:paraId="542279D3" w14:textId="752BEDDD" w:rsidR="00661052" w:rsidRDefault="00AF7FCF">
      <w:r>
        <w:t xml:space="preserve">The register of historic place names seems to have contributed to </w:t>
      </w:r>
      <w:r w:rsidR="008D7FDF">
        <w:t xml:space="preserve">renewed interest in protecting Welsh place names. </w:t>
      </w:r>
      <w:r w:rsidR="00736EE2">
        <w:t>However, f</w:t>
      </w:r>
      <w:r w:rsidR="00202798">
        <w:t>ar from being seen as a means of preventing the loss</w:t>
      </w:r>
      <w:r w:rsidR="00E37479">
        <w:t xml:space="preserve"> of Welsh place names</w:t>
      </w:r>
      <w:r w:rsidR="00202798">
        <w:t xml:space="preserve">, </w:t>
      </w:r>
      <w:r w:rsidR="009B0B36">
        <w:t>several</w:t>
      </w:r>
      <w:r w:rsidR="00202798">
        <w:t xml:space="preserve"> recent articles have appeared arguing that </w:t>
      </w:r>
      <w:r w:rsidR="006F635F">
        <w:t>they</w:t>
      </w:r>
      <w:r w:rsidR="00202798">
        <w:t xml:space="preserve"> are under increasing threat</w:t>
      </w:r>
      <w:r w:rsidR="000042C3">
        <w:t>, arguing that more should be done.</w:t>
      </w:r>
      <w:r w:rsidR="000042C3">
        <w:rPr>
          <w:rStyle w:val="FootnoteReference"/>
        </w:rPr>
        <w:footnoteReference w:id="42"/>
      </w:r>
      <w:r w:rsidR="00BE1AFE">
        <w:t xml:space="preserve"> </w:t>
      </w:r>
      <w:r w:rsidR="002B769F">
        <w:t>In response, some</w:t>
      </w:r>
      <w:r w:rsidR="00BE1AFE">
        <w:t xml:space="preserve"> English news outlets argued</w:t>
      </w:r>
      <w:r w:rsidR="002B769F">
        <w:t xml:space="preserve"> </w:t>
      </w:r>
      <w:r w:rsidR="00294D78">
        <w:t>that campaigners were trying to ban the use of English place names in Wales.</w:t>
      </w:r>
      <w:r w:rsidR="00294D78">
        <w:rPr>
          <w:rStyle w:val="FootnoteReference"/>
        </w:rPr>
        <w:footnoteReference w:id="43"/>
      </w:r>
      <w:r w:rsidR="00651672">
        <w:t xml:space="preserve"> This conflict over </w:t>
      </w:r>
      <w:r w:rsidR="00CC16B9">
        <w:t xml:space="preserve">which culture has the right to name elements of the landscape </w:t>
      </w:r>
      <w:r w:rsidR="00BB26E5">
        <w:t xml:space="preserve">reflects </w:t>
      </w:r>
      <w:r w:rsidR="00CC16B9">
        <w:t>a wider trend noted by</w:t>
      </w:r>
      <w:r w:rsidR="00716383">
        <w:t xml:space="preserve"> </w:t>
      </w:r>
      <w:proofErr w:type="spellStart"/>
      <w:r w:rsidR="00716383">
        <w:t>Aykan</w:t>
      </w:r>
      <w:proofErr w:type="spellEnd"/>
      <w:r w:rsidR="00716383">
        <w:t xml:space="preserve">, </w:t>
      </w:r>
      <w:r w:rsidR="008A2EBF">
        <w:t>who found that</w:t>
      </w:r>
      <w:r w:rsidR="00716383">
        <w:t xml:space="preserve"> ICH designations often foster division and nationalism, rather than </w:t>
      </w:r>
      <w:r w:rsidR="00772D7D">
        <w:t>promoting shared understanding across nations.</w:t>
      </w:r>
      <w:r w:rsidR="00716383">
        <w:rPr>
          <w:rStyle w:val="FootnoteReference"/>
        </w:rPr>
        <w:footnoteReference w:id="44"/>
      </w:r>
    </w:p>
    <w:p w14:paraId="3E341D9E" w14:textId="7D25266D" w:rsidR="00E31D11" w:rsidRDefault="00E31D11">
      <w:r>
        <w:t xml:space="preserve">This risk, that the ratification of the 2003 Convention would result in divisiveness, </w:t>
      </w:r>
      <w:r w:rsidR="001F4824">
        <w:t xml:space="preserve">may be behind the hesitation the UK has in ratifying </w:t>
      </w:r>
      <w:r w:rsidR="00A362BB">
        <w:t>it</w:t>
      </w:r>
      <w:r w:rsidR="001F4824">
        <w:t xml:space="preserve">. </w:t>
      </w:r>
      <w:r w:rsidR="00392F0B">
        <w:t xml:space="preserve">In a </w:t>
      </w:r>
      <w:r w:rsidR="0082365B">
        <w:t xml:space="preserve">response to a question in Parliament </w:t>
      </w:r>
      <w:r w:rsidR="009F7FB5">
        <w:t xml:space="preserve">in 2009 </w:t>
      </w:r>
      <w:r w:rsidR="0082365B">
        <w:t>as to why the UK had not moved to ratify the 2003 Convention</w:t>
      </w:r>
      <w:r w:rsidR="00392F0B">
        <w:t xml:space="preserve">, </w:t>
      </w:r>
      <w:r w:rsidR="00444437">
        <w:t xml:space="preserve">Barbara Follett, the </w:t>
      </w:r>
      <w:r w:rsidR="00444437" w:rsidRPr="00444437">
        <w:t>Under-Secretary of State for Culture, Media and Sport</w:t>
      </w:r>
      <w:r w:rsidR="00444437">
        <w:t xml:space="preserve"> at the time</w:t>
      </w:r>
      <w:r w:rsidR="00EB4E10">
        <w:t>, made the following, prescient response</w:t>
      </w:r>
      <w:r w:rsidR="009F7FB5">
        <w:t>, after noting that the Government value</w:t>
      </w:r>
      <w:r w:rsidR="0048057D">
        <w:t>d</w:t>
      </w:r>
      <w:r w:rsidR="009F7FB5">
        <w:t xml:space="preserve"> the spirit of the convention</w:t>
      </w:r>
      <w:r w:rsidR="00EB4E10">
        <w:t>:</w:t>
      </w:r>
      <w:r w:rsidR="00E44D23">
        <w:t xml:space="preserve"> </w:t>
      </w:r>
    </w:p>
    <w:p w14:paraId="72A75E42" w14:textId="23DA5BEA" w:rsidR="00A51856" w:rsidRDefault="00A51856" w:rsidP="00A51856">
      <w:pPr>
        <w:pStyle w:val="NoSpacing"/>
      </w:pPr>
      <w:r>
        <w:t>However, we are wary of legislating on such a sensitive matter as culture, especially in an area such as intangible heritage which, by its very nature, is difficult to define. Ratifying the convention and setting out strict definitions of what our intangible cultural heritage is, and might be, could be constricting and controversial. For example, there are issues surrounding languages and dialects in the devolved Administrations and in Cornwall.</w:t>
      </w:r>
      <w:r>
        <w:rPr>
          <w:rStyle w:val="FootnoteReference"/>
        </w:rPr>
        <w:footnoteReference w:id="45"/>
      </w:r>
    </w:p>
    <w:p w14:paraId="1FDF7131" w14:textId="45993825" w:rsidR="0028530A" w:rsidRDefault="00074C29">
      <w:r>
        <w:t>Despite this hesitancy</w:t>
      </w:r>
      <w:r w:rsidR="005C02EC">
        <w:t xml:space="preserve"> </w:t>
      </w:r>
      <w:r w:rsidR="00B16667">
        <w:t>England</w:t>
      </w:r>
      <w:r w:rsidR="005C02EC">
        <w:t xml:space="preserve"> and Wales have</w:t>
      </w:r>
      <w:r w:rsidR="00C81A31">
        <w:t xml:space="preserve">, through their respective </w:t>
      </w:r>
      <w:r w:rsidR="00C81A31" w:rsidRPr="00C81A31">
        <w:rPr>
          <w:i/>
          <w:iCs/>
        </w:rPr>
        <w:t>discernment</w:t>
      </w:r>
      <w:r w:rsidR="00C81A31">
        <w:rPr>
          <w:i/>
          <w:iCs/>
        </w:rPr>
        <w:t>s</w:t>
      </w:r>
      <w:r w:rsidR="00C81A31" w:rsidRPr="00C81A31">
        <w:rPr>
          <w:i/>
          <w:iCs/>
        </w:rPr>
        <w:t xml:space="preserve"> of heritage</w:t>
      </w:r>
      <w:r w:rsidR="00C81A31">
        <w:t xml:space="preserve">, </w:t>
      </w:r>
      <w:r w:rsidR="00556B3C">
        <w:t xml:space="preserve">been </w:t>
      </w:r>
      <w:r w:rsidR="00E25084">
        <w:t>highlighting</w:t>
      </w:r>
      <w:r w:rsidR="00C81A31">
        <w:t xml:space="preserve"> and protecting specific spaces, buildings and objects which are important to the intangible expression of </w:t>
      </w:r>
      <w:r w:rsidR="00FF7C35">
        <w:t xml:space="preserve">their </w:t>
      </w:r>
      <w:r w:rsidR="00C81A31">
        <w:t xml:space="preserve">culture </w:t>
      </w:r>
      <w:r w:rsidR="00A8177E">
        <w:t>since</w:t>
      </w:r>
      <w:r w:rsidR="00C81A31">
        <w:t xml:space="preserve"> the </w:t>
      </w:r>
      <w:r w:rsidR="000C150F">
        <w:t xml:space="preserve">early </w:t>
      </w:r>
      <w:r w:rsidR="00C81A31">
        <w:t>20</w:t>
      </w:r>
      <w:r w:rsidR="00C81A31" w:rsidRPr="00C81A31">
        <w:rPr>
          <w:vertAlign w:val="superscript"/>
        </w:rPr>
        <w:t>th</w:t>
      </w:r>
      <w:r w:rsidR="00C81A31">
        <w:t xml:space="preserve"> century. Smith, Harrison and others have pointed out that </w:t>
      </w:r>
      <w:r w:rsidR="001611EC">
        <w:t xml:space="preserve">this process of setting places apart as </w:t>
      </w:r>
      <w:r w:rsidR="00FF7C35">
        <w:t>“</w:t>
      </w:r>
      <w:r w:rsidR="001611EC">
        <w:t>heritage</w:t>
      </w:r>
      <w:r w:rsidR="00FF7C35">
        <w:t>”</w:t>
      </w:r>
      <w:r w:rsidR="001611EC">
        <w:t xml:space="preserve"> is political</w:t>
      </w:r>
      <w:r w:rsidR="00ED2F58">
        <w:t xml:space="preserve">, </w:t>
      </w:r>
      <w:r w:rsidR="00FE736D">
        <w:t>and</w:t>
      </w:r>
      <w:r w:rsidR="00ED2F58">
        <w:t xml:space="preserve"> implicitly privileges </w:t>
      </w:r>
      <w:r w:rsidR="00EE5847">
        <w:t>elite tastes and existing power structures.</w:t>
      </w:r>
      <w:r w:rsidR="00CE65FA">
        <w:rPr>
          <w:rStyle w:val="FootnoteReference"/>
        </w:rPr>
        <w:footnoteReference w:id="46"/>
      </w:r>
      <w:r w:rsidR="00751E62">
        <w:t xml:space="preserve"> </w:t>
      </w:r>
      <w:r w:rsidR="003058BC">
        <w:t xml:space="preserve">The selection of tangible elements through the </w:t>
      </w:r>
      <w:r w:rsidR="003058BC" w:rsidRPr="000C150F">
        <w:rPr>
          <w:i/>
          <w:iCs/>
        </w:rPr>
        <w:t>discernment of heritage</w:t>
      </w:r>
      <w:r w:rsidR="003058BC">
        <w:t xml:space="preserve"> does not, however, </w:t>
      </w:r>
      <w:r w:rsidR="003058BC" w:rsidRPr="00F60548">
        <w:rPr>
          <w:i/>
          <w:iCs/>
        </w:rPr>
        <w:t>dictate</w:t>
      </w:r>
      <w:r w:rsidR="003058BC">
        <w:t xml:space="preserve"> </w:t>
      </w:r>
      <w:r w:rsidR="00F773F0">
        <w:t xml:space="preserve">what traditions, behaviours, </w:t>
      </w:r>
      <w:r w:rsidR="00812B7B">
        <w:t xml:space="preserve">or understandings </w:t>
      </w:r>
      <w:r w:rsidR="00812B7B">
        <w:lastRenderedPageBreak/>
        <w:t xml:space="preserve">are most appropriate </w:t>
      </w:r>
      <w:r w:rsidR="00A96C1A">
        <w:t>in</w:t>
      </w:r>
      <w:r w:rsidR="00812B7B">
        <w:t xml:space="preserve"> those spaces. It may, through the AHD</w:t>
      </w:r>
      <w:r w:rsidR="00310C07">
        <w:t xml:space="preserve"> postulated by Smith</w:t>
      </w:r>
      <w:r w:rsidR="00F007ED">
        <w:t>,</w:t>
      </w:r>
      <w:r w:rsidR="00812B7B">
        <w:t xml:space="preserve"> </w:t>
      </w:r>
      <w:r w:rsidR="00B063B6">
        <w:t>exert pressure</w:t>
      </w:r>
      <w:r w:rsidR="00812B7B">
        <w:t xml:space="preserve">, but it does not </w:t>
      </w:r>
      <w:r w:rsidR="002E3FBF">
        <w:t xml:space="preserve">legally </w:t>
      </w:r>
      <w:r w:rsidR="00FA5AAC">
        <w:t xml:space="preserve">dictate </w:t>
      </w:r>
      <w:r w:rsidR="00683D35">
        <w:t>o</w:t>
      </w:r>
      <w:r w:rsidR="00F007ED">
        <w:t>r</w:t>
      </w:r>
      <w:r w:rsidR="00683D35">
        <w:t xml:space="preserve"> define </w:t>
      </w:r>
      <w:r w:rsidR="00FA5AAC">
        <w:t xml:space="preserve">which </w:t>
      </w:r>
      <w:r w:rsidR="00FA5AAC" w:rsidRPr="00FA5AAC">
        <w:rPr>
          <w:i/>
          <w:iCs/>
        </w:rPr>
        <w:t>embodiment of heritage</w:t>
      </w:r>
      <w:r w:rsidR="00FA5AAC">
        <w:t xml:space="preserve"> is most valuable. </w:t>
      </w:r>
      <w:r w:rsidR="003D0B1B">
        <w:t>It is here that the 2003 Convention</w:t>
      </w:r>
      <w:r w:rsidR="001C17D7">
        <w:t xml:space="preserve"> has the potential, in certain contexts, to </w:t>
      </w:r>
      <w:r w:rsidR="00723413">
        <w:t xml:space="preserve">be problematic: it </w:t>
      </w:r>
      <w:r w:rsidR="00B208F8">
        <w:t>c</w:t>
      </w:r>
      <w:r w:rsidR="00723413">
        <w:t xml:space="preserve">ould make the implicit, explicit. </w:t>
      </w:r>
      <w:r w:rsidR="00A7721D">
        <w:t>L</w:t>
      </w:r>
      <w:r w:rsidR="002128B4">
        <w:t>egally denoting a particular tradition</w:t>
      </w:r>
      <w:r w:rsidR="00644719">
        <w:t xml:space="preserve"> as </w:t>
      </w:r>
      <w:r w:rsidR="006D7A00">
        <w:t xml:space="preserve">meriting </w:t>
      </w:r>
      <w:r w:rsidR="007F1A8B">
        <w:t>safeguarding</w:t>
      </w:r>
      <w:r w:rsidR="002128B4">
        <w:t xml:space="preserve"> </w:t>
      </w:r>
      <w:r w:rsidR="00472500">
        <w:t>c</w:t>
      </w:r>
      <w:r w:rsidR="002128B4">
        <w:t xml:space="preserve">ould </w:t>
      </w:r>
      <w:r w:rsidR="00472500">
        <w:t xml:space="preserve">be seen as </w:t>
      </w:r>
      <w:r w:rsidR="00C72CB1">
        <w:t xml:space="preserve">effectively </w:t>
      </w:r>
      <w:r w:rsidR="00472500">
        <w:t>stating</w:t>
      </w:r>
      <w:r w:rsidR="00A04498">
        <w:t xml:space="preserve"> </w:t>
      </w:r>
      <w:r w:rsidR="00A7721D">
        <w:t xml:space="preserve">that </w:t>
      </w:r>
      <w:r w:rsidR="00A04498">
        <w:t xml:space="preserve">this </w:t>
      </w:r>
      <w:r w:rsidR="00A7721D">
        <w:t xml:space="preserve">tradition is more valuable than </w:t>
      </w:r>
      <w:r w:rsidR="000D42EF">
        <w:t>those not</w:t>
      </w:r>
      <w:r w:rsidR="00A7721D">
        <w:t xml:space="preserve"> chosen</w:t>
      </w:r>
      <w:r w:rsidR="008744A5">
        <w:t>, and</w:t>
      </w:r>
      <w:r w:rsidR="001C6947">
        <w:t xml:space="preserve"> could open a new pathway for the expression of</w:t>
      </w:r>
      <w:r w:rsidR="00BD7C87">
        <w:t xml:space="preserve"> AHD.</w:t>
      </w:r>
      <w:r w:rsidR="00CF168D">
        <w:t xml:space="preserve"> </w:t>
      </w:r>
      <w:proofErr w:type="spellStart"/>
      <w:r w:rsidR="00CF168D">
        <w:t>Aykan</w:t>
      </w:r>
      <w:proofErr w:type="spellEnd"/>
      <w:r w:rsidR="00CF168D">
        <w:t xml:space="preserve"> has </w:t>
      </w:r>
      <w:r w:rsidR="00632085">
        <w:t xml:space="preserve">even </w:t>
      </w:r>
      <w:r w:rsidR="000A7F8B">
        <w:t xml:space="preserve">highlighted how </w:t>
      </w:r>
      <w:r w:rsidR="00632085">
        <w:t xml:space="preserve">nations have </w:t>
      </w:r>
      <w:r w:rsidR="000A7F8B">
        <w:t>use</w:t>
      </w:r>
      <w:r w:rsidR="00632085">
        <w:t>d</w:t>
      </w:r>
      <w:r w:rsidR="000A7F8B">
        <w:t xml:space="preserve"> ICH </w:t>
      </w:r>
      <w:r w:rsidR="00632085">
        <w:t xml:space="preserve">designations </w:t>
      </w:r>
      <w:r w:rsidR="000A7F8B">
        <w:t>to claim certain cuisines in Asia</w:t>
      </w:r>
      <w:r w:rsidR="00305851">
        <w:t xml:space="preserve">, leading </w:t>
      </w:r>
      <w:r w:rsidR="000A7F8B">
        <w:t>to international conflicts</w:t>
      </w:r>
      <w:r w:rsidR="00CF168D">
        <w:t>.</w:t>
      </w:r>
      <w:r w:rsidR="00CF168D">
        <w:rPr>
          <w:rStyle w:val="FootnoteReference"/>
        </w:rPr>
        <w:footnoteReference w:id="47"/>
      </w:r>
    </w:p>
    <w:p w14:paraId="71954B79" w14:textId="03D27193" w:rsidR="00320C30" w:rsidRDefault="007D07F6">
      <w:r>
        <w:t xml:space="preserve">In a </w:t>
      </w:r>
      <w:r w:rsidR="00E5603C">
        <w:t xml:space="preserve">context such as the UK’s, which contains four nations, each with distinct language traditions and troubled histories, </w:t>
      </w:r>
      <w:r w:rsidR="001E758D">
        <w:t>the</w:t>
      </w:r>
      <w:r w:rsidR="005145CC">
        <w:t>re is clear</w:t>
      </w:r>
      <w:r w:rsidR="001E758D">
        <w:t xml:space="preserve"> potential for the application of the 2003 Convention to result in conflict</w:t>
      </w:r>
      <w:r w:rsidR="006E4DB2">
        <w:t xml:space="preserve">, even </w:t>
      </w:r>
      <w:r w:rsidR="00494482">
        <w:t>with</w:t>
      </w:r>
      <w:r w:rsidR="006E4DB2">
        <w:t xml:space="preserve"> the designation of seemingly innocuous traditions</w:t>
      </w:r>
      <w:r w:rsidR="005145CC">
        <w:t xml:space="preserve">. </w:t>
      </w:r>
      <w:r w:rsidR="00324F16">
        <w:t xml:space="preserve">The </w:t>
      </w:r>
      <w:r w:rsidR="00324F16" w:rsidRPr="00432DDE">
        <w:rPr>
          <w:i/>
          <w:iCs/>
        </w:rPr>
        <w:t>embodiment of heritag</w:t>
      </w:r>
      <w:r w:rsidR="00793D51" w:rsidRPr="00432DDE">
        <w:rPr>
          <w:i/>
          <w:iCs/>
        </w:rPr>
        <w:t>e</w:t>
      </w:r>
      <w:r w:rsidR="00793D51">
        <w:t xml:space="preserve"> connects </w:t>
      </w:r>
      <w:r w:rsidR="00BC2964">
        <w:t xml:space="preserve">directly </w:t>
      </w:r>
      <w:r w:rsidR="00793D51">
        <w:t>with people’s lived experience</w:t>
      </w:r>
      <w:r w:rsidR="00BC2964">
        <w:t>, through language</w:t>
      </w:r>
      <w:r w:rsidR="00531902">
        <w:t xml:space="preserve">, </w:t>
      </w:r>
      <w:r w:rsidR="00BC2964">
        <w:t>cuisine</w:t>
      </w:r>
      <w:r w:rsidR="00531902">
        <w:t xml:space="preserve">, and beliefs, </w:t>
      </w:r>
      <w:r w:rsidR="00FF037C">
        <w:t xml:space="preserve">which is why it </w:t>
      </w:r>
      <w:r w:rsidR="0028530A">
        <w:t>is</w:t>
      </w:r>
      <w:r w:rsidR="00FF037C">
        <w:t xml:space="preserve"> emotive</w:t>
      </w:r>
      <w:r w:rsidR="00F23D35">
        <w:t xml:space="preserve">, and may explain the attraction of nationalist movements </w:t>
      </w:r>
      <w:r w:rsidR="008A4D5E">
        <w:t>of</w:t>
      </w:r>
      <w:r w:rsidR="00F23D35">
        <w:t xml:space="preserve"> using ICH</w:t>
      </w:r>
      <w:r w:rsidR="00D749F7">
        <w:t xml:space="preserve"> for political ends</w:t>
      </w:r>
      <w:r w:rsidR="00214F37">
        <w:t xml:space="preserve">, as can be seen by Plaid Cymru’s </w:t>
      </w:r>
      <w:r w:rsidR="000636E9">
        <w:t>promotion of the register of place names.</w:t>
      </w:r>
    </w:p>
    <w:p w14:paraId="23304E27" w14:textId="78F70AEC" w:rsidR="001A6417" w:rsidRDefault="001A6417">
      <w:r>
        <w:t xml:space="preserve">Understanding the two processes </w:t>
      </w:r>
      <w:r w:rsidR="00962822">
        <w:t xml:space="preserve">of ICH, the </w:t>
      </w:r>
      <w:r w:rsidR="00962822" w:rsidRPr="00A72709">
        <w:rPr>
          <w:i/>
          <w:iCs/>
        </w:rPr>
        <w:t>discernment</w:t>
      </w:r>
      <w:r w:rsidR="00962822">
        <w:t xml:space="preserve"> and </w:t>
      </w:r>
      <w:r w:rsidR="00962822" w:rsidRPr="00A72709">
        <w:rPr>
          <w:i/>
          <w:iCs/>
        </w:rPr>
        <w:t>embodiment</w:t>
      </w:r>
      <w:r w:rsidR="00962822">
        <w:t xml:space="preserve"> </w:t>
      </w:r>
      <w:r w:rsidR="00962822" w:rsidRPr="00A72709">
        <w:rPr>
          <w:i/>
          <w:iCs/>
        </w:rPr>
        <w:t>of heritage</w:t>
      </w:r>
      <w:r w:rsidR="00962822">
        <w:t xml:space="preserve">, </w:t>
      </w:r>
      <w:r w:rsidR="00DD3707">
        <w:t xml:space="preserve">shows how the UK has been </w:t>
      </w:r>
      <w:r w:rsidR="00194233">
        <w:t>actively managing an important aspect of ICH for many years</w:t>
      </w:r>
      <w:r w:rsidR="006C3220">
        <w:t xml:space="preserve">. </w:t>
      </w:r>
      <w:r w:rsidR="006C64E7">
        <w:t xml:space="preserve">Viewing </w:t>
      </w:r>
      <w:r w:rsidR="005B5FB9">
        <w:t>these processes of ICH through the divergence of English and Welsh heritage policies and laws</w:t>
      </w:r>
      <w:r w:rsidR="001C5185">
        <w:t xml:space="preserve"> has shown</w:t>
      </w:r>
      <w:r w:rsidR="00F825CE">
        <w:t xml:space="preserve"> how </w:t>
      </w:r>
      <w:r w:rsidR="00B728AC">
        <w:t xml:space="preserve">Welsh </w:t>
      </w:r>
      <w:r w:rsidR="00F825CE">
        <w:t xml:space="preserve">nationalist elements </w:t>
      </w:r>
      <w:r w:rsidR="00452EA9">
        <w:t>value</w:t>
      </w:r>
      <w:r w:rsidR="00F825CE">
        <w:t xml:space="preserve"> the </w:t>
      </w:r>
      <w:r w:rsidR="00F825CE" w:rsidRPr="00B728AC">
        <w:rPr>
          <w:i/>
          <w:iCs/>
        </w:rPr>
        <w:t>embodiment of heritage</w:t>
      </w:r>
      <w:r w:rsidR="00F825CE">
        <w:t xml:space="preserve"> </w:t>
      </w:r>
      <w:r w:rsidR="00B52CD1">
        <w:t xml:space="preserve">as </w:t>
      </w:r>
      <w:r w:rsidR="008019A8">
        <w:t>important to inculcating a sense of nationhood</w:t>
      </w:r>
      <w:r w:rsidR="00301CF8">
        <w:t xml:space="preserve">. </w:t>
      </w:r>
      <w:r w:rsidR="008D2890">
        <w:t xml:space="preserve">This may in turn </w:t>
      </w:r>
      <w:r w:rsidR="00301CF8">
        <w:t xml:space="preserve">explain the UK’s hesitation in pursuing policies and laws which relate to the </w:t>
      </w:r>
      <w:r w:rsidR="00301CF8" w:rsidRPr="00301CF8">
        <w:rPr>
          <w:i/>
          <w:iCs/>
        </w:rPr>
        <w:t>embodiment of heritage</w:t>
      </w:r>
      <w:r w:rsidR="00301CF8">
        <w:t>, given its constitutional structure</w:t>
      </w:r>
      <w:r w:rsidR="00283C60">
        <w:t>.</w:t>
      </w:r>
      <w:r w:rsidR="000F335C">
        <w:t xml:space="preserve"> </w:t>
      </w:r>
      <w:r w:rsidR="003F2020">
        <w:t>Finally, it</w:t>
      </w:r>
      <w:r w:rsidR="000C6AD4">
        <w:t xml:space="preserve"> also helps to </w:t>
      </w:r>
      <w:r w:rsidR="00050902">
        <w:t>explain</w:t>
      </w:r>
      <w:r w:rsidR="000C6AD4">
        <w:t xml:space="preserve"> why the ratification of the 2003 Convention </w:t>
      </w:r>
      <w:r w:rsidR="00C54052">
        <w:t>could be problematic in the UK</w:t>
      </w:r>
      <w:r w:rsidR="003F2020">
        <w:t>.</w:t>
      </w:r>
      <w:r w:rsidR="000B695F">
        <w:t xml:space="preserve"> </w:t>
      </w:r>
      <w:r w:rsidR="00DB40FE">
        <w:t xml:space="preserve">Therefore, understanding the distinction between the </w:t>
      </w:r>
      <w:r w:rsidR="00DB40FE" w:rsidRPr="00413C56">
        <w:rPr>
          <w:i/>
          <w:iCs/>
        </w:rPr>
        <w:t>discernment</w:t>
      </w:r>
      <w:r w:rsidR="00DB40FE">
        <w:t xml:space="preserve"> and </w:t>
      </w:r>
      <w:r w:rsidR="00DB40FE" w:rsidRPr="00413C56">
        <w:rPr>
          <w:i/>
          <w:iCs/>
        </w:rPr>
        <w:t>embodiment of heritage</w:t>
      </w:r>
      <w:r w:rsidR="00DB40FE">
        <w:t xml:space="preserve"> is a powerful tool with which to analyse </w:t>
      </w:r>
      <w:r w:rsidR="000B695F">
        <w:t>how states interact with ICH through their laws and policies.</w:t>
      </w:r>
    </w:p>
    <w:p w14:paraId="4F91C710" w14:textId="77777777" w:rsidR="00320C30" w:rsidRDefault="00320C30"/>
    <w:p w14:paraId="27440A19" w14:textId="1FEAFD7C" w:rsidR="00B45B23" w:rsidRDefault="00B45B23">
      <w:pPr>
        <w:spacing w:line="259" w:lineRule="auto"/>
      </w:pPr>
      <w:r>
        <w:br w:type="page"/>
      </w:r>
    </w:p>
    <w:p w14:paraId="6DA2235F" w14:textId="77777777" w:rsidR="00B45B23" w:rsidRPr="00DB68A9" w:rsidRDefault="00B45B23" w:rsidP="00B45B23">
      <w:pPr>
        <w:pStyle w:val="NormalWeb"/>
        <w:spacing w:before="0" w:beforeAutospacing="0" w:after="240" w:afterAutospacing="0" w:line="360" w:lineRule="auto"/>
        <w:jc w:val="center"/>
        <w:rPr>
          <w:rFonts w:ascii="Calibri" w:hAnsi="Calibri" w:cs="Calibri"/>
          <w:sz w:val="22"/>
          <w:szCs w:val="22"/>
          <w:u w:val="single"/>
        </w:rPr>
      </w:pPr>
      <w:r w:rsidRPr="00DB68A9">
        <w:rPr>
          <w:rFonts w:ascii="Calibri" w:hAnsi="Calibri" w:cs="Calibri"/>
          <w:sz w:val="22"/>
          <w:szCs w:val="22"/>
          <w:u w:val="single"/>
        </w:rPr>
        <w:lastRenderedPageBreak/>
        <w:t>Bibliography</w:t>
      </w:r>
    </w:p>
    <w:p w14:paraId="0033D286"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Andrews, Charlotte, Dacia Viejo-Rose, Britt Baillie, and Benjamin Morris. “Conference Report: Tangible-Intangible Cultural Heritage: A Sustainable Dichotomy? The 7th Annual Cambridge Heritage Seminar.” </w:t>
      </w:r>
      <w:r>
        <w:rPr>
          <w:rFonts w:ascii="Calibri" w:hAnsi="Calibri" w:cs="Calibri"/>
          <w:i/>
          <w:iCs/>
          <w:sz w:val="22"/>
          <w:szCs w:val="22"/>
        </w:rPr>
        <w:t>IJIH - International Journal of Intangible Heritage</w:t>
      </w:r>
      <w:r>
        <w:rPr>
          <w:rFonts w:ascii="Calibri" w:hAnsi="Calibri" w:cs="Calibri"/>
          <w:sz w:val="22"/>
          <w:szCs w:val="22"/>
        </w:rPr>
        <w:t xml:space="preserve"> 2 (2007). https://www.ijih.org/volumes/article/27#.</w:t>
      </w:r>
    </w:p>
    <w:p w14:paraId="5F201E71"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proofErr w:type="spellStart"/>
      <w:r>
        <w:rPr>
          <w:rFonts w:ascii="Calibri" w:hAnsi="Calibri" w:cs="Calibri"/>
          <w:sz w:val="22"/>
          <w:szCs w:val="22"/>
        </w:rPr>
        <w:t>Aykan</w:t>
      </w:r>
      <w:proofErr w:type="spellEnd"/>
      <w:r>
        <w:rPr>
          <w:rFonts w:ascii="Calibri" w:hAnsi="Calibri" w:cs="Calibri"/>
          <w:sz w:val="22"/>
          <w:szCs w:val="22"/>
        </w:rPr>
        <w:t xml:space="preserve">, </w:t>
      </w:r>
      <w:proofErr w:type="spellStart"/>
      <w:r>
        <w:rPr>
          <w:rFonts w:ascii="Calibri" w:hAnsi="Calibri" w:cs="Calibri"/>
          <w:sz w:val="22"/>
          <w:szCs w:val="22"/>
        </w:rPr>
        <w:t>Bahar</w:t>
      </w:r>
      <w:proofErr w:type="spellEnd"/>
      <w:r>
        <w:rPr>
          <w:rFonts w:ascii="Calibri" w:hAnsi="Calibri" w:cs="Calibri"/>
          <w:sz w:val="22"/>
          <w:szCs w:val="22"/>
        </w:rPr>
        <w:t>. “‘</w:t>
      </w:r>
      <w:proofErr w:type="spellStart"/>
      <w:r>
        <w:rPr>
          <w:rFonts w:ascii="Calibri" w:hAnsi="Calibri" w:cs="Calibri"/>
          <w:sz w:val="22"/>
          <w:szCs w:val="22"/>
        </w:rPr>
        <w:t>Patenting’Karagöz</w:t>
      </w:r>
      <w:proofErr w:type="spellEnd"/>
      <w:r>
        <w:rPr>
          <w:rFonts w:ascii="Calibri" w:hAnsi="Calibri" w:cs="Calibri"/>
          <w:sz w:val="22"/>
          <w:szCs w:val="22"/>
        </w:rPr>
        <w:t xml:space="preserve">: UNESCO, Nationalism and Multinational Intangible Heritage.” </w:t>
      </w:r>
      <w:r>
        <w:rPr>
          <w:rFonts w:ascii="Calibri" w:hAnsi="Calibri" w:cs="Calibri"/>
          <w:i/>
          <w:iCs/>
          <w:sz w:val="22"/>
          <w:szCs w:val="22"/>
        </w:rPr>
        <w:t>International Journal of Heritage Studies</w:t>
      </w:r>
      <w:r>
        <w:rPr>
          <w:rFonts w:ascii="Calibri" w:hAnsi="Calibri" w:cs="Calibri"/>
          <w:sz w:val="22"/>
          <w:szCs w:val="22"/>
        </w:rPr>
        <w:t xml:space="preserve"> 21, no. 10 (May 15, 2015): 949–61. https://doi.org/10.1080/13527258.2015.1041413.</w:t>
      </w:r>
    </w:p>
    <w:p w14:paraId="6E3CC4FE"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 “The Politics of Intangible Heritage and Food Fights in Western Asia.” </w:t>
      </w:r>
      <w:r>
        <w:rPr>
          <w:rFonts w:ascii="Calibri" w:hAnsi="Calibri" w:cs="Calibri"/>
          <w:i/>
          <w:iCs/>
          <w:sz w:val="22"/>
          <w:szCs w:val="22"/>
        </w:rPr>
        <w:t>International Journal of Heritage Studies</w:t>
      </w:r>
      <w:r>
        <w:rPr>
          <w:rFonts w:ascii="Calibri" w:hAnsi="Calibri" w:cs="Calibri"/>
          <w:sz w:val="22"/>
          <w:szCs w:val="22"/>
        </w:rPr>
        <w:t xml:space="preserve"> 22, no. 10 (August 25, 2016): 799–810. https://doi.org/10.1080/13527258.2016.1218910.</w:t>
      </w:r>
    </w:p>
    <w:p w14:paraId="2C5E3ABD"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Barnwell Manor v East Northamptonshire [2014] EWCA </w:t>
      </w:r>
      <w:proofErr w:type="spellStart"/>
      <w:r>
        <w:rPr>
          <w:rFonts w:ascii="Calibri" w:hAnsi="Calibri" w:cs="Calibri"/>
          <w:sz w:val="22"/>
          <w:szCs w:val="22"/>
        </w:rPr>
        <w:t>Civ</w:t>
      </w:r>
      <w:proofErr w:type="spellEnd"/>
      <w:r>
        <w:rPr>
          <w:rFonts w:ascii="Calibri" w:hAnsi="Calibri" w:cs="Calibri"/>
          <w:sz w:val="22"/>
          <w:szCs w:val="22"/>
        </w:rPr>
        <w:t xml:space="preserve"> 137 (Court of Appeal 2014).</w:t>
      </w:r>
    </w:p>
    <w:p w14:paraId="36001EE1"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BBC News. “Historical Place Names Bill Is Rejected by AMs.” </w:t>
      </w:r>
      <w:r>
        <w:rPr>
          <w:rFonts w:ascii="Calibri" w:hAnsi="Calibri" w:cs="Calibri"/>
          <w:i/>
          <w:iCs/>
          <w:sz w:val="22"/>
          <w:szCs w:val="22"/>
        </w:rPr>
        <w:t>BBC News</w:t>
      </w:r>
      <w:r>
        <w:rPr>
          <w:rFonts w:ascii="Calibri" w:hAnsi="Calibri" w:cs="Calibri"/>
          <w:sz w:val="22"/>
          <w:szCs w:val="22"/>
        </w:rPr>
        <w:t>, March 15, 2017, sec. Wales politics. https://www.bbc.co.uk/news/uk-wales-politics-39281369.</w:t>
      </w:r>
    </w:p>
    <w:p w14:paraId="3DAD7CBF"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Belford, Paul. “Politics and Heritage: Developments in Historic Environment Policy and Practice in Wales.” </w:t>
      </w:r>
      <w:r>
        <w:rPr>
          <w:rFonts w:ascii="Calibri" w:hAnsi="Calibri" w:cs="Calibri"/>
          <w:i/>
          <w:iCs/>
          <w:sz w:val="22"/>
          <w:szCs w:val="22"/>
        </w:rPr>
        <w:t>The Historic Environment: Policy &amp; Practice</w:t>
      </w:r>
      <w:r>
        <w:rPr>
          <w:rFonts w:ascii="Calibri" w:hAnsi="Calibri" w:cs="Calibri"/>
          <w:sz w:val="22"/>
          <w:szCs w:val="22"/>
        </w:rPr>
        <w:t xml:space="preserve"> 9, no. 2 (March 28, 2018): 102–27. https://doi.org/10.1080/17567505.2018.1456721.</w:t>
      </w:r>
    </w:p>
    <w:p w14:paraId="43979184"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proofErr w:type="spellStart"/>
      <w:r>
        <w:rPr>
          <w:rFonts w:ascii="Calibri" w:hAnsi="Calibri" w:cs="Calibri"/>
          <w:sz w:val="22"/>
          <w:szCs w:val="22"/>
        </w:rPr>
        <w:t>Cadw</w:t>
      </w:r>
      <w:proofErr w:type="spellEnd"/>
      <w:r>
        <w:rPr>
          <w:rFonts w:ascii="Calibri" w:hAnsi="Calibri" w:cs="Calibri"/>
          <w:sz w:val="22"/>
          <w:szCs w:val="22"/>
        </w:rPr>
        <w:t xml:space="preserve">. </w:t>
      </w:r>
      <w:r>
        <w:rPr>
          <w:rFonts w:ascii="Calibri" w:hAnsi="Calibri" w:cs="Calibri"/>
          <w:i/>
          <w:iCs/>
          <w:sz w:val="22"/>
          <w:szCs w:val="22"/>
        </w:rPr>
        <w:t>Conservation Principles for the Sustainable Management of the Historic Environment in Wales</w:t>
      </w:r>
      <w:r>
        <w:rPr>
          <w:rFonts w:ascii="Calibri" w:hAnsi="Calibri" w:cs="Calibri"/>
          <w:sz w:val="22"/>
          <w:szCs w:val="22"/>
        </w:rPr>
        <w:t>. Cardiff: Welsh Assembly Government, 2011.</w:t>
      </w:r>
    </w:p>
    <w:p w14:paraId="28B63E89"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 </w:t>
      </w:r>
      <w:r>
        <w:rPr>
          <w:rFonts w:ascii="Calibri" w:hAnsi="Calibri" w:cs="Calibri"/>
          <w:i/>
          <w:iCs/>
          <w:sz w:val="22"/>
          <w:szCs w:val="22"/>
        </w:rPr>
        <w:t>Historic Environment Records in Wales: Compilation and Use</w:t>
      </w:r>
      <w:r>
        <w:rPr>
          <w:rFonts w:ascii="Calibri" w:hAnsi="Calibri" w:cs="Calibri"/>
          <w:sz w:val="22"/>
          <w:szCs w:val="22"/>
        </w:rPr>
        <w:t>. Cardiff, Wales: Welsh Government, 2017. https://cadw.gov.wales/advice-support/placemaking/historic-environment-records.</w:t>
      </w:r>
    </w:p>
    <w:p w14:paraId="7289CF7B"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 </w:t>
      </w:r>
      <w:r>
        <w:rPr>
          <w:rFonts w:ascii="Calibri" w:hAnsi="Calibri" w:cs="Calibri"/>
          <w:i/>
          <w:iCs/>
          <w:sz w:val="22"/>
          <w:szCs w:val="22"/>
        </w:rPr>
        <w:t>Setting of Historic Assets in Wales</w:t>
      </w:r>
      <w:r>
        <w:rPr>
          <w:rFonts w:ascii="Calibri" w:hAnsi="Calibri" w:cs="Calibri"/>
          <w:sz w:val="22"/>
          <w:szCs w:val="22"/>
        </w:rPr>
        <w:t xml:space="preserve">. Parc </w:t>
      </w:r>
      <w:proofErr w:type="spellStart"/>
      <w:r>
        <w:rPr>
          <w:rFonts w:ascii="Calibri" w:hAnsi="Calibri" w:cs="Calibri"/>
          <w:sz w:val="22"/>
          <w:szCs w:val="22"/>
        </w:rPr>
        <w:t>Nantgarw</w:t>
      </w:r>
      <w:proofErr w:type="spellEnd"/>
      <w:r>
        <w:rPr>
          <w:rFonts w:ascii="Calibri" w:hAnsi="Calibri" w:cs="Calibri"/>
          <w:sz w:val="22"/>
          <w:szCs w:val="22"/>
        </w:rPr>
        <w:t>: Welsh Government, 2017. https://cadw.gov.wales/advice-support/placemaking/heritage-impact-assessment/setting-historic-assets.</w:t>
      </w:r>
    </w:p>
    <w:p w14:paraId="2BE986FD"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proofErr w:type="spellStart"/>
      <w:r>
        <w:rPr>
          <w:rFonts w:ascii="Calibri" w:hAnsi="Calibri" w:cs="Calibri"/>
          <w:sz w:val="22"/>
          <w:szCs w:val="22"/>
        </w:rPr>
        <w:t>Collcutt</w:t>
      </w:r>
      <w:proofErr w:type="spellEnd"/>
      <w:r>
        <w:rPr>
          <w:rFonts w:ascii="Calibri" w:hAnsi="Calibri" w:cs="Calibri"/>
          <w:sz w:val="22"/>
          <w:szCs w:val="22"/>
        </w:rPr>
        <w:t xml:space="preserve">, Simon. “The Setting of Cultural Heritage Features.” </w:t>
      </w:r>
      <w:r>
        <w:rPr>
          <w:rFonts w:ascii="Calibri" w:hAnsi="Calibri" w:cs="Calibri"/>
          <w:i/>
          <w:iCs/>
          <w:sz w:val="22"/>
          <w:szCs w:val="22"/>
        </w:rPr>
        <w:t>Journal of Planning &amp; Environmental Law</w:t>
      </w:r>
      <w:r>
        <w:rPr>
          <w:rFonts w:ascii="Calibri" w:hAnsi="Calibri" w:cs="Calibri"/>
          <w:sz w:val="22"/>
          <w:szCs w:val="22"/>
        </w:rPr>
        <w:t>, June 1999, 498–513.</w:t>
      </w:r>
    </w:p>
    <w:p w14:paraId="38EC6191"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Cookson, Neil Andrew. </w:t>
      </w:r>
      <w:r>
        <w:rPr>
          <w:rFonts w:ascii="Calibri" w:hAnsi="Calibri" w:cs="Calibri"/>
          <w:i/>
          <w:iCs/>
          <w:sz w:val="22"/>
          <w:szCs w:val="22"/>
        </w:rPr>
        <w:t>Archaeological Heritage Law</w:t>
      </w:r>
      <w:r>
        <w:rPr>
          <w:rFonts w:ascii="Calibri" w:hAnsi="Calibri" w:cs="Calibri"/>
          <w:sz w:val="22"/>
          <w:szCs w:val="22"/>
        </w:rPr>
        <w:t>. Chichester, England: Barry Rose Law Publishers Ltd, 2000.</w:t>
      </w:r>
    </w:p>
    <w:p w14:paraId="5F67C05B"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proofErr w:type="spellStart"/>
      <w:r>
        <w:rPr>
          <w:rFonts w:ascii="Calibri" w:hAnsi="Calibri" w:cs="Calibri"/>
          <w:sz w:val="22"/>
          <w:szCs w:val="22"/>
        </w:rPr>
        <w:t>Couzens</w:t>
      </w:r>
      <w:proofErr w:type="spellEnd"/>
      <w:r>
        <w:rPr>
          <w:rFonts w:ascii="Calibri" w:hAnsi="Calibri" w:cs="Calibri"/>
          <w:sz w:val="22"/>
          <w:szCs w:val="22"/>
        </w:rPr>
        <w:t xml:space="preserve">, Jo, and Allen Sinclair. “Community Hopes to Preserve Heritage Crafts.” </w:t>
      </w:r>
      <w:r>
        <w:rPr>
          <w:rFonts w:ascii="Calibri" w:hAnsi="Calibri" w:cs="Calibri"/>
          <w:i/>
          <w:iCs/>
          <w:sz w:val="22"/>
          <w:szCs w:val="22"/>
        </w:rPr>
        <w:t>BBC News</w:t>
      </w:r>
      <w:r>
        <w:rPr>
          <w:rFonts w:ascii="Calibri" w:hAnsi="Calibri" w:cs="Calibri"/>
          <w:sz w:val="22"/>
          <w:szCs w:val="22"/>
        </w:rPr>
        <w:t>. May 23, 2023. https://www.bbc.co.uk/news/uk-england-oxfordshire-65683624.amp.</w:t>
      </w:r>
    </w:p>
    <w:p w14:paraId="2A4B443E"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Darvill, Timothy. </w:t>
      </w:r>
      <w:r>
        <w:rPr>
          <w:rFonts w:ascii="Calibri" w:hAnsi="Calibri" w:cs="Calibri"/>
          <w:i/>
          <w:iCs/>
          <w:sz w:val="22"/>
          <w:szCs w:val="22"/>
        </w:rPr>
        <w:t>Ancient Monuments in the Countryside: An Archaeological Management Review</w:t>
      </w:r>
      <w:r>
        <w:rPr>
          <w:rFonts w:ascii="Calibri" w:hAnsi="Calibri" w:cs="Calibri"/>
          <w:sz w:val="22"/>
          <w:szCs w:val="22"/>
        </w:rPr>
        <w:t>. Swindon, England: English Heritage, 1987.</w:t>
      </w:r>
    </w:p>
    <w:p w14:paraId="2485C88E"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proofErr w:type="spellStart"/>
      <w:r>
        <w:rPr>
          <w:rFonts w:ascii="Calibri" w:hAnsi="Calibri" w:cs="Calibri"/>
          <w:sz w:val="22"/>
          <w:szCs w:val="22"/>
        </w:rPr>
        <w:t>Delafons</w:t>
      </w:r>
      <w:proofErr w:type="spellEnd"/>
      <w:r>
        <w:rPr>
          <w:rFonts w:ascii="Calibri" w:hAnsi="Calibri" w:cs="Calibri"/>
          <w:sz w:val="22"/>
          <w:szCs w:val="22"/>
        </w:rPr>
        <w:t xml:space="preserve">, John. </w:t>
      </w:r>
      <w:r>
        <w:rPr>
          <w:rFonts w:ascii="Calibri" w:hAnsi="Calibri" w:cs="Calibri"/>
          <w:i/>
          <w:iCs/>
          <w:sz w:val="22"/>
          <w:szCs w:val="22"/>
        </w:rPr>
        <w:t>Politics and Preservation</w:t>
      </w:r>
      <w:r>
        <w:rPr>
          <w:rFonts w:ascii="Calibri" w:hAnsi="Calibri" w:cs="Calibri"/>
          <w:sz w:val="22"/>
          <w:szCs w:val="22"/>
        </w:rPr>
        <w:t>. 1st ed. London: E &amp; FN SPON, 1997.</w:t>
      </w:r>
    </w:p>
    <w:p w14:paraId="3B6BB4BF"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lastRenderedPageBreak/>
        <w:t>Department for Communities and Local Government. “Planning Policy Guidance 16: Archaeology and Planning,” November 1990. https://www.communities.gov.uk/documents/planningandbuilding/pdf/156777.pdf.</w:t>
      </w:r>
    </w:p>
    <w:p w14:paraId="2E01CFF7"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“Planning Policy Statement 5: Planning for the Historic Environment,” 2010.</w:t>
      </w:r>
    </w:p>
    <w:p w14:paraId="169402A3"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Department of the Environment. “Planning Policy Guidance: Planning and the Historic Environment,” 1994.</w:t>
      </w:r>
    </w:p>
    <w:p w14:paraId="4735DAC4"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Drury, Paul, and Anne </w:t>
      </w:r>
      <w:proofErr w:type="spellStart"/>
      <w:r>
        <w:rPr>
          <w:rFonts w:ascii="Calibri" w:hAnsi="Calibri" w:cs="Calibri"/>
          <w:sz w:val="22"/>
          <w:szCs w:val="22"/>
        </w:rPr>
        <w:t>Mcpherson</w:t>
      </w:r>
      <w:proofErr w:type="spellEnd"/>
      <w:r>
        <w:rPr>
          <w:rFonts w:ascii="Calibri" w:hAnsi="Calibri" w:cs="Calibri"/>
          <w:sz w:val="22"/>
          <w:szCs w:val="22"/>
        </w:rPr>
        <w:t xml:space="preserve">. </w:t>
      </w:r>
      <w:r>
        <w:rPr>
          <w:rFonts w:ascii="Calibri" w:hAnsi="Calibri" w:cs="Calibri"/>
          <w:i/>
          <w:iCs/>
          <w:sz w:val="22"/>
          <w:szCs w:val="22"/>
        </w:rPr>
        <w:t>Conservation Principles : Policies and Guidance for the Sustainable Management of the Historic Environment</w:t>
      </w:r>
      <w:r>
        <w:rPr>
          <w:rFonts w:ascii="Calibri" w:hAnsi="Calibri" w:cs="Calibri"/>
          <w:sz w:val="22"/>
          <w:szCs w:val="22"/>
        </w:rPr>
        <w:t>. London: English Heritage, 2008. https://historicengland.org.uk/advice/constructive-conservation/conservation-principles/.</w:t>
      </w:r>
    </w:p>
    <w:p w14:paraId="781669D7"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English Heritage. </w:t>
      </w:r>
      <w:r>
        <w:rPr>
          <w:rFonts w:ascii="Calibri" w:hAnsi="Calibri" w:cs="Calibri"/>
          <w:i/>
          <w:iCs/>
          <w:sz w:val="22"/>
          <w:szCs w:val="22"/>
        </w:rPr>
        <w:t>Seeing the History in the View</w:t>
      </w:r>
      <w:r>
        <w:rPr>
          <w:rFonts w:ascii="Calibri" w:hAnsi="Calibri" w:cs="Calibri"/>
          <w:sz w:val="22"/>
          <w:szCs w:val="22"/>
        </w:rPr>
        <w:t>. London: English Heritage, 2011.</w:t>
      </w:r>
    </w:p>
    <w:p w14:paraId="0EE758BE"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Griffiths, Cyllene. “Regulatory Management of the Setting of Historic Assets: Lower Leighton Mega-Dairy – a Case Study from Wales.” </w:t>
      </w:r>
      <w:r>
        <w:rPr>
          <w:rFonts w:ascii="Calibri" w:hAnsi="Calibri" w:cs="Calibri"/>
          <w:i/>
          <w:iCs/>
          <w:sz w:val="22"/>
          <w:szCs w:val="22"/>
        </w:rPr>
        <w:t>The Historic Environment: Policy &amp; Practice</w:t>
      </w:r>
      <w:r>
        <w:rPr>
          <w:rFonts w:ascii="Calibri" w:hAnsi="Calibri" w:cs="Calibri"/>
          <w:sz w:val="22"/>
          <w:szCs w:val="22"/>
        </w:rPr>
        <w:t xml:space="preserve"> 8, no. 1 (January 2, 2017): 48–63. https://doi.org/10.1080/17567505.2017.1291594.</w:t>
      </w:r>
    </w:p>
    <w:p w14:paraId="5C441969"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Hansard. “25 Jun 2009 : Column 1042.” publications.parliament.uk/. UK Parliament, 2009. https://publications.parliament.uk/pa/cm200809/cmhansrd/cm090625/debtext/90625-0019.htm.</w:t>
      </w:r>
    </w:p>
    <w:p w14:paraId="3B8FA750"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“Planning (Listed Buildings and Conservation Areas) Bill (Hansard).” api.parliament.uk. Accessed May 7, 2023. https://api.parliament.uk/historic-hansard/bills/planning-listed-buildings-and-conservation-areas-bill.</w:t>
      </w:r>
    </w:p>
    <w:p w14:paraId="11127D8F"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“Town and Country Planning Bill [H.L.] (Hansard, 19 February 1990).” api.parliament.uk. Accessed May 7, 2023. https://api.parliament.uk/historic-hansard/lords/1990/feb/19/town-and-country-planning-bill-hl#S5LV0516P0_19900219_HOL_133.</w:t>
      </w:r>
    </w:p>
    <w:p w14:paraId="0D679418"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Harrison, Rodney. </w:t>
      </w:r>
      <w:r>
        <w:rPr>
          <w:rFonts w:ascii="Calibri" w:hAnsi="Calibri" w:cs="Calibri"/>
          <w:i/>
          <w:iCs/>
          <w:sz w:val="22"/>
          <w:szCs w:val="22"/>
        </w:rPr>
        <w:t>Understanding the Politics of Heritage</w:t>
      </w:r>
      <w:r>
        <w:rPr>
          <w:rFonts w:ascii="Calibri" w:hAnsi="Calibri" w:cs="Calibri"/>
          <w:sz w:val="22"/>
          <w:szCs w:val="22"/>
        </w:rPr>
        <w:t>. Manchester: Manchester University Press in association with the Open University, 2010.</w:t>
      </w:r>
    </w:p>
    <w:p w14:paraId="59A91896"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Harrison, Rodney, and Deborah Rose. “Chapter 7 Intangible Heritage.” In </w:t>
      </w:r>
      <w:r>
        <w:rPr>
          <w:rFonts w:ascii="Calibri" w:hAnsi="Calibri" w:cs="Calibri"/>
          <w:i/>
          <w:iCs/>
          <w:sz w:val="22"/>
          <w:szCs w:val="22"/>
        </w:rPr>
        <w:t>Understanding the Politics of Heritage</w:t>
      </w:r>
      <w:r>
        <w:rPr>
          <w:rFonts w:ascii="Calibri" w:hAnsi="Calibri" w:cs="Calibri"/>
          <w:sz w:val="22"/>
          <w:szCs w:val="22"/>
        </w:rPr>
        <w:t xml:space="preserve">, 238–76. Manchester </w:t>
      </w:r>
      <w:proofErr w:type="spellStart"/>
      <w:r>
        <w:rPr>
          <w:rFonts w:ascii="Calibri" w:hAnsi="Calibri" w:cs="Calibri"/>
          <w:sz w:val="22"/>
          <w:szCs w:val="22"/>
        </w:rPr>
        <w:t>Manchester</w:t>
      </w:r>
      <w:proofErr w:type="spellEnd"/>
      <w:r>
        <w:rPr>
          <w:rFonts w:ascii="Calibri" w:hAnsi="Calibri" w:cs="Calibri"/>
          <w:sz w:val="22"/>
          <w:szCs w:val="22"/>
        </w:rPr>
        <w:t xml:space="preserve"> Univ. Press In Assoc. With The Open </w:t>
      </w:r>
      <w:proofErr w:type="spellStart"/>
      <w:r>
        <w:rPr>
          <w:rFonts w:ascii="Calibri" w:hAnsi="Calibri" w:cs="Calibri"/>
          <w:sz w:val="22"/>
          <w:szCs w:val="22"/>
        </w:rPr>
        <w:t>Univ</w:t>
      </w:r>
      <w:proofErr w:type="spellEnd"/>
      <w:r>
        <w:rPr>
          <w:rFonts w:ascii="Calibri" w:hAnsi="Calibri" w:cs="Calibri"/>
          <w:sz w:val="22"/>
          <w:szCs w:val="22"/>
        </w:rPr>
        <w:t>, 2010.</w:t>
      </w:r>
    </w:p>
    <w:p w14:paraId="4721115A"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proofErr w:type="spellStart"/>
      <w:r>
        <w:rPr>
          <w:rFonts w:ascii="Calibri" w:hAnsi="Calibri" w:cs="Calibri"/>
          <w:sz w:val="22"/>
          <w:szCs w:val="22"/>
        </w:rPr>
        <w:t>Hassard</w:t>
      </w:r>
      <w:proofErr w:type="spellEnd"/>
      <w:r>
        <w:rPr>
          <w:rFonts w:ascii="Calibri" w:hAnsi="Calibri" w:cs="Calibri"/>
          <w:sz w:val="22"/>
          <w:szCs w:val="22"/>
        </w:rPr>
        <w:t xml:space="preserve">, Frank. “Intangible Heritage in the United Kingdom the Dark Side of Enlightenment?” In </w:t>
      </w:r>
      <w:r>
        <w:rPr>
          <w:rFonts w:ascii="Calibri" w:hAnsi="Calibri" w:cs="Calibri"/>
          <w:i/>
          <w:iCs/>
          <w:sz w:val="22"/>
          <w:szCs w:val="22"/>
        </w:rPr>
        <w:t>Intangible Heritage</w:t>
      </w:r>
      <w:r>
        <w:rPr>
          <w:rFonts w:ascii="Calibri" w:hAnsi="Calibri" w:cs="Calibri"/>
          <w:sz w:val="22"/>
          <w:szCs w:val="22"/>
        </w:rPr>
        <w:t xml:space="preserve">, edited by </w:t>
      </w:r>
      <w:proofErr w:type="spellStart"/>
      <w:r>
        <w:rPr>
          <w:rFonts w:ascii="Calibri" w:hAnsi="Calibri" w:cs="Calibri"/>
          <w:sz w:val="22"/>
          <w:szCs w:val="22"/>
        </w:rPr>
        <w:t>Laurajane</w:t>
      </w:r>
      <w:proofErr w:type="spellEnd"/>
      <w:r>
        <w:rPr>
          <w:rFonts w:ascii="Calibri" w:hAnsi="Calibri" w:cs="Calibri"/>
          <w:sz w:val="22"/>
          <w:szCs w:val="22"/>
        </w:rPr>
        <w:t xml:space="preserve"> Smith and Natsuko </w:t>
      </w:r>
      <w:proofErr w:type="spellStart"/>
      <w:r>
        <w:rPr>
          <w:rFonts w:ascii="Calibri" w:hAnsi="Calibri" w:cs="Calibri"/>
          <w:sz w:val="22"/>
          <w:szCs w:val="22"/>
        </w:rPr>
        <w:t>Akagawa</w:t>
      </w:r>
      <w:proofErr w:type="spellEnd"/>
      <w:r>
        <w:rPr>
          <w:rFonts w:ascii="Calibri" w:hAnsi="Calibri" w:cs="Calibri"/>
          <w:sz w:val="22"/>
          <w:szCs w:val="22"/>
        </w:rPr>
        <w:t>, 270–88. Routledge, 2009.</w:t>
      </w:r>
    </w:p>
    <w:p w14:paraId="5AA381E2"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Historic England. </w:t>
      </w:r>
      <w:r>
        <w:rPr>
          <w:rFonts w:ascii="Calibri" w:hAnsi="Calibri" w:cs="Calibri"/>
          <w:i/>
          <w:iCs/>
          <w:sz w:val="22"/>
          <w:szCs w:val="22"/>
        </w:rPr>
        <w:t>Historic Environment Good Practice Advice in Planning Note 3 – the Setting of Heritage Assets (Second Edition)</w:t>
      </w:r>
      <w:r>
        <w:rPr>
          <w:rFonts w:ascii="Calibri" w:hAnsi="Calibri" w:cs="Calibri"/>
          <w:sz w:val="22"/>
          <w:szCs w:val="22"/>
        </w:rPr>
        <w:t>. London: Historic England, 2017.</w:t>
      </w:r>
    </w:p>
    <w:p w14:paraId="4DBAB349"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lastRenderedPageBreak/>
        <w:t>———. “International Heritage Conventions, Treaties and Charters | Historic England.” historicengland.org.uk, n.d. https://historicengland.org.uk/advice/hpg/conventionstreatiesandcharters/.</w:t>
      </w:r>
    </w:p>
    <w:p w14:paraId="0E7CDED9"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 “LYVEDEN NEW BIELD, </w:t>
      </w:r>
      <w:proofErr w:type="spellStart"/>
      <w:r>
        <w:rPr>
          <w:rFonts w:ascii="Calibri" w:hAnsi="Calibri" w:cs="Calibri"/>
          <w:sz w:val="22"/>
          <w:szCs w:val="22"/>
        </w:rPr>
        <w:t>Aldwincle</w:t>
      </w:r>
      <w:proofErr w:type="spellEnd"/>
      <w:r>
        <w:rPr>
          <w:rFonts w:ascii="Calibri" w:hAnsi="Calibri" w:cs="Calibri"/>
          <w:sz w:val="22"/>
          <w:szCs w:val="22"/>
        </w:rPr>
        <w:t xml:space="preserve"> - 1371907 | Historic England.” historicengland.org.uk. Accessed May 31, 2023. https://historicengland.org.uk/listing/the-list/list-entry/1371907.</w:t>
      </w:r>
    </w:p>
    <w:p w14:paraId="677DF0D0"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“Timeline of Conservation Catalysts and Legislation | Historic England.” historicengland.org.uk, n.d. https://historicengland.org.uk/whats-new/features/conservation-listing-timeline/.</w:t>
      </w:r>
    </w:p>
    <w:p w14:paraId="658C4E6D"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Jones, Rhys. “Welsh Place Names Are Being Erased – and so Are the Stories They Tell.” The Conversation, February 2, 2023. https://theconversation.com/welsh-place-names-are-being-erased-and-so-are-the-stories-they-tell-197832.</w:t>
      </w:r>
    </w:p>
    <w:p w14:paraId="52A996E5"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proofErr w:type="spellStart"/>
      <w:r>
        <w:rPr>
          <w:rFonts w:ascii="Calibri" w:hAnsi="Calibri" w:cs="Calibri"/>
          <w:sz w:val="22"/>
          <w:szCs w:val="22"/>
        </w:rPr>
        <w:t>Kirshenblatt-Gimblett</w:t>
      </w:r>
      <w:proofErr w:type="spellEnd"/>
      <w:r>
        <w:rPr>
          <w:rFonts w:ascii="Calibri" w:hAnsi="Calibri" w:cs="Calibri"/>
          <w:sz w:val="22"/>
          <w:szCs w:val="22"/>
        </w:rPr>
        <w:t xml:space="preserve">, Barbara. “Intangible Heritage as Metacultural Production1.” </w:t>
      </w:r>
      <w:r>
        <w:rPr>
          <w:rFonts w:ascii="Calibri" w:hAnsi="Calibri" w:cs="Calibri"/>
          <w:i/>
          <w:iCs/>
          <w:sz w:val="22"/>
          <w:szCs w:val="22"/>
        </w:rPr>
        <w:t>Museum International</w:t>
      </w:r>
      <w:r>
        <w:rPr>
          <w:rFonts w:ascii="Calibri" w:hAnsi="Calibri" w:cs="Calibri"/>
          <w:sz w:val="22"/>
          <w:szCs w:val="22"/>
        </w:rPr>
        <w:t xml:space="preserve"> 56, no. 1-2 (May 2004): 52–65. https://doi.org/10.1111/j.1350-0775.2004.00458.x.</w:t>
      </w:r>
    </w:p>
    <w:p w14:paraId="4F0EAD3A"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proofErr w:type="spellStart"/>
      <w:r>
        <w:rPr>
          <w:rFonts w:ascii="Calibri" w:hAnsi="Calibri" w:cs="Calibri"/>
          <w:sz w:val="22"/>
          <w:szCs w:val="22"/>
        </w:rPr>
        <w:t>Lähdesmäki</w:t>
      </w:r>
      <w:proofErr w:type="spellEnd"/>
      <w:r>
        <w:rPr>
          <w:rFonts w:ascii="Calibri" w:hAnsi="Calibri" w:cs="Calibri"/>
          <w:sz w:val="22"/>
          <w:szCs w:val="22"/>
        </w:rPr>
        <w:t xml:space="preserve">, </w:t>
      </w:r>
      <w:proofErr w:type="spellStart"/>
      <w:r>
        <w:rPr>
          <w:rFonts w:ascii="Calibri" w:hAnsi="Calibri" w:cs="Calibri"/>
          <w:sz w:val="22"/>
          <w:szCs w:val="22"/>
        </w:rPr>
        <w:t>Tuuli</w:t>
      </w:r>
      <w:proofErr w:type="spellEnd"/>
      <w:r>
        <w:rPr>
          <w:rFonts w:ascii="Calibri" w:hAnsi="Calibri" w:cs="Calibri"/>
          <w:sz w:val="22"/>
          <w:szCs w:val="22"/>
        </w:rPr>
        <w:t xml:space="preserve">. “Politics of Tangibility, Intangibility, and Place in the Making of a European Cultural Heritage in EU Heritage Policy.” </w:t>
      </w:r>
      <w:r>
        <w:rPr>
          <w:rFonts w:ascii="Calibri" w:hAnsi="Calibri" w:cs="Calibri"/>
          <w:i/>
          <w:iCs/>
          <w:sz w:val="22"/>
          <w:szCs w:val="22"/>
        </w:rPr>
        <w:t>International Journal of Heritage Studies</w:t>
      </w:r>
      <w:r>
        <w:rPr>
          <w:rFonts w:ascii="Calibri" w:hAnsi="Calibri" w:cs="Calibri"/>
          <w:sz w:val="22"/>
          <w:szCs w:val="22"/>
        </w:rPr>
        <w:t xml:space="preserve"> 22, no. 10 (July 21, 2016): 766–80. https://doi.org/10.1080/13527258.2016.1212386.</w:t>
      </w:r>
    </w:p>
    <w:p w14:paraId="01186257"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Law Wales. “‘Executive’ Devolution (1998-2007) | Law Wales.” </w:t>
      </w:r>
      <w:proofErr w:type="spellStart"/>
      <w:r>
        <w:rPr>
          <w:rFonts w:ascii="Calibri" w:hAnsi="Calibri" w:cs="Calibri"/>
          <w:sz w:val="22"/>
          <w:szCs w:val="22"/>
        </w:rPr>
        <w:t>law.gov.wales</w:t>
      </w:r>
      <w:proofErr w:type="spellEnd"/>
      <w:r>
        <w:rPr>
          <w:rFonts w:ascii="Calibri" w:hAnsi="Calibri" w:cs="Calibri"/>
          <w:sz w:val="22"/>
          <w:szCs w:val="22"/>
        </w:rPr>
        <w:t>. Welsh Government, June 18, 2021. https://law.gov.wales/constitution-and-government/constitution-and-devolution/executive-devolution-1998-2007.</w:t>
      </w:r>
    </w:p>
    <w:p w14:paraId="1F815609"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Ministry of Housing, Communities &amp; Local Government. “Historic Environment.” GOV.UK, April 9, 2014. https://www.gov.uk/guidance/conserving-and-enhancing-the-historic-environment.</w:t>
      </w:r>
    </w:p>
    <w:p w14:paraId="3FCE541D"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Ministry of Housing, Communities and Local Government. “National Planning Policy Framework,” July 20, 2021. www.gov.uk/government/publications.</w:t>
      </w:r>
    </w:p>
    <w:p w14:paraId="697DAE64"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National Assembly for Wales. Historic Environment (Wales) Act 2016 (2016). https://www.legislation.gov.uk/anaw/2016/4/enacted.</w:t>
      </w:r>
    </w:p>
    <w:p w14:paraId="1598305C"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Nic Eoin, </w:t>
      </w:r>
      <w:proofErr w:type="spellStart"/>
      <w:r>
        <w:rPr>
          <w:rFonts w:ascii="Calibri" w:hAnsi="Calibri" w:cs="Calibri"/>
          <w:sz w:val="22"/>
          <w:szCs w:val="22"/>
        </w:rPr>
        <w:t>Luíseach</w:t>
      </w:r>
      <w:proofErr w:type="spellEnd"/>
      <w:r>
        <w:rPr>
          <w:rFonts w:ascii="Calibri" w:hAnsi="Calibri" w:cs="Calibri"/>
          <w:sz w:val="22"/>
          <w:szCs w:val="22"/>
        </w:rPr>
        <w:t xml:space="preserve">, and Rachel King. “How to Develop Intangible Heritage: The Case of </w:t>
      </w:r>
      <w:proofErr w:type="spellStart"/>
      <w:r>
        <w:rPr>
          <w:rFonts w:ascii="Calibri" w:hAnsi="Calibri" w:cs="Calibri"/>
          <w:sz w:val="22"/>
          <w:szCs w:val="22"/>
        </w:rPr>
        <w:t>Metolong</w:t>
      </w:r>
      <w:proofErr w:type="spellEnd"/>
      <w:r>
        <w:rPr>
          <w:rFonts w:ascii="Calibri" w:hAnsi="Calibri" w:cs="Calibri"/>
          <w:sz w:val="22"/>
          <w:szCs w:val="22"/>
        </w:rPr>
        <w:t xml:space="preserve"> Dam, Lesotho.” </w:t>
      </w:r>
      <w:r>
        <w:rPr>
          <w:rFonts w:ascii="Calibri" w:hAnsi="Calibri" w:cs="Calibri"/>
          <w:i/>
          <w:iCs/>
          <w:sz w:val="22"/>
          <w:szCs w:val="22"/>
        </w:rPr>
        <w:t>World Archaeology</w:t>
      </w:r>
      <w:r>
        <w:rPr>
          <w:rFonts w:ascii="Calibri" w:hAnsi="Calibri" w:cs="Calibri"/>
          <w:sz w:val="22"/>
          <w:szCs w:val="22"/>
        </w:rPr>
        <w:t xml:space="preserve"> 45, no. 4 (August 13, 2013): 653–69. https://doi.org/10.1080/00438243.2013.823885.</w:t>
      </w:r>
    </w:p>
    <w:p w14:paraId="0A8400D5"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proofErr w:type="spellStart"/>
      <w:r>
        <w:rPr>
          <w:rFonts w:ascii="Calibri" w:hAnsi="Calibri" w:cs="Calibri"/>
          <w:sz w:val="22"/>
          <w:szCs w:val="22"/>
        </w:rPr>
        <w:t>Santorelli</w:t>
      </w:r>
      <w:proofErr w:type="spellEnd"/>
      <w:r>
        <w:rPr>
          <w:rFonts w:ascii="Calibri" w:hAnsi="Calibri" w:cs="Calibri"/>
          <w:sz w:val="22"/>
          <w:szCs w:val="22"/>
        </w:rPr>
        <w:t xml:space="preserve">, Leisha. “Heritage Crafts: Some Skills Risk Becoming Extinct in UK, Charity Warns.” </w:t>
      </w:r>
      <w:r>
        <w:rPr>
          <w:rFonts w:ascii="Calibri" w:hAnsi="Calibri" w:cs="Calibri"/>
          <w:i/>
          <w:iCs/>
          <w:sz w:val="22"/>
          <w:szCs w:val="22"/>
        </w:rPr>
        <w:t>BBC News</w:t>
      </w:r>
      <w:r>
        <w:rPr>
          <w:rFonts w:ascii="Calibri" w:hAnsi="Calibri" w:cs="Calibri"/>
          <w:sz w:val="22"/>
          <w:szCs w:val="22"/>
        </w:rPr>
        <w:t>, May 11, 2023, sec. Entertainment &amp; Arts. https://www.bbc.co.uk/news/entertainment-arts-65552787.</w:t>
      </w:r>
    </w:p>
    <w:p w14:paraId="0520A2D4"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proofErr w:type="spellStart"/>
      <w:r>
        <w:rPr>
          <w:rFonts w:ascii="Calibri" w:hAnsi="Calibri" w:cs="Calibri"/>
          <w:sz w:val="22"/>
          <w:szCs w:val="22"/>
        </w:rPr>
        <w:lastRenderedPageBreak/>
        <w:t>Skounti</w:t>
      </w:r>
      <w:proofErr w:type="spellEnd"/>
      <w:r>
        <w:rPr>
          <w:rFonts w:ascii="Calibri" w:hAnsi="Calibri" w:cs="Calibri"/>
          <w:sz w:val="22"/>
          <w:szCs w:val="22"/>
        </w:rPr>
        <w:t xml:space="preserve">, Ahmed. “The Authentic Illusion Humanity’s Intangible Cultural Heritage, the Moroccan Experience.” In </w:t>
      </w:r>
      <w:r>
        <w:rPr>
          <w:rFonts w:ascii="Calibri" w:hAnsi="Calibri" w:cs="Calibri"/>
          <w:i/>
          <w:iCs/>
          <w:sz w:val="22"/>
          <w:szCs w:val="22"/>
        </w:rPr>
        <w:t>Intangible Heritage</w:t>
      </w:r>
      <w:r>
        <w:rPr>
          <w:rFonts w:ascii="Calibri" w:hAnsi="Calibri" w:cs="Calibri"/>
          <w:sz w:val="22"/>
          <w:szCs w:val="22"/>
        </w:rPr>
        <w:t xml:space="preserve">, edited by </w:t>
      </w:r>
      <w:proofErr w:type="spellStart"/>
      <w:r>
        <w:rPr>
          <w:rFonts w:ascii="Calibri" w:hAnsi="Calibri" w:cs="Calibri"/>
          <w:sz w:val="22"/>
          <w:szCs w:val="22"/>
        </w:rPr>
        <w:t>Laurajane</w:t>
      </w:r>
      <w:proofErr w:type="spellEnd"/>
      <w:r>
        <w:rPr>
          <w:rFonts w:ascii="Calibri" w:hAnsi="Calibri" w:cs="Calibri"/>
          <w:sz w:val="22"/>
          <w:szCs w:val="22"/>
        </w:rPr>
        <w:t xml:space="preserve"> Smith and Natsuko </w:t>
      </w:r>
      <w:proofErr w:type="spellStart"/>
      <w:r>
        <w:rPr>
          <w:rFonts w:ascii="Calibri" w:hAnsi="Calibri" w:cs="Calibri"/>
          <w:sz w:val="22"/>
          <w:szCs w:val="22"/>
        </w:rPr>
        <w:t>Akagawa</w:t>
      </w:r>
      <w:proofErr w:type="spellEnd"/>
      <w:r>
        <w:rPr>
          <w:rFonts w:ascii="Calibri" w:hAnsi="Calibri" w:cs="Calibri"/>
          <w:sz w:val="22"/>
          <w:szCs w:val="22"/>
        </w:rPr>
        <w:t>, 74–92. Routledge, 2009.</w:t>
      </w:r>
    </w:p>
    <w:p w14:paraId="50136260"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Smith, </w:t>
      </w:r>
      <w:proofErr w:type="spellStart"/>
      <w:r>
        <w:rPr>
          <w:rFonts w:ascii="Calibri" w:hAnsi="Calibri" w:cs="Calibri"/>
          <w:sz w:val="22"/>
          <w:szCs w:val="22"/>
        </w:rPr>
        <w:t>Laurajane</w:t>
      </w:r>
      <w:proofErr w:type="spellEnd"/>
      <w:r>
        <w:rPr>
          <w:rFonts w:ascii="Calibri" w:hAnsi="Calibri" w:cs="Calibri"/>
          <w:sz w:val="22"/>
          <w:szCs w:val="22"/>
        </w:rPr>
        <w:t xml:space="preserve">. </w:t>
      </w:r>
      <w:r>
        <w:rPr>
          <w:rFonts w:ascii="Calibri" w:hAnsi="Calibri" w:cs="Calibri"/>
          <w:i/>
          <w:iCs/>
          <w:sz w:val="22"/>
          <w:szCs w:val="22"/>
        </w:rPr>
        <w:t>Uses of Heritage</w:t>
      </w:r>
      <w:r>
        <w:rPr>
          <w:rFonts w:ascii="Calibri" w:hAnsi="Calibri" w:cs="Calibri"/>
          <w:sz w:val="22"/>
          <w:szCs w:val="22"/>
        </w:rPr>
        <w:t>. London; New York, N.Y.: Routledge, 2006.</w:t>
      </w:r>
    </w:p>
    <w:p w14:paraId="12B1E208"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Smith, </w:t>
      </w:r>
      <w:proofErr w:type="spellStart"/>
      <w:r>
        <w:rPr>
          <w:rFonts w:ascii="Calibri" w:hAnsi="Calibri" w:cs="Calibri"/>
          <w:sz w:val="22"/>
          <w:szCs w:val="22"/>
        </w:rPr>
        <w:t>Laurajane</w:t>
      </w:r>
      <w:proofErr w:type="spellEnd"/>
      <w:r>
        <w:rPr>
          <w:rFonts w:ascii="Calibri" w:hAnsi="Calibri" w:cs="Calibri"/>
          <w:sz w:val="22"/>
          <w:szCs w:val="22"/>
        </w:rPr>
        <w:t xml:space="preserve">, and Natsuko </w:t>
      </w:r>
      <w:proofErr w:type="spellStart"/>
      <w:r>
        <w:rPr>
          <w:rFonts w:ascii="Calibri" w:hAnsi="Calibri" w:cs="Calibri"/>
          <w:sz w:val="22"/>
          <w:szCs w:val="22"/>
        </w:rPr>
        <w:t>Akagawa</w:t>
      </w:r>
      <w:proofErr w:type="spellEnd"/>
      <w:r>
        <w:rPr>
          <w:rFonts w:ascii="Calibri" w:hAnsi="Calibri" w:cs="Calibri"/>
          <w:sz w:val="22"/>
          <w:szCs w:val="22"/>
        </w:rPr>
        <w:t xml:space="preserve">. </w:t>
      </w:r>
      <w:r>
        <w:rPr>
          <w:rFonts w:ascii="Calibri" w:hAnsi="Calibri" w:cs="Calibri"/>
          <w:i/>
          <w:iCs/>
          <w:sz w:val="22"/>
          <w:szCs w:val="22"/>
        </w:rPr>
        <w:t>Intangible Heritage</w:t>
      </w:r>
      <w:r>
        <w:rPr>
          <w:rFonts w:ascii="Calibri" w:hAnsi="Calibri" w:cs="Calibri"/>
          <w:sz w:val="22"/>
          <w:szCs w:val="22"/>
        </w:rPr>
        <w:t>. Routledge, 2009.</w:t>
      </w:r>
    </w:p>
    <w:p w14:paraId="4D3908A0"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Smith, </w:t>
      </w:r>
      <w:proofErr w:type="spellStart"/>
      <w:r>
        <w:rPr>
          <w:rFonts w:ascii="Calibri" w:hAnsi="Calibri" w:cs="Calibri"/>
          <w:sz w:val="22"/>
          <w:szCs w:val="22"/>
        </w:rPr>
        <w:t>Laurajane</w:t>
      </w:r>
      <w:proofErr w:type="spellEnd"/>
      <w:r>
        <w:rPr>
          <w:rFonts w:ascii="Calibri" w:hAnsi="Calibri" w:cs="Calibri"/>
          <w:sz w:val="22"/>
          <w:szCs w:val="22"/>
        </w:rPr>
        <w:t xml:space="preserve">, and Emma Waterton. “‘The Envy of the World?’ Intangible Heritage in England.” In </w:t>
      </w:r>
      <w:r>
        <w:rPr>
          <w:rFonts w:ascii="Calibri" w:hAnsi="Calibri" w:cs="Calibri"/>
          <w:i/>
          <w:iCs/>
          <w:sz w:val="22"/>
          <w:szCs w:val="22"/>
        </w:rPr>
        <w:t>Intangible Heritage</w:t>
      </w:r>
      <w:r>
        <w:rPr>
          <w:rFonts w:ascii="Calibri" w:hAnsi="Calibri" w:cs="Calibri"/>
          <w:sz w:val="22"/>
          <w:szCs w:val="22"/>
        </w:rPr>
        <w:t xml:space="preserve">, edited by </w:t>
      </w:r>
      <w:proofErr w:type="spellStart"/>
      <w:r>
        <w:rPr>
          <w:rFonts w:ascii="Calibri" w:hAnsi="Calibri" w:cs="Calibri"/>
          <w:sz w:val="22"/>
          <w:szCs w:val="22"/>
        </w:rPr>
        <w:t>Laurajane</w:t>
      </w:r>
      <w:proofErr w:type="spellEnd"/>
      <w:r>
        <w:rPr>
          <w:rFonts w:ascii="Calibri" w:hAnsi="Calibri" w:cs="Calibri"/>
          <w:sz w:val="22"/>
          <w:szCs w:val="22"/>
        </w:rPr>
        <w:t xml:space="preserve"> Smith and Natsuko </w:t>
      </w:r>
      <w:proofErr w:type="spellStart"/>
      <w:r>
        <w:rPr>
          <w:rFonts w:ascii="Calibri" w:hAnsi="Calibri" w:cs="Calibri"/>
          <w:sz w:val="22"/>
          <w:szCs w:val="22"/>
        </w:rPr>
        <w:t>Akagawa</w:t>
      </w:r>
      <w:proofErr w:type="spellEnd"/>
      <w:r>
        <w:rPr>
          <w:rFonts w:ascii="Calibri" w:hAnsi="Calibri" w:cs="Calibri"/>
          <w:sz w:val="22"/>
          <w:szCs w:val="22"/>
        </w:rPr>
        <w:t>, 289–302. London: Routledge, 2009.</w:t>
      </w:r>
    </w:p>
    <w:p w14:paraId="200CB30D"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The Law Society. “How to Research Debates on Sections of an Act.” www.lawsociety.org.uk. Accessed April 24, 2023. https://www.lawsociety.org.uk/contact-or-visit-us/law-society-library/research-guides/how-to-research-debates-on-sections-of-an-act.</w:t>
      </w:r>
    </w:p>
    <w:p w14:paraId="223DB3CB"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Tonbridge and </w:t>
      </w:r>
      <w:proofErr w:type="spellStart"/>
      <w:r>
        <w:rPr>
          <w:rFonts w:ascii="Calibri" w:hAnsi="Calibri" w:cs="Calibri"/>
          <w:sz w:val="22"/>
          <w:szCs w:val="22"/>
        </w:rPr>
        <w:t>Malling</w:t>
      </w:r>
      <w:proofErr w:type="spellEnd"/>
      <w:r>
        <w:rPr>
          <w:rFonts w:ascii="Calibri" w:hAnsi="Calibri" w:cs="Calibri"/>
          <w:sz w:val="22"/>
          <w:szCs w:val="22"/>
        </w:rPr>
        <w:t xml:space="preserve"> Borough Council. </w:t>
      </w:r>
      <w:r>
        <w:rPr>
          <w:rFonts w:ascii="Calibri" w:hAnsi="Calibri" w:cs="Calibri"/>
          <w:i/>
          <w:iCs/>
          <w:sz w:val="22"/>
          <w:szCs w:val="22"/>
        </w:rPr>
        <w:t xml:space="preserve">West </w:t>
      </w:r>
      <w:proofErr w:type="spellStart"/>
      <w:r>
        <w:rPr>
          <w:rFonts w:ascii="Calibri" w:hAnsi="Calibri" w:cs="Calibri"/>
          <w:i/>
          <w:iCs/>
          <w:sz w:val="22"/>
          <w:szCs w:val="22"/>
        </w:rPr>
        <w:t>Malling</w:t>
      </w:r>
      <w:proofErr w:type="spellEnd"/>
      <w:r>
        <w:rPr>
          <w:rFonts w:ascii="Calibri" w:hAnsi="Calibri" w:cs="Calibri"/>
          <w:i/>
          <w:iCs/>
          <w:sz w:val="22"/>
          <w:szCs w:val="22"/>
        </w:rPr>
        <w:t xml:space="preserve"> Conservation Area: Conservation Area Appraisal</w:t>
      </w:r>
      <w:r>
        <w:rPr>
          <w:rFonts w:ascii="Calibri" w:hAnsi="Calibri" w:cs="Calibri"/>
          <w:sz w:val="22"/>
          <w:szCs w:val="22"/>
        </w:rPr>
        <w:t xml:space="preserve">. Tonbridge and </w:t>
      </w:r>
      <w:proofErr w:type="spellStart"/>
      <w:r>
        <w:rPr>
          <w:rFonts w:ascii="Calibri" w:hAnsi="Calibri" w:cs="Calibri"/>
          <w:sz w:val="22"/>
          <w:szCs w:val="22"/>
        </w:rPr>
        <w:t>Malling</w:t>
      </w:r>
      <w:proofErr w:type="spellEnd"/>
      <w:r>
        <w:rPr>
          <w:rFonts w:ascii="Calibri" w:hAnsi="Calibri" w:cs="Calibri"/>
          <w:sz w:val="22"/>
          <w:szCs w:val="22"/>
        </w:rPr>
        <w:t xml:space="preserve"> Borough Council, 2002. https://www.tmbc.gov.uk/downloads/file/2091/west-malling-conservation-area-appraisal.</w:t>
      </w:r>
    </w:p>
    <w:p w14:paraId="342743D2"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Tozer, James. “English Place Names Could Be BANNED in Wales.” Mail Online, April 21, 2023. https://www.dailymail.co.uk/news/article-11999375/English-place-names-BANNED-Wales-bid-stop-use-culturally-oppressive-names.html.</w:t>
      </w:r>
    </w:p>
    <w:p w14:paraId="6161974B"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UK Parliament. “Convention for the Safeguarding of the Intangible Cultural Heritage Show Full Question </w:t>
      </w:r>
      <w:proofErr w:type="spellStart"/>
      <w:r>
        <w:rPr>
          <w:rFonts w:ascii="Calibri" w:hAnsi="Calibri" w:cs="Calibri"/>
          <w:sz w:val="22"/>
          <w:szCs w:val="22"/>
        </w:rPr>
        <w:t>Question</w:t>
      </w:r>
      <w:proofErr w:type="spellEnd"/>
      <w:r>
        <w:rPr>
          <w:rFonts w:ascii="Calibri" w:hAnsi="Calibri" w:cs="Calibri"/>
          <w:sz w:val="22"/>
          <w:szCs w:val="22"/>
        </w:rPr>
        <w:t xml:space="preserve"> for Department for Digital, Culture, Media and Sport.” UK Parliament. UK Parliament, October 11, 2017. https://questions-statements.parliament.uk/written-questions/detail/2017-10-11/HL1884.</w:t>
      </w:r>
    </w:p>
    <w:p w14:paraId="77F60770"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 “Convention for the Safeguarding of the Intangible Cultural Heritage Show Full Question </w:t>
      </w:r>
      <w:proofErr w:type="spellStart"/>
      <w:r>
        <w:rPr>
          <w:rFonts w:ascii="Calibri" w:hAnsi="Calibri" w:cs="Calibri"/>
          <w:sz w:val="22"/>
          <w:szCs w:val="22"/>
        </w:rPr>
        <w:t>Question</w:t>
      </w:r>
      <w:proofErr w:type="spellEnd"/>
      <w:r>
        <w:rPr>
          <w:rFonts w:ascii="Calibri" w:hAnsi="Calibri" w:cs="Calibri"/>
          <w:sz w:val="22"/>
          <w:szCs w:val="22"/>
        </w:rPr>
        <w:t xml:space="preserve"> for Department for Digital, Culture, Media and Sport.” UK Parliament . UK Parliament , June 2, 2020. https://questions-statements.parliament.uk/written-questions/detail/2020-06-02/hl5059.</w:t>
      </w:r>
    </w:p>
    <w:p w14:paraId="348842CF"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 “Convention for the Safeguarding of the Intangible Cultural Heritage Show Full Question </w:t>
      </w:r>
      <w:proofErr w:type="spellStart"/>
      <w:r>
        <w:rPr>
          <w:rFonts w:ascii="Calibri" w:hAnsi="Calibri" w:cs="Calibri"/>
          <w:sz w:val="22"/>
          <w:szCs w:val="22"/>
        </w:rPr>
        <w:t>Question</w:t>
      </w:r>
      <w:proofErr w:type="spellEnd"/>
      <w:r>
        <w:rPr>
          <w:rFonts w:ascii="Calibri" w:hAnsi="Calibri" w:cs="Calibri"/>
          <w:sz w:val="22"/>
          <w:szCs w:val="22"/>
        </w:rPr>
        <w:t xml:space="preserve"> for Department for Digital, Culture, Media and Sport.” UK Parliament. UK Parliament, May 11, 2021. https://questions-statements.parliament.uk/written-questions/detail/2021-05-11/HL33/.</w:t>
      </w:r>
    </w:p>
    <w:p w14:paraId="6A77C10F"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“Preserving Historic Sites and Buildings.” UK Parliament, 2019. https://www.parliament.uk/about/living-heritage/transformingsociety/towncountry/landscape/overview/historicsites/.</w:t>
      </w:r>
    </w:p>
    <w:p w14:paraId="0F364FB1"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UNESCO. Convention for the Safeguarding of the Intangible Cultural Heritage (2003). https://ich.unesco.org/en/convention.</w:t>
      </w:r>
    </w:p>
    <w:p w14:paraId="319BFAB7"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lastRenderedPageBreak/>
        <w:t>United Kingdom. Civic Amenities Act 1967, 1(5) § (1967).</w:t>
      </w:r>
    </w:p>
    <w:p w14:paraId="47EE07E9"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Government of Wales Act 2006 (2006). https://www.legislation.gov.uk/ukpga/2006/32/contents.</w:t>
      </w:r>
    </w:p>
    <w:p w14:paraId="11B24FC9"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Housing and Planning Act 1986 (1986). https://www.legislation.gov.uk/ukpga/1986/63.</w:t>
      </w:r>
    </w:p>
    <w:p w14:paraId="00AB9935"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Housing, Town Planning, &amp;c. Act 1919, 1(3) § (1919). https://www.legislation.gov.uk/ukpga/1919/35/enacted.</w:t>
      </w:r>
    </w:p>
    <w:p w14:paraId="522128CC"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Local Government and Planning (Amendment) Act 1981 (1981). https://www.legislation.gov.uk/ukpga/1981/41/contents/enacted.</w:t>
      </w:r>
    </w:p>
    <w:p w14:paraId="5D26E9D5"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Planning (Listed Buildings and Conservation Areas) Act 1990, 66(1) § (1990). https://www.legislation.gov.uk/ukpga/1990/9/contents.</w:t>
      </w:r>
    </w:p>
    <w:p w14:paraId="38E57FDF"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Town and Country Planning (Amendment) Act 1985 (1985). https://www.legislation.gov.uk/ukpga/1985/52/enacted.</w:t>
      </w:r>
    </w:p>
    <w:p w14:paraId="576772A4"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Town and Country Planning Act 1971, 277(5) § (1971). https://www.legislation.gov.uk/ukpga/1971/78/contents/enacted.</w:t>
      </w:r>
    </w:p>
    <w:p w14:paraId="36A5D53F" w14:textId="77777777" w:rsid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Town and Country Planning Act 1984 (1984). https://www.legislation.gov.uk/ukpga/1984/10/enacted.</w:t>
      </w:r>
    </w:p>
    <w:p w14:paraId="150B4D53" w14:textId="63043BF1" w:rsidR="00332008" w:rsidRPr="00B45B23" w:rsidRDefault="00B45B23" w:rsidP="00B45B23">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Williams, Neil. “Government Policy - a Spotter’s Guide - Government Digital Service.” gds.blog.gov.uk, February 3, 2012. https://gds.blog.gov.uk/2012/02/03/government-policy-a-spotters-guide/.</w:t>
      </w:r>
    </w:p>
    <w:sectPr w:rsidR="00332008" w:rsidRPr="00B45B2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74542" w14:textId="77777777" w:rsidR="00AC00EB" w:rsidRDefault="00AC00EB" w:rsidP="00F0655C">
      <w:pPr>
        <w:spacing w:after="0" w:line="240" w:lineRule="auto"/>
      </w:pPr>
      <w:r>
        <w:separator/>
      </w:r>
    </w:p>
  </w:endnote>
  <w:endnote w:type="continuationSeparator" w:id="0">
    <w:p w14:paraId="7819613A" w14:textId="77777777" w:rsidR="00AC00EB" w:rsidRDefault="00AC00EB" w:rsidP="00F065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4646165"/>
      <w:docPartObj>
        <w:docPartGallery w:val="Page Numbers (Bottom of Page)"/>
        <w:docPartUnique/>
      </w:docPartObj>
    </w:sdtPr>
    <w:sdtContent>
      <w:p w14:paraId="6B1DAB09" w14:textId="3155C5BC" w:rsidR="00CD2C24" w:rsidRDefault="00230CD7" w:rsidP="00230CD7">
        <w:pPr>
          <w:pStyle w:val="Footer"/>
          <w:pBdr>
            <w:top w:val="single" w:sz="4" w:space="1" w:color="auto"/>
          </w:pBdr>
        </w:pPr>
        <w:r>
          <w:t>30 May 2023</w:t>
        </w:r>
        <w:r w:rsidRPr="009A0797">
          <w:ptab w:relativeTo="margin" w:alignment="right" w:leader="none"/>
        </w:r>
        <w:r w:rsidRPr="009A0797">
          <w:fldChar w:fldCharType="begin"/>
        </w:r>
        <w:r w:rsidRPr="009A0797">
          <w:instrText>PAGE   \* MERGEFORMAT</w:instrText>
        </w:r>
        <w:r w:rsidRPr="009A0797">
          <w:fldChar w:fldCharType="separate"/>
        </w:r>
        <w:r>
          <w:t>1</w:t>
        </w:r>
        <w:r w:rsidRPr="009A0797">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83778" w14:textId="77777777" w:rsidR="00AC00EB" w:rsidRDefault="00AC00EB" w:rsidP="00F0655C">
      <w:pPr>
        <w:spacing w:after="0" w:line="240" w:lineRule="auto"/>
      </w:pPr>
      <w:r>
        <w:separator/>
      </w:r>
    </w:p>
  </w:footnote>
  <w:footnote w:type="continuationSeparator" w:id="0">
    <w:p w14:paraId="16DC8AA9" w14:textId="77777777" w:rsidR="00AC00EB" w:rsidRDefault="00AC00EB" w:rsidP="00F0655C">
      <w:pPr>
        <w:spacing w:after="0" w:line="240" w:lineRule="auto"/>
      </w:pPr>
      <w:r>
        <w:continuationSeparator/>
      </w:r>
    </w:p>
  </w:footnote>
  <w:footnote w:id="1">
    <w:p w14:paraId="1C9B86A3" w14:textId="4522B963" w:rsidR="00F0655C" w:rsidRDefault="00F0655C">
      <w:pPr>
        <w:pStyle w:val="FootnoteText"/>
      </w:pPr>
      <w:r>
        <w:rPr>
          <w:rStyle w:val="FootnoteReference"/>
        </w:rPr>
        <w:footnoteRef/>
      </w:r>
      <w:r>
        <w:t xml:space="preserve"> </w:t>
      </w:r>
      <w:proofErr w:type="spellStart"/>
      <w:r w:rsidRPr="00F0655C">
        <w:t>Laurajane</w:t>
      </w:r>
      <w:proofErr w:type="spellEnd"/>
      <w:r w:rsidRPr="00F0655C">
        <w:t xml:space="preserve"> Smith and Emma Waterton, “‘The Envy of the World?’ Intangible Heritage in England,” in </w:t>
      </w:r>
      <w:r w:rsidRPr="00F0655C">
        <w:rPr>
          <w:i/>
          <w:iCs/>
        </w:rPr>
        <w:t>Intangible Heritage</w:t>
      </w:r>
      <w:r w:rsidRPr="00F0655C">
        <w:t xml:space="preserve">, ed. </w:t>
      </w:r>
      <w:proofErr w:type="spellStart"/>
      <w:r w:rsidRPr="00F0655C">
        <w:t>Laurajane</w:t>
      </w:r>
      <w:proofErr w:type="spellEnd"/>
      <w:r w:rsidRPr="00F0655C">
        <w:t xml:space="preserve"> Smith and Natsuko </w:t>
      </w:r>
      <w:proofErr w:type="spellStart"/>
      <w:r w:rsidRPr="00F0655C">
        <w:t>Akagawa</w:t>
      </w:r>
      <w:proofErr w:type="spellEnd"/>
      <w:r w:rsidRPr="00F0655C">
        <w:t xml:space="preserve"> (London: Routledge, 2009)</w:t>
      </w:r>
      <w:r>
        <w:t>, 299.</w:t>
      </w:r>
    </w:p>
  </w:footnote>
  <w:footnote w:id="2">
    <w:p w14:paraId="3C914C07" w14:textId="277BB2B5" w:rsidR="00C6173A" w:rsidRDefault="00C6173A">
      <w:pPr>
        <w:pStyle w:val="FootnoteText"/>
      </w:pPr>
      <w:r>
        <w:rPr>
          <w:rStyle w:val="FootnoteReference"/>
        </w:rPr>
        <w:footnoteRef/>
      </w:r>
      <w:r>
        <w:t xml:space="preserve"> </w:t>
      </w:r>
      <w:r w:rsidR="00241632" w:rsidRPr="00241632">
        <w:t xml:space="preserve">Frank </w:t>
      </w:r>
      <w:proofErr w:type="spellStart"/>
      <w:r w:rsidR="00241632" w:rsidRPr="00241632">
        <w:t>Hassard</w:t>
      </w:r>
      <w:proofErr w:type="spellEnd"/>
      <w:r w:rsidR="00241632" w:rsidRPr="00241632">
        <w:t xml:space="preserve">, “Intangible Heritage in the United Kingdom the Dark Side of Enlightenment?,” in </w:t>
      </w:r>
      <w:r w:rsidR="00241632" w:rsidRPr="00241632">
        <w:rPr>
          <w:i/>
          <w:iCs/>
        </w:rPr>
        <w:t>Intangible Heritage</w:t>
      </w:r>
      <w:r w:rsidR="00241632" w:rsidRPr="00241632">
        <w:t xml:space="preserve">, ed. </w:t>
      </w:r>
      <w:proofErr w:type="spellStart"/>
      <w:r w:rsidR="00241632" w:rsidRPr="00241632">
        <w:t>Laurajane</w:t>
      </w:r>
      <w:proofErr w:type="spellEnd"/>
      <w:r w:rsidR="00241632" w:rsidRPr="00241632">
        <w:t xml:space="preserve"> Smith and Natsuko </w:t>
      </w:r>
      <w:proofErr w:type="spellStart"/>
      <w:r w:rsidR="00241632" w:rsidRPr="00241632">
        <w:t>Akagawa</w:t>
      </w:r>
      <w:proofErr w:type="spellEnd"/>
      <w:r w:rsidR="00241632" w:rsidRPr="00241632">
        <w:t xml:space="preserve"> (Routledge, 2009)</w:t>
      </w:r>
      <w:r w:rsidR="00241632">
        <w:t>, 285.</w:t>
      </w:r>
    </w:p>
  </w:footnote>
  <w:footnote w:id="3">
    <w:p w14:paraId="080C3532" w14:textId="18029DEA" w:rsidR="00825426" w:rsidRDefault="00825426">
      <w:pPr>
        <w:pStyle w:val="FootnoteText"/>
      </w:pPr>
      <w:r>
        <w:rPr>
          <w:rStyle w:val="FootnoteReference"/>
        </w:rPr>
        <w:footnoteRef/>
      </w:r>
      <w:r>
        <w:t xml:space="preserve"> </w:t>
      </w:r>
      <w:r w:rsidRPr="00825426">
        <w:t xml:space="preserve">Law Wales, “‘Executive’ Devolution (1998-2007) | Law Wales,” </w:t>
      </w:r>
      <w:proofErr w:type="spellStart"/>
      <w:r w:rsidRPr="00825426">
        <w:t>law.gov.wales</w:t>
      </w:r>
      <w:proofErr w:type="spellEnd"/>
      <w:r w:rsidRPr="00825426">
        <w:t xml:space="preserve"> (Welsh Government, June 18, 2021), </w:t>
      </w:r>
      <w:hyperlink r:id="rId1" w:history="1">
        <w:r w:rsidRPr="00825426">
          <w:rPr>
            <w:rStyle w:val="Hyperlink"/>
          </w:rPr>
          <w:t>https://law.gov.wales/constitution-and-government/constitution-and-devolution/executive-devolution-1998-2007</w:t>
        </w:r>
      </w:hyperlink>
      <w:r w:rsidRPr="00825426">
        <w:t>.</w:t>
      </w:r>
    </w:p>
  </w:footnote>
  <w:footnote w:id="4">
    <w:p w14:paraId="12D90DF5" w14:textId="05CFDD4E" w:rsidR="00AA0FC3" w:rsidRDefault="00AA0FC3">
      <w:pPr>
        <w:pStyle w:val="FootnoteText"/>
      </w:pPr>
      <w:r>
        <w:rPr>
          <w:rStyle w:val="FootnoteReference"/>
        </w:rPr>
        <w:footnoteRef/>
      </w:r>
      <w:r>
        <w:t xml:space="preserve"> </w:t>
      </w:r>
      <w:r w:rsidRPr="00AA0FC3">
        <w:t xml:space="preserve">UNESCO, “Convention for the Safeguarding of the Intangible Cultural Heritage” (2003), </w:t>
      </w:r>
      <w:hyperlink r:id="rId2" w:history="1">
        <w:r w:rsidRPr="00AA0FC3">
          <w:rPr>
            <w:rStyle w:val="Hyperlink"/>
          </w:rPr>
          <w:t>https://ich.unesco.org/en/convention</w:t>
        </w:r>
      </w:hyperlink>
      <w:r w:rsidRPr="00AA0FC3">
        <w:t>.</w:t>
      </w:r>
    </w:p>
  </w:footnote>
  <w:footnote w:id="5">
    <w:p w14:paraId="5C1D13CF" w14:textId="24141B35" w:rsidR="00FA7B92" w:rsidRDefault="00FA7B92">
      <w:pPr>
        <w:pStyle w:val="FootnoteText"/>
      </w:pPr>
      <w:r>
        <w:rPr>
          <w:rStyle w:val="FootnoteReference"/>
        </w:rPr>
        <w:footnoteRef/>
      </w:r>
      <w:r>
        <w:t xml:space="preserve"> </w:t>
      </w:r>
      <w:r w:rsidRPr="00AA0FC3">
        <w:t>UNESCO, “Convention for the Safeguarding of the Intangible Cultural Heritage”</w:t>
      </w:r>
    </w:p>
  </w:footnote>
  <w:footnote w:id="6">
    <w:p w14:paraId="71DBDEF9" w14:textId="0E47DB43" w:rsidR="005423AD" w:rsidRDefault="005423AD">
      <w:pPr>
        <w:pStyle w:val="FootnoteText"/>
      </w:pPr>
      <w:r>
        <w:rPr>
          <w:rStyle w:val="FootnoteReference"/>
        </w:rPr>
        <w:footnoteRef/>
      </w:r>
      <w:r>
        <w:t xml:space="preserve"> </w:t>
      </w:r>
      <w:r w:rsidRPr="005423AD">
        <w:t xml:space="preserve">Rodney Harrison and Deborah Rose, “Chapter 7 Intangible Heritage,” in </w:t>
      </w:r>
      <w:r w:rsidRPr="005423AD">
        <w:rPr>
          <w:i/>
          <w:iCs/>
        </w:rPr>
        <w:t>Understanding the Politics of Heritage</w:t>
      </w:r>
      <w:r w:rsidRPr="005423AD">
        <w:t xml:space="preserve"> (Manchester</w:t>
      </w:r>
      <w:r w:rsidR="003421DB">
        <w:t>,</w:t>
      </w:r>
      <w:r w:rsidRPr="005423AD">
        <w:t xml:space="preserve"> Manchester Univ. Press In Assoc. With The Open </w:t>
      </w:r>
      <w:proofErr w:type="spellStart"/>
      <w:r w:rsidRPr="005423AD">
        <w:t>Univ</w:t>
      </w:r>
      <w:proofErr w:type="spellEnd"/>
      <w:r w:rsidRPr="005423AD">
        <w:t xml:space="preserve">, 2010), </w:t>
      </w:r>
      <w:r>
        <w:t>261</w:t>
      </w:r>
      <w:r w:rsidRPr="005423AD">
        <w:t>.</w:t>
      </w:r>
    </w:p>
  </w:footnote>
  <w:footnote w:id="7">
    <w:p w14:paraId="6C239A0F" w14:textId="18A8F942" w:rsidR="006C4FC8" w:rsidRDefault="006C4FC8">
      <w:pPr>
        <w:pStyle w:val="FootnoteText"/>
      </w:pPr>
      <w:r>
        <w:rPr>
          <w:rStyle w:val="FootnoteReference"/>
        </w:rPr>
        <w:footnoteRef/>
      </w:r>
      <w:r>
        <w:t xml:space="preserve"> </w:t>
      </w:r>
      <w:r w:rsidRPr="00F0655C">
        <w:t>Smith and Waterton, “‘The Envy of the World?</w:t>
      </w:r>
      <w:r>
        <w:t>”, 291-292.</w:t>
      </w:r>
      <w:r w:rsidR="00CB6B45">
        <w:t xml:space="preserve"> See also </w:t>
      </w:r>
      <w:proofErr w:type="spellStart"/>
      <w:r w:rsidR="00CB6B45" w:rsidRPr="00CB6B45">
        <w:t>Laurajane</w:t>
      </w:r>
      <w:proofErr w:type="spellEnd"/>
      <w:r w:rsidR="00CB6B45" w:rsidRPr="00CB6B45">
        <w:t xml:space="preserve"> Smith, </w:t>
      </w:r>
      <w:r w:rsidR="00CB6B45" w:rsidRPr="00CB6B45">
        <w:rPr>
          <w:i/>
          <w:iCs/>
        </w:rPr>
        <w:t>Uses of Heritage</w:t>
      </w:r>
      <w:r w:rsidR="00CB6B45" w:rsidRPr="00CB6B45">
        <w:t xml:space="preserve"> (London; New York, N.Y.: Routledge, 2006)</w:t>
      </w:r>
      <w:r w:rsidR="00F14D33">
        <w:t xml:space="preserve">, 3, </w:t>
      </w:r>
      <w:r w:rsidR="00CA4EE1">
        <w:t>54-56.</w:t>
      </w:r>
    </w:p>
  </w:footnote>
  <w:footnote w:id="8">
    <w:p w14:paraId="4B5248CE" w14:textId="32D591F0" w:rsidR="005F2AFC" w:rsidRDefault="005F2AFC">
      <w:pPr>
        <w:pStyle w:val="FootnoteText"/>
      </w:pPr>
      <w:r>
        <w:rPr>
          <w:rStyle w:val="FootnoteReference"/>
        </w:rPr>
        <w:footnoteRef/>
      </w:r>
      <w:r>
        <w:t xml:space="preserve"> </w:t>
      </w:r>
      <w:proofErr w:type="spellStart"/>
      <w:r w:rsidRPr="005F2AFC">
        <w:t>Luíseach</w:t>
      </w:r>
      <w:proofErr w:type="spellEnd"/>
      <w:r w:rsidRPr="005F2AFC">
        <w:t xml:space="preserve"> Nic Eoin and Rachel King, “How to Develop Intangible Heritage: The Case of </w:t>
      </w:r>
      <w:proofErr w:type="spellStart"/>
      <w:r w:rsidRPr="005F2AFC">
        <w:t>Metolong</w:t>
      </w:r>
      <w:proofErr w:type="spellEnd"/>
      <w:r w:rsidRPr="005F2AFC">
        <w:t xml:space="preserve"> Dam, Lesotho,” </w:t>
      </w:r>
      <w:r w:rsidRPr="005F2AFC">
        <w:rPr>
          <w:i/>
          <w:iCs/>
        </w:rPr>
        <w:t>World Archaeology</w:t>
      </w:r>
      <w:r w:rsidRPr="005F2AFC">
        <w:t xml:space="preserve"> 45, no. 4 (August 13, 2013): 653</w:t>
      </w:r>
      <w:r w:rsidR="00CA4EE1">
        <w:t>-</w:t>
      </w:r>
      <w:r w:rsidRPr="005F2AFC">
        <w:t xml:space="preserve">69, </w:t>
      </w:r>
      <w:hyperlink r:id="rId3" w:history="1">
        <w:r w:rsidRPr="005F2AFC">
          <w:rPr>
            <w:rStyle w:val="Hyperlink"/>
          </w:rPr>
          <w:t>https://doi.org/10.1080/00438243.2013.823885</w:t>
        </w:r>
      </w:hyperlink>
      <w:r w:rsidRPr="005F2AFC">
        <w:t>.</w:t>
      </w:r>
    </w:p>
  </w:footnote>
  <w:footnote w:id="9">
    <w:p w14:paraId="1F5D738E" w14:textId="12988362" w:rsidR="0032599D" w:rsidRDefault="0032599D">
      <w:pPr>
        <w:pStyle w:val="FootnoteText"/>
      </w:pPr>
      <w:r>
        <w:rPr>
          <w:rStyle w:val="FootnoteReference"/>
        </w:rPr>
        <w:footnoteRef/>
      </w:r>
      <w:r>
        <w:t xml:space="preserve"> </w:t>
      </w:r>
      <w:r w:rsidR="00083BD8" w:rsidRPr="00083BD8">
        <w:t xml:space="preserve">Ahmed </w:t>
      </w:r>
      <w:proofErr w:type="spellStart"/>
      <w:r w:rsidR="00083BD8" w:rsidRPr="00083BD8">
        <w:t>Skounti</w:t>
      </w:r>
      <w:proofErr w:type="spellEnd"/>
      <w:r w:rsidR="00083BD8" w:rsidRPr="00083BD8">
        <w:t xml:space="preserve">, “The Authentic Illusion Humanity’s Intangible Cultural Heritage, the Moroccan Experience,” in </w:t>
      </w:r>
      <w:r w:rsidR="00083BD8" w:rsidRPr="00083BD8">
        <w:rPr>
          <w:i/>
          <w:iCs/>
        </w:rPr>
        <w:t>Intangible Heritage</w:t>
      </w:r>
      <w:r w:rsidR="00083BD8" w:rsidRPr="00083BD8">
        <w:t xml:space="preserve">, ed. </w:t>
      </w:r>
      <w:proofErr w:type="spellStart"/>
      <w:r w:rsidR="00083BD8" w:rsidRPr="00083BD8">
        <w:t>Laurajane</w:t>
      </w:r>
      <w:proofErr w:type="spellEnd"/>
      <w:r w:rsidR="00083BD8" w:rsidRPr="00083BD8">
        <w:t xml:space="preserve"> Smith and Natsuko </w:t>
      </w:r>
      <w:proofErr w:type="spellStart"/>
      <w:r w:rsidR="00083BD8" w:rsidRPr="00083BD8">
        <w:t>Akagawa</w:t>
      </w:r>
      <w:proofErr w:type="spellEnd"/>
      <w:r w:rsidR="00083BD8" w:rsidRPr="00083BD8">
        <w:t xml:space="preserve"> (Routledge, 2009), 7</w:t>
      </w:r>
      <w:r w:rsidR="00083BD8">
        <w:t>7</w:t>
      </w:r>
      <w:r w:rsidR="00083BD8" w:rsidRPr="00083BD8">
        <w:t>.</w:t>
      </w:r>
    </w:p>
  </w:footnote>
  <w:footnote w:id="10">
    <w:p w14:paraId="5362D7F9" w14:textId="090B9D70" w:rsidR="00A71AA5" w:rsidRDefault="00A71AA5">
      <w:pPr>
        <w:pStyle w:val="FootnoteText"/>
      </w:pPr>
      <w:r>
        <w:rPr>
          <w:rStyle w:val="FootnoteReference"/>
        </w:rPr>
        <w:footnoteRef/>
      </w:r>
      <w:r>
        <w:t xml:space="preserve"> </w:t>
      </w:r>
      <w:proofErr w:type="spellStart"/>
      <w:r w:rsidRPr="00083BD8">
        <w:t>Skounti</w:t>
      </w:r>
      <w:proofErr w:type="spellEnd"/>
      <w:r w:rsidRPr="00083BD8">
        <w:t>, “The Authentic Illusion Humanity’s Intangible Cultural Heritage, the Moroccan Experience,”</w:t>
      </w:r>
      <w:r w:rsidR="001408B0">
        <w:t xml:space="preserve"> 87.</w:t>
      </w:r>
    </w:p>
  </w:footnote>
  <w:footnote w:id="11">
    <w:p w14:paraId="18E34793" w14:textId="0EEAA3EC" w:rsidR="00930EDE" w:rsidRDefault="00930EDE">
      <w:pPr>
        <w:pStyle w:val="FootnoteText"/>
      </w:pPr>
      <w:r>
        <w:rPr>
          <w:rStyle w:val="FootnoteReference"/>
        </w:rPr>
        <w:footnoteRef/>
      </w:r>
      <w:r>
        <w:t xml:space="preserve"> See </w:t>
      </w:r>
      <w:r w:rsidR="0025661E" w:rsidRPr="005423AD">
        <w:t>Harrison and Rose, “Chapter 7 Intangible Heritage,”</w:t>
      </w:r>
      <w:r w:rsidR="0025661E">
        <w:t xml:space="preserve"> 260-262, for </w:t>
      </w:r>
      <w:r w:rsidR="002C02CF">
        <w:t>description of effect of loss of a tree has on Aboriginal experience of meaning.</w:t>
      </w:r>
    </w:p>
  </w:footnote>
  <w:footnote w:id="12">
    <w:p w14:paraId="53B6FB2D" w14:textId="2359233B" w:rsidR="00327B93" w:rsidRDefault="00327B93">
      <w:pPr>
        <w:pStyle w:val="FootnoteText"/>
      </w:pPr>
      <w:r>
        <w:rPr>
          <w:rStyle w:val="FootnoteReference"/>
        </w:rPr>
        <w:footnoteRef/>
      </w:r>
      <w:r>
        <w:t xml:space="preserve"> </w:t>
      </w:r>
      <w:r w:rsidRPr="00327B93">
        <w:t xml:space="preserve">John </w:t>
      </w:r>
      <w:proofErr w:type="spellStart"/>
      <w:r w:rsidRPr="00327B93">
        <w:t>Delafons</w:t>
      </w:r>
      <w:proofErr w:type="spellEnd"/>
      <w:r w:rsidRPr="00327B93">
        <w:t xml:space="preserve">, </w:t>
      </w:r>
      <w:r w:rsidRPr="00327B93">
        <w:rPr>
          <w:i/>
          <w:iCs/>
        </w:rPr>
        <w:t>Politics and Preservation</w:t>
      </w:r>
      <w:r w:rsidRPr="00327B93">
        <w:t>, 1st ed. (London: E &amp; FN SPON, 1997)</w:t>
      </w:r>
      <w:r>
        <w:t xml:space="preserve">, </w:t>
      </w:r>
      <w:r w:rsidR="00E3165C">
        <w:t>37.</w:t>
      </w:r>
    </w:p>
  </w:footnote>
  <w:footnote w:id="13">
    <w:p w14:paraId="00BB6145" w14:textId="55E4E700" w:rsidR="00DD62B7" w:rsidRDefault="00DD62B7">
      <w:pPr>
        <w:pStyle w:val="FootnoteText"/>
      </w:pPr>
      <w:r>
        <w:rPr>
          <w:rStyle w:val="FootnoteReference"/>
        </w:rPr>
        <w:footnoteRef/>
      </w:r>
      <w:r>
        <w:t xml:space="preserve"> </w:t>
      </w:r>
      <w:r w:rsidRPr="00DD62B7">
        <w:t>United Kingdom, “Housing, Town Planning, &amp;C. Act 1919,” 1(3) § (1919).</w:t>
      </w:r>
    </w:p>
  </w:footnote>
  <w:footnote w:id="14">
    <w:p w14:paraId="3E7127F7" w14:textId="2179F2F9" w:rsidR="008D6F88" w:rsidRDefault="008D6F88">
      <w:pPr>
        <w:pStyle w:val="FootnoteText"/>
      </w:pPr>
      <w:r>
        <w:rPr>
          <w:rStyle w:val="FootnoteReference"/>
        </w:rPr>
        <w:footnoteRef/>
      </w:r>
      <w:r>
        <w:t xml:space="preserve"> </w:t>
      </w:r>
      <w:proofErr w:type="spellStart"/>
      <w:r w:rsidRPr="00327B93">
        <w:t>Delafons</w:t>
      </w:r>
      <w:proofErr w:type="spellEnd"/>
      <w:r w:rsidRPr="00327B93">
        <w:t xml:space="preserve">, </w:t>
      </w:r>
      <w:r w:rsidRPr="00327B93">
        <w:rPr>
          <w:i/>
          <w:iCs/>
        </w:rPr>
        <w:t>Politics and Preservation</w:t>
      </w:r>
      <w:r>
        <w:rPr>
          <w:i/>
          <w:iCs/>
        </w:rPr>
        <w:t xml:space="preserve">, </w:t>
      </w:r>
      <w:r w:rsidRPr="008D6F88">
        <w:t>37-38</w:t>
      </w:r>
      <w:r>
        <w:t>.</w:t>
      </w:r>
    </w:p>
  </w:footnote>
  <w:footnote w:id="15">
    <w:p w14:paraId="2A91328C" w14:textId="3FFEBE95" w:rsidR="00992531" w:rsidRDefault="00992531">
      <w:pPr>
        <w:pStyle w:val="FootnoteText"/>
      </w:pPr>
      <w:r>
        <w:rPr>
          <w:rStyle w:val="FootnoteReference"/>
        </w:rPr>
        <w:footnoteRef/>
      </w:r>
      <w:r>
        <w:t xml:space="preserve"> </w:t>
      </w:r>
      <w:proofErr w:type="spellStart"/>
      <w:r w:rsidRPr="00327B93">
        <w:t>Delafons</w:t>
      </w:r>
      <w:proofErr w:type="spellEnd"/>
      <w:r w:rsidRPr="00327B93">
        <w:t xml:space="preserve">, </w:t>
      </w:r>
      <w:r w:rsidRPr="00327B93">
        <w:rPr>
          <w:i/>
          <w:iCs/>
        </w:rPr>
        <w:t>Politics and Preservation</w:t>
      </w:r>
      <w:r>
        <w:rPr>
          <w:i/>
          <w:iCs/>
        </w:rPr>
        <w:t xml:space="preserve">, </w:t>
      </w:r>
      <w:r>
        <w:t>82-86.</w:t>
      </w:r>
    </w:p>
  </w:footnote>
  <w:footnote w:id="16">
    <w:p w14:paraId="24DC0328" w14:textId="50DD4811" w:rsidR="00F131BA" w:rsidRDefault="00F131BA">
      <w:pPr>
        <w:pStyle w:val="FootnoteText"/>
      </w:pPr>
      <w:r>
        <w:rPr>
          <w:rStyle w:val="FootnoteReference"/>
        </w:rPr>
        <w:footnoteRef/>
      </w:r>
      <w:r>
        <w:t xml:space="preserve"> </w:t>
      </w:r>
      <w:r w:rsidR="00E353C1" w:rsidRPr="00E353C1">
        <w:t>United Kingdom, “Civic Amenities Act 1967,” 1(5) § (1967).</w:t>
      </w:r>
    </w:p>
  </w:footnote>
  <w:footnote w:id="17">
    <w:p w14:paraId="7426E38E" w14:textId="557956CA" w:rsidR="00E63536" w:rsidRDefault="00E63536">
      <w:pPr>
        <w:pStyle w:val="FootnoteText"/>
      </w:pPr>
      <w:r>
        <w:rPr>
          <w:rStyle w:val="FootnoteReference"/>
        </w:rPr>
        <w:footnoteRef/>
      </w:r>
      <w:r>
        <w:t xml:space="preserve"> </w:t>
      </w:r>
      <w:r w:rsidR="00264104" w:rsidRPr="00264104">
        <w:t>United Kingdom, “Town and Country Planning Act 1971,” 277(5) § (1971)</w:t>
      </w:r>
      <w:r w:rsidR="00264104">
        <w:t xml:space="preserve">; </w:t>
      </w:r>
      <w:r w:rsidR="004958AA" w:rsidRPr="004958AA">
        <w:t>United Kingdom, “Planning (Listed Buildings and Conservation Areas) Act 1990,” 72(1) § (1990)</w:t>
      </w:r>
      <w:hyperlink r:id="rId4" w:history="1"/>
      <w:r w:rsidR="004958AA" w:rsidRPr="004958AA">
        <w:t>.</w:t>
      </w:r>
    </w:p>
  </w:footnote>
  <w:footnote w:id="18">
    <w:p w14:paraId="3CC80F93" w14:textId="49F88430" w:rsidR="00661B01" w:rsidRDefault="00661B01">
      <w:pPr>
        <w:pStyle w:val="FootnoteText"/>
      </w:pPr>
      <w:r>
        <w:rPr>
          <w:rStyle w:val="FootnoteReference"/>
        </w:rPr>
        <w:footnoteRef/>
      </w:r>
      <w:r>
        <w:t xml:space="preserve"> </w:t>
      </w:r>
      <w:proofErr w:type="spellStart"/>
      <w:r w:rsidRPr="00327B93">
        <w:t>Delafons</w:t>
      </w:r>
      <w:proofErr w:type="spellEnd"/>
      <w:r w:rsidRPr="00327B93">
        <w:t xml:space="preserve">, </w:t>
      </w:r>
      <w:r w:rsidRPr="00327B93">
        <w:rPr>
          <w:i/>
          <w:iCs/>
        </w:rPr>
        <w:t>Politics and Preservation</w:t>
      </w:r>
      <w:r>
        <w:rPr>
          <w:i/>
          <w:iCs/>
        </w:rPr>
        <w:t xml:space="preserve">, </w:t>
      </w:r>
      <w:r>
        <w:t>100-10</w:t>
      </w:r>
      <w:r w:rsidR="00797E0E">
        <w:t>5</w:t>
      </w:r>
      <w:r>
        <w:t>.</w:t>
      </w:r>
    </w:p>
  </w:footnote>
  <w:footnote w:id="19">
    <w:p w14:paraId="5F40F84D" w14:textId="739E8C64" w:rsidR="003639E5" w:rsidRDefault="003639E5">
      <w:pPr>
        <w:pStyle w:val="FootnoteText"/>
      </w:pPr>
      <w:r>
        <w:rPr>
          <w:rStyle w:val="FootnoteReference"/>
        </w:rPr>
        <w:footnoteRef/>
      </w:r>
      <w:r>
        <w:t xml:space="preserve"> </w:t>
      </w:r>
      <w:r w:rsidRPr="003639E5">
        <w:t xml:space="preserve">Tonbridge and </w:t>
      </w:r>
      <w:proofErr w:type="spellStart"/>
      <w:r w:rsidRPr="003639E5">
        <w:t>Malling</w:t>
      </w:r>
      <w:proofErr w:type="spellEnd"/>
      <w:r w:rsidRPr="003639E5">
        <w:t xml:space="preserve"> Borough Council, </w:t>
      </w:r>
      <w:r w:rsidRPr="003639E5">
        <w:rPr>
          <w:i/>
          <w:iCs/>
        </w:rPr>
        <w:t xml:space="preserve">West </w:t>
      </w:r>
      <w:proofErr w:type="spellStart"/>
      <w:r w:rsidRPr="003639E5">
        <w:rPr>
          <w:i/>
          <w:iCs/>
        </w:rPr>
        <w:t>Malling</w:t>
      </w:r>
      <w:proofErr w:type="spellEnd"/>
      <w:r w:rsidRPr="003639E5">
        <w:rPr>
          <w:i/>
          <w:iCs/>
        </w:rPr>
        <w:t xml:space="preserve"> Conservation Area: Conservation Area Appraisal</w:t>
      </w:r>
      <w:r w:rsidRPr="003639E5">
        <w:t xml:space="preserve"> (Tonbridge and </w:t>
      </w:r>
      <w:proofErr w:type="spellStart"/>
      <w:r w:rsidRPr="003639E5">
        <w:t>Malling</w:t>
      </w:r>
      <w:proofErr w:type="spellEnd"/>
      <w:r w:rsidRPr="003639E5">
        <w:t xml:space="preserve"> Borough Council, 2002)</w:t>
      </w:r>
      <w:r w:rsidR="0010691F">
        <w:t>, 13.</w:t>
      </w:r>
    </w:p>
  </w:footnote>
  <w:footnote w:id="20">
    <w:p w14:paraId="006F85BA" w14:textId="7775DC5D" w:rsidR="00A90079" w:rsidRDefault="00A90079">
      <w:pPr>
        <w:pStyle w:val="FootnoteText"/>
      </w:pPr>
      <w:r>
        <w:rPr>
          <w:rStyle w:val="FootnoteReference"/>
        </w:rPr>
        <w:footnoteRef/>
      </w:r>
      <w:r>
        <w:t xml:space="preserve"> </w:t>
      </w:r>
      <w:r w:rsidRPr="00A90079">
        <w:t>Hansard, “Town and Country Planning Bill [H.L.] (Hansard, 19 February 1990),” api.parliament.uk.</w:t>
      </w:r>
    </w:p>
  </w:footnote>
  <w:footnote w:id="21">
    <w:p w14:paraId="156D72C0" w14:textId="650FE534" w:rsidR="00E53EE0" w:rsidRDefault="00E53EE0">
      <w:pPr>
        <w:pStyle w:val="FootnoteText"/>
      </w:pPr>
      <w:r>
        <w:rPr>
          <w:rStyle w:val="FootnoteReference"/>
        </w:rPr>
        <w:footnoteRef/>
      </w:r>
      <w:r>
        <w:t xml:space="preserve"> </w:t>
      </w:r>
      <w:r w:rsidRPr="00E53EE0">
        <w:t>United Kingdom, “Planning (Listed Buildings and Conservation Areas) Act 1990,” 66(1) § (1990).</w:t>
      </w:r>
    </w:p>
  </w:footnote>
  <w:footnote w:id="22">
    <w:p w14:paraId="09BE21CA" w14:textId="573CEF4E" w:rsidR="00884681" w:rsidRDefault="00884681">
      <w:pPr>
        <w:pStyle w:val="FootnoteText"/>
      </w:pPr>
      <w:r>
        <w:rPr>
          <w:rStyle w:val="FootnoteReference"/>
        </w:rPr>
        <w:footnoteRef/>
      </w:r>
      <w:r>
        <w:t xml:space="preserve"> At the time of writing, a key UK Government policy document on heritage </w:t>
      </w:r>
      <w:r w:rsidR="00583791">
        <w:t>policy</w:t>
      </w:r>
      <w:r w:rsidR="00783E61">
        <w:t xml:space="preserve"> from 1987</w:t>
      </w:r>
      <w:r w:rsidR="00583791">
        <w:t>, Circular 8/87, was not available for purchase</w:t>
      </w:r>
      <w:r w:rsidR="0010753D">
        <w:t xml:space="preserve"> or viewing, and was</w:t>
      </w:r>
      <w:r w:rsidR="00393F76">
        <w:t xml:space="preserve"> listed as “closed” by the Parliamentary Archives. A Freedom of Information request has been submitted to view this document</w:t>
      </w:r>
      <w:r w:rsidR="00804FD1">
        <w:t xml:space="preserve"> but it was unavailable at the time of writing</w:t>
      </w:r>
      <w:r w:rsidR="0008674E">
        <w:t>.</w:t>
      </w:r>
    </w:p>
  </w:footnote>
  <w:footnote w:id="23">
    <w:p w14:paraId="6B6ED342" w14:textId="7CCB3EA4" w:rsidR="00EB724F" w:rsidRDefault="00EB724F">
      <w:pPr>
        <w:pStyle w:val="FootnoteText"/>
      </w:pPr>
      <w:r>
        <w:rPr>
          <w:rStyle w:val="FootnoteReference"/>
        </w:rPr>
        <w:footnoteRef/>
      </w:r>
      <w:r>
        <w:t xml:space="preserve"> </w:t>
      </w:r>
      <w:r w:rsidRPr="00EB724F">
        <w:t xml:space="preserve">Timothy Darvill, </w:t>
      </w:r>
      <w:r w:rsidRPr="00EB724F">
        <w:rPr>
          <w:i/>
          <w:iCs/>
        </w:rPr>
        <w:t>Ancient Monuments in the Countryside: An Archaeological Management Review</w:t>
      </w:r>
      <w:r w:rsidRPr="00EB724F">
        <w:t xml:space="preserve"> (Swindon, England: English Heritage, 1987)</w:t>
      </w:r>
      <w:r w:rsidR="004B2999">
        <w:t>, 102, 104.</w:t>
      </w:r>
    </w:p>
  </w:footnote>
  <w:footnote w:id="24">
    <w:p w14:paraId="41DF1A12" w14:textId="3CF29D2D" w:rsidR="008F6346" w:rsidRDefault="008F6346">
      <w:pPr>
        <w:pStyle w:val="FootnoteText"/>
      </w:pPr>
      <w:r>
        <w:rPr>
          <w:rStyle w:val="FootnoteReference"/>
        </w:rPr>
        <w:footnoteRef/>
      </w:r>
      <w:r>
        <w:t xml:space="preserve"> </w:t>
      </w:r>
      <w:r w:rsidRPr="008F6346">
        <w:t xml:space="preserve">Simon </w:t>
      </w:r>
      <w:proofErr w:type="spellStart"/>
      <w:r w:rsidRPr="008F6346">
        <w:t>Collcutt</w:t>
      </w:r>
      <w:proofErr w:type="spellEnd"/>
      <w:r w:rsidRPr="008F6346">
        <w:t xml:space="preserve">, “The Setting of Cultural Heritage Features,” </w:t>
      </w:r>
      <w:r w:rsidRPr="008F6346">
        <w:rPr>
          <w:i/>
          <w:iCs/>
        </w:rPr>
        <w:t>Journal of Planning &amp; Environmental Law</w:t>
      </w:r>
      <w:r w:rsidRPr="008F6346">
        <w:t>, June 1999, 498–513.</w:t>
      </w:r>
    </w:p>
  </w:footnote>
  <w:footnote w:id="25">
    <w:p w14:paraId="12D0419F" w14:textId="6F9F0D1E" w:rsidR="00E837C3" w:rsidRDefault="00E837C3">
      <w:pPr>
        <w:pStyle w:val="FootnoteText"/>
      </w:pPr>
      <w:r>
        <w:rPr>
          <w:rStyle w:val="FootnoteReference"/>
        </w:rPr>
        <w:footnoteRef/>
      </w:r>
      <w:r>
        <w:t xml:space="preserve"> </w:t>
      </w:r>
      <w:r w:rsidR="006014C0" w:rsidRPr="006014C0">
        <w:t>Department of the Environment, “Planning Policy Guidance: Planning and the Historic Environment,” 1994</w:t>
      </w:r>
      <w:r w:rsidR="00CD0A64">
        <w:t>;</w:t>
      </w:r>
      <w:r w:rsidR="006014C0">
        <w:t xml:space="preserve"> and </w:t>
      </w:r>
      <w:r w:rsidR="006014C0" w:rsidRPr="006014C0">
        <w:t>Department for Communities and Local Government, “Planning Policy Guidance 16: Archaeology and Planning,” November 1990</w:t>
      </w:r>
      <w:hyperlink r:id="rId5" w:history="1"/>
      <w:r w:rsidR="006014C0" w:rsidRPr="006014C0">
        <w:t>.</w:t>
      </w:r>
    </w:p>
  </w:footnote>
  <w:footnote w:id="26">
    <w:p w14:paraId="3D2B3848" w14:textId="645CEF79" w:rsidR="008011E9" w:rsidRDefault="008011E9">
      <w:pPr>
        <w:pStyle w:val="FootnoteText"/>
      </w:pPr>
      <w:r>
        <w:rPr>
          <w:rStyle w:val="FootnoteReference"/>
        </w:rPr>
        <w:footnoteRef/>
      </w:r>
      <w:r>
        <w:t xml:space="preserve"> </w:t>
      </w:r>
      <w:r w:rsidR="003C3DE2" w:rsidRPr="003C3DE2">
        <w:t xml:space="preserve">Paul Drury and Anne </w:t>
      </w:r>
      <w:proofErr w:type="spellStart"/>
      <w:r w:rsidR="003C3DE2" w:rsidRPr="003C3DE2">
        <w:t>Mcpherson</w:t>
      </w:r>
      <w:proofErr w:type="spellEnd"/>
      <w:r w:rsidR="003C3DE2" w:rsidRPr="003C3DE2">
        <w:t xml:space="preserve">, </w:t>
      </w:r>
      <w:r w:rsidR="003C3DE2" w:rsidRPr="003C3DE2">
        <w:rPr>
          <w:i/>
          <w:iCs/>
        </w:rPr>
        <w:t>Conservation Principles: Policies and Guidance for the Sustainable Management of the Historic Environment</w:t>
      </w:r>
      <w:r w:rsidR="003C3DE2" w:rsidRPr="003C3DE2">
        <w:t xml:space="preserve"> (London: English Heritage, 2008), </w:t>
      </w:r>
      <w:r w:rsidR="008629B0">
        <w:t>72.</w:t>
      </w:r>
    </w:p>
  </w:footnote>
  <w:footnote w:id="27">
    <w:p w14:paraId="7A022A55" w14:textId="7F93CBB9" w:rsidR="00AD046C" w:rsidRDefault="00AD046C">
      <w:pPr>
        <w:pStyle w:val="FootnoteText"/>
      </w:pPr>
      <w:r>
        <w:rPr>
          <w:rStyle w:val="FootnoteReference"/>
        </w:rPr>
        <w:footnoteRef/>
      </w:r>
      <w:r>
        <w:t xml:space="preserve"> </w:t>
      </w:r>
      <w:r w:rsidR="00F02D5A" w:rsidRPr="00F02D5A">
        <w:t>Department for Communities and Local Government, “Planning Policy Statement 5: Planning for the Historic Environment,” 2010</w:t>
      </w:r>
      <w:r w:rsidR="00F02D5A">
        <w:t xml:space="preserve">, </w:t>
      </w:r>
      <w:r w:rsidR="009907ED">
        <w:t>34;</w:t>
      </w:r>
      <w:r w:rsidR="001F6DCB">
        <w:t xml:space="preserve"> </w:t>
      </w:r>
      <w:r w:rsidR="001F6DCB" w:rsidRPr="001F6DCB">
        <w:t xml:space="preserve">English Heritage, </w:t>
      </w:r>
      <w:r w:rsidR="001F6DCB" w:rsidRPr="001F6DCB">
        <w:rPr>
          <w:i/>
          <w:iCs/>
        </w:rPr>
        <w:t>Seeing the History in the View</w:t>
      </w:r>
      <w:r w:rsidR="001F6DCB" w:rsidRPr="001F6DCB">
        <w:t xml:space="preserve"> (London: English Heritage, 2011)</w:t>
      </w:r>
      <w:r w:rsidR="001F6DCB">
        <w:t xml:space="preserve">, 29; and </w:t>
      </w:r>
      <w:r w:rsidR="00ED4D4F" w:rsidRPr="00ED4D4F">
        <w:t>Ministry of Housing, Communities and Local Government, “National Planning Policy Framework,” July 20, 2021</w:t>
      </w:r>
      <w:r w:rsidR="00ED4D4F">
        <w:t>, 71.</w:t>
      </w:r>
    </w:p>
  </w:footnote>
  <w:footnote w:id="28">
    <w:p w14:paraId="7D71DFBB" w14:textId="163B5AEB" w:rsidR="002E37F9" w:rsidRDefault="002E37F9">
      <w:pPr>
        <w:pStyle w:val="FootnoteText"/>
      </w:pPr>
      <w:r>
        <w:rPr>
          <w:rStyle w:val="FootnoteReference"/>
        </w:rPr>
        <w:footnoteRef/>
      </w:r>
      <w:r>
        <w:t xml:space="preserve"> </w:t>
      </w:r>
      <w:r w:rsidRPr="002E37F9">
        <w:t xml:space="preserve">Historic England, “LYVEDEN NEW BIELD, </w:t>
      </w:r>
      <w:proofErr w:type="spellStart"/>
      <w:r w:rsidRPr="002E37F9">
        <w:t>Aldwincle</w:t>
      </w:r>
      <w:proofErr w:type="spellEnd"/>
      <w:r w:rsidRPr="002E37F9">
        <w:t xml:space="preserve"> - 1371907 | Historic England,” historicengland.org.uk, accessed May 31, 2023, </w:t>
      </w:r>
      <w:hyperlink r:id="rId6" w:history="1">
        <w:r w:rsidRPr="002E37F9">
          <w:rPr>
            <w:rStyle w:val="Hyperlink"/>
          </w:rPr>
          <w:t>https://historicengland.org.uk/listing/the-list/list-entry/1371907</w:t>
        </w:r>
      </w:hyperlink>
      <w:r w:rsidRPr="002E37F9">
        <w:t>.</w:t>
      </w:r>
    </w:p>
  </w:footnote>
  <w:footnote w:id="29">
    <w:p w14:paraId="0FC9FB95" w14:textId="740C26B1" w:rsidR="006B1411" w:rsidRDefault="006B1411">
      <w:pPr>
        <w:pStyle w:val="FootnoteText"/>
      </w:pPr>
      <w:r>
        <w:rPr>
          <w:rStyle w:val="FootnoteReference"/>
        </w:rPr>
        <w:footnoteRef/>
      </w:r>
      <w:r>
        <w:t xml:space="preserve"> </w:t>
      </w:r>
      <w:r w:rsidR="000A67BE">
        <w:t xml:space="preserve">See paragraphs 35-45 in </w:t>
      </w:r>
      <w:r w:rsidR="00BF2047" w:rsidRPr="00BF2047">
        <w:t xml:space="preserve">Barnwell Manor v East Northamptonshire [2014] EWCA </w:t>
      </w:r>
      <w:proofErr w:type="spellStart"/>
      <w:r w:rsidR="00BF2047" w:rsidRPr="00BF2047">
        <w:t>Civ</w:t>
      </w:r>
      <w:proofErr w:type="spellEnd"/>
      <w:r w:rsidR="00BF2047" w:rsidRPr="00BF2047">
        <w:t xml:space="preserve"> 137 (Court of Appeal 2014).</w:t>
      </w:r>
    </w:p>
  </w:footnote>
  <w:footnote w:id="30">
    <w:p w14:paraId="35DB9775" w14:textId="67B6D9BC" w:rsidR="006835A5" w:rsidRDefault="006835A5">
      <w:pPr>
        <w:pStyle w:val="FootnoteText"/>
      </w:pPr>
      <w:r>
        <w:rPr>
          <w:rStyle w:val="FootnoteReference"/>
        </w:rPr>
        <w:footnoteRef/>
      </w:r>
      <w:r>
        <w:t xml:space="preserve"> </w:t>
      </w:r>
      <w:proofErr w:type="spellStart"/>
      <w:r w:rsidRPr="00327B93">
        <w:t>Delafons</w:t>
      </w:r>
      <w:proofErr w:type="spellEnd"/>
      <w:r w:rsidRPr="00327B93">
        <w:t xml:space="preserve">, </w:t>
      </w:r>
      <w:r w:rsidRPr="00327B93">
        <w:rPr>
          <w:i/>
          <w:iCs/>
        </w:rPr>
        <w:t>Politics and Preservation</w:t>
      </w:r>
      <w:r>
        <w:rPr>
          <w:i/>
          <w:iCs/>
        </w:rPr>
        <w:t xml:space="preserve">, </w:t>
      </w:r>
      <w:r>
        <w:t>105.</w:t>
      </w:r>
    </w:p>
  </w:footnote>
  <w:footnote w:id="31">
    <w:p w14:paraId="2D8F8F29" w14:textId="36553CBC" w:rsidR="001B790E" w:rsidRDefault="001B790E">
      <w:pPr>
        <w:pStyle w:val="FootnoteText"/>
      </w:pPr>
      <w:r>
        <w:rPr>
          <w:rStyle w:val="FootnoteReference"/>
        </w:rPr>
        <w:footnoteRef/>
      </w:r>
      <w:r>
        <w:t xml:space="preserve"> </w:t>
      </w:r>
      <w:r w:rsidRPr="005423AD">
        <w:t>Harrison and Rose, “Chapter 7 Intangible Heritage,”</w:t>
      </w:r>
      <w:r>
        <w:t xml:space="preserve"> 260-262.</w:t>
      </w:r>
    </w:p>
  </w:footnote>
  <w:footnote w:id="32">
    <w:p w14:paraId="2D3325DA" w14:textId="6D5E8C62" w:rsidR="000B2C0D" w:rsidRDefault="000B2C0D">
      <w:pPr>
        <w:pStyle w:val="FootnoteText"/>
      </w:pPr>
      <w:r>
        <w:rPr>
          <w:rStyle w:val="FootnoteReference"/>
        </w:rPr>
        <w:footnoteRef/>
      </w:r>
      <w:r>
        <w:t xml:space="preserve"> </w:t>
      </w:r>
      <w:r w:rsidRPr="00F0655C">
        <w:t>Smith and Waterton, “‘The Envy of the World?</w:t>
      </w:r>
      <w:r>
        <w:t>”, 291-292.</w:t>
      </w:r>
    </w:p>
  </w:footnote>
  <w:footnote w:id="33">
    <w:p w14:paraId="63BF536F" w14:textId="3BB0969D" w:rsidR="0089231F" w:rsidRDefault="0089231F" w:rsidP="0089231F">
      <w:pPr>
        <w:pStyle w:val="FootnoteText"/>
      </w:pPr>
      <w:r>
        <w:rPr>
          <w:rStyle w:val="FootnoteReference"/>
        </w:rPr>
        <w:footnoteRef/>
      </w:r>
      <w:r>
        <w:t xml:space="preserve"> </w:t>
      </w:r>
      <w:r w:rsidRPr="00B31F22">
        <w:t>United Kingdom, “Government of Wales Act 2006” (2006</w:t>
      </w:r>
      <w:r>
        <w:t xml:space="preserve">), see also </w:t>
      </w:r>
      <w:r w:rsidR="007B5180" w:rsidRPr="007B5180">
        <w:t xml:space="preserve">Paul Belford, “Politics and Heritage: Developments in Historic Environment Policy and Practice in Wales,” </w:t>
      </w:r>
      <w:r w:rsidR="007B5180" w:rsidRPr="007B5180">
        <w:rPr>
          <w:i/>
          <w:iCs/>
        </w:rPr>
        <w:t>The Historic Environment: Policy &amp; Practice</w:t>
      </w:r>
      <w:r w:rsidR="007B5180" w:rsidRPr="007B5180">
        <w:t xml:space="preserve"> 9, no. 2 (March 28, 2018): </w:t>
      </w:r>
      <w:r w:rsidR="007B5180">
        <w:t>105</w:t>
      </w:r>
      <w:r w:rsidR="007B5180" w:rsidRPr="007B5180">
        <w:t>.</w:t>
      </w:r>
    </w:p>
  </w:footnote>
  <w:footnote w:id="34">
    <w:p w14:paraId="1B96CEF4" w14:textId="5007A7A2" w:rsidR="009E1619" w:rsidRDefault="009E1619">
      <w:pPr>
        <w:pStyle w:val="FootnoteText"/>
      </w:pPr>
      <w:r>
        <w:rPr>
          <w:rStyle w:val="FootnoteReference"/>
        </w:rPr>
        <w:footnoteRef/>
      </w:r>
      <w:r>
        <w:t xml:space="preserve"> </w:t>
      </w:r>
      <w:proofErr w:type="spellStart"/>
      <w:r w:rsidRPr="009E1619">
        <w:t>Cadw</w:t>
      </w:r>
      <w:proofErr w:type="spellEnd"/>
      <w:r w:rsidRPr="009E1619">
        <w:t xml:space="preserve">, </w:t>
      </w:r>
      <w:r w:rsidRPr="009E1619">
        <w:rPr>
          <w:i/>
          <w:iCs/>
        </w:rPr>
        <w:t>Conservation Principles for the Sustainable Management of the Historic Environment in Wales</w:t>
      </w:r>
      <w:r w:rsidRPr="009E1619">
        <w:t xml:space="preserve"> (Cardiff: Welsh Assembly Government, 2011)</w:t>
      </w:r>
      <w:r>
        <w:t>, 10.</w:t>
      </w:r>
    </w:p>
  </w:footnote>
  <w:footnote w:id="35">
    <w:p w14:paraId="3DF48DF2" w14:textId="65FCA545" w:rsidR="00330263" w:rsidRDefault="00330263">
      <w:pPr>
        <w:pStyle w:val="FootnoteText"/>
      </w:pPr>
      <w:r>
        <w:rPr>
          <w:rStyle w:val="FootnoteReference"/>
        </w:rPr>
        <w:footnoteRef/>
      </w:r>
      <w:r>
        <w:t xml:space="preserve"> </w:t>
      </w:r>
      <w:r w:rsidR="00AB79A1" w:rsidRPr="00AB79A1">
        <w:t xml:space="preserve">Drury and </w:t>
      </w:r>
      <w:proofErr w:type="spellStart"/>
      <w:r w:rsidR="00AB79A1" w:rsidRPr="00AB79A1">
        <w:t>Mcpherson</w:t>
      </w:r>
      <w:proofErr w:type="spellEnd"/>
      <w:r w:rsidR="00AB79A1" w:rsidRPr="00AB79A1">
        <w:t xml:space="preserve">, </w:t>
      </w:r>
      <w:r w:rsidR="00AB79A1" w:rsidRPr="00AB79A1">
        <w:rPr>
          <w:i/>
          <w:iCs/>
        </w:rPr>
        <w:t>Conservation Principles</w:t>
      </w:r>
      <w:r w:rsidR="00AB79A1" w:rsidRPr="00AB79A1">
        <w:t>,</w:t>
      </w:r>
      <w:r w:rsidR="00AB79A1">
        <w:t xml:space="preserve"> 2</w:t>
      </w:r>
      <w:r w:rsidR="00CE0831">
        <w:t>1</w:t>
      </w:r>
      <w:r w:rsidR="00AB79A1">
        <w:t>.</w:t>
      </w:r>
      <w:r w:rsidR="00AB79A1" w:rsidRPr="00AB79A1">
        <w:t xml:space="preserve"> </w:t>
      </w:r>
    </w:p>
  </w:footnote>
  <w:footnote w:id="36">
    <w:p w14:paraId="6B04758F" w14:textId="6064BF1A" w:rsidR="00153956" w:rsidRDefault="00153956">
      <w:pPr>
        <w:pStyle w:val="FootnoteText"/>
      </w:pPr>
      <w:r>
        <w:rPr>
          <w:rStyle w:val="FootnoteReference"/>
        </w:rPr>
        <w:footnoteRef/>
      </w:r>
      <w:r>
        <w:t xml:space="preserve"> S</w:t>
      </w:r>
      <w:r w:rsidRPr="00CB6B45">
        <w:t xml:space="preserve">mith, </w:t>
      </w:r>
      <w:r w:rsidRPr="00CB6B45">
        <w:rPr>
          <w:i/>
          <w:iCs/>
        </w:rPr>
        <w:t>Uses of Heritage</w:t>
      </w:r>
      <w:r>
        <w:t>, 3, 54-56.</w:t>
      </w:r>
    </w:p>
  </w:footnote>
  <w:footnote w:id="37">
    <w:p w14:paraId="01404730" w14:textId="4D33E15A" w:rsidR="00C37A53" w:rsidRDefault="00C37A53">
      <w:pPr>
        <w:pStyle w:val="FootnoteText"/>
      </w:pPr>
      <w:r>
        <w:rPr>
          <w:rStyle w:val="FootnoteReference"/>
        </w:rPr>
        <w:footnoteRef/>
      </w:r>
      <w:r>
        <w:t xml:space="preserve"> </w:t>
      </w:r>
      <w:proofErr w:type="spellStart"/>
      <w:r w:rsidRPr="00C37A53">
        <w:t>Cadw</w:t>
      </w:r>
      <w:proofErr w:type="spellEnd"/>
      <w:r w:rsidRPr="00C37A53">
        <w:t xml:space="preserve">, </w:t>
      </w:r>
      <w:r w:rsidRPr="00C37A53">
        <w:rPr>
          <w:i/>
          <w:iCs/>
        </w:rPr>
        <w:t>Conservation Principles</w:t>
      </w:r>
      <w:r>
        <w:t>, 38.</w:t>
      </w:r>
    </w:p>
  </w:footnote>
  <w:footnote w:id="38">
    <w:p w14:paraId="00D6FC3C" w14:textId="4C62A64F" w:rsidR="008F777E" w:rsidRDefault="008F777E">
      <w:pPr>
        <w:pStyle w:val="FootnoteText"/>
      </w:pPr>
      <w:r>
        <w:rPr>
          <w:rStyle w:val="FootnoteReference"/>
        </w:rPr>
        <w:footnoteRef/>
      </w:r>
      <w:r>
        <w:t xml:space="preserve"> </w:t>
      </w:r>
      <w:proofErr w:type="spellStart"/>
      <w:r w:rsidR="001E2D2B" w:rsidRPr="001E2D2B">
        <w:t>Cadw</w:t>
      </w:r>
      <w:proofErr w:type="spellEnd"/>
      <w:r w:rsidR="001E2D2B" w:rsidRPr="001E2D2B">
        <w:t xml:space="preserve">, </w:t>
      </w:r>
      <w:r w:rsidR="001E2D2B" w:rsidRPr="001E2D2B">
        <w:rPr>
          <w:i/>
          <w:iCs/>
        </w:rPr>
        <w:t>Setting of Historic Assets in Wales</w:t>
      </w:r>
      <w:r w:rsidR="001E2D2B" w:rsidRPr="001E2D2B">
        <w:t xml:space="preserve"> (Parc </w:t>
      </w:r>
      <w:proofErr w:type="spellStart"/>
      <w:r w:rsidR="001E2D2B" w:rsidRPr="001E2D2B">
        <w:t>Nantgarw</w:t>
      </w:r>
      <w:proofErr w:type="spellEnd"/>
      <w:r w:rsidR="001E2D2B" w:rsidRPr="001E2D2B">
        <w:t xml:space="preserve">: Welsh Government, 2017), </w:t>
      </w:r>
      <w:r w:rsidR="001E2D2B">
        <w:t>2.</w:t>
      </w:r>
    </w:p>
  </w:footnote>
  <w:footnote w:id="39">
    <w:p w14:paraId="6C998C73" w14:textId="1B4E0920" w:rsidR="00FD097A" w:rsidRDefault="00FD097A">
      <w:pPr>
        <w:pStyle w:val="FootnoteText"/>
      </w:pPr>
      <w:r>
        <w:rPr>
          <w:rStyle w:val="FootnoteReference"/>
        </w:rPr>
        <w:footnoteRef/>
      </w:r>
      <w:r>
        <w:t xml:space="preserve"> </w:t>
      </w:r>
      <w:r w:rsidRPr="00FD097A">
        <w:t>National Assembly for Wales, “Historic Environment (Wales) Act 2016” (2016).</w:t>
      </w:r>
    </w:p>
  </w:footnote>
  <w:footnote w:id="40">
    <w:p w14:paraId="480B7F00" w14:textId="5EDD7295" w:rsidR="00671B04" w:rsidRDefault="00671B04">
      <w:pPr>
        <w:pStyle w:val="FootnoteText"/>
      </w:pPr>
      <w:r>
        <w:rPr>
          <w:rStyle w:val="FootnoteReference"/>
        </w:rPr>
        <w:footnoteRef/>
      </w:r>
      <w:r>
        <w:t xml:space="preserve"> </w:t>
      </w:r>
      <w:r w:rsidRPr="007B5180">
        <w:t xml:space="preserve">Belford, “Politics and Heritage: Developments in Historic Environment Policy and Practice in Wales,” </w:t>
      </w:r>
      <w:r w:rsidRPr="007B5180">
        <w:rPr>
          <w:i/>
          <w:iCs/>
        </w:rPr>
        <w:t>The Historic Environment: Policy &amp; Practice</w:t>
      </w:r>
      <w:r w:rsidRPr="007B5180">
        <w:t xml:space="preserve"> 9, no. 2 (March 28, 2018): </w:t>
      </w:r>
      <w:r>
        <w:t>1</w:t>
      </w:r>
      <w:r w:rsidR="008904F7">
        <w:t>12.</w:t>
      </w:r>
    </w:p>
  </w:footnote>
  <w:footnote w:id="41">
    <w:p w14:paraId="44E1C253" w14:textId="297451D1" w:rsidR="00BE7DE0" w:rsidRDefault="00BE7DE0">
      <w:pPr>
        <w:pStyle w:val="FootnoteText"/>
      </w:pPr>
      <w:r>
        <w:rPr>
          <w:rStyle w:val="FootnoteReference"/>
        </w:rPr>
        <w:footnoteRef/>
      </w:r>
      <w:r>
        <w:t xml:space="preserve"> </w:t>
      </w:r>
      <w:proofErr w:type="spellStart"/>
      <w:r w:rsidRPr="00BE7DE0">
        <w:t>Cadw</w:t>
      </w:r>
      <w:proofErr w:type="spellEnd"/>
      <w:r w:rsidRPr="00BE7DE0">
        <w:t xml:space="preserve">, </w:t>
      </w:r>
      <w:r w:rsidRPr="00BE7DE0">
        <w:rPr>
          <w:i/>
          <w:iCs/>
        </w:rPr>
        <w:t>Historic Environment Records in Wales: Compilation and Use</w:t>
      </w:r>
      <w:r w:rsidRPr="00BE7DE0">
        <w:t xml:space="preserve"> (Cardiff, Wales: Welsh Government, 2017)</w:t>
      </w:r>
      <w:r>
        <w:t xml:space="preserve">, </w:t>
      </w:r>
      <w:r w:rsidR="00661052">
        <w:t>18</w:t>
      </w:r>
      <w:r w:rsidRPr="00BE7DE0">
        <w:t>.</w:t>
      </w:r>
    </w:p>
  </w:footnote>
  <w:footnote w:id="42">
    <w:p w14:paraId="7920A9A2" w14:textId="7443F62F" w:rsidR="000042C3" w:rsidRDefault="000042C3">
      <w:pPr>
        <w:pStyle w:val="FootnoteText"/>
      </w:pPr>
      <w:r>
        <w:rPr>
          <w:rStyle w:val="FootnoteReference"/>
        </w:rPr>
        <w:footnoteRef/>
      </w:r>
      <w:r>
        <w:t xml:space="preserve"> </w:t>
      </w:r>
      <w:r w:rsidRPr="000042C3">
        <w:t xml:space="preserve">BBC News, “Historical Place Names Bill Is Rejected by AMs,” </w:t>
      </w:r>
      <w:r w:rsidRPr="000042C3">
        <w:rPr>
          <w:i/>
          <w:iCs/>
        </w:rPr>
        <w:t>BBC News</w:t>
      </w:r>
      <w:r w:rsidRPr="000042C3">
        <w:t>, March 15, 2017, sec. Wales politics</w:t>
      </w:r>
      <w:r>
        <w:t xml:space="preserve">; </w:t>
      </w:r>
      <w:r w:rsidR="00B83A03" w:rsidRPr="00B83A03">
        <w:t>Rhys Jones, “Welsh Place Names Are Being Erased – and so Are the Stories They Tell,” The Conversation, February 2, 2023.</w:t>
      </w:r>
    </w:p>
  </w:footnote>
  <w:footnote w:id="43">
    <w:p w14:paraId="35F4D0C5" w14:textId="0ED160E5" w:rsidR="00294D78" w:rsidRDefault="00294D78">
      <w:pPr>
        <w:pStyle w:val="FootnoteText"/>
      </w:pPr>
      <w:r>
        <w:rPr>
          <w:rStyle w:val="FootnoteReference"/>
        </w:rPr>
        <w:footnoteRef/>
      </w:r>
      <w:r>
        <w:t xml:space="preserve"> </w:t>
      </w:r>
      <w:r w:rsidR="009B0B36">
        <w:t xml:space="preserve">See for example </w:t>
      </w:r>
      <w:r w:rsidRPr="00294D78">
        <w:t>James Tozer, “English Place Names Could Be BANNED in Wales,” Mail Online, April 21, 2023.</w:t>
      </w:r>
    </w:p>
  </w:footnote>
  <w:footnote w:id="44">
    <w:p w14:paraId="481C4A04" w14:textId="151464D5" w:rsidR="008E1076" w:rsidRDefault="00716383">
      <w:pPr>
        <w:pStyle w:val="FootnoteText"/>
      </w:pPr>
      <w:r>
        <w:rPr>
          <w:rStyle w:val="FootnoteReference"/>
        </w:rPr>
        <w:footnoteRef/>
      </w:r>
      <w:r>
        <w:t xml:space="preserve"> </w:t>
      </w:r>
      <w:proofErr w:type="spellStart"/>
      <w:r w:rsidRPr="00716383">
        <w:t>Bahar</w:t>
      </w:r>
      <w:proofErr w:type="spellEnd"/>
      <w:r w:rsidRPr="00716383">
        <w:t xml:space="preserve"> </w:t>
      </w:r>
      <w:proofErr w:type="spellStart"/>
      <w:r w:rsidRPr="00716383">
        <w:t>Aykan</w:t>
      </w:r>
      <w:proofErr w:type="spellEnd"/>
      <w:r w:rsidRPr="00716383">
        <w:t>, “‘</w:t>
      </w:r>
      <w:proofErr w:type="spellStart"/>
      <w:r w:rsidRPr="00716383">
        <w:t>Patenting’Karagöz</w:t>
      </w:r>
      <w:proofErr w:type="spellEnd"/>
      <w:r w:rsidRPr="00716383">
        <w:t xml:space="preserve">: UNESCO, Nationalism and Multinational Intangible Heritage,” </w:t>
      </w:r>
      <w:r w:rsidRPr="00716383">
        <w:rPr>
          <w:i/>
          <w:iCs/>
        </w:rPr>
        <w:t>International Journal of Heritage Studies</w:t>
      </w:r>
      <w:r w:rsidRPr="00716383">
        <w:t xml:space="preserve"> 21, no. 10 (May 15, 2015): 949–61</w:t>
      </w:r>
      <w:r w:rsidR="008E1076">
        <w:t>;</w:t>
      </w:r>
    </w:p>
  </w:footnote>
  <w:footnote w:id="45">
    <w:p w14:paraId="089FF39C" w14:textId="7DD5E290" w:rsidR="00A51856" w:rsidRDefault="00A51856">
      <w:pPr>
        <w:pStyle w:val="FootnoteText"/>
      </w:pPr>
      <w:r>
        <w:rPr>
          <w:rStyle w:val="FootnoteReference"/>
        </w:rPr>
        <w:footnoteRef/>
      </w:r>
      <w:r>
        <w:t xml:space="preserve"> </w:t>
      </w:r>
      <w:r w:rsidR="00FF7FAF" w:rsidRPr="00FF7FAF">
        <w:t xml:space="preserve">Hansard, “25 Jun 2009 : Column 1042,” publications.parliament.uk/ (UK Parliament, 2009), </w:t>
      </w:r>
      <w:hyperlink r:id="rId7" w:history="1">
        <w:r w:rsidR="00FF7FAF" w:rsidRPr="00FF7FAF">
          <w:rPr>
            <w:rStyle w:val="Hyperlink"/>
          </w:rPr>
          <w:t>https://publications.parliament.uk/pa/cm200809/cmhansrd/cm090625/debtext/90625-0019.htm</w:t>
        </w:r>
      </w:hyperlink>
      <w:r w:rsidR="00FF7FAF" w:rsidRPr="00FF7FAF">
        <w:t>.</w:t>
      </w:r>
    </w:p>
  </w:footnote>
  <w:footnote w:id="46">
    <w:p w14:paraId="4192D8A7" w14:textId="69781623" w:rsidR="00853DB6" w:rsidRDefault="00CE65FA">
      <w:pPr>
        <w:pStyle w:val="FootnoteText"/>
      </w:pPr>
      <w:r>
        <w:rPr>
          <w:rStyle w:val="FootnoteReference"/>
        </w:rPr>
        <w:footnoteRef/>
      </w:r>
      <w:r>
        <w:t xml:space="preserve"> </w:t>
      </w:r>
      <w:r w:rsidR="00853DB6" w:rsidRPr="00853DB6">
        <w:t xml:space="preserve">Smith, </w:t>
      </w:r>
      <w:r w:rsidR="00853DB6" w:rsidRPr="00853DB6">
        <w:rPr>
          <w:i/>
          <w:iCs/>
        </w:rPr>
        <w:t>Uses of Heritage</w:t>
      </w:r>
      <w:r w:rsidR="00BE7E8B">
        <w:t>; and</w:t>
      </w:r>
      <w:r w:rsidR="00853DB6">
        <w:t xml:space="preserve"> </w:t>
      </w:r>
      <w:r w:rsidR="00BE7E8B" w:rsidRPr="00BE7E8B">
        <w:t xml:space="preserve">Rodney Harrison, </w:t>
      </w:r>
      <w:r w:rsidR="00BE7E8B" w:rsidRPr="00BE7E8B">
        <w:rPr>
          <w:i/>
          <w:iCs/>
        </w:rPr>
        <w:t>Understanding the Politics of Heritage</w:t>
      </w:r>
      <w:r w:rsidR="00BE7E8B" w:rsidRPr="00BE7E8B">
        <w:t xml:space="preserve"> (Manchester: Manchester University Press in association with the Open University, 2010).</w:t>
      </w:r>
    </w:p>
  </w:footnote>
  <w:footnote w:id="47">
    <w:p w14:paraId="570666A1" w14:textId="48D4A4E3" w:rsidR="00CF168D" w:rsidRDefault="00CF168D">
      <w:pPr>
        <w:pStyle w:val="FootnoteText"/>
      </w:pPr>
      <w:r>
        <w:rPr>
          <w:rStyle w:val="FootnoteReference"/>
        </w:rPr>
        <w:footnoteRef/>
      </w:r>
      <w:r>
        <w:t xml:space="preserve"> </w:t>
      </w:r>
      <w:proofErr w:type="spellStart"/>
      <w:r w:rsidRPr="000F2C57">
        <w:t>Bahar</w:t>
      </w:r>
      <w:proofErr w:type="spellEnd"/>
      <w:r w:rsidRPr="000F2C57">
        <w:t xml:space="preserve"> </w:t>
      </w:r>
      <w:proofErr w:type="spellStart"/>
      <w:r w:rsidRPr="000F2C57">
        <w:t>Aykan</w:t>
      </w:r>
      <w:proofErr w:type="spellEnd"/>
      <w:r w:rsidRPr="000F2C57">
        <w:t xml:space="preserve">, “The Politics of Intangible Heritage and Food Fights in Western Asia,” </w:t>
      </w:r>
      <w:r w:rsidRPr="000F2C57">
        <w:rPr>
          <w:i/>
          <w:iCs/>
        </w:rPr>
        <w:t>International Journal of Heritage Studies</w:t>
      </w:r>
      <w:r w:rsidRPr="000F2C57">
        <w:t xml:space="preserve"> 22, no. 10 (August 25, 2016): </w:t>
      </w:r>
      <w:r w:rsidR="004D4111">
        <w:t>801</w:t>
      </w:r>
      <w:r w:rsidRPr="000F2C5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53139" w14:textId="333CDE72" w:rsidR="00CD2C24" w:rsidRDefault="00CD2C24" w:rsidP="00CD2C24">
    <w:pPr>
      <w:pStyle w:val="Header"/>
      <w:pBdr>
        <w:bottom w:val="single" w:sz="4" w:space="1" w:color="auto"/>
      </w:pBdr>
    </w:pPr>
    <w:r>
      <w:t>William Bedford</w:t>
    </w:r>
    <w:r>
      <w:ptab w:relativeTo="margin" w:alignment="right" w:leader="none"/>
    </w:r>
    <w:r w:rsidRPr="00F8512B">
      <w:t xml:space="preserve"> 2221244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CA2"/>
    <w:rsid w:val="000042C3"/>
    <w:rsid w:val="000046FB"/>
    <w:rsid w:val="000073F0"/>
    <w:rsid w:val="000124B8"/>
    <w:rsid w:val="0001411F"/>
    <w:rsid w:val="000153F9"/>
    <w:rsid w:val="000158DB"/>
    <w:rsid w:val="000176EA"/>
    <w:rsid w:val="00020887"/>
    <w:rsid w:val="00022796"/>
    <w:rsid w:val="00023124"/>
    <w:rsid w:val="00025EC0"/>
    <w:rsid w:val="00025ED7"/>
    <w:rsid w:val="00026A1D"/>
    <w:rsid w:val="00036FFA"/>
    <w:rsid w:val="00045571"/>
    <w:rsid w:val="00050902"/>
    <w:rsid w:val="00057B7F"/>
    <w:rsid w:val="000636E9"/>
    <w:rsid w:val="00063735"/>
    <w:rsid w:val="00066B88"/>
    <w:rsid w:val="00067500"/>
    <w:rsid w:val="00074C29"/>
    <w:rsid w:val="0007666E"/>
    <w:rsid w:val="000771D1"/>
    <w:rsid w:val="00077FF1"/>
    <w:rsid w:val="00083BD8"/>
    <w:rsid w:val="0008526D"/>
    <w:rsid w:val="0008674E"/>
    <w:rsid w:val="000872B0"/>
    <w:rsid w:val="00090EDB"/>
    <w:rsid w:val="00093880"/>
    <w:rsid w:val="000962C1"/>
    <w:rsid w:val="00097042"/>
    <w:rsid w:val="000A0D07"/>
    <w:rsid w:val="000A2F79"/>
    <w:rsid w:val="000A3B3C"/>
    <w:rsid w:val="000A67BE"/>
    <w:rsid w:val="000A7AB6"/>
    <w:rsid w:val="000A7F8B"/>
    <w:rsid w:val="000B07FC"/>
    <w:rsid w:val="000B2C0D"/>
    <w:rsid w:val="000B695F"/>
    <w:rsid w:val="000C150F"/>
    <w:rsid w:val="000C1F7F"/>
    <w:rsid w:val="000C4852"/>
    <w:rsid w:val="000C6AD4"/>
    <w:rsid w:val="000D3F33"/>
    <w:rsid w:val="000D42EF"/>
    <w:rsid w:val="000D714C"/>
    <w:rsid w:val="000D7AD1"/>
    <w:rsid w:val="000E34C6"/>
    <w:rsid w:val="000E5301"/>
    <w:rsid w:val="000F001A"/>
    <w:rsid w:val="000F0FCA"/>
    <w:rsid w:val="000F1F1B"/>
    <w:rsid w:val="000F2C57"/>
    <w:rsid w:val="000F335C"/>
    <w:rsid w:val="000F48AF"/>
    <w:rsid w:val="000F4C54"/>
    <w:rsid w:val="00100B31"/>
    <w:rsid w:val="00100CDC"/>
    <w:rsid w:val="00102600"/>
    <w:rsid w:val="0010448C"/>
    <w:rsid w:val="001056F2"/>
    <w:rsid w:val="0010691F"/>
    <w:rsid w:val="0010753D"/>
    <w:rsid w:val="0011330A"/>
    <w:rsid w:val="00113D2F"/>
    <w:rsid w:val="00117BFD"/>
    <w:rsid w:val="00121754"/>
    <w:rsid w:val="00122E64"/>
    <w:rsid w:val="00123FFA"/>
    <w:rsid w:val="0012641B"/>
    <w:rsid w:val="00127CE5"/>
    <w:rsid w:val="001312A2"/>
    <w:rsid w:val="00132F8D"/>
    <w:rsid w:val="00134C43"/>
    <w:rsid w:val="0014088D"/>
    <w:rsid w:val="001408B0"/>
    <w:rsid w:val="00141B24"/>
    <w:rsid w:val="00142CA2"/>
    <w:rsid w:val="00143B0E"/>
    <w:rsid w:val="00151B84"/>
    <w:rsid w:val="00153956"/>
    <w:rsid w:val="001611EC"/>
    <w:rsid w:val="001622A5"/>
    <w:rsid w:val="00165B86"/>
    <w:rsid w:val="001709A2"/>
    <w:rsid w:val="0017102C"/>
    <w:rsid w:val="00172D95"/>
    <w:rsid w:val="0017347C"/>
    <w:rsid w:val="00177A27"/>
    <w:rsid w:val="0018264C"/>
    <w:rsid w:val="001838A1"/>
    <w:rsid w:val="00190DC2"/>
    <w:rsid w:val="00193DF8"/>
    <w:rsid w:val="00194233"/>
    <w:rsid w:val="00197E1F"/>
    <w:rsid w:val="001A3B8D"/>
    <w:rsid w:val="001A458F"/>
    <w:rsid w:val="001A52B7"/>
    <w:rsid w:val="001A6417"/>
    <w:rsid w:val="001B2074"/>
    <w:rsid w:val="001B3634"/>
    <w:rsid w:val="001B6591"/>
    <w:rsid w:val="001B6C01"/>
    <w:rsid w:val="001B790E"/>
    <w:rsid w:val="001C17D7"/>
    <w:rsid w:val="001C5185"/>
    <w:rsid w:val="001C6947"/>
    <w:rsid w:val="001C6DC1"/>
    <w:rsid w:val="001D7807"/>
    <w:rsid w:val="001E1376"/>
    <w:rsid w:val="001E2D2B"/>
    <w:rsid w:val="001E6304"/>
    <w:rsid w:val="001E6CD2"/>
    <w:rsid w:val="001E758D"/>
    <w:rsid w:val="001F4824"/>
    <w:rsid w:val="001F593E"/>
    <w:rsid w:val="001F6DCB"/>
    <w:rsid w:val="00201AE7"/>
    <w:rsid w:val="00202798"/>
    <w:rsid w:val="0020312A"/>
    <w:rsid w:val="002051B4"/>
    <w:rsid w:val="0020688C"/>
    <w:rsid w:val="002105CA"/>
    <w:rsid w:val="002128B4"/>
    <w:rsid w:val="0021445C"/>
    <w:rsid w:val="00214F37"/>
    <w:rsid w:val="002157D0"/>
    <w:rsid w:val="00220ABC"/>
    <w:rsid w:val="00225410"/>
    <w:rsid w:val="00230CD7"/>
    <w:rsid w:val="00231AD4"/>
    <w:rsid w:val="00232DF4"/>
    <w:rsid w:val="00234566"/>
    <w:rsid w:val="00235CD4"/>
    <w:rsid w:val="00241632"/>
    <w:rsid w:val="00241866"/>
    <w:rsid w:val="0024233F"/>
    <w:rsid w:val="00245E93"/>
    <w:rsid w:val="002514D2"/>
    <w:rsid w:val="00251D98"/>
    <w:rsid w:val="002523EF"/>
    <w:rsid w:val="00255AB9"/>
    <w:rsid w:val="0025661E"/>
    <w:rsid w:val="002603D1"/>
    <w:rsid w:val="00261FBF"/>
    <w:rsid w:val="00262E6F"/>
    <w:rsid w:val="00264104"/>
    <w:rsid w:val="00280673"/>
    <w:rsid w:val="00282907"/>
    <w:rsid w:val="00283C60"/>
    <w:rsid w:val="00283FD1"/>
    <w:rsid w:val="0028530A"/>
    <w:rsid w:val="00294BF0"/>
    <w:rsid w:val="00294D78"/>
    <w:rsid w:val="00294F7C"/>
    <w:rsid w:val="00296FFE"/>
    <w:rsid w:val="002978A0"/>
    <w:rsid w:val="002A07C0"/>
    <w:rsid w:val="002A6EA9"/>
    <w:rsid w:val="002B065B"/>
    <w:rsid w:val="002B07BA"/>
    <w:rsid w:val="002B0D35"/>
    <w:rsid w:val="002B1D85"/>
    <w:rsid w:val="002B763D"/>
    <w:rsid w:val="002B769F"/>
    <w:rsid w:val="002C01EB"/>
    <w:rsid w:val="002C01F3"/>
    <w:rsid w:val="002C02CF"/>
    <w:rsid w:val="002C1057"/>
    <w:rsid w:val="002C6787"/>
    <w:rsid w:val="002D034B"/>
    <w:rsid w:val="002D2A71"/>
    <w:rsid w:val="002D77E5"/>
    <w:rsid w:val="002E37F9"/>
    <w:rsid w:val="002E3FBF"/>
    <w:rsid w:val="002F0E2D"/>
    <w:rsid w:val="002F2AD4"/>
    <w:rsid w:val="002F57ED"/>
    <w:rsid w:val="00300F67"/>
    <w:rsid w:val="00301CF8"/>
    <w:rsid w:val="00302450"/>
    <w:rsid w:val="00305851"/>
    <w:rsid w:val="003058BC"/>
    <w:rsid w:val="00307E69"/>
    <w:rsid w:val="00310C07"/>
    <w:rsid w:val="00311F33"/>
    <w:rsid w:val="0031256B"/>
    <w:rsid w:val="00312D0D"/>
    <w:rsid w:val="00315999"/>
    <w:rsid w:val="00320C30"/>
    <w:rsid w:val="00324F16"/>
    <w:rsid w:val="0032599D"/>
    <w:rsid w:val="00327B93"/>
    <w:rsid w:val="00330263"/>
    <w:rsid w:val="00332008"/>
    <w:rsid w:val="003358D2"/>
    <w:rsid w:val="0034214A"/>
    <w:rsid w:val="003421DB"/>
    <w:rsid w:val="0034415E"/>
    <w:rsid w:val="0034573D"/>
    <w:rsid w:val="00357A72"/>
    <w:rsid w:val="00361C78"/>
    <w:rsid w:val="003639E5"/>
    <w:rsid w:val="00363CDB"/>
    <w:rsid w:val="00367256"/>
    <w:rsid w:val="00371525"/>
    <w:rsid w:val="003726D5"/>
    <w:rsid w:val="00372DB1"/>
    <w:rsid w:val="00372E94"/>
    <w:rsid w:val="00373333"/>
    <w:rsid w:val="00380481"/>
    <w:rsid w:val="00380DF4"/>
    <w:rsid w:val="003844AA"/>
    <w:rsid w:val="00392F0B"/>
    <w:rsid w:val="00393F76"/>
    <w:rsid w:val="0039774E"/>
    <w:rsid w:val="003A0734"/>
    <w:rsid w:val="003A22FE"/>
    <w:rsid w:val="003A4489"/>
    <w:rsid w:val="003A627F"/>
    <w:rsid w:val="003B45B3"/>
    <w:rsid w:val="003B5105"/>
    <w:rsid w:val="003B59B5"/>
    <w:rsid w:val="003B5FF2"/>
    <w:rsid w:val="003C02CD"/>
    <w:rsid w:val="003C2FBB"/>
    <w:rsid w:val="003C3DE2"/>
    <w:rsid w:val="003C7F3C"/>
    <w:rsid w:val="003D014C"/>
    <w:rsid w:val="003D0B1B"/>
    <w:rsid w:val="003D2FA3"/>
    <w:rsid w:val="003D3DE4"/>
    <w:rsid w:val="003D586D"/>
    <w:rsid w:val="003E0160"/>
    <w:rsid w:val="003E3C5A"/>
    <w:rsid w:val="003E4631"/>
    <w:rsid w:val="003E56EC"/>
    <w:rsid w:val="003E6752"/>
    <w:rsid w:val="003F034C"/>
    <w:rsid w:val="003F2020"/>
    <w:rsid w:val="003F2BCF"/>
    <w:rsid w:val="003F2C5C"/>
    <w:rsid w:val="003F361D"/>
    <w:rsid w:val="0040123E"/>
    <w:rsid w:val="004116C2"/>
    <w:rsid w:val="004117B9"/>
    <w:rsid w:val="00412087"/>
    <w:rsid w:val="00413C56"/>
    <w:rsid w:val="00413FE7"/>
    <w:rsid w:val="00432DDE"/>
    <w:rsid w:val="00433870"/>
    <w:rsid w:val="00435581"/>
    <w:rsid w:val="00436BE1"/>
    <w:rsid w:val="00440E88"/>
    <w:rsid w:val="0044409C"/>
    <w:rsid w:val="00444437"/>
    <w:rsid w:val="0045060B"/>
    <w:rsid w:val="00452EA9"/>
    <w:rsid w:val="004540B0"/>
    <w:rsid w:val="004601C4"/>
    <w:rsid w:val="00472500"/>
    <w:rsid w:val="0047665E"/>
    <w:rsid w:val="0047789E"/>
    <w:rsid w:val="0048057D"/>
    <w:rsid w:val="00484373"/>
    <w:rsid w:val="00486FA1"/>
    <w:rsid w:val="00487856"/>
    <w:rsid w:val="00491A22"/>
    <w:rsid w:val="00492417"/>
    <w:rsid w:val="00494204"/>
    <w:rsid w:val="00494482"/>
    <w:rsid w:val="004948F9"/>
    <w:rsid w:val="004958AA"/>
    <w:rsid w:val="004959AA"/>
    <w:rsid w:val="00496717"/>
    <w:rsid w:val="004B0661"/>
    <w:rsid w:val="004B0F2E"/>
    <w:rsid w:val="004B237C"/>
    <w:rsid w:val="004B2999"/>
    <w:rsid w:val="004B48C9"/>
    <w:rsid w:val="004B5786"/>
    <w:rsid w:val="004C24ED"/>
    <w:rsid w:val="004C3D31"/>
    <w:rsid w:val="004C488C"/>
    <w:rsid w:val="004C5A51"/>
    <w:rsid w:val="004C6796"/>
    <w:rsid w:val="004D4111"/>
    <w:rsid w:val="004D43ED"/>
    <w:rsid w:val="004E1DA5"/>
    <w:rsid w:val="004E33E9"/>
    <w:rsid w:val="004E5A10"/>
    <w:rsid w:val="004E750E"/>
    <w:rsid w:val="004E7C6B"/>
    <w:rsid w:val="004E7E17"/>
    <w:rsid w:val="004F293C"/>
    <w:rsid w:val="005145CC"/>
    <w:rsid w:val="00517C99"/>
    <w:rsid w:val="00520966"/>
    <w:rsid w:val="00526688"/>
    <w:rsid w:val="005311CD"/>
    <w:rsid w:val="00531902"/>
    <w:rsid w:val="00532C75"/>
    <w:rsid w:val="00534E3B"/>
    <w:rsid w:val="00540707"/>
    <w:rsid w:val="00541434"/>
    <w:rsid w:val="005423AD"/>
    <w:rsid w:val="00542DB7"/>
    <w:rsid w:val="005442BD"/>
    <w:rsid w:val="0054508B"/>
    <w:rsid w:val="00551E75"/>
    <w:rsid w:val="00556246"/>
    <w:rsid w:val="00556B3C"/>
    <w:rsid w:val="0057184B"/>
    <w:rsid w:val="00577E34"/>
    <w:rsid w:val="00583791"/>
    <w:rsid w:val="0058427D"/>
    <w:rsid w:val="005938DE"/>
    <w:rsid w:val="00594C20"/>
    <w:rsid w:val="00594C98"/>
    <w:rsid w:val="005969FE"/>
    <w:rsid w:val="00597071"/>
    <w:rsid w:val="005A7BF5"/>
    <w:rsid w:val="005B1C1E"/>
    <w:rsid w:val="005B5ECD"/>
    <w:rsid w:val="005B5FB9"/>
    <w:rsid w:val="005B6E25"/>
    <w:rsid w:val="005C02EC"/>
    <w:rsid w:val="005C47E3"/>
    <w:rsid w:val="005D3EF2"/>
    <w:rsid w:val="005D505C"/>
    <w:rsid w:val="005D6E08"/>
    <w:rsid w:val="005D7883"/>
    <w:rsid w:val="005E4BAD"/>
    <w:rsid w:val="005E687E"/>
    <w:rsid w:val="005E7CD1"/>
    <w:rsid w:val="005F2AFC"/>
    <w:rsid w:val="005F489F"/>
    <w:rsid w:val="005F4E56"/>
    <w:rsid w:val="00600D29"/>
    <w:rsid w:val="006014C0"/>
    <w:rsid w:val="0060520B"/>
    <w:rsid w:val="0060540A"/>
    <w:rsid w:val="00605B4B"/>
    <w:rsid w:val="006154A8"/>
    <w:rsid w:val="006161DE"/>
    <w:rsid w:val="00626483"/>
    <w:rsid w:val="006305BB"/>
    <w:rsid w:val="00630940"/>
    <w:rsid w:val="00632085"/>
    <w:rsid w:val="00640D65"/>
    <w:rsid w:val="00640F23"/>
    <w:rsid w:val="00641ED0"/>
    <w:rsid w:val="00644719"/>
    <w:rsid w:val="00651672"/>
    <w:rsid w:val="0066088F"/>
    <w:rsid w:val="00661052"/>
    <w:rsid w:val="00661B01"/>
    <w:rsid w:val="00662483"/>
    <w:rsid w:val="006664FD"/>
    <w:rsid w:val="00666BFF"/>
    <w:rsid w:val="00671B04"/>
    <w:rsid w:val="00671DB4"/>
    <w:rsid w:val="00672034"/>
    <w:rsid w:val="00673038"/>
    <w:rsid w:val="00674E0F"/>
    <w:rsid w:val="006835A5"/>
    <w:rsid w:val="00683D35"/>
    <w:rsid w:val="00697146"/>
    <w:rsid w:val="006A1A3A"/>
    <w:rsid w:val="006B0398"/>
    <w:rsid w:val="006B1411"/>
    <w:rsid w:val="006B2A98"/>
    <w:rsid w:val="006C078A"/>
    <w:rsid w:val="006C0A0C"/>
    <w:rsid w:val="006C3220"/>
    <w:rsid w:val="006C4981"/>
    <w:rsid w:val="006C4FC8"/>
    <w:rsid w:val="006C5545"/>
    <w:rsid w:val="006C64E7"/>
    <w:rsid w:val="006D1EB9"/>
    <w:rsid w:val="006D7A00"/>
    <w:rsid w:val="006E4DB2"/>
    <w:rsid w:val="006E797B"/>
    <w:rsid w:val="006F0EEE"/>
    <w:rsid w:val="006F1192"/>
    <w:rsid w:val="006F635F"/>
    <w:rsid w:val="007003C0"/>
    <w:rsid w:val="00701CE3"/>
    <w:rsid w:val="00704414"/>
    <w:rsid w:val="0070499D"/>
    <w:rsid w:val="00704A8E"/>
    <w:rsid w:val="0070651B"/>
    <w:rsid w:val="0070794D"/>
    <w:rsid w:val="00716383"/>
    <w:rsid w:val="0072150A"/>
    <w:rsid w:val="00721AB6"/>
    <w:rsid w:val="00721CC7"/>
    <w:rsid w:val="007227AE"/>
    <w:rsid w:val="00723413"/>
    <w:rsid w:val="00727960"/>
    <w:rsid w:val="00731C9F"/>
    <w:rsid w:val="00736EE2"/>
    <w:rsid w:val="007415E0"/>
    <w:rsid w:val="00742F1F"/>
    <w:rsid w:val="007507F4"/>
    <w:rsid w:val="00751E62"/>
    <w:rsid w:val="0075205C"/>
    <w:rsid w:val="0075420A"/>
    <w:rsid w:val="007563E2"/>
    <w:rsid w:val="00756B99"/>
    <w:rsid w:val="00757D04"/>
    <w:rsid w:val="00765A35"/>
    <w:rsid w:val="00770ABA"/>
    <w:rsid w:val="0077177D"/>
    <w:rsid w:val="00771EFD"/>
    <w:rsid w:val="00772D7D"/>
    <w:rsid w:val="007737E4"/>
    <w:rsid w:val="00775B8F"/>
    <w:rsid w:val="00782515"/>
    <w:rsid w:val="00783E61"/>
    <w:rsid w:val="00793D51"/>
    <w:rsid w:val="00794B1A"/>
    <w:rsid w:val="00797E0E"/>
    <w:rsid w:val="007B50EA"/>
    <w:rsid w:val="007B5180"/>
    <w:rsid w:val="007C2065"/>
    <w:rsid w:val="007C38E4"/>
    <w:rsid w:val="007C6C10"/>
    <w:rsid w:val="007D07F6"/>
    <w:rsid w:val="007D2F96"/>
    <w:rsid w:val="007D3A97"/>
    <w:rsid w:val="007D6085"/>
    <w:rsid w:val="007E7761"/>
    <w:rsid w:val="007F1A8B"/>
    <w:rsid w:val="007F2804"/>
    <w:rsid w:val="008011E9"/>
    <w:rsid w:val="008019A8"/>
    <w:rsid w:val="00804465"/>
    <w:rsid w:val="00804FD1"/>
    <w:rsid w:val="00810B83"/>
    <w:rsid w:val="00812B7B"/>
    <w:rsid w:val="00816DE7"/>
    <w:rsid w:val="00820ECB"/>
    <w:rsid w:val="0082123F"/>
    <w:rsid w:val="008214B4"/>
    <w:rsid w:val="00822D64"/>
    <w:rsid w:val="0082365B"/>
    <w:rsid w:val="00825426"/>
    <w:rsid w:val="008260D4"/>
    <w:rsid w:val="00830766"/>
    <w:rsid w:val="008343B7"/>
    <w:rsid w:val="00840F48"/>
    <w:rsid w:val="00841D5A"/>
    <w:rsid w:val="00842198"/>
    <w:rsid w:val="0084462F"/>
    <w:rsid w:val="00853DB6"/>
    <w:rsid w:val="00855FFF"/>
    <w:rsid w:val="0085753E"/>
    <w:rsid w:val="00860F94"/>
    <w:rsid w:val="00861582"/>
    <w:rsid w:val="008629B0"/>
    <w:rsid w:val="0086697F"/>
    <w:rsid w:val="008702C1"/>
    <w:rsid w:val="00873953"/>
    <w:rsid w:val="0087449F"/>
    <w:rsid w:val="008744A5"/>
    <w:rsid w:val="008808E5"/>
    <w:rsid w:val="00883621"/>
    <w:rsid w:val="00883BEA"/>
    <w:rsid w:val="00884681"/>
    <w:rsid w:val="00887911"/>
    <w:rsid w:val="008904F7"/>
    <w:rsid w:val="0089231F"/>
    <w:rsid w:val="00893D13"/>
    <w:rsid w:val="00893EC2"/>
    <w:rsid w:val="00897F34"/>
    <w:rsid w:val="008A074C"/>
    <w:rsid w:val="008A2EBF"/>
    <w:rsid w:val="008A36F6"/>
    <w:rsid w:val="008A427D"/>
    <w:rsid w:val="008A43B4"/>
    <w:rsid w:val="008A4D5E"/>
    <w:rsid w:val="008A503D"/>
    <w:rsid w:val="008B00D1"/>
    <w:rsid w:val="008B2BDE"/>
    <w:rsid w:val="008B62A5"/>
    <w:rsid w:val="008D17D4"/>
    <w:rsid w:val="008D19C8"/>
    <w:rsid w:val="008D1E38"/>
    <w:rsid w:val="008D2866"/>
    <w:rsid w:val="008D2890"/>
    <w:rsid w:val="008D4060"/>
    <w:rsid w:val="008D6CDF"/>
    <w:rsid w:val="008D6F88"/>
    <w:rsid w:val="008D7FDF"/>
    <w:rsid w:val="008E1076"/>
    <w:rsid w:val="008F10D9"/>
    <w:rsid w:val="008F6346"/>
    <w:rsid w:val="008F7061"/>
    <w:rsid w:val="008F777E"/>
    <w:rsid w:val="008F7FF5"/>
    <w:rsid w:val="00905095"/>
    <w:rsid w:val="0091474C"/>
    <w:rsid w:val="0092017E"/>
    <w:rsid w:val="0092557A"/>
    <w:rsid w:val="009264FB"/>
    <w:rsid w:val="00927391"/>
    <w:rsid w:val="0093030F"/>
    <w:rsid w:val="00930EDE"/>
    <w:rsid w:val="009310A2"/>
    <w:rsid w:val="009313EF"/>
    <w:rsid w:val="009329CE"/>
    <w:rsid w:val="00932AEF"/>
    <w:rsid w:val="00932C16"/>
    <w:rsid w:val="00933D73"/>
    <w:rsid w:val="0093618C"/>
    <w:rsid w:val="00944078"/>
    <w:rsid w:val="0094734B"/>
    <w:rsid w:val="00956A7A"/>
    <w:rsid w:val="00962822"/>
    <w:rsid w:val="00965855"/>
    <w:rsid w:val="0096676E"/>
    <w:rsid w:val="00967780"/>
    <w:rsid w:val="00972D69"/>
    <w:rsid w:val="00977D68"/>
    <w:rsid w:val="0098070F"/>
    <w:rsid w:val="00981CBB"/>
    <w:rsid w:val="00987692"/>
    <w:rsid w:val="00987792"/>
    <w:rsid w:val="009907ED"/>
    <w:rsid w:val="00992241"/>
    <w:rsid w:val="00992531"/>
    <w:rsid w:val="00995EC9"/>
    <w:rsid w:val="009A457C"/>
    <w:rsid w:val="009B01B5"/>
    <w:rsid w:val="009B0B36"/>
    <w:rsid w:val="009B15CF"/>
    <w:rsid w:val="009B31EB"/>
    <w:rsid w:val="009B45C7"/>
    <w:rsid w:val="009B5F04"/>
    <w:rsid w:val="009C2CB2"/>
    <w:rsid w:val="009D0A7E"/>
    <w:rsid w:val="009D1B74"/>
    <w:rsid w:val="009D40B0"/>
    <w:rsid w:val="009D443F"/>
    <w:rsid w:val="009D66F8"/>
    <w:rsid w:val="009E1619"/>
    <w:rsid w:val="009E554C"/>
    <w:rsid w:val="009E6B16"/>
    <w:rsid w:val="009F25E4"/>
    <w:rsid w:val="009F5731"/>
    <w:rsid w:val="009F6D49"/>
    <w:rsid w:val="009F7B2B"/>
    <w:rsid w:val="009F7FB5"/>
    <w:rsid w:val="00A00EE5"/>
    <w:rsid w:val="00A01815"/>
    <w:rsid w:val="00A04209"/>
    <w:rsid w:val="00A04498"/>
    <w:rsid w:val="00A04637"/>
    <w:rsid w:val="00A10DA4"/>
    <w:rsid w:val="00A11421"/>
    <w:rsid w:val="00A2130C"/>
    <w:rsid w:val="00A21E3F"/>
    <w:rsid w:val="00A2212C"/>
    <w:rsid w:val="00A27E2C"/>
    <w:rsid w:val="00A362BB"/>
    <w:rsid w:val="00A46D76"/>
    <w:rsid w:val="00A5125D"/>
    <w:rsid w:val="00A51856"/>
    <w:rsid w:val="00A53FCD"/>
    <w:rsid w:val="00A55CCF"/>
    <w:rsid w:val="00A71AA5"/>
    <w:rsid w:val="00A72709"/>
    <w:rsid w:val="00A73996"/>
    <w:rsid w:val="00A76164"/>
    <w:rsid w:val="00A76C22"/>
    <w:rsid w:val="00A7721D"/>
    <w:rsid w:val="00A80BCF"/>
    <w:rsid w:val="00A81611"/>
    <w:rsid w:val="00A8177E"/>
    <w:rsid w:val="00A877E6"/>
    <w:rsid w:val="00A90079"/>
    <w:rsid w:val="00A93DB8"/>
    <w:rsid w:val="00A944AD"/>
    <w:rsid w:val="00A94FED"/>
    <w:rsid w:val="00A95507"/>
    <w:rsid w:val="00A96847"/>
    <w:rsid w:val="00A96C1A"/>
    <w:rsid w:val="00A9703C"/>
    <w:rsid w:val="00A97A51"/>
    <w:rsid w:val="00AA0FC3"/>
    <w:rsid w:val="00AA4977"/>
    <w:rsid w:val="00AB2084"/>
    <w:rsid w:val="00AB79A1"/>
    <w:rsid w:val="00AC00EB"/>
    <w:rsid w:val="00AC2186"/>
    <w:rsid w:val="00AC54C3"/>
    <w:rsid w:val="00AD046C"/>
    <w:rsid w:val="00AD28EA"/>
    <w:rsid w:val="00AD2F48"/>
    <w:rsid w:val="00AD42D5"/>
    <w:rsid w:val="00AD5708"/>
    <w:rsid w:val="00AD7432"/>
    <w:rsid w:val="00AD7AEF"/>
    <w:rsid w:val="00AE19D2"/>
    <w:rsid w:val="00AE3054"/>
    <w:rsid w:val="00AF3301"/>
    <w:rsid w:val="00AF3841"/>
    <w:rsid w:val="00AF459E"/>
    <w:rsid w:val="00AF53D8"/>
    <w:rsid w:val="00AF6246"/>
    <w:rsid w:val="00AF7FCF"/>
    <w:rsid w:val="00B001D4"/>
    <w:rsid w:val="00B019AF"/>
    <w:rsid w:val="00B040B6"/>
    <w:rsid w:val="00B05257"/>
    <w:rsid w:val="00B063B6"/>
    <w:rsid w:val="00B12B92"/>
    <w:rsid w:val="00B16667"/>
    <w:rsid w:val="00B16C9C"/>
    <w:rsid w:val="00B17E3B"/>
    <w:rsid w:val="00B2055E"/>
    <w:rsid w:val="00B208F8"/>
    <w:rsid w:val="00B22E11"/>
    <w:rsid w:val="00B27CA7"/>
    <w:rsid w:val="00B31F22"/>
    <w:rsid w:val="00B3458C"/>
    <w:rsid w:val="00B34DC6"/>
    <w:rsid w:val="00B41142"/>
    <w:rsid w:val="00B41F2F"/>
    <w:rsid w:val="00B431A4"/>
    <w:rsid w:val="00B45B23"/>
    <w:rsid w:val="00B52CD1"/>
    <w:rsid w:val="00B569F7"/>
    <w:rsid w:val="00B6029C"/>
    <w:rsid w:val="00B61B71"/>
    <w:rsid w:val="00B63EB6"/>
    <w:rsid w:val="00B64365"/>
    <w:rsid w:val="00B657B0"/>
    <w:rsid w:val="00B658F9"/>
    <w:rsid w:val="00B706C9"/>
    <w:rsid w:val="00B72691"/>
    <w:rsid w:val="00B728AC"/>
    <w:rsid w:val="00B74DCA"/>
    <w:rsid w:val="00B83A03"/>
    <w:rsid w:val="00B949B9"/>
    <w:rsid w:val="00B95595"/>
    <w:rsid w:val="00B96AE3"/>
    <w:rsid w:val="00B970C7"/>
    <w:rsid w:val="00BA06D1"/>
    <w:rsid w:val="00BA2764"/>
    <w:rsid w:val="00BA539A"/>
    <w:rsid w:val="00BA5EF8"/>
    <w:rsid w:val="00BB26E5"/>
    <w:rsid w:val="00BB74F8"/>
    <w:rsid w:val="00BC046B"/>
    <w:rsid w:val="00BC2964"/>
    <w:rsid w:val="00BD1689"/>
    <w:rsid w:val="00BD3032"/>
    <w:rsid w:val="00BD7C87"/>
    <w:rsid w:val="00BE1AFE"/>
    <w:rsid w:val="00BE2E63"/>
    <w:rsid w:val="00BE7C25"/>
    <w:rsid w:val="00BE7DE0"/>
    <w:rsid w:val="00BE7E8B"/>
    <w:rsid w:val="00BF068D"/>
    <w:rsid w:val="00BF14DD"/>
    <w:rsid w:val="00BF2047"/>
    <w:rsid w:val="00BF209F"/>
    <w:rsid w:val="00BF2659"/>
    <w:rsid w:val="00BF2D97"/>
    <w:rsid w:val="00BF7405"/>
    <w:rsid w:val="00C00B92"/>
    <w:rsid w:val="00C012F6"/>
    <w:rsid w:val="00C017CF"/>
    <w:rsid w:val="00C07A6D"/>
    <w:rsid w:val="00C11CD0"/>
    <w:rsid w:val="00C17832"/>
    <w:rsid w:val="00C36A5A"/>
    <w:rsid w:val="00C37A53"/>
    <w:rsid w:val="00C404B4"/>
    <w:rsid w:val="00C41297"/>
    <w:rsid w:val="00C4489B"/>
    <w:rsid w:val="00C5065C"/>
    <w:rsid w:val="00C51BF7"/>
    <w:rsid w:val="00C520D2"/>
    <w:rsid w:val="00C54052"/>
    <w:rsid w:val="00C565A3"/>
    <w:rsid w:val="00C6173A"/>
    <w:rsid w:val="00C66DCB"/>
    <w:rsid w:val="00C720AC"/>
    <w:rsid w:val="00C72CB1"/>
    <w:rsid w:val="00C742CE"/>
    <w:rsid w:val="00C7498D"/>
    <w:rsid w:val="00C801BD"/>
    <w:rsid w:val="00C803C1"/>
    <w:rsid w:val="00C8122F"/>
    <w:rsid w:val="00C81A31"/>
    <w:rsid w:val="00CA4EE1"/>
    <w:rsid w:val="00CA680C"/>
    <w:rsid w:val="00CB20CB"/>
    <w:rsid w:val="00CB2E2B"/>
    <w:rsid w:val="00CB587C"/>
    <w:rsid w:val="00CB660F"/>
    <w:rsid w:val="00CB6B45"/>
    <w:rsid w:val="00CC16B9"/>
    <w:rsid w:val="00CC425C"/>
    <w:rsid w:val="00CC44A7"/>
    <w:rsid w:val="00CD0A64"/>
    <w:rsid w:val="00CD2167"/>
    <w:rsid w:val="00CD2C24"/>
    <w:rsid w:val="00CD2C47"/>
    <w:rsid w:val="00CD75C0"/>
    <w:rsid w:val="00CE0831"/>
    <w:rsid w:val="00CE0D3D"/>
    <w:rsid w:val="00CE65FA"/>
    <w:rsid w:val="00CE739A"/>
    <w:rsid w:val="00CE7F45"/>
    <w:rsid w:val="00CF075F"/>
    <w:rsid w:val="00CF100B"/>
    <w:rsid w:val="00CF168D"/>
    <w:rsid w:val="00CF2323"/>
    <w:rsid w:val="00CF5677"/>
    <w:rsid w:val="00D03403"/>
    <w:rsid w:val="00D07B89"/>
    <w:rsid w:val="00D12CB4"/>
    <w:rsid w:val="00D228A6"/>
    <w:rsid w:val="00D23DA9"/>
    <w:rsid w:val="00D2592C"/>
    <w:rsid w:val="00D2774E"/>
    <w:rsid w:val="00D3524A"/>
    <w:rsid w:val="00D3647B"/>
    <w:rsid w:val="00D37C1C"/>
    <w:rsid w:val="00D423B0"/>
    <w:rsid w:val="00D443B0"/>
    <w:rsid w:val="00D45A3A"/>
    <w:rsid w:val="00D554C8"/>
    <w:rsid w:val="00D56281"/>
    <w:rsid w:val="00D65E1D"/>
    <w:rsid w:val="00D66DA5"/>
    <w:rsid w:val="00D70F15"/>
    <w:rsid w:val="00D749F7"/>
    <w:rsid w:val="00D75BF2"/>
    <w:rsid w:val="00D80781"/>
    <w:rsid w:val="00D853C3"/>
    <w:rsid w:val="00D8576A"/>
    <w:rsid w:val="00D870C8"/>
    <w:rsid w:val="00D87BE0"/>
    <w:rsid w:val="00D95136"/>
    <w:rsid w:val="00DA3A84"/>
    <w:rsid w:val="00DA653F"/>
    <w:rsid w:val="00DB2165"/>
    <w:rsid w:val="00DB3E92"/>
    <w:rsid w:val="00DB40FE"/>
    <w:rsid w:val="00DB68A9"/>
    <w:rsid w:val="00DC58FA"/>
    <w:rsid w:val="00DD2E3F"/>
    <w:rsid w:val="00DD339A"/>
    <w:rsid w:val="00DD3707"/>
    <w:rsid w:val="00DD4028"/>
    <w:rsid w:val="00DD5261"/>
    <w:rsid w:val="00DD62B7"/>
    <w:rsid w:val="00DE1E37"/>
    <w:rsid w:val="00DE28FF"/>
    <w:rsid w:val="00DE69C2"/>
    <w:rsid w:val="00DE6C04"/>
    <w:rsid w:val="00DF04EA"/>
    <w:rsid w:val="00DF6326"/>
    <w:rsid w:val="00E02D0F"/>
    <w:rsid w:val="00E0795C"/>
    <w:rsid w:val="00E10AC5"/>
    <w:rsid w:val="00E13FA2"/>
    <w:rsid w:val="00E17902"/>
    <w:rsid w:val="00E23AB6"/>
    <w:rsid w:val="00E25084"/>
    <w:rsid w:val="00E30181"/>
    <w:rsid w:val="00E3103B"/>
    <w:rsid w:val="00E3165C"/>
    <w:rsid w:val="00E31689"/>
    <w:rsid w:val="00E31D11"/>
    <w:rsid w:val="00E333AC"/>
    <w:rsid w:val="00E3532D"/>
    <w:rsid w:val="00E353C1"/>
    <w:rsid w:val="00E36F77"/>
    <w:rsid w:val="00E37479"/>
    <w:rsid w:val="00E41E0A"/>
    <w:rsid w:val="00E44D23"/>
    <w:rsid w:val="00E4668C"/>
    <w:rsid w:val="00E477BA"/>
    <w:rsid w:val="00E47EB2"/>
    <w:rsid w:val="00E52F84"/>
    <w:rsid w:val="00E53EE0"/>
    <w:rsid w:val="00E5603C"/>
    <w:rsid w:val="00E62774"/>
    <w:rsid w:val="00E63536"/>
    <w:rsid w:val="00E7087F"/>
    <w:rsid w:val="00E71908"/>
    <w:rsid w:val="00E8037B"/>
    <w:rsid w:val="00E808A4"/>
    <w:rsid w:val="00E80CBF"/>
    <w:rsid w:val="00E837C3"/>
    <w:rsid w:val="00E8719E"/>
    <w:rsid w:val="00E9277A"/>
    <w:rsid w:val="00E955FE"/>
    <w:rsid w:val="00EA2990"/>
    <w:rsid w:val="00EA488A"/>
    <w:rsid w:val="00EB20D1"/>
    <w:rsid w:val="00EB4267"/>
    <w:rsid w:val="00EB4E10"/>
    <w:rsid w:val="00EB724F"/>
    <w:rsid w:val="00EC1550"/>
    <w:rsid w:val="00EC2DE9"/>
    <w:rsid w:val="00EC54DC"/>
    <w:rsid w:val="00ED2F58"/>
    <w:rsid w:val="00ED4D4F"/>
    <w:rsid w:val="00EE4DD5"/>
    <w:rsid w:val="00EE5847"/>
    <w:rsid w:val="00EE5B1F"/>
    <w:rsid w:val="00EF06F8"/>
    <w:rsid w:val="00EF575B"/>
    <w:rsid w:val="00EF60E1"/>
    <w:rsid w:val="00F007ED"/>
    <w:rsid w:val="00F02D5A"/>
    <w:rsid w:val="00F0655C"/>
    <w:rsid w:val="00F102E6"/>
    <w:rsid w:val="00F116CA"/>
    <w:rsid w:val="00F131BA"/>
    <w:rsid w:val="00F14D33"/>
    <w:rsid w:val="00F23D35"/>
    <w:rsid w:val="00F261C0"/>
    <w:rsid w:val="00F26A96"/>
    <w:rsid w:val="00F329A3"/>
    <w:rsid w:val="00F35874"/>
    <w:rsid w:val="00F40134"/>
    <w:rsid w:val="00F4605C"/>
    <w:rsid w:val="00F47401"/>
    <w:rsid w:val="00F60548"/>
    <w:rsid w:val="00F61DD4"/>
    <w:rsid w:val="00F708A2"/>
    <w:rsid w:val="00F71028"/>
    <w:rsid w:val="00F71CCA"/>
    <w:rsid w:val="00F76006"/>
    <w:rsid w:val="00F773F0"/>
    <w:rsid w:val="00F825CE"/>
    <w:rsid w:val="00F84C12"/>
    <w:rsid w:val="00F86B5D"/>
    <w:rsid w:val="00F927F1"/>
    <w:rsid w:val="00F93B4D"/>
    <w:rsid w:val="00FA0845"/>
    <w:rsid w:val="00FA3C2C"/>
    <w:rsid w:val="00FA5AAC"/>
    <w:rsid w:val="00FA7B92"/>
    <w:rsid w:val="00FB0115"/>
    <w:rsid w:val="00FB2B1B"/>
    <w:rsid w:val="00FC1A55"/>
    <w:rsid w:val="00FC2EEB"/>
    <w:rsid w:val="00FC54F3"/>
    <w:rsid w:val="00FD00C6"/>
    <w:rsid w:val="00FD097A"/>
    <w:rsid w:val="00FD2E3C"/>
    <w:rsid w:val="00FD3EA2"/>
    <w:rsid w:val="00FD4C8E"/>
    <w:rsid w:val="00FD5668"/>
    <w:rsid w:val="00FE5382"/>
    <w:rsid w:val="00FE6960"/>
    <w:rsid w:val="00FE736D"/>
    <w:rsid w:val="00FE7513"/>
    <w:rsid w:val="00FF037C"/>
    <w:rsid w:val="00FF06E0"/>
    <w:rsid w:val="00FF3686"/>
    <w:rsid w:val="00FF4134"/>
    <w:rsid w:val="00FF6C0A"/>
    <w:rsid w:val="00FF7C35"/>
    <w:rsid w:val="00FF7F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0BFDDD"/>
  <w15:chartTrackingRefBased/>
  <w15:docId w15:val="{E4CC1537-BC44-4461-9C97-705DBAC20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AD4"/>
    <w:pPr>
      <w:spacing w:line="360"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72691"/>
    <w:pPr>
      <w:spacing w:after="240" w:line="240" w:lineRule="auto"/>
      <w:ind w:left="284"/>
    </w:pPr>
  </w:style>
  <w:style w:type="paragraph" w:styleId="FootnoteText">
    <w:name w:val="footnote text"/>
    <w:basedOn w:val="Normal"/>
    <w:link w:val="FootnoteTextChar"/>
    <w:uiPriority w:val="99"/>
    <w:semiHidden/>
    <w:unhideWhenUsed/>
    <w:rsid w:val="00F0655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0655C"/>
    <w:rPr>
      <w:sz w:val="20"/>
      <w:szCs w:val="20"/>
    </w:rPr>
  </w:style>
  <w:style w:type="character" w:styleId="FootnoteReference">
    <w:name w:val="footnote reference"/>
    <w:basedOn w:val="DefaultParagraphFont"/>
    <w:uiPriority w:val="99"/>
    <w:semiHidden/>
    <w:unhideWhenUsed/>
    <w:rsid w:val="00F0655C"/>
    <w:rPr>
      <w:vertAlign w:val="superscript"/>
    </w:rPr>
  </w:style>
  <w:style w:type="paragraph" w:styleId="Header">
    <w:name w:val="header"/>
    <w:basedOn w:val="Normal"/>
    <w:link w:val="HeaderChar"/>
    <w:uiPriority w:val="99"/>
    <w:unhideWhenUsed/>
    <w:rsid w:val="00CD2C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2C24"/>
  </w:style>
  <w:style w:type="paragraph" w:styleId="Footer">
    <w:name w:val="footer"/>
    <w:basedOn w:val="Normal"/>
    <w:link w:val="FooterChar"/>
    <w:uiPriority w:val="99"/>
    <w:unhideWhenUsed/>
    <w:rsid w:val="00CD2C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2C24"/>
  </w:style>
  <w:style w:type="character" w:styleId="Hyperlink">
    <w:name w:val="Hyperlink"/>
    <w:basedOn w:val="DefaultParagraphFont"/>
    <w:uiPriority w:val="99"/>
    <w:unhideWhenUsed/>
    <w:rsid w:val="00825426"/>
    <w:rPr>
      <w:color w:val="0563C1" w:themeColor="hyperlink"/>
      <w:u w:val="single"/>
    </w:rPr>
  </w:style>
  <w:style w:type="character" w:styleId="UnresolvedMention">
    <w:name w:val="Unresolved Mention"/>
    <w:basedOn w:val="DefaultParagraphFont"/>
    <w:uiPriority w:val="99"/>
    <w:semiHidden/>
    <w:unhideWhenUsed/>
    <w:rsid w:val="00825426"/>
    <w:rPr>
      <w:color w:val="605E5C"/>
      <w:shd w:val="clear" w:color="auto" w:fill="E1DFDD"/>
    </w:rPr>
  </w:style>
  <w:style w:type="paragraph" w:styleId="ListParagraph">
    <w:name w:val="List Paragraph"/>
    <w:basedOn w:val="Normal"/>
    <w:uiPriority w:val="34"/>
    <w:qFormat/>
    <w:rsid w:val="00810B83"/>
    <w:pPr>
      <w:ind w:left="720"/>
      <w:contextualSpacing/>
    </w:pPr>
  </w:style>
  <w:style w:type="paragraph" w:styleId="NormalWeb">
    <w:name w:val="Normal (Web)"/>
    <w:basedOn w:val="Normal"/>
    <w:uiPriority w:val="99"/>
    <w:unhideWhenUsed/>
    <w:rsid w:val="00DB68A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779019">
      <w:bodyDiv w:val="1"/>
      <w:marLeft w:val="0"/>
      <w:marRight w:val="0"/>
      <w:marTop w:val="0"/>
      <w:marBottom w:val="0"/>
      <w:divBdr>
        <w:top w:val="none" w:sz="0" w:space="0" w:color="auto"/>
        <w:left w:val="none" w:sz="0" w:space="0" w:color="auto"/>
        <w:bottom w:val="none" w:sz="0" w:space="0" w:color="auto"/>
        <w:right w:val="none" w:sz="0" w:space="0" w:color="auto"/>
      </w:divBdr>
      <w:divsChild>
        <w:div w:id="1793282538">
          <w:marLeft w:val="0"/>
          <w:marRight w:val="0"/>
          <w:marTop w:val="0"/>
          <w:marBottom w:val="0"/>
          <w:divBdr>
            <w:top w:val="none" w:sz="0" w:space="0" w:color="auto"/>
            <w:left w:val="none" w:sz="0" w:space="0" w:color="auto"/>
            <w:bottom w:val="none" w:sz="0" w:space="0" w:color="auto"/>
            <w:right w:val="none" w:sz="0" w:space="0" w:color="auto"/>
          </w:divBdr>
        </w:div>
      </w:divsChild>
    </w:div>
    <w:div w:id="1228688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1080/00438243.2013.823885" TargetMode="External"/><Relationship Id="rId7" Type="http://schemas.openxmlformats.org/officeDocument/2006/relationships/hyperlink" Target="https://publications.parliament.uk/pa/cm200809/cmhansrd/cm090625/debtext/90625-0019.htm" TargetMode="External"/><Relationship Id="rId2" Type="http://schemas.openxmlformats.org/officeDocument/2006/relationships/hyperlink" Target="https://ich.unesco.org/en/convention" TargetMode="External"/><Relationship Id="rId1" Type="http://schemas.openxmlformats.org/officeDocument/2006/relationships/hyperlink" Target="https://law.gov.wales/constitution-and-government/constitution-and-devolution/executive-devolution-1998-2007" TargetMode="External"/><Relationship Id="rId6" Type="http://schemas.openxmlformats.org/officeDocument/2006/relationships/hyperlink" Target="https://historicengland.org.uk/listing/the-list/list-entry/1371907" TargetMode="External"/><Relationship Id="rId5" Type="http://schemas.openxmlformats.org/officeDocument/2006/relationships/hyperlink" Target="https://www.communities.gov.uk/documents/planningandbuilding/pdf/156777.pdf" TargetMode="External"/><Relationship Id="rId4" Type="http://schemas.openxmlformats.org/officeDocument/2006/relationships/hyperlink" Target="https://www.legislation.gov.uk/ukpga/1990/9/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118DCF1F-45C9-4DA0-AB38-4B6F1BD26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5412</Words>
  <Characters>32203</Characters>
  <Application>Microsoft Office Word</Application>
  <DocSecurity>0</DocSecurity>
  <Lines>453</Lines>
  <Paragraphs>127</Paragraphs>
  <ScaleCrop>false</ScaleCrop>
  <Company/>
  <LinksUpToDate>false</LinksUpToDate>
  <CharactersWithSpaces>37488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Bedford</dc:creator>
  <cp:keywords/>
  <dc:description/>
  <cp:lastModifiedBy>Will Bedford</cp:lastModifiedBy>
  <cp:revision>899</cp:revision>
  <dcterms:created xsi:type="dcterms:W3CDTF">2023-05-23T22:39:00Z</dcterms:created>
  <dcterms:modified xsi:type="dcterms:W3CDTF">2023-06-02T07:52:00Z</dcterms:modified>
</cp:coreProperties>
</file>