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304067B" w14:textId="77777777" w:rsidR="000B391D" w:rsidRPr="00DC3D5E" w:rsidRDefault="000B391D">
      <w:pPr>
        <w:spacing w:line="480" w:lineRule="auto"/>
        <w:jc w:val="center"/>
        <w:rPr>
          <w:rFonts w:eastAsia="Times New Roman"/>
          <w:b/>
          <w:sz w:val="32"/>
          <w:szCs w:val="32"/>
        </w:rPr>
      </w:pPr>
    </w:p>
    <w:p w14:paraId="49467ED7" w14:textId="3ECB81DB" w:rsidR="009336CB" w:rsidRPr="00DE569A" w:rsidRDefault="009336CB" w:rsidP="00FC0E89">
      <w:pPr>
        <w:spacing w:line="480" w:lineRule="auto"/>
        <w:jc w:val="center"/>
        <w:rPr>
          <w:rFonts w:asciiTheme="minorHAnsi" w:hAnsiTheme="minorHAnsi" w:cs="Times New Roman"/>
          <w:b/>
          <w:bCs/>
          <w:sz w:val="28"/>
          <w:szCs w:val="28"/>
        </w:rPr>
      </w:pPr>
      <w:bookmarkStart w:id="0" w:name="_Hlk159159931"/>
    </w:p>
    <w:p w14:paraId="307CD938" w14:textId="01CE3B08" w:rsidR="009336CB" w:rsidRPr="00DE569A" w:rsidRDefault="009336CB" w:rsidP="009336CB">
      <w:pPr>
        <w:spacing w:line="480" w:lineRule="auto"/>
        <w:jc w:val="center"/>
        <w:rPr>
          <w:rFonts w:asciiTheme="minorHAnsi" w:hAnsiTheme="minorHAnsi" w:cs="Times New Roman"/>
          <w:b/>
          <w:bCs/>
          <w:sz w:val="28"/>
          <w:szCs w:val="28"/>
        </w:rPr>
      </w:pPr>
      <w:r w:rsidRPr="00DE569A">
        <w:rPr>
          <w:rFonts w:asciiTheme="minorHAnsi" w:hAnsiTheme="minorHAnsi" w:cs="Times New Roman"/>
          <w:b/>
          <w:bCs/>
          <w:sz w:val="28"/>
          <w:szCs w:val="28"/>
        </w:rPr>
        <w:t>Module code: BMIH5004</w:t>
      </w:r>
    </w:p>
    <w:p w14:paraId="6419203E" w14:textId="77777777" w:rsidR="009336CB" w:rsidRPr="00DE569A" w:rsidRDefault="0097695E">
      <w:pPr>
        <w:spacing w:line="480" w:lineRule="auto"/>
        <w:jc w:val="center"/>
        <w:rPr>
          <w:rFonts w:asciiTheme="minorHAnsi" w:eastAsia="Times New Roman" w:hAnsiTheme="minorHAnsi"/>
          <w:b/>
          <w:sz w:val="28"/>
          <w:szCs w:val="28"/>
        </w:rPr>
      </w:pPr>
      <w:r w:rsidRPr="00DE569A">
        <w:rPr>
          <w:rFonts w:asciiTheme="minorHAnsi" w:eastAsia="Times New Roman" w:hAnsiTheme="minorHAnsi"/>
          <w:b/>
          <w:sz w:val="28"/>
          <w:szCs w:val="28"/>
        </w:rPr>
        <w:t>MANAGEMENT AND ORGANISATIONAL BEHAVIOUR</w:t>
      </w:r>
    </w:p>
    <w:p w14:paraId="455B55F5" w14:textId="282A2163" w:rsidR="009336CB" w:rsidRPr="00DE569A" w:rsidRDefault="008F2EDA">
      <w:pPr>
        <w:spacing w:line="480" w:lineRule="auto"/>
        <w:jc w:val="center"/>
        <w:rPr>
          <w:rFonts w:asciiTheme="minorHAnsi" w:eastAsia="Times New Roman" w:hAnsiTheme="minorHAnsi"/>
          <w:b/>
          <w:sz w:val="28"/>
          <w:szCs w:val="28"/>
        </w:rPr>
      </w:pPr>
      <w:r>
        <w:rPr>
          <w:rFonts w:asciiTheme="minorHAnsi" w:eastAsia="Times New Roman" w:hAnsiTheme="minorHAnsi"/>
          <w:b/>
          <w:sz w:val="28"/>
          <w:szCs w:val="28"/>
        </w:rPr>
        <w:t>Report</w:t>
      </w:r>
    </w:p>
    <w:p w14:paraId="7607EEF5" w14:textId="77777777" w:rsidR="00DE569A" w:rsidRPr="00AF569B" w:rsidRDefault="00DE569A" w:rsidP="00DE569A">
      <w:pPr>
        <w:spacing w:line="480" w:lineRule="auto"/>
        <w:jc w:val="center"/>
        <w:rPr>
          <w:rFonts w:asciiTheme="minorHAnsi" w:hAnsiTheme="minorHAnsi"/>
          <w:b/>
          <w:bCs/>
          <w:sz w:val="28"/>
          <w:szCs w:val="28"/>
        </w:rPr>
      </w:pPr>
      <w:r w:rsidRPr="00AF569B">
        <w:rPr>
          <w:rFonts w:asciiTheme="minorHAnsi" w:hAnsiTheme="minorHAnsi"/>
          <w:b/>
          <w:bCs/>
          <w:sz w:val="28"/>
          <w:szCs w:val="28"/>
        </w:rPr>
        <w:t>Student name:  Nicolae-Mircea Masca</w:t>
      </w:r>
    </w:p>
    <w:p w14:paraId="29671ADA" w14:textId="77777777" w:rsidR="00DE569A" w:rsidRPr="00AF569B" w:rsidRDefault="00DE569A" w:rsidP="00DE569A">
      <w:pPr>
        <w:spacing w:line="480" w:lineRule="auto"/>
        <w:jc w:val="center"/>
        <w:rPr>
          <w:rFonts w:asciiTheme="minorHAnsi" w:hAnsiTheme="minorHAnsi"/>
          <w:b/>
          <w:bCs/>
          <w:sz w:val="28"/>
          <w:szCs w:val="28"/>
        </w:rPr>
      </w:pPr>
      <w:r w:rsidRPr="00AF569B">
        <w:rPr>
          <w:rFonts w:asciiTheme="minorHAnsi" w:hAnsiTheme="minorHAnsi"/>
          <w:b/>
          <w:bCs/>
          <w:sz w:val="28"/>
          <w:szCs w:val="28"/>
        </w:rPr>
        <w:t>Student ID: 2126875</w:t>
      </w:r>
    </w:p>
    <w:p w14:paraId="00000002" w14:textId="7EEF48BE" w:rsidR="00CE5C6D" w:rsidRPr="00520362" w:rsidRDefault="00DE569A" w:rsidP="00DE569A">
      <w:pPr>
        <w:spacing w:line="480" w:lineRule="auto"/>
        <w:jc w:val="center"/>
        <w:rPr>
          <w:rFonts w:eastAsia="Times New Roman"/>
          <w:b/>
          <w:sz w:val="28"/>
          <w:szCs w:val="28"/>
          <w:lang w:val="de-DE"/>
        </w:rPr>
      </w:pPr>
      <w:r w:rsidRPr="00520362">
        <w:rPr>
          <w:rFonts w:asciiTheme="minorHAnsi" w:hAnsiTheme="minorHAnsi"/>
          <w:b/>
          <w:bCs/>
          <w:sz w:val="28"/>
          <w:szCs w:val="28"/>
          <w:lang w:val="de-DE"/>
        </w:rPr>
        <w:t>Lecturer name:</w:t>
      </w:r>
      <w:r w:rsidRPr="00520362">
        <w:rPr>
          <w:rFonts w:asciiTheme="minorHAnsi" w:hAnsiTheme="minorHAnsi"/>
          <w:sz w:val="28"/>
          <w:szCs w:val="28"/>
          <w:lang w:val="de-DE"/>
        </w:rPr>
        <w:t xml:space="preserve"> </w:t>
      </w:r>
      <w:r w:rsidR="00520362" w:rsidRPr="00520362">
        <w:rPr>
          <w:rFonts w:asciiTheme="minorHAnsi" w:hAnsiTheme="minorHAnsi"/>
          <w:b/>
          <w:bCs/>
          <w:sz w:val="28"/>
          <w:szCs w:val="28"/>
          <w:lang w:val="de-DE"/>
        </w:rPr>
        <w:t>Maggie Lan Zang</w:t>
      </w:r>
      <w:bookmarkEnd w:id="0"/>
      <w:r w:rsidR="0097695E" w:rsidRPr="00520362">
        <w:rPr>
          <w:lang w:val="de-DE"/>
        </w:rPr>
        <w:br w:type="page"/>
      </w:r>
    </w:p>
    <w:p w14:paraId="00000003" w14:textId="77777777" w:rsidR="00CE5C6D" w:rsidRPr="00DC3D5E" w:rsidRDefault="0097695E">
      <w:pPr>
        <w:spacing w:line="480" w:lineRule="auto"/>
        <w:jc w:val="center"/>
        <w:rPr>
          <w:rFonts w:eastAsia="Times New Roman"/>
          <w:b/>
          <w:sz w:val="28"/>
          <w:szCs w:val="28"/>
        </w:rPr>
      </w:pPr>
      <w:r w:rsidRPr="00DC3D5E">
        <w:rPr>
          <w:rFonts w:eastAsia="Times New Roman"/>
          <w:b/>
          <w:sz w:val="28"/>
          <w:szCs w:val="28"/>
        </w:rPr>
        <w:lastRenderedPageBreak/>
        <w:t>Abstract</w:t>
      </w:r>
    </w:p>
    <w:p w14:paraId="6EFB60AE" w14:textId="0907FC78" w:rsidR="000B391D" w:rsidRPr="00DC3D5E" w:rsidRDefault="0093301D">
      <w:pPr>
        <w:spacing w:line="480" w:lineRule="auto"/>
        <w:jc w:val="both"/>
        <w:rPr>
          <w:rFonts w:eastAsia="Times New Roman"/>
          <w:sz w:val="24"/>
          <w:szCs w:val="24"/>
        </w:rPr>
      </w:pPr>
      <w:r w:rsidRPr="00DC3D5E">
        <w:rPr>
          <w:rFonts w:eastAsia="Times New Roman"/>
          <w:sz w:val="24"/>
          <w:szCs w:val="24"/>
        </w:rPr>
        <w:t>Having implemented strategic actions through initiatives involved in global expansions, portfolio of brands, digital transformation, sustainability and employee engagement, IHG Hotel Group pursues to become the leader in international hotel industry. The organization has shown a strength in the ability to overcome a host of challenges, such as the effects of the Covid-19 pandemic as well as adaptability to environmental factors during the industrial revolution. Although the sector faces some challenges, IHG financial results are a consequence of the management resources invested with the regional revival in mind. Considering that consumer demand for sustainable practices is rising, the group is willing to promote sustainability and social responsibility. The following factors are highlighting the competency of the IHG to respond to changes, that is taking into regard the digital transformation, sustainability, brand innovation, as well as employee wellbeing in the process of meeting industry challenges driven by market dynamic suggesting the success in the hospitality environment under a changing environment.</w:t>
      </w:r>
    </w:p>
    <w:p w14:paraId="1BA47A9C" w14:textId="77777777" w:rsidR="000B391D" w:rsidRPr="00DC3D5E" w:rsidRDefault="000B391D">
      <w:pPr>
        <w:rPr>
          <w:rFonts w:eastAsia="Times New Roman"/>
          <w:sz w:val="24"/>
          <w:szCs w:val="24"/>
        </w:rPr>
      </w:pPr>
      <w:r w:rsidRPr="00DC3D5E">
        <w:rPr>
          <w:rFonts w:eastAsia="Times New Roman"/>
          <w:sz w:val="24"/>
          <w:szCs w:val="24"/>
        </w:rPr>
        <w:br w:type="page"/>
      </w:r>
    </w:p>
    <w:sdt>
      <w:sdtPr>
        <w:rPr>
          <w:rFonts w:ascii="Arial" w:eastAsia="Arial" w:hAnsi="Arial" w:cs="Arial"/>
          <w:color w:val="auto"/>
          <w:sz w:val="24"/>
          <w:szCs w:val="24"/>
          <w:lang w:val="en-GB" w:eastAsia="en-GB"/>
        </w:rPr>
        <w:id w:val="1087035168"/>
        <w:docPartObj>
          <w:docPartGallery w:val="Table of Contents"/>
          <w:docPartUnique/>
        </w:docPartObj>
      </w:sdtPr>
      <w:sdtEndPr>
        <w:rPr>
          <w:b/>
          <w:bCs/>
          <w:noProof/>
          <w:sz w:val="22"/>
          <w:szCs w:val="22"/>
        </w:rPr>
      </w:sdtEndPr>
      <w:sdtContent>
        <w:p w14:paraId="47BF2A69" w14:textId="44215A8F" w:rsidR="000B391D" w:rsidRPr="00DC3D5E" w:rsidRDefault="000B391D" w:rsidP="000B391D">
          <w:pPr>
            <w:pStyle w:val="TOCHeading"/>
            <w:spacing w:line="480" w:lineRule="auto"/>
            <w:jc w:val="center"/>
            <w:rPr>
              <w:rFonts w:ascii="Arial" w:hAnsi="Arial" w:cs="Arial"/>
              <w:b/>
              <w:bCs/>
              <w:color w:val="auto"/>
              <w:sz w:val="28"/>
              <w:szCs w:val="28"/>
            </w:rPr>
          </w:pPr>
          <w:r w:rsidRPr="00DC3D5E">
            <w:rPr>
              <w:rFonts w:ascii="Arial" w:hAnsi="Arial" w:cs="Arial"/>
              <w:b/>
              <w:bCs/>
              <w:color w:val="auto"/>
              <w:sz w:val="28"/>
              <w:szCs w:val="28"/>
            </w:rPr>
            <w:t>Table of Contents</w:t>
          </w:r>
        </w:p>
        <w:p w14:paraId="77F9A2AA" w14:textId="41E1F832" w:rsidR="000B391D" w:rsidRPr="00DC3D5E" w:rsidRDefault="000B391D" w:rsidP="000B391D">
          <w:pPr>
            <w:pStyle w:val="TOC1"/>
            <w:tabs>
              <w:tab w:val="right" w:leader="dot" w:pos="9016"/>
            </w:tabs>
            <w:spacing w:line="480" w:lineRule="auto"/>
            <w:jc w:val="both"/>
            <w:rPr>
              <w:noProof/>
              <w:sz w:val="24"/>
              <w:szCs w:val="24"/>
            </w:rPr>
          </w:pPr>
          <w:r w:rsidRPr="00DC3D5E">
            <w:rPr>
              <w:sz w:val="24"/>
              <w:szCs w:val="24"/>
            </w:rPr>
            <w:fldChar w:fldCharType="begin"/>
          </w:r>
          <w:r w:rsidRPr="00DC3D5E">
            <w:rPr>
              <w:sz w:val="24"/>
              <w:szCs w:val="24"/>
            </w:rPr>
            <w:instrText xml:space="preserve"> TOC \o "1-3" \h \z \u </w:instrText>
          </w:r>
          <w:r w:rsidRPr="00DC3D5E">
            <w:rPr>
              <w:sz w:val="24"/>
              <w:szCs w:val="24"/>
            </w:rPr>
            <w:fldChar w:fldCharType="separate"/>
          </w:r>
          <w:hyperlink w:anchor="_Toc156594058" w:history="1">
            <w:r w:rsidRPr="00DC3D5E">
              <w:rPr>
                <w:rStyle w:val="Hyperlink"/>
                <w:noProof/>
                <w:color w:val="auto"/>
                <w:sz w:val="24"/>
                <w:szCs w:val="24"/>
              </w:rPr>
              <w:t>Introduction</w:t>
            </w:r>
            <w:r w:rsidRPr="00DC3D5E">
              <w:rPr>
                <w:noProof/>
                <w:webHidden/>
                <w:sz w:val="24"/>
                <w:szCs w:val="24"/>
              </w:rPr>
              <w:tab/>
            </w:r>
            <w:r w:rsidRPr="00DC3D5E">
              <w:rPr>
                <w:noProof/>
                <w:webHidden/>
                <w:sz w:val="24"/>
                <w:szCs w:val="24"/>
              </w:rPr>
              <w:fldChar w:fldCharType="begin"/>
            </w:r>
            <w:r w:rsidRPr="00DC3D5E">
              <w:rPr>
                <w:noProof/>
                <w:webHidden/>
                <w:sz w:val="24"/>
                <w:szCs w:val="24"/>
              </w:rPr>
              <w:instrText xml:space="preserve"> PAGEREF _Toc156594058 \h </w:instrText>
            </w:r>
            <w:r w:rsidRPr="00DC3D5E">
              <w:rPr>
                <w:noProof/>
                <w:webHidden/>
                <w:sz w:val="24"/>
                <w:szCs w:val="24"/>
              </w:rPr>
            </w:r>
            <w:r w:rsidRPr="00DC3D5E">
              <w:rPr>
                <w:noProof/>
                <w:webHidden/>
                <w:sz w:val="24"/>
                <w:szCs w:val="24"/>
              </w:rPr>
              <w:fldChar w:fldCharType="separate"/>
            </w:r>
            <w:r w:rsidRPr="00DC3D5E">
              <w:rPr>
                <w:noProof/>
                <w:webHidden/>
                <w:sz w:val="24"/>
                <w:szCs w:val="24"/>
              </w:rPr>
              <w:t>4</w:t>
            </w:r>
            <w:r w:rsidRPr="00DC3D5E">
              <w:rPr>
                <w:noProof/>
                <w:webHidden/>
                <w:sz w:val="24"/>
                <w:szCs w:val="24"/>
              </w:rPr>
              <w:fldChar w:fldCharType="end"/>
            </w:r>
          </w:hyperlink>
        </w:p>
        <w:p w14:paraId="3EE24127" w14:textId="187A8302" w:rsidR="000B391D" w:rsidRPr="00DC3D5E" w:rsidRDefault="004574B9" w:rsidP="000B391D">
          <w:pPr>
            <w:pStyle w:val="TOC1"/>
            <w:tabs>
              <w:tab w:val="right" w:leader="dot" w:pos="9016"/>
            </w:tabs>
            <w:spacing w:line="480" w:lineRule="auto"/>
            <w:jc w:val="both"/>
            <w:rPr>
              <w:noProof/>
              <w:sz w:val="24"/>
              <w:szCs w:val="24"/>
            </w:rPr>
          </w:pPr>
          <w:hyperlink w:anchor="_Toc156594059" w:history="1">
            <w:r w:rsidR="000B391D" w:rsidRPr="00DC3D5E">
              <w:rPr>
                <w:rStyle w:val="Hyperlink"/>
                <w:noProof/>
                <w:color w:val="auto"/>
                <w:sz w:val="24"/>
                <w:szCs w:val="24"/>
              </w:rPr>
              <w:t>Organisation structure, culture and goals</w:t>
            </w:r>
            <w:r w:rsidR="000B391D" w:rsidRPr="00DC3D5E">
              <w:rPr>
                <w:noProof/>
                <w:webHidden/>
                <w:sz w:val="24"/>
                <w:szCs w:val="24"/>
              </w:rPr>
              <w:tab/>
            </w:r>
            <w:r w:rsidR="000B391D" w:rsidRPr="00DC3D5E">
              <w:rPr>
                <w:noProof/>
                <w:webHidden/>
                <w:sz w:val="24"/>
                <w:szCs w:val="24"/>
              </w:rPr>
              <w:fldChar w:fldCharType="begin"/>
            </w:r>
            <w:r w:rsidR="000B391D" w:rsidRPr="00DC3D5E">
              <w:rPr>
                <w:noProof/>
                <w:webHidden/>
                <w:sz w:val="24"/>
                <w:szCs w:val="24"/>
              </w:rPr>
              <w:instrText xml:space="preserve"> PAGEREF _Toc156594059 \h </w:instrText>
            </w:r>
            <w:r w:rsidR="000B391D" w:rsidRPr="00DC3D5E">
              <w:rPr>
                <w:noProof/>
                <w:webHidden/>
                <w:sz w:val="24"/>
                <w:szCs w:val="24"/>
              </w:rPr>
            </w:r>
            <w:r w:rsidR="000B391D" w:rsidRPr="00DC3D5E">
              <w:rPr>
                <w:noProof/>
                <w:webHidden/>
                <w:sz w:val="24"/>
                <w:szCs w:val="24"/>
              </w:rPr>
              <w:fldChar w:fldCharType="separate"/>
            </w:r>
            <w:r w:rsidR="000B391D" w:rsidRPr="00DC3D5E">
              <w:rPr>
                <w:noProof/>
                <w:webHidden/>
                <w:sz w:val="24"/>
                <w:szCs w:val="24"/>
              </w:rPr>
              <w:t>4</w:t>
            </w:r>
            <w:r w:rsidR="000B391D" w:rsidRPr="00DC3D5E">
              <w:rPr>
                <w:noProof/>
                <w:webHidden/>
                <w:sz w:val="24"/>
                <w:szCs w:val="24"/>
              </w:rPr>
              <w:fldChar w:fldCharType="end"/>
            </w:r>
          </w:hyperlink>
        </w:p>
        <w:p w14:paraId="08EA5681" w14:textId="04418744" w:rsidR="000B391D" w:rsidRPr="00DC3D5E" w:rsidRDefault="004574B9" w:rsidP="000B391D">
          <w:pPr>
            <w:pStyle w:val="TOC1"/>
            <w:tabs>
              <w:tab w:val="right" w:leader="dot" w:pos="9016"/>
            </w:tabs>
            <w:spacing w:line="480" w:lineRule="auto"/>
            <w:jc w:val="both"/>
            <w:rPr>
              <w:noProof/>
              <w:sz w:val="24"/>
              <w:szCs w:val="24"/>
            </w:rPr>
          </w:pPr>
          <w:hyperlink w:anchor="_Toc156594060" w:history="1">
            <w:r w:rsidR="000B391D" w:rsidRPr="00DC3D5E">
              <w:rPr>
                <w:rStyle w:val="Hyperlink"/>
                <w:noProof/>
                <w:color w:val="auto"/>
                <w:sz w:val="24"/>
                <w:szCs w:val="24"/>
              </w:rPr>
              <w:t>Recent change initiatives, their impact and how well these were managed</w:t>
            </w:r>
            <w:r w:rsidR="000B391D" w:rsidRPr="00DC3D5E">
              <w:rPr>
                <w:noProof/>
                <w:webHidden/>
                <w:sz w:val="24"/>
                <w:szCs w:val="24"/>
              </w:rPr>
              <w:tab/>
            </w:r>
            <w:r w:rsidR="000B391D" w:rsidRPr="00DC3D5E">
              <w:rPr>
                <w:noProof/>
                <w:webHidden/>
                <w:sz w:val="24"/>
                <w:szCs w:val="24"/>
              </w:rPr>
              <w:fldChar w:fldCharType="begin"/>
            </w:r>
            <w:r w:rsidR="000B391D" w:rsidRPr="00DC3D5E">
              <w:rPr>
                <w:noProof/>
                <w:webHidden/>
                <w:sz w:val="24"/>
                <w:szCs w:val="24"/>
              </w:rPr>
              <w:instrText xml:space="preserve"> PAGEREF _Toc156594060 \h </w:instrText>
            </w:r>
            <w:r w:rsidR="000B391D" w:rsidRPr="00DC3D5E">
              <w:rPr>
                <w:noProof/>
                <w:webHidden/>
                <w:sz w:val="24"/>
                <w:szCs w:val="24"/>
              </w:rPr>
            </w:r>
            <w:r w:rsidR="000B391D" w:rsidRPr="00DC3D5E">
              <w:rPr>
                <w:noProof/>
                <w:webHidden/>
                <w:sz w:val="24"/>
                <w:szCs w:val="24"/>
              </w:rPr>
              <w:fldChar w:fldCharType="separate"/>
            </w:r>
            <w:r w:rsidR="000B391D" w:rsidRPr="00DC3D5E">
              <w:rPr>
                <w:noProof/>
                <w:webHidden/>
                <w:sz w:val="24"/>
                <w:szCs w:val="24"/>
              </w:rPr>
              <w:t>6</w:t>
            </w:r>
            <w:r w:rsidR="000B391D" w:rsidRPr="00DC3D5E">
              <w:rPr>
                <w:noProof/>
                <w:webHidden/>
                <w:sz w:val="24"/>
                <w:szCs w:val="24"/>
              </w:rPr>
              <w:fldChar w:fldCharType="end"/>
            </w:r>
          </w:hyperlink>
        </w:p>
        <w:p w14:paraId="21054478" w14:textId="1CDF5690" w:rsidR="000B391D" w:rsidRPr="00DC3D5E" w:rsidRDefault="004574B9" w:rsidP="000B391D">
          <w:pPr>
            <w:pStyle w:val="TOC1"/>
            <w:tabs>
              <w:tab w:val="right" w:leader="dot" w:pos="9016"/>
            </w:tabs>
            <w:spacing w:line="480" w:lineRule="auto"/>
            <w:jc w:val="both"/>
            <w:rPr>
              <w:noProof/>
              <w:sz w:val="24"/>
              <w:szCs w:val="24"/>
            </w:rPr>
          </w:pPr>
          <w:hyperlink w:anchor="_Toc156594061" w:history="1">
            <w:r w:rsidR="000B391D" w:rsidRPr="00DC3D5E">
              <w:rPr>
                <w:rStyle w:val="Hyperlink"/>
                <w:noProof/>
                <w:color w:val="auto"/>
                <w:sz w:val="24"/>
                <w:szCs w:val="24"/>
              </w:rPr>
              <w:t>The organisation’s strategic direction and current business performance</w:t>
            </w:r>
            <w:r w:rsidR="000B391D" w:rsidRPr="00DC3D5E">
              <w:rPr>
                <w:noProof/>
                <w:webHidden/>
                <w:sz w:val="24"/>
                <w:szCs w:val="24"/>
              </w:rPr>
              <w:tab/>
            </w:r>
            <w:r w:rsidR="000B391D" w:rsidRPr="00DC3D5E">
              <w:rPr>
                <w:noProof/>
                <w:webHidden/>
                <w:sz w:val="24"/>
                <w:szCs w:val="24"/>
              </w:rPr>
              <w:fldChar w:fldCharType="begin"/>
            </w:r>
            <w:r w:rsidR="000B391D" w:rsidRPr="00DC3D5E">
              <w:rPr>
                <w:noProof/>
                <w:webHidden/>
                <w:sz w:val="24"/>
                <w:szCs w:val="24"/>
              </w:rPr>
              <w:instrText xml:space="preserve"> PAGEREF _Toc156594061 \h </w:instrText>
            </w:r>
            <w:r w:rsidR="000B391D" w:rsidRPr="00DC3D5E">
              <w:rPr>
                <w:noProof/>
                <w:webHidden/>
                <w:sz w:val="24"/>
                <w:szCs w:val="24"/>
              </w:rPr>
            </w:r>
            <w:r w:rsidR="000B391D" w:rsidRPr="00DC3D5E">
              <w:rPr>
                <w:noProof/>
                <w:webHidden/>
                <w:sz w:val="24"/>
                <w:szCs w:val="24"/>
              </w:rPr>
              <w:fldChar w:fldCharType="separate"/>
            </w:r>
            <w:r w:rsidR="000B391D" w:rsidRPr="00DC3D5E">
              <w:rPr>
                <w:noProof/>
                <w:webHidden/>
                <w:sz w:val="24"/>
                <w:szCs w:val="24"/>
              </w:rPr>
              <w:t>8</w:t>
            </w:r>
            <w:r w:rsidR="000B391D" w:rsidRPr="00DC3D5E">
              <w:rPr>
                <w:noProof/>
                <w:webHidden/>
                <w:sz w:val="24"/>
                <w:szCs w:val="24"/>
              </w:rPr>
              <w:fldChar w:fldCharType="end"/>
            </w:r>
          </w:hyperlink>
        </w:p>
        <w:p w14:paraId="62206C82" w14:textId="25CF8952" w:rsidR="000B391D" w:rsidRPr="00DC3D5E" w:rsidRDefault="004574B9" w:rsidP="000B391D">
          <w:pPr>
            <w:pStyle w:val="TOC1"/>
            <w:tabs>
              <w:tab w:val="right" w:leader="dot" w:pos="9016"/>
            </w:tabs>
            <w:spacing w:line="480" w:lineRule="auto"/>
            <w:jc w:val="both"/>
            <w:rPr>
              <w:noProof/>
              <w:sz w:val="24"/>
              <w:szCs w:val="24"/>
            </w:rPr>
          </w:pPr>
          <w:hyperlink w:anchor="_Toc156594062" w:history="1">
            <w:r w:rsidR="000B391D" w:rsidRPr="00DC3D5E">
              <w:rPr>
                <w:rStyle w:val="Hyperlink"/>
                <w:noProof/>
                <w:color w:val="auto"/>
                <w:sz w:val="24"/>
                <w:szCs w:val="24"/>
              </w:rPr>
              <w:t>Conclusion</w:t>
            </w:r>
            <w:r w:rsidR="000B391D" w:rsidRPr="00DC3D5E">
              <w:rPr>
                <w:noProof/>
                <w:webHidden/>
                <w:sz w:val="24"/>
                <w:szCs w:val="24"/>
              </w:rPr>
              <w:tab/>
            </w:r>
            <w:r w:rsidR="000B391D" w:rsidRPr="00DC3D5E">
              <w:rPr>
                <w:noProof/>
                <w:webHidden/>
                <w:sz w:val="24"/>
                <w:szCs w:val="24"/>
              </w:rPr>
              <w:fldChar w:fldCharType="begin"/>
            </w:r>
            <w:r w:rsidR="000B391D" w:rsidRPr="00DC3D5E">
              <w:rPr>
                <w:noProof/>
                <w:webHidden/>
                <w:sz w:val="24"/>
                <w:szCs w:val="24"/>
              </w:rPr>
              <w:instrText xml:space="preserve"> PAGEREF _Toc156594062 \h </w:instrText>
            </w:r>
            <w:r w:rsidR="000B391D" w:rsidRPr="00DC3D5E">
              <w:rPr>
                <w:noProof/>
                <w:webHidden/>
                <w:sz w:val="24"/>
                <w:szCs w:val="24"/>
              </w:rPr>
            </w:r>
            <w:r w:rsidR="000B391D" w:rsidRPr="00DC3D5E">
              <w:rPr>
                <w:noProof/>
                <w:webHidden/>
                <w:sz w:val="24"/>
                <w:szCs w:val="24"/>
              </w:rPr>
              <w:fldChar w:fldCharType="separate"/>
            </w:r>
            <w:r w:rsidR="000B391D" w:rsidRPr="00DC3D5E">
              <w:rPr>
                <w:noProof/>
                <w:webHidden/>
                <w:sz w:val="24"/>
                <w:szCs w:val="24"/>
              </w:rPr>
              <w:t>11</w:t>
            </w:r>
            <w:r w:rsidR="000B391D" w:rsidRPr="00DC3D5E">
              <w:rPr>
                <w:noProof/>
                <w:webHidden/>
                <w:sz w:val="24"/>
                <w:szCs w:val="24"/>
              </w:rPr>
              <w:fldChar w:fldCharType="end"/>
            </w:r>
          </w:hyperlink>
        </w:p>
        <w:p w14:paraId="10EFAAEB" w14:textId="61ACAA29" w:rsidR="000B391D" w:rsidRPr="00DC3D5E" w:rsidRDefault="004574B9" w:rsidP="000B391D">
          <w:pPr>
            <w:pStyle w:val="TOC1"/>
            <w:tabs>
              <w:tab w:val="right" w:leader="dot" w:pos="9016"/>
            </w:tabs>
            <w:spacing w:line="480" w:lineRule="auto"/>
            <w:jc w:val="both"/>
            <w:rPr>
              <w:noProof/>
              <w:sz w:val="24"/>
              <w:szCs w:val="24"/>
            </w:rPr>
          </w:pPr>
          <w:hyperlink w:anchor="_Toc156594063" w:history="1">
            <w:r w:rsidR="000B391D" w:rsidRPr="00DC3D5E">
              <w:rPr>
                <w:rStyle w:val="Hyperlink"/>
                <w:noProof/>
                <w:color w:val="auto"/>
                <w:sz w:val="24"/>
                <w:szCs w:val="24"/>
              </w:rPr>
              <w:t>References</w:t>
            </w:r>
            <w:r w:rsidR="000B391D" w:rsidRPr="00DC3D5E">
              <w:rPr>
                <w:noProof/>
                <w:webHidden/>
                <w:sz w:val="24"/>
                <w:szCs w:val="24"/>
              </w:rPr>
              <w:tab/>
            </w:r>
            <w:r w:rsidR="000B391D" w:rsidRPr="00DC3D5E">
              <w:rPr>
                <w:noProof/>
                <w:webHidden/>
                <w:sz w:val="24"/>
                <w:szCs w:val="24"/>
              </w:rPr>
              <w:fldChar w:fldCharType="begin"/>
            </w:r>
            <w:r w:rsidR="000B391D" w:rsidRPr="00DC3D5E">
              <w:rPr>
                <w:noProof/>
                <w:webHidden/>
                <w:sz w:val="24"/>
                <w:szCs w:val="24"/>
              </w:rPr>
              <w:instrText xml:space="preserve"> PAGEREF _Toc156594063 \h </w:instrText>
            </w:r>
            <w:r w:rsidR="000B391D" w:rsidRPr="00DC3D5E">
              <w:rPr>
                <w:noProof/>
                <w:webHidden/>
                <w:sz w:val="24"/>
                <w:szCs w:val="24"/>
              </w:rPr>
            </w:r>
            <w:r w:rsidR="000B391D" w:rsidRPr="00DC3D5E">
              <w:rPr>
                <w:noProof/>
                <w:webHidden/>
                <w:sz w:val="24"/>
                <w:szCs w:val="24"/>
              </w:rPr>
              <w:fldChar w:fldCharType="separate"/>
            </w:r>
            <w:r w:rsidR="000B391D" w:rsidRPr="00DC3D5E">
              <w:rPr>
                <w:noProof/>
                <w:webHidden/>
                <w:sz w:val="24"/>
                <w:szCs w:val="24"/>
              </w:rPr>
              <w:t>12</w:t>
            </w:r>
            <w:r w:rsidR="000B391D" w:rsidRPr="00DC3D5E">
              <w:rPr>
                <w:noProof/>
                <w:webHidden/>
                <w:sz w:val="24"/>
                <w:szCs w:val="24"/>
              </w:rPr>
              <w:fldChar w:fldCharType="end"/>
            </w:r>
          </w:hyperlink>
        </w:p>
        <w:p w14:paraId="77C617CF" w14:textId="77777777" w:rsidR="000B391D" w:rsidRPr="00DC3D5E" w:rsidRDefault="000B391D" w:rsidP="000B391D">
          <w:pPr>
            <w:spacing w:line="480" w:lineRule="auto"/>
            <w:jc w:val="both"/>
            <w:rPr>
              <w:b/>
              <w:bCs/>
              <w:noProof/>
            </w:rPr>
          </w:pPr>
          <w:r w:rsidRPr="00DC3D5E">
            <w:rPr>
              <w:b/>
              <w:bCs/>
              <w:noProof/>
              <w:sz w:val="24"/>
              <w:szCs w:val="24"/>
            </w:rPr>
            <w:fldChar w:fldCharType="end"/>
          </w:r>
        </w:p>
      </w:sdtContent>
    </w:sdt>
    <w:p w14:paraId="00000004" w14:textId="5D3FE877" w:rsidR="00CE5C6D" w:rsidRPr="00DC3D5E" w:rsidRDefault="0097695E" w:rsidP="000B391D">
      <w:r w:rsidRPr="00DC3D5E">
        <w:br w:type="page"/>
      </w:r>
    </w:p>
    <w:p w14:paraId="00000005" w14:textId="77777777" w:rsidR="00CE5C6D" w:rsidRPr="00DC3D5E" w:rsidRDefault="0097695E" w:rsidP="000B391D">
      <w:pPr>
        <w:pStyle w:val="Heading1"/>
        <w:rPr>
          <w:rFonts w:ascii="Arial" w:hAnsi="Arial" w:cs="Arial"/>
        </w:rPr>
      </w:pPr>
      <w:bookmarkStart w:id="1" w:name="_Toc156594058"/>
      <w:r w:rsidRPr="00DC3D5E">
        <w:rPr>
          <w:rFonts w:ascii="Arial" w:hAnsi="Arial" w:cs="Arial"/>
        </w:rPr>
        <w:lastRenderedPageBreak/>
        <w:t>Introduction</w:t>
      </w:r>
      <w:bookmarkEnd w:id="1"/>
    </w:p>
    <w:p w14:paraId="00000006" w14:textId="21915228" w:rsidR="00CE5C6D" w:rsidRPr="00DC3D5E" w:rsidRDefault="0097695E">
      <w:pPr>
        <w:spacing w:line="480" w:lineRule="auto"/>
        <w:jc w:val="both"/>
        <w:rPr>
          <w:rFonts w:eastAsia="Times New Roman"/>
          <w:sz w:val="24"/>
          <w:szCs w:val="24"/>
        </w:rPr>
      </w:pPr>
      <w:r w:rsidRPr="00DC3D5E">
        <w:rPr>
          <w:rFonts w:eastAsia="Times New Roman"/>
          <w:sz w:val="24"/>
          <w:szCs w:val="24"/>
        </w:rPr>
        <w:t xml:space="preserve">This report </w:t>
      </w:r>
      <w:r w:rsidR="0093301D" w:rsidRPr="00DC3D5E">
        <w:rPr>
          <w:rFonts w:eastAsia="Times New Roman"/>
          <w:sz w:val="24"/>
          <w:szCs w:val="24"/>
        </w:rPr>
        <w:t>delves</w:t>
      </w:r>
      <w:r w:rsidRPr="00DC3D5E">
        <w:rPr>
          <w:rFonts w:eastAsia="Times New Roman"/>
          <w:sz w:val="24"/>
          <w:szCs w:val="24"/>
        </w:rPr>
        <w:t xml:space="preserve"> deep into the most important issues of organizational dynamics, such as organization structure</w:t>
      </w:r>
      <w:r w:rsidR="0093301D" w:rsidRPr="00DC3D5E">
        <w:rPr>
          <w:rFonts w:eastAsia="Times New Roman"/>
          <w:sz w:val="24"/>
          <w:szCs w:val="24"/>
        </w:rPr>
        <w:t xml:space="preserve">, </w:t>
      </w:r>
      <w:r w:rsidRPr="00DC3D5E">
        <w:rPr>
          <w:rFonts w:eastAsia="Times New Roman"/>
          <w:sz w:val="24"/>
          <w:szCs w:val="24"/>
        </w:rPr>
        <w:t>culture</w:t>
      </w:r>
      <w:r w:rsidR="0093301D" w:rsidRPr="00DC3D5E">
        <w:rPr>
          <w:rFonts w:eastAsia="Times New Roman"/>
          <w:sz w:val="24"/>
          <w:szCs w:val="24"/>
        </w:rPr>
        <w:t xml:space="preserve">, and </w:t>
      </w:r>
      <w:r w:rsidRPr="00DC3D5E">
        <w:rPr>
          <w:rFonts w:eastAsia="Times New Roman"/>
          <w:sz w:val="24"/>
          <w:szCs w:val="24"/>
        </w:rPr>
        <w:t xml:space="preserve">goals. It reviews the latest change efforts embarked on by the organization, evaluating their success and effectiveness of management practices. This complex </w:t>
      </w:r>
      <w:r w:rsidR="00521B0D" w:rsidRPr="00DC3D5E">
        <w:rPr>
          <w:rFonts w:eastAsia="Times New Roman"/>
          <w:sz w:val="24"/>
          <w:szCs w:val="24"/>
        </w:rPr>
        <w:t>interaction</w:t>
      </w:r>
      <w:r w:rsidRPr="00DC3D5E">
        <w:rPr>
          <w:rFonts w:eastAsia="Times New Roman"/>
          <w:sz w:val="24"/>
          <w:szCs w:val="24"/>
        </w:rPr>
        <w:t xml:space="preserve"> of the organization</w:t>
      </w:r>
      <w:r w:rsidR="000B391D" w:rsidRPr="00DC3D5E">
        <w:rPr>
          <w:rFonts w:eastAsia="Times New Roman"/>
          <w:sz w:val="24"/>
          <w:szCs w:val="24"/>
        </w:rPr>
        <w:t>’</w:t>
      </w:r>
      <w:r w:rsidRPr="00DC3D5E">
        <w:rPr>
          <w:rFonts w:eastAsia="Times New Roman"/>
          <w:sz w:val="24"/>
          <w:szCs w:val="24"/>
        </w:rPr>
        <w:t xml:space="preserve">s structure, major culture and pursuit of </w:t>
      </w:r>
      <w:r w:rsidR="00521B0D" w:rsidRPr="00DC3D5E">
        <w:rPr>
          <w:rFonts w:eastAsia="Times New Roman"/>
          <w:sz w:val="24"/>
          <w:szCs w:val="24"/>
        </w:rPr>
        <w:t>goals</w:t>
      </w:r>
      <w:r w:rsidRPr="00DC3D5E">
        <w:rPr>
          <w:rFonts w:eastAsia="Times New Roman"/>
          <w:sz w:val="24"/>
          <w:szCs w:val="24"/>
        </w:rPr>
        <w:t xml:space="preserve"> in general is </w:t>
      </w:r>
      <w:r w:rsidR="000B391D" w:rsidRPr="00DC3D5E">
        <w:rPr>
          <w:rFonts w:eastAsia="Times New Roman"/>
          <w:sz w:val="24"/>
          <w:szCs w:val="24"/>
        </w:rPr>
        <w:t>analysed</w:t>
      </w:r>
      <w:r w:rsidRPr="00DC3D5E">
        <w:rPr>
          <w:rFonts w:eastAsia="Times New Roman"/>
          <w:sz w:val="24"/>
          <w:szCs w:val="24"/>
        </w:rPr>
        <w:t xml:space="preserve"> to reveal what drives dynamics at work. </w:t>
      </w:r>
      <w:r w:rsidR="00521B0D" w:rsidRPr="00DC3D5E">
        <w:rPr>
          <w:rFonts w:eastAsia="Times New Roman"/>
          <w:sz w:val="24"/>
          <w:szCs w:val="24"/>
        </w:rPr>
        <w:t>T</w:t>
      </w:r>
      <w:r w:rsidRPr="00DC3D5E">
        <w:rPr>
          <w:rFonts w:eastAsia="Times New Roman"/>
          <w:sz w:val="24"/>
          <w:szCs w:val="24"/>
        </w:rPr>
        <w:t xml:space="preserve">he report assesses strategic alignment of goals in accordance with current external trends as well as internal capacity. </w:t>
      </w:r>
      <w:r w:rsidR="004848A8" w:rsidRPr="00DC3D5E">
        <w:rPr>
          <w:rFonts w:eastAsia="Times New Roman"/>
          <w:sz w:val="24"/>
          <w:szCs w:val="24"/>
        </w:rPr>
        <w:t>This structural analysis of the recent change initiatives is a criterion to examine their impact on the direction of the organization and its overall performance</w:t>
      </w:r>
      <w:r w:rsidRPr="00DC3D5E">
        <w:rPr>
          <w:rFonts w:eastAsia="Times New Roman"/>
          <w:sz w:val="24"/>
          <w:szCs w:val="24"/>
        </w:rPr>
        <w:t xml:space="preserve">. This report seeks to offer a balanced assessment of the manner in which these aspects </w:t>
      </w:r>
      <w:r w:rsidR="00521B0D" w:rsidRPr="00DC3D5E">
        <w:rPr>
          <w:rFonts w:eastAsia="Times New Roman"/>
          <w:sz w:val="24"/>
          <w:szCs w:val="24"/>
        </w:rPr>
        <w:t>gradually</w:t>
      </w:r>
      <w:r w:rsidRPr="00DC3D5E">
        <w:rPr>
          <w:rFonts w:eastAsia="Times New Roman"/>
          <w:sz w:val="24"/>
          <w:szCs w:val="24"/>
        </w:rPr>
        <w:t xml:space="preserve"> influence strategic orientation as well as determine performance levels and trends now achieved by this organization.</w:t>
      </w:r>
    </w:p>
    <w:p w14:paraId="35D0CA2A" w14:textId="33827C1B" w:rsidR="00AB3C94" w:rsidRPr="00DC3D5E" w:rsidRDefault="0097695E" w:rsidP="00AB3C94">
      <w:pPr>
        <w:pStyle w:val="Heading1"/>
        <w:rPr>
          <w:rFonts w:ascii="Arial" w:hAnsi="Arial" w:cs="Arial"/>
        </w:rPr>
      </w:pPr>
      <w:bookmarkStart w:id="2" w:name="_Toc156594059"/>
      <w:r w:rsidRPr="00DC3D5E">
        <w:rPr>
          <w:rFonts w:ascii="Arial" w:hAnsi="Arial" w:cs="Arial"/>
        </w:rPr>
        <w:t>Organisation structure, culture and goals</w:t>
      </w:r>
      <w:bookmarkEnd w:id="2"/>
    </w:p>
    <w:p w14:paraId="3DFE36B3" w14:textId="137FCCDA" w:rsidR="00AB3C94" w:rsidRPr="00DC3D5E" w:rsidRDefault="00AB3C94" w:rsidP="00AB3C94">
      <w:pPr>
        <w:spacing w:line="480" w:lineRule="auto"/>
        <w:jc w:val="center"/>
        <w:rPr>
          <w:rFonts w:eastAsia="Times New Roman"/>
          <w:b/>
          <w:iCs/>
          <w:sz w:val="24"/>
          <w:szCs w:val="24"/>
        </w:rPr>
      </w:pPr>
      <w:r w:rsidRPr="00DC3D5E">
        <w:rPr>
          <w:rFonts w:eastAsia="Times New Roman"/>
          <w:b/>
          <w:iCs/>
          <w:noProof/>
          <w:sz w:val="24"/>
          <w:szCs w:val="24"/>
        </w:rPr>
        <w:drawing>
          <wp:inline distT="0" distB="0" distL="0" distR="0" wp14:anchorId="105838D7" wp14:editId="3821DC7A">
            <wp:extent cx="4806087" cy="2706624"/>
            <wp:effectExtent l="0" t="0" r="0" b="1778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28E27BB9" w14:textId="4E1989CC" w:rsidR="00AB3C94" w:rsidRPr="00DC3D5E" w:rsidRDefault="00AB3C94" w:rsidP="00AB3C94">
      <w:pPr>
        <w:spacing w:line="480" w:lineRule="auto"/>
        <w:jc w:val="center"/>
        <w:rPr>
          <w:rFonts w:eastAsia="Times New Roman"/>
          <w:b/>
          <w:iCs/>
          <w:sz w:val="24"/>
          <w:szCs w:val="24"/>
        </w:rPr>
      </w:pPr>
      <w:r w:rsidRPr="00DC3D5E">
        <w:rPr>
          <w:rFonts w:eastAsia="Times New Roman"/>
          <w:b/>
          <w:iCs/>
          <w:sz w:val="24"/>
          <w:szCs w:val="24"/>
        </w:rPr>
        <w:t>Figure 1: Organisation structure, culture and goals</w:t>
      </w:r>
    </w:p>
    <w:p w14:paraId="44C8476D" w14:textId="506D06A7" w:rsidR="00AB3C94" w:rsidRPr="00DC3D5E" w:rsidRDefault="00AB3C94" w:rsidP="00AB3C94">
      <w:pPr>
        <w:spacing w:line="480" w:lineRule="auto"/>
        <w:jc w:val="center"/>
        <w:rPr>
          <w:rFonts w:eastAsia="Times New Roman"/>
          <w:bCs/>
          <w:iCs/>
          <w:sz w:val="24"/>
          <w:szCs w:val="24"/>
        </w:rPr>
      </w:pPr>
      <w:r w:rsidRPr="00DC3D5E">
        <w:rPr>
          <w:rFonts w:eastAsia="Times New Roman"/>
          <w:bCs/>
          <w:iCs/>
          <w:sz w:val="24"/>
          <w:szCs w:val="24"/>
        </w:rPr>
        <w:t>(Source: Self-made)</w:t>
      </w:r>
    </w:p>
    <w:p w14:paraId="4C827BB1" w14:textId="77777777" w:rsidR="00D35F53" w:rsidRDefault="00D35F53">
      <w:pPr>
        <w:spacing w:line="480" w:lineRule="auto"/>
        <w:jc w:val="both"/>
        <w:rPr>
          <w:rFonts w:eastAsia="Times New Roman"/>
          <w:b/>
          <w:i/>
          <w:sz w:val="24"/>
          <w:szCs w:val="24"/>
        </w:rPr>
      </w:pPr>
    </w:p>
    <w:p w14:paraId="00000008" w14:textId="3E473329" w:rsidR="00CE5C6D" w:rsidRPr="00DC3D5E" w:rsidRDefault="0097695E">
      <w:pPr>
        <w:spacing w:line="480" w:lineRule="auto"/>
        <w:jc w:val="both"/>
        <w:rPr>
          <w:rFonts w:eastAsia="Times New Roman"/>
          <w:sz w:val="24"/>
          <w:szCs w:val="24"/>
        </w:rPr>
      </w:pPr>
      <w:r w:rsidRPr="00DC3D5E">
        <w:rPr>
          <w:rFonts w:eastAsia="Times New Roman"/>
          <w:b/>
          <w:i/>
          <w:sz w:val="24"/>
          <w:szCs w:val="24"/>
        </w:rPr>
        <w:lastRenderedPageBreak/>
        <w:t>Organization Structure of IHG Hotel Group:</w:t>
      </w:r>
    </w:p>
    <w:p w14:paraId="00000009" w14:textId="6ABAA159" w:rsidR="00CE5C6D" w:rsidRPr="00DC3D5E" w:rsidRDefault="005A1A88">
      <w:pPr>
        <w:spacing w:line="480" w:lineRule="auto"/>
        <w:jc w:val="both"/>
        <w:rPr>
          <w:rFonts w:eastAsia="Times New Roman"/>
          <w:sz w:val="24"/>
          <w:szCs w:val="24"/>
        </w:rPr>
      </w:pPr>
      <w:r w:rsidRPr="00DC3D5E">
        <w:rPr>
          <w:rFonts w:eastAsia="Times New Roman"/>
          <w:sz w:val="24"/>
          <w:szCs w:val="24"/>
        </w:rPr>
        <w:t>Organizational structure at InterContinental Hotels Group (IHG) is clearly defined and the firm operates internationally as a hospitality company.</w:t>
      </w:r>
      <w:r w:rsidR="004848A8" w:rsidRPr="00DC3D5E">
        <w:rPr>
          <w:rFonts w:eastAsia="Times New Roman"/>
          <w:sz w:val="24"/>
          <w:szCs w:val="24"/>
        </w:rPr>
        <w:t xml:space="preserve"> The top of this hierarchy is the Board of Directors that formulate strategy and oversee the company</w:t>
      </w:r>
      <w:r w:rsidR="0097695E" w:rsidRPr="00DC3D5E">
        <w:rPr>
          <w:rFonts w:eastAsia="Times New Roman"/>
          <w:sz w:val="24"/>
          <w:szCs w:val="24"/>
        </w:rPr>
        <w:t>. Underneath them is the executive leadership team, headed by the CEO who manages day-to-day activity and strategic implementation. The regional divisions penetrate the IHG organizational structure as each division manages hotels located in particular regions. This type of decentralization used by IHG helps to keep consistency on a global level while customizing operations according to each local market. The regional divisions are composed of Americas, Europe, Middle East, Asia as well as Africa with each having a regional president responsible for growing and preserving brand quality in the areas (Ihg.com</w:t>
      </w:r>
      <w:r w:rsidR="009F3315">
        <w:rPr>
          <w:rFonts w:eastAsia="Times New Roman"/>
          <w:sz w:val="24"/>
          <w:szCs w:val="24"/>
        </w:rPr>
        <w:t>,</w:t>
      </w:r>
      <w:r w:rsidR="0097695E" w:rsidRPr="00DC3D5E">
        <w:rPr>
          <w:rFonts w:eastAsia="Times New Roman"/>
          <w:sz w:val="24"/>
          <w:szCs w:val="24"/>
        </w:rPr>
        <w:t xml:space="preserve"> 2024). In every region, the operations department includes marketing, finance as well as human resources. This divisional structure allows IHG to optimally manage its massive hotel network consisting of different brands targeting various market segments.</w:t>
      </w:r>
    </w:p>
    <w:p w14:paraId="0000000A" w14:textId="77777777" w:rsidR="00CE5C6D" w:rsidRPr="00DC3D5E" w:rsidRDefault="0097695E">
      <w:pPr>
        <w:spacing w:line="480" w:lineRule="auto"/>
        <w:jc w:val="both"/>
        <w:rPr>
          <w:rFonts w:eastAsia="Times New Roman"/>
          <w:sz w:val="24"/>
          <w:szCs w:val="24"/>
        </w:rPr>
      </w:pPr>
      <w:r w:rsidRPr="00DC3D5E">
        <w:rPr>
          <w:rFonts w:eastAsia="Times New Roman"/>
          <w:b/>
          <w:i/>
          <w:sz w:val="24"/>
          <w:szCs w:val="24"/>
        </w:rPr>
        <w:t>Organizational Culture at IHG Hotel Group:</w:t>
      </w:r>
    </w:p>
    <w:p w14:paraId="0000000B" w14:textId="40E1815A" w:rsidR="00CE5C6D" w:rsidRPr="00DC3D5E" w:rsidRDefault="0097695E">
      <w:pPr>
        <w:spacing w:line="480" w:lineRule="auto"/>
        <w:jc w:val="both"/>
        <w:rPr>
          <w:rFonts w:eastAsia="Times New Roman"/>
          <w:sz w:val="24"/>
          <w:szCs w:val="24"/>
        </w:rPr>
      </w:pPr>
      <w:r w:rsidRPr="00DC3D5E">
        <w:rPr>
          <w:rFonts w:eastAsia="Times New Roman"/>
          <w:sz w:val="24"/>
          <w:szCs w:val="24"/>
        </w:rPr>
        <w:t xml:space="preserve">IHG pays a lot of attention to its organizational culture, which is based on the core values of </w:t>
      </w:r>
      <w:r w:rsidR="000B391D" w:rsidRPr="00DC3D5E">
        <w:rPr>
          <w:rFonts w:eastAsia="Times New Roman"/>
          <w:sz w:val="24"/>
          <w:szCs w:val="24"/>
        </w:rPr>
        <w:t>“</w:t>
      </w:r>
      <w:r w:rsidRPr="00DC3D5E">
        <w:rPr>
          <w:rFonts w:eastAsia="Times New Roman"/>
          <w:sz w:val="24"/>
          <w:szCs w:val="24"/>
        </w:rPr>
        <w:t>Great Hotels Guests Love,</w:t>
      </w:r>
      <w:r w:rsidR="000B391D" w:rsidRPr="00DC3D5E">
        <w:rPr>
          <w:rFonts w:eastAsia="Times New Roman"/>
          <w:sz w:val="24"/>
          <w:szCs w:val="24"/>
        </w:rPr>
        <w:t>”</w:t>
      </w:r>
      <w:r w:rsidRPr="00DC3D5E">
        <w:rPr>
          <w:rFonts w:eastAsia="Times New Roman"/>
          <w:sz w:val="24"/>
          <w:szCs w:val="24"/>
        </w:rPr>
        <w:t xml:space="preserve"> </w:t>
      </w:r>
      <w:r w:rsidR="000B391D" w:rsidRPr="00DC3D5E">
        <w:rPr>
          <w:rFonts w:eastAsia="Times New Roman"/>
          <w:sz w:val="24"/>
          <w:szCs w:val="24"/>
        </w:rPr>
        <w:t>“</w:t>
      </w:r>
      <w:r w:rsidRPr="00DC3D5E">
        <w:rPr>
          <w:rFonts w:eastAsia="Times New Roman"/>
          <w:sz w:val="24"/>
          <w:szCs w:val="24"/>
        </w:rPr>
        <w:t>Performance</w:t>
      </w:r>
      <w:r w:rsidR="000B391D" w:rsidRPr="00DC3D5E">
        <w:rPr>
          <w:rFonts w:eastAsia="Times New Roman"/>
          <w:sz w:val="24"/>
          <w:szCs w:val="24"/>
        </w:rPr>
        <w:t>”</w:t>
      </w:r>
      <w:r w:rsidRPr="00DC3D5E">
        <w:rPr>
          <w:rFonts w:eastAsia="Times New Roman"/>
          <w:sz w:val="24"/>
          <w:szCs w:val="24"/>
        </w:rPr>
        <w:t xml:space="preserve">, </w:t>
      </w:r>
      <w:r w:rsidR="000B391D" w:rsidRPr="00DC3D5E">
        <w:rPr>
          <w:rFonts w:eastAsia="Times New Roman"/>
          <w:sz w:val="24"/>
          <w:szCs w:val="24"/>
        </w:rPr>
        <w:t>“</w:t>
      </w:r>
      <w:r w:rsidRPr="00DC3D5E">
        <w:rPr>
          <w:rFonts w:eastAsia="Times New Roman"/>
          <w:sz w:val="24"/>
          <w:szCs w:val="24"/>
        </w:rPr>
        <w:t>Inclusivity</w:t>
      </w:r>
      <w:r w:rsidR="000B391D" w:rsidRPr="00DC3D5E">
        <w:rPr>
          <w:rFonts w:eastAsia="Times New Roman"/>
          <w:sz w:val="24"/>
          <w:szCs w:val="24"/>
        </w:rPr>
        <w:t>”</w:t>
      </w:r>
      <w:r w:rsidRPr="00DC3D5E">
        <w:rPr>
          <w:rFonts w:eastAsia="Times New Roman"/>
          <w:sz w:val="24"/>
          <w:szCs w:val="24"/>
        </w:rPr>
        <w:t xml:space="preserve">, and </w:t>
      </w:r>
      <w:r w:rsidR="000B391D" w:rsidRPr="00DC3D5E">
        <w:rPr>
          <w:rFonts w:eastAsia="Times New Roman"/>
          <w:sz w:val="24"/>
          <w:szCs w:val="24"/>
        </w:rPr>
        <w:t>“</w:t>
      </w:r>
      <w:r w:rsidRPr="00DC3D5E">
        <w:rPr>
          <w:rFonts w:eastAsia="Times New Roman"/>
          <w:sz w:val="24"/>
          <w:szCs w:val="24"/>
        </w:rPr>
        <w:t>Responsibility.</w:t>
      </w:r>
      <w:r w:rsidR="000B391D" w:rsidRPr="00DC3D5E">
        <w:rPr>
          <w:rFonts w:eastAsia="Times New Roman"/>
          <w:sz w:val="24"/>
          <w:szCs w:val="24"/>
        </w:rPr>
        <w:t>”</w:t>
      </w:r>
      <w:r w:rsidRPr="00DC3D5E">
        <w:rPr>
          <w:rFonts w:eastAsia="Times New Roman"/>
          <w:sz w:val="24"/>
          <w:szCs w:val="24"/>
        </w:rPr>
        <w:t xml:space="preserve"> Through culture, the company emphasizes diversity, inclusion and collaboration. IHG fosters viewing its employees as customer-friendly people (Bardukova, 2023). The company rewards and appreciates good performance, thus creating a great environment for employees to be productive. Another important component of IHG culture is inclusivity, which aims at developing a diverse and open workplace. The firm invests in training programs to improve the skills of its employees and indicates a maintained service level on all brands</w:t>
      </w:r>
      <w:r w:rsidR="00D52EFE">
        <w:rPr>
          <w:rFonts w:eastAsia="Times New Roman"/>
          <w:sz w:val="24"/>
          <w:szCs w:val="24"/>
        </w:rPr>
        <w:t xml:space="preserve"> (</w:t>
      </w:r>
      <w:r w:rsidR="00D52EFE" w:rsidRPr="00D52EFE">
        <w:rPr>
          <w:rFonts w:eastAsia="Times New Roman"/>
          <w:sz w:val="24"/>
          <w:szCs w:val="24"/>
        </w:rPr>
        <w:t>Elnaga</w:t>
      </w:r>
      <w:r w:rsidR="00D52EFE">
        <w:rPr>
          <w:rFonts w:eastAsia="Times New Roman"/>
          <w:sz w:val="24"/>
          <w:szCs w:val="24"/>
        </w:rPr>
        <w:t xml:space="preserve"> </w:t>
      </w:r>
      <w:r w:rsidR="00D52EFE" w:rsidRPr="00D52EFE">
        <w:rPr>
          <w:rFonts w:eastAsia="Times New Roman"/>
          <w:sz w:val="24"/>
          <w:szCs w:val="24"/>
        </w:rPr>
        <w:t>and Imran, 2013</w:t>
      </w:r>
      <w:r w:rsidR="00D52EFE">
        <w:rPr>
          <w:rFonts w:eastAsia="Times New Roman"/>
          <w:sz w:val="24"/>
          <w:szCs w:val="24"/>
        </w:rPr>
        <w:t xml:space="preserve">). </w:t>
      </w:r>
      <w:r w:rsidRPr="00DC3D5E">
        <w:rPr>
          <w:rFonts w:eastAsia="Times New Roman"/>
          <w:sz w:val="24"/>
          <w:szCs w:val="24"/>
        </w:rPr>
        <w:t>IHG</w:t>
      </w:r>
      <w:r w:rsidR="000B391D" w:rsidRPr="00DC3D5E">
        <w:rPr>
          <w:rFonts w:eastAsia="Times New Roman"/>
          <w:sz w:val="24"/>
          <w:szCs w:val="24"/>
        </w:rPr>
        <w:t>’</w:t>
      </w:r>
      <w:r w:rsidRPr="00DC3D5E">
        <w:rPr>
          <w:rFonts w:eastAsia="Times New Roman"/>
          <w:sz w:val="24"/>
          <w:szCs w:val="24"/>
        </w:rPr>
        <w:t xml:space="preserve">s </w:t>
      </w:r>
      <w:r w:rsidRPr="00DC3D5E">
        <w:rPr>
          <w:rFonts w:eastAsia="Times New Roman"/>
          <w:sz w:val="24"/>
          <w:szCs w:val="24"/>
        </w:rPr>
        <w:lastRenderedPageBreak/>
        <w:t>responsible approach is reflected by its sustainability programs with a mission to minimize its environmental footprint and enhance the health of communities.</w:t>
      </w:r>
    </w:p>
    <w:p w14:paraId="0000000C" w14:textId="77777777" w:rsidR="00CE5C6D" w:rsidRPr="00DC3D5E" w:rsidRDefault="0097695E">
      <w:pPr>
        <w:spacing w:line="480" w:lineRule="auto"/>
        <w:jc w:val="both"/>
        <w:rPr>
          <w:rFonts w:eastAsia="Times New Roman"/>
          <w:sz w:val="24"/>
          <w:szCs w:val="24"/>
        </w:rPr>
      </w:pPr>
      <w:r w:rsidRPr="00DC3D5E">
        <w:rPr>
          <w:rFonts w:eastAsia="Times New Roman"/>
          <w:b/>
          <w:i/>
          <w:sz w:val="24"/>
          <w:szCs w:val="24"/>
        </w:rPr>
        <w:t>Goals of IHG Hotel Group:</w:t>
      </w:r>
    </w:p>
    <w:p w14:paraId="0000000D" w14:textId="77777777" w:rsidR="00CE5C6D" w:rsidRPr="00DC3D5E" w:rsidRDefault="0097695E">
      <w:pPr>
        <w:numPr>
          <w:ilvl w:val="0"/>
          <w:numId w:val="13"/>
        </w:numPr>
        <w:spacing w:line="480" w:lineRule="auto"/>
        <w:jc w:val="both"/>
        <w:rPr>
          <w:rFonts w:eastAsia="Times New Roman"/>
          <w:sz w:val="24"/>
          <w:szCs w:val="24"/>
        </w:rPr>
      </w:pPr>
      <w:r w:rsidRPr="00DC3D5E">
        <w:rPr>
          <w:rFonts w:eastAsia="Times New Roman"/>
          <w:b/>
          <w:i/>
          <w:sz w:val="24"/>
          <w:szCs w:val="24"/>
        </w:rPr>
        <w:t xml:space="preserve">Global Expansion: </w:t>
      </w:r>
      <w:r w:rsidRPr="00DC3D5E">
        <w:rPr>
          <w:rFonts w:eastAsia="Times New Roman"/>
          <w:sz w:val="24"/>
          <w:szCs w:val="24"/>
        </w:rPr>
        <w:t>IHG is planning to expand its portfolio by entering new markets and strengthening presence in previous ones (Stoimenov, 2023). This includes spotting chances to build new hotels and develop strategic alliances.</w:t>
      </w:r>
    </w:p>
    <w:p w14:paraId="0000000E" w14:textId="77777777" w:rsidR="00CE5C6D" w:rsidRPr="00DC3D5E" w:rsidRDefault="0097695E">
      <w:pPr>
        <w:numPr>
          <w:ilvl w:val="0"/>
          <w:numId w:val="13"/>
        </w:numPr>
        <w:spacing w:line="480" w:lineRule="auto"/>
        <w:jc w:val="both"/>
        <w:rPr>
          <w:rFonts w:eastAsia="Times New Roman"/>
          <w:sz w:val="24"/>
          <w:szCs w:val="24"/>
        </w:rPr>
      </w:pPr>
      <w:r w:rsidRPr="00DC3D5E">
        <w:rPr>
          <w:rFonts w:eastAsia="Times New Roman"/>
          <w:b/>
          <w:i/>
          <w:sz w:val="24"/>
          <w:szCs w:val="24"/>
        </w:rPr>
        <w:t xml:space="preserve">Brand Innovation: </w:t>
      </w:r>
      <w:r w:rsidRPr="00DC3D5E">
        <w:rPr>
          <w:rFonts w:eastAsia="Times New Roman"/>
          <w:sz w:val="24"/>
          <w:szCs w:val="24"/>
        </w:rPr>
        <w:t>The company seeks to innovate its current brands and new ones regarding the changing customer tastes. At IHG, they aim to provide unforgettable and unique guest experiences by ensuring that each brand has an identity of its own.</w:t>
      </w:r>
    </w:p>
    <w:p w14:paraId="0000000F" w14:textId="77777777" w:rsidR="00CE5C6D" w:rsidRPr="00DC3D5E" w:rsidRDefault="0097695E">
      <w:pPr>
        <w:numPr>
          <w:ilvl w:val="0"/>
          <w:numId w:val="13"/>
        </w:numPr>
        <w:spacing w:line="480" w:lineRule="auto"/>
        <w:jc w:val="both"/>
        <w:rPr>
          <w:rFonts w:eastAsia="Times New Roman"/>
          <w:sz w:val="24"/>
          <w:szCs w:val="24"/>
        </w:rPr>
      </w:pPr>
      <w:r w:rsidRPr="00DC3D5E">
        <w:rPr>
          <w:rFonts w:eastAsia="Times New Roman"/>
          <w:b/>
          <w:i/>
          <w:sz w:val="24"/>
          <w:szCs w:val="24"/>
        </w:rPr>
        <w:t xml:space="preserve">Digital Transformation: </w:t>
      </w:r>
      <w:r w:rsidRPr="00DC3D5E">
        <w:rPr>
          <w:rFonts w:eastAsia="Times New Roman"/>
          <w:sz w:val="24"/>
          <w:szCs w:val="24"/>
        </w:rPr>
        <w:t>IHG understands how integral technology is in the hotel industry (Kwan and Tong, 2023). The company invests in digital capabilities that improve both the guest experience and operational efficiency.</w:t>
      </w:r>
    </w:p>
    <w:p w14:paraId="00000010" w14:textId="77777777" w:rsidR="00CE5C6D" w:rsidRPr="00DC3D5E" w:rsidRDefault="0097695E">
      <w:pPr>
        <w:numPr>
          <w:ilvl w:val="0"/>
          <w:numId w:val="13"/>
        </w:numPr>
        <w:spacing w:line="480" w:lineRule="auto"/>
        <w:jc w:val="both"/>
        <w:rPr>
          <w:rFonts w:eastAsia="Times New Roman"/>
          <w:sz w:val="24"/>
          <w:szCs w:val="24"/>
        </w:rPr>
      </w:pPr>
      <w:r w:rsidRPr="00DC3D5E">
        <w:rPr>
          <w:rFonts w:eastAsia="Times New Roman"/>
          <w:b/>
          <w:i/>
          <w:sz w:val="24"/>
          <w:szCs w:val="24"/>
        </w:rPr>
        <w:t xml:space="preserve">Sustainability: </w:t>
      </w:r>
      <w:r w:rsidRPr="00DC3D5E">
        <w:rPr>
          <w:rFonts w:eastAsia="Times New Roman"/>
          <w:sz w:val="24"/>
          <w:szCs w:val="24"/>
        </w:rPr>
        <w:t>IHG is striving to reduce its ecological footprint and promote sustainable operations throughout the company. The company has some challenging goals related to energy efficiency, waste reduction, as well as sustainable sourcing.</w:t>
      </w:r>
    </w:p>
    <w:p w14:paraId="00000011" w14:textId="77777777" w:rsidR="00CE5C6D" w:rsidRPr="00DC3D5E" w:rsidRDefault="0097695E">
      <w:pPr>
        <w:numPr>
          <w:ilvl w:val="0"/>
          <w:numId w:val="13"/>
        </w:numPr>
        <w:spacing w:line="480" w:lineRule="auto"/>
        <w:jc w:val="both"/>
        <w:rPr>
          <w:rFonts w:eastAsia="Times New Roman"/>
          <w:sz w:val="24"/>
          <w:szCs w:val="24"/>
        </w:rPr>
      </w:pPr>
      <w:r w:rsidRPr="00DC3D5E">
        <w:rPr>
          <w:rFonts w:eastAsia="Times New Roman"/>
          <w:b/>
          <w:i/>
          <w:sz w:val="24"/>
          <w:szCs w:val="24"/>
        </w:rPr>
        <w:t xml:space="preserve">Employee Engagement: </w:t>
      </w:r>
      <w:r w:rsidRPr="00DC3D5E">
        <w:rPr>
          <w:rFonts w:eastAsia="Times New Roman"/>
          <w:sz w:val="24"/>
          <w:szCs w:val="24"/>
        </w:rPr>
        <w:t>The employees are an important asset to IHG. The company seeks to attract and retain talented employees through creating a positive and inclusive workplace, facilitating lifelong learning, offering competitive compensation (Kaliannan et al., 2023).</w:t>
      </w:r>
    </w:p>
    <w:p w14:paraId="00000012" w14:textId="77777777" w:rsidR="00CE5C6D" w:rsidRPr="00DC3D5E" w:rsidRDefault="0097695E" w:rsidP="000B391D">
      <w:pPr>
        <w:pStyle w:val="Heading1"/>
        <w:rPr>
          <w:rFonts w:ascii="Arial" w:hAnsi="Arial" w:cs="Arial"/>
        </w:rPr>
      </w:pPr>
      <w:bookmarkStart w:id="3" w:name="_Toc156594060"/>
      <w:r w:rsidRPr="00DC3D5E">
        <w:rPr>
          <w:rFonts w:ascii="Arial" w:hAnsi="Arial" w:cs="Arial"/>
        </w:rPr>
        <w:t>Recent change initiatives, their impact and how well these were managed</w:t>
      </w:r>
      <w:bookmarkEnd w:id="3"/>
    </w:p>
    <w:p w14:paraId="00000013" w14:textId="744FAD73" w:rsidR="00CE5C6D" w:rsidRPr="00DC3D5E" w:rsidRDefault="0097695E">
      <w:pPr>
        <w:spacing w:line="480" w:lineRule="auto"/>
        <w:jc w:val="both"/>
        <w:rPr>
          <w:rFonts w:eastAsia="Times New Roman"/>
          <w:b/>
          <w:sz w:val="24"/>
          <w:szCs w:val="24"/>
        </w:rPr>
      </w:pPr>
      <w:r w:rsidRPr="00DC3D5E">
        <w:rPr>
          <w:rFonts w:eastAsia="Times New Roman"/>
          <w:b/>
          <w:sz w:val="24"/>
          <w:szCs w:val="24"/>
        </w:rPr>
        <w:t>Recent change initiatives and their impact</w:t>
      </w:r>
    </w:p>
    <w:p w14:paraId="2FBE0A6B" w14:textId="0E95994C" w:rsidR="00AB3C94" w:rsidRPr="00DC3D5E" w:rsidRDefault="00AB3C94" w:rsidP="00AB3C94">
      <w:pPr>
        <w:spacing w:line="480" w:lineRule="auto"/>
        <w:jc w:val="center"/>
        <w:rPr>
          <w:rFonts w:eastAsia="Times New Roman"/>
          <w:b/>
          <w:sz w:val="24"/>
          <w:szCs w:val="24"/>
        </w:rPr>
      </w:pPr>
      <w:r w:rsidRPr="00DC3D5E">
        <w:rPr>
          <w:rFonts w:eastAsia="Times New Roman"/>
          <w:b/>
          <w:noProof/>
          <w:sz w:val="24"/>
          <w:szCs w:val="24"/>
        </w:rPr>
        <w:lastRenderedPageBreak/>
        <w:drawing>
          <wp:inline distT="0" distB="0" distL="0" distR="0" wp14:anchorId="5FAD63B1" wp14:editId="6355ECA8">
            <wp:extent cx="5021123" cy="2179930"/>
            <wp:effectExtent l="38100" t="0" r="27305"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1C26C051" w14:textId="48698594" w:rsidR="00AB3C94" w:rsidRPr="00DC3D5E" w:rsidRDefault="00AB3C94" w:rsidP="00AB3C94">
      <w:pPr>
        <w:spacing w:line="480" w:lineRule="auto"/>
        <w:jc w:val="center"/>
        <w:rPr>
          <w:rFonts w:eastAsia="Times New Roman"/>
          <w:b/>
          <w:sz w:val="24"/>
          <w:szCs w:val="24"/>
        </w:rPr>
      </w:pPr>
      <w:r w:rsidRPr="00DC3D5E">
        <w:rPr>
          <w:rFonts w:eastAsia="Times New Roman"/>
          <w:b/>
          <w:sz w:val="24"/>
          <w:szCs w:val="24"/>
        </w:rPr>
        <w:t>Figure 2: Recent change initiatives and their impact</w:t>
      </w:r>
    </w:p>
    <w:p w14:paraId="133668CB" w14:textId="5211BCE3" w:rsidR="00AB3C94" w:rsidRPr="00DC3D5E" w:rsidRDefault="00AB3C94" w:rsidP="00AB3C94">
      <w:pPr>
        <w:spacing w:line="480" w:lineRule="auto"/>
        <w:jc w:val="center"/>
        <w:rPr>
          <w:rFonts w:eastAsia="Times New Roman"/>
          <w:bCs/>
          <w:sz w:val="24"/>
          <w:szCs w:val="24"/>
        </w:rPr>
      </w:pPr>
      <w:r w:rsidRPr="00DC3D5E">
        <w:rPr>
          <w:rFonts w:eastAsia="Times New Roman"/>
          <w:bCs/>
          <w:sz w:val="24"/>
          <w:szCs w:val="24"/>
        </w:rPr>
        <w:t>(Source: Self-made)</w:t>
      </w:r>
    </w:p>
    <w:p w14:paraId="00000014" w14:textId="77777777" w:rsidR="00CE5C6D" w:rsidRPr="00DC3D5E" w:rsidRDefault="0097695E">
      <w:pPr>
        <w:numPr>
          <w:ilvl w:val="0"/>
          <w:numId w:val="1"/>
        </w:numPr>
        <w:spacing w:line="480" w:lineRule="auto"/>
        <w:jc w:val="both"/>
        <w:rPr>
          <w:rFonts w:eastAsia="Times New Roman"/>
          <w:b/>
          <w:i/>
          <w:sz w:val="24"/>
          <w:szCs w:val="24"/>
        </w:rPr>
      </w:pPr>
      <w:r w:rsidRPr="00DC3D5E">
        <w:rPr>
          <w:rFonts w:eastAsia="Times New Roman"/>
          <w:b/>
          <w:i/>
          <w:sz w:val="24"/>
          <w:szCs w:val="24"/>
        </w:rPr>
        <w:t>Digital Transformation Initiatives:</w:t>
      </w:r>
    </w:p>
    <w:p w14:paraId="00000015" w14:textId="77777777" w:rsidR="00CE5C6D" w:rsidRPr="00DC3D5E" w:rsidRDefault="0097695E">
      <w:pPr>
        <w:spacing w:line="480" w:lineRule="auto"/>
        <w:jc w:val="both"/>
        <w:rPr>
          <w:rFonts w:eastAsia="Times New Roman"/>
          <w:sz w:val="24"/>
          <w:szCs w:val="24"/>
        </w:rPr>
      </w:pPr>
      <w:r w:rsidRPr="00DC3D5E">
        <w:rPr>
          <w:rFonts w:eastAsia="Times New Roman"/>
          <w:sz w:val="24"/>
          <w:szCs w:val="24"/>
        </w:rPr>
        <w:t>IHG Hotel Group has embarked on major digital transformation approaches aimed at improving guest satisfaction and driving efficiencies (Busulwa et al., 2020). These measures include introducing a strong mobile application, online check-in/out options as well as tailored digital solutions. These changes have had a significant impact, which has resulted in enhanced guest satisfaction from the smooth booking processes and increased convenience. Digital change has also streamlined internal processes, leading to better hotel management and resource allocation.</w:t>
      </w:r>
    </w:p>
    <w:p w14:paraId="00000016" w14:textId="77777777" w:rsidR="00CE5C6D" w:rsidRPr="00DC3D5E" w:rsidRDefault="0097695E">
      <w:pPr>
        <w:numPr>
          <w:ilvl w:val="0"/>
          <w:numId w:val="2"/>
        </w:numPr>
        <w:spacing w:line="480" w:lineRule="auto"/>
        <w:jc w:val="both"/>
        <w:rPr>
          <w:rFonts w:eastAsia="Times New Roman"/>
          <w:b/>
          <w:i/>
          <w:sz w:val="24"/>
          <w:szCs w:val="24"/>
        </w:rPr>
      </w:pPr>
      <w:r w:rsidRPr="00DC3D5E">
        <w:rPr>
          <w:rFonts w:eastAsia="Times New Roman"/>
          <w:b/>
          <w:i/>
          <w:sz w:val="24"/>
          <w:szCs w:val="24"/>
        </w:rPr>
        <w:t>Sustainability and Environmental Initiatives:</w:t>
      </w:r>
    </w:p>
    <w:p w14:paraId="00000017" w14:textId="5B90F802" w:rsidR="00CE5C6D" w:rsidRPr="00DC3D5E" w:rsidRDefault="0097695E">
      <w:pPr>
        <w:spacing w:line="480" w:lineRule="auto"/>
        <w:jc w:val="both"/>
        <w:rPr>
          <w:rFonts w:eastAsia="Times New Roman"/>
          <w:sz w:val="24"/>
          <w:szCs w:val="24"/>
        </w:rPr>
      </w:pPr>
      <w:r w:rsidRPr="00DC3D5E">
        <w:rPr>
          <w:rFonts w:eastAsia="Times New Roman"/>
          <w:sz w:val="24"/>
          <w:szCs w:val="24"/>
        </w:rPr>
        <w:t>IHG has focused on sustainability by implementing measures that seek to minimize its ecological footprint. The organization has also identified ambitious goals regarding energy efficiency, waste reduction, as well as sustainable sourcing (Marques, 2023). The approach to sustainability adopted by them not only reflects global environmental issues but also highlights the need for eco-responsible practices from consumers. In fact, these projects have resulted in positive outcomes since they contribute to IHG</w:t>
      </w:r>
      <w:r w:rsidR="000B391D" w:rsidRPr="00DC3D5E">
        <w:rPr>
          <w:rFonts w:eastAsia="Times New Roman"/>
          <w:sz w:val="24"/>
          <w:szCs w:val="24"/>
        </w:rPr>
        <w:t>’</w:t>
      </w:r>
      <w:r w:rsidRPr="00DC3D5E">
        <w:rPr>
          <w:rFonts w:eastAsia="Times New Roman"/>
          <w:sz w:val="24"/>
          <w:szCs w:val="24"/>
        </w:rPr>
        <w:t>s positive image as an organization that promotes social and environmental responsibility within the hotel industry.</w:t>
      </w:r>
    </w:p>
    <w:p w14:paraId="00000018" w14:textId="77777777" w:rsidR="00CE5C6D" w:rsidRPr="00DC3D5E" w:rsidRDefault="0097695E">
      <w:pPr>
        <w:numPr>
          <w:ilvl w:val="0"/>
          <w:numId w:val="8"/>
        </w:numPr>
        <w:spacing w:line="480" w:lineRule="auto"/>
        <w:jc w:val="both"/>
        <w:rPr>
          <w:rFonts w:eastAsia="Times New Roman"/>
          <w:b/>
          <w:i/>
          <w:sz w:val="24"/>
          <w:szCs w:val="24"/>
        </w:rPr>
      </w:pPr>
      <w:r w:rsidRPr="00DC3D5E">
        <w:rPr>
          <w:rFonts w:eastAsia="Times New Roman"/>
          <w:b/>
          <w:i/>
          <w:sz w:val="24"/>
          <w:szCs w:val="24"/>
        </w:rPr>
        <w:lastRenderedPageBreak/>
        <w:t>Brand Renovation:</w:t>
      </w:r>
    </w:p>
    <w:p w14:paraId="00000019" w14:textId="77777777" w:rsidR="00CE5C6D" w:rsidRPr="00DC3D5E" w:rsidRDefault="0097695E">
      <w:pPr>
        <w:spacing w:line="480" w:lineRule="auto"/>
        <w:jc w:val="both"/>
        <w:rPr>
          <w:rFonts w:eastAsia="Times New Roman"/>
          <w:sz w:val="24"/>
          <w:szCs w:val="24"/>
        </w:rPr>
      </w:pPr>
      <w:r w:rsidRPr="00DC3D5E">
        <w:rPr>
          <w:rFonts w:eastAsia="Times New Roman"/>
          <w:sz w:val="24"/>
          <w:szCs w:val="24"/>
        </w:rPr>
        <w:t>According to Mullins and Dosser (2013), brand renovation and new concept introduction attempts to meet emerging consumer preferences. These alterations have had a positive impact on the group by inviting more diversity of guests and increasing market coverage. Innovative concepts have also enabled IHG to differentiate itself and produce original guest experience, resulting in brand loyalty.</w:t>
      </w:r>
    </w:p>
    <w:p w14:paraId="0000001A" w14:textId="77777777" w:rsidR="00CE5C6D" w:rsidRPr="00DC3D5E" w:rsidRDefault="0097695E">
      <w:pPr>
        <w:numPr>
          <w:ilvl w:val="0"/>
          <w:numId w:val="3"/>
        </w:numPr>
        <w:spacing w:line="480" w:lineRule="auto"/>
        <w:jc w:val="both"/>
        <w:rPr>
          <w:rFonts w:eastAsia="Times New Roman"/>
          <w:b/>
          <w:i/>
          <w:sz w:val="24"/>
          <w:szCs w:val="24"/>
        </w:rPr>
      </w:pPr>
      <w:r w:rsidRPr="00DC3D5E">
        <w:rPr>
          <w:rFonts w:eastAsia="Times New Roman"/>
          <w:b/>
          <w:i/>
          <w:sz w:val="24"/>
          <w:szCs w:val="24"/>
        </w:rPr>
        <w:t>COVID-19 Response and Adaptation:</w:t>
      </w:r>
    </w:p>
    <w:p w14:paraId="0000001B" w14:textId="1CBD0965" w:rsidR="00CE5C6D" w:rsidRPr="00DC3D5E" w:rsidRDefault="0097695E">
      <w:pPr>
        <w:spacing w:line="480" w:lineRule="auto"/>
        <w:jc w:val="both"/>
        <w:rPr>
          <w:rFonts w:eastAsia="Times New Roman"/>
          <w:sz w:val="24"/>
          <w:szCs w:val="24"/>
        </w:rPr>
      </w:pPr>
      <w:r w:rsidRPr="00DC3D5E">
        <w:rPr>
          <w:rFonts w:eastAsia="Times New Roman"/>
          <w:sz w:val="24"/>
          <w:szCs w:val="24"/>
        </w:rPr>
        <w:t xml:space="preserve">IHG has restructured its strategy in response to the global COVID-19 pandemic which affected the hospitality industry tremendously. They also have improved health and safety protocols, flexible booking options, as well as contactless technologies introduced (Pillai </w:t>
      </w:r>
      <w:r w:rsidRPr="00DC3D5E">
        <w:rPr>
          <w:rFonts w:eastAsia="Times New Roman"/>
          <w:i/>
          <w:sz w:val="24"/>
          <w:szCs w:val="24"/>
        </w:rPr>
        <w:t xml:space="preserve">et al., </w:t>
      </w:r>
      <w:r w:rsidRPr="00DC3D5E">
        <w:rPr>
          <w:rFonts w:eastAsia="Times New Roman"/>
          <w:sz w:val="24"/>
          <w:szCs w:val="24"/>
        </w:rPr>
        <w:t>2021). Even though the pandemic</w:t>
      </w:r>
      <w:r w:rsidR="000B391D" w:rsidRPr="00DC3D5E">
        <w:rPr>
          <w:rFonts w:eastAsia="Times New Roman"/>
          <w:sz w:val="24"/>
          <w:szCs w:val="24"/>
        </w:rPr>
        <w:t>’</w:t>
      </w:r>
      <w:r w:rsidRPr="00DC3D5E">
        <w:rPr>
          <w:rFonts w:eastAsia="Times New Roman"/>
          <w:sz w:val="24"/>
          <w:szCs w:val="24"/>
        </w:rPr>
        <w:t>s impact initially was difficult, IHG</w:t>
      </w:r>
      <w:r w:rsidR="000B391D" w:rsidRPr="00DC3D5E">
        <w:rPr>
          <w:rFonts w:eastAsia="Times New Roman"/>
          <w:sz w:val="24"/>
          <w:szCs w:val="24"/>
        </w:rPr>
        <w:t>’</w:t>
      </w:r>
      <w:r w:rsidRPr="00DC3D5E">
        <w:rPr>
          <w:rFonts w:eastAsia="Times New Roman"/>
          <w:sz w:val="24"/>
          <w:szCs w:val="24"/>
        </w:rPr>
        <w:t>s rapid response has helped restore guest confidence and place the group in the leading role of ensuring guest welfare during these unforeseen conditions.</w:t>
      </w:r>
    </w:p>
    <w:p w14:paraId="0000001C" w14:textId="77777777" w:rsidR="00CE5C6D" w:rsidRPr="00DC3D5E" w:rsidRDefault="0097695E">
      <w:pPr>
        <w:numPr>
          <w:ilvl w:val="0"/>
          <w:numId w:val="9"/>
        </w:numPr>
        <w:spacing w:line="480" w:lineRule="auto"/>
        <w:jc w:val="both"/>
        <w:rPr>
          <w:rFonts w:eastAsia="Times New Roman"/>
          <w:b/>
          <w:i/>
          <w:sz w:val="24"/>
          <w:szCs w:val="24"/>
        </w:rPr>
      </w:pPr>
      <w:r w:rsidRPr="00DC3D5E">
        <w:rPr>
          <w:rFonts w:eastAsia="Times New Roman"/>
          <w:b/>
          <w:i/>
          <w:sz w:val="24"/>
          <w:szCs w:val="24"/>
        </w:rPr>
        <w:t>Employee Well-being and Training Programs:</w:t>
      </w:r>
    </w:p>
    <w:p w14:paraId="0000001D" w14:textId="77777777" w:rsidR="00CE5C6D" w:rsidRPr="00DC3D5E" w:rsidRDefault="0097695E">
      <w:pPr>
        <w:spacing w:line="480" w:lineRule="auto"/>
        <w:jc w:val="both"/>
        <w:rPr>
          <w:rFonts w:eastAsia="Times New Roman"/>
          <w:sz w:val="24"/>
          <w:szCs w:val="24"/>
        </w:rPr>
      </w:pPr>
      <w:r w:rsidRPr="00DC3D5E">
        <w:rPr>
          <w:rFonts w:eastAsia="Times New Roman"/>
          <w:sz w:val="24"/>
          <w:szCs w:val="24"/>
        </w:rPr>
        <w:t>IHG acknowledges its workforce despite having put in place programs intended for the welfare of employees as well as development. The implementation of holistic training programs and well-being schemes has undoubtedly benefited employee engagement and overall satisfaction (Ashraf and Siddiqui, 2020). This also helps in creating a workforce that is more committed and capable, which improves the quality of service to guests.</w:t>
      </w:r>
    </w:p>
    <w:p w14:paraId="0000001E" w14:textId="7CBC60A8" w:rsidR="00CE5C6D" w:rsidRPr="00DC3D5E" w:rsidRDefault="0097695E">
      <w:pPr>
        <w:spacing w:line="480" w:lineRule="auto"/>
        <w:jc w:val="both"/>
        <w:rPr>
          <w:rFonts w:eastAsia="Times New Roman"/>
          <w:b/>
          <w:sz w:val="24"/>
          <w:szCs w:val="24"/>
        </w:rPr>
      </w:pPr>
      <w:r w:rsidRPr="00DC3D5E">
        <w:rPr>
          <w:rFonts w:eastAsia="Times New Roman"/>
          <w:b/>
          <w:sz w:val="24"/>
          <w:szCs w:val="24"/>
        </w:rPr>
        <w:t>Management of these changes</w:t>
      </w:r>
    </w:p>
    <w:p w14:paraId="61D518FF" w14:textId="2D74CDBF" w:rsidR="00AB3C94" w:rsidRPr="00DC3D5E" w:rsidRDefault="00AB3C94" w:rsidP="00AB3C94">
      <w:pPr>
        <w:spacing w:line="480" w:lineRule="auto"/>
        <w:jc w:val="center"/>
        <w:rPr>
          <w:rFonts w:eastAsia="Times New Roman"/>
          <w:sz w:val="24"/>
          <w:szCs w:val="24"/>
        </w:rPr>
      </w:pPr>
      <w:r w:rsidRPr="00DC3D5E">
        <w:rPr>
          <w:rFonts w:eastAsia="Times New Roman"/>
          <w:noProof/>
          <w:sz w:val="24"/>
          <w:szCs w:val="24"/>
        </w:rPr>
        <w:lastRenderedPageBreak/>
        <w:drawing>
          <wp:inline distT="0" distB="0" distL="0" distR="0" wp14:anchorId="6FEE8D9B" wp14:editId="2D40E3ED">
            <wp:extent cx="5486400" cy="2348179"/>
            <wp:effectExtent l="38100" t="0" r="1905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7505D946" w14:textId="6B82C399" w:rsidR="00AB3C94" w:rsidRPr="00DC3D5E" w:rsidRDefault="00AB3C94" w:rsidP="00AB3C94">
      <w:pPr>
        <w:spacing w:line="480" w:lineRule="auto"/>
        <w:jc w:val="center"/>
        <w:rPr>
          <w:rFonts w:eastAsia="Times New Roman"/>
          <w:b/>
          <w:sz w:val="24"/>
          <w:szCs w:val="24"/>
        </w:rPr>
      </w:pPr>
      <w:r w:rsidRPr="00DC3D5E">
        <w:rPr>
          <w:rFonts w:eastAsia="Times New Roman"/>
          <w:b/>
          <w:bCs/>
          <w:sz w:val="24"/>
          <w:szCs w:val="24"/>
        </w:rPr>
        <w:t xml:space="preserve">Figure 3: </w:t>
      </w:r>
      <w:r w:rsidRPr="00DC3D5E">
        <w:rPr>
          <w:rFonts w:eastAsia="Times New Roman"/>
          <w:b/>
          <w:sz w:val="24"/>
          <w:szCs w:val="24"/>
        </w:rPr>
        <w:t>Management of these changes</w:t>
      </w:r>
    </w:p>
    <w:p w14:paraId="1296C04B" w14:textId="67521EB6" w:rsidR="00AB3C94" w:rsidRPr="00DC3D5E" w:rsidRDefault="00AB3C94" w:rsidP="00AB3C94">
      <w:pPr>
        <w:spacing w:line="480" w:lineRule="auto"/>
        <w:jc w:val="center"/>
        <w:rPr>
          <w:rFonts w:eastAsia="Times New Roman"/>
          <w:bCs/>
          <w:sz w:val="24"/>
          <w:szCs w:val="24"/>
        </w:rPr>
      </w:pPr>
      <w:r w:rsidRPr="00DC3D5E">
        <w:rPr>
          <w:rFonts w:eastAsia="Times New Roman"/>
          <w:bCs/>
          <w:sz w:val="24"/>
          <w:szCs w:val="24"/>
        </w:rPr>
        <w:t>(Source: Self-made)</w:t>
      </w:r>
    </w:p>
    <w:p w14:paraId="0000001F" w14:textId="77777777" w:rsidR="00CE5C6D" w:rsidRPr="00DC3D5E" w:rsidRDefault="0097695E">
      <w:pPr>
        <w:numPr>
          <w:ilvl w:val="0"/>
          <w:numId w:val="11"/>
        </w:numPr>
        <w:spacing w:line="480" w:lineRule="auto"/>
        <w:jc w:val="both"/>
        <w:rPr>
          <w:rFonts w:eastAsia="Times New Roman"/>
          <w:b/>
          <w:i/>
          <w:sz w:val="24"/>
          <w:szCs w:val="24"/>
        </w:rPr>
      </w:pPr>
      <w:r w:rsidRPr="00DC3D5E">
        <w:rPr>
          <w:rFonts w:eastAsia="Times New Roman"/>
          <w:b/>
          <w:i/>
          <w:sz w:val="24"/>
          <w:szCs w:val="24"/>
        </w:rPr>
        <w:t>Digital Transformation Initiatives:</w:t>
      </w:r>
    </w:p>
    <w:p w14:paraId="00000020" w14:textId="77777777" w:rsidR="00CE5C6D" w:rsidRPr="00DC3D5E" w:rsidRDefault="0097695E">
      <w:pPr>
        <w:spacing w:line="480" w:lineRule="auto"/>
        <w:jc w:val="both"/>
        <w:rPr>
          <w:rFonts w:eastAsia="Times New Roman"/>
          <w:sz w:val="24"/>
          <w:szCs w:val="24"/>
        </w:rPr>
      </w:pPr>
      <w:r w:rsidRPr="00DC3D5E">
        <w:rPr>
          <w:rFonts w:eastAsia="Times New Roman"/>
          <w:sz w:val="24"/>
          <w:szCs w:val="24"/>
        </w:rPr>
        <w:t>Mullins (2020), identified effectively managed digital transformation initiatives aimed at leveraging technology to improve the customer experience and boost efficiency within operations. The adoption of the user-friendly mobile app as well as the online check-in/out options illustrated a desire to satisfy dynamic consumer needs in the digital era.</w:t>
      </w:r>
    </w:p>
    <w:p w14:paraId="00000021" w14:textId="77777777" w:rsidR="00CE5C6D" w:rsidRPr="00DC3D5E" w:rsidRDefault="0097695E">
      <w:pPr>
        <w:numPr>
          <w:ilvl w:val="0"/>
          <w:numId w:val="4"/>
        </w:numPr>
        <w:spacing w:line="480" w:lineRule="auto"/>
        <w:jc w:val="both"/>
        <w:rPr>
          <w:rFonts w:eastAsia="Times New Roman"/>
          <w:b/>
          <w:i/>
          <w:sz w:val="24"/>
          <w:szCs w:val="24"/>
        </w:rPr>
      </w:pPr>
      <w:r w:rsidRPr="00DC3D5E">
        <w:rPr>
          <w:rFonts w:eastAsia="Times New Roman"/>
          <w:b/>
          <w:i/>
          <w:sz w:val="24"/>
          <w:szCs w:val="24"/>
        </w:rPr>
        <w:t>Sustainability and Environmental Initiatives:</w:t>
      </w:r>
    </w:p>
    <w:p w14:paraId="00000022" w14:textId="77777777" w:rsidR="00CE5C6D" w:rsidRPr="00DC3D5E" w:rsidRDefault="0097695E">
      <w:pPr>
        <w:spacing w:line="480" w:lineRule="auto"/>
        <w:jc w:val="both"/>
        <w:rPr>
          <w:rFonts w:eastAsia="Times New Roman"/>
          <w:sz w:val="24"/>
          <w:szCs w:val="24"/>
        </w:rPr>
      </w:pPr>
      <w:r w:rsidRPr="00DC3D5E">
        <w:rPr>
          <w:rFonts w:eastAsia="Times New Roman"/>
          <w:sz w:val="24"/>
          <w:szCs w:val="24"/>
        </w:rPr>
        <w:t>The sustainability and environmental measures were well organized with IHG setting broader goals and having action plans that are quantifiable. The way the group approaches environmental stewardship can be seen as well-structured responsible sourcing and energy efficiency.</w:t>
      </w:r>
    </w:p>
    <w:p w14:paraId="00000023" w14:textId="77777777" w:rsidR="00CE5C6D" w:rsidRPr="00DC3D5E" w:rsidRDefault="0097695E">
      <w:pPr>
        <w:numPr>
          <w:ilvl w:val="0"/>
          <w:numId w:val="7"/>
        </w:numPr>
        <w:spacing w:line="480" w:lineRule="auto"/>
        <w:jc w:val="both"/>
        <w:rPr>
          <w:rFonts w:eastAsia="Times New Roman"/>
          <w:b/>
          <w:i/>
          <w:sz w:val="24"/>
          <w:szCs w:val="24"/>
        </w:rPr>
      </w:pPr>
      <w:r w:rsidRPr="00DC3D5E">
        <w:rPr>
          <w:rFonts w:eastAsia="Times New Roman"/>
          <w:b/>
          <w:i/>
          <w:sz w:val="24"/>
          <w:szCs w:val="24"/>
        </w:rPr>
        <w:t>Brand renovation:</w:t>
      </w:r>
    </w:p>
    <w:p w14:paraId="00000024" w14:textId="77777777" w:rsidR="00CE5C6D" w:rsidRPr="00DC3D5E" w:rsidRDefault="0097695E">
      <w:pPr>
        <w:spacing w:line="480" w:lineRule="auto"/>
        <w:jc w:val="both"/>
        <w:rPr>
          <w:rFonts w:eastAsia="Times New Roman"/>
          <w:sz w:val="24"/>
          <w:szCs w:val="24"/>
        </w:rPr>
      </w:pPr>
      <w:r w:rsidRPr="00DC3D5E">
        <w:rPr>
          <w:rFonts w:eastAsia="Times New Roman"/>
          <w:sz w:val="24"/>
          <w:szCs w:val="24"/>
        </w:rPr>
        <w:t>As far as brand renovation is concerned, IHG demonstrated an excellent management approach in realigning the portfolio towards the changing consumer needs (Mullins, 2016). The strategic introduction of new concepts and the revitalization of brands were aimed at retaining a wide customer base in a competitive arena.</w:t>
      </w:r>
    </w:p>
    <w:p w14:paraId="00000025" w14:textId="77777777" w:rsidR="00CE5C6D" w:rsidRPr="00DC3D5E" w:rsidRDefault="0097695E">
      <w:pPr>
        <w:numPr>
          <w:ilvl w:val="0"/>
          <w:numId w:val="5"/>
        </w:numPr>
        <w:spacing w:line="480" w:lineRule="auto"/>
        <w:jc w:val="both"/>
        <w:rPr>
          <w:rFonts w:eastAsia="Times New Roman"/>
          <w:b/>
          <w:i/>
          <w:sz w:val="24"/>
          <w:szCs w:val="24"/>
        </w:rPr>
      </w:pPr>
      <w:r w:rsidRPr="00DC3D5E">
        <w:rPr>
          <w:rFonts w:eastAsia="Times New Roman"/>
          <w:b/>
          <w:i/>
          <w:sz w:val="24"/>
          <w:szCs w:val="24"/>
        </w:rPr>
        <w:lastRenderedPageBreak/>
        <w:t>COVID-19 Response and Adaptation:</w:t>
      </w:r>
    </w:p>
    <w:p w14:paraId="00000026" w14:textId="77777777" w:rsidR="00CE5C6D" w:rsidRPr="00DC3D5E" w:rsidRDefault="0097695E">
      <w:pPr>
        <w:spacing w:line="480" w:lineRule="auto"/>
        <w:jc w:val="both"/>
        <w:rPr>
          <w:rFonts w:eastAsia="Times New Roman"/>
          <w:sz w:val="24"/>
          <w:szCs w:val="24"/>
        </w:rPr>
      </w:pPr>
      <w:r w:rsidRPr="00DC3D5E">
        <w:rPr>
          <w:rFonts w:eastAsia="Times New Roman"/>
          <w:sz w:val="24"/>
          <w:szCs w:val="24"/>
        </w:rPr>
        <w:t>Crisis management skills are clearly shown in the response of IHG to the pandemic. Effective deployment of health and safety measures, adjustable booking policies, as well as contactless technologies indicated a responsive customer-oriented strategy that has contributed to restoring trust in the intended audience.</w:t>
      </w:r>
    </w:p>
    <w:p w14:paraId="00000027" w14:textId="77777777" w:rsidR="00CE5C6D" w:rsidRPr="00DC3D5E" w:rsidRDefault="0097695E">
      <w:pPr>
        <w:numPr>
          <w:ilvl w:val="0"/>
          <w:numId w:val="6"/>
        </w:numPr>
        <w:spacing w:line="480" w:lineRule="auto"/>
        <w:jc w:val="both"/>
        <w:rPr>
          <w:rFonts w:eastAsia="Times New Roman"/>
          <w:b/>
          <w:i/>
          <w:sz w:val="24"/>
          <w:szCs w:val="24"/>
        </w:rPr>
      </w:pPr>
      <w:r w:rsidRPr="00DC3D5E">
        <w:rPr>
          <w:rFonts w:eastAsia="Times New Roman"/>
          <w:b/>
          <w:i/>
          <w:sz w:val="24"/>
          <w:szCs w:val="24"/>
        </w:rPr>
        <w:t>Employee Well-being and Training Programs:</w:t>
      </w:r>
    </w:p>
    <w:p w14:paraId="00000028" w14:textId="5BEBEC9A" w:rsidR="00CE5C6D" w:rsidRPr="00DC3D5E" w:rsidRDefault="0097695E">
      <w:pPr>
        <w:spacing w:line="480" w:lineRule="auto"/>
        <w:jc w:val="both"/>
        <w:rPr>
          <w:rFonts w:eastAsia="Times New Roman"/>
          <w:sz w:val="24"/>
          <w:szCs w:val="24"/>
        </w:rPr>
      </w:pPr>
      <w:r w:rsidRPr="00DC3D5E">
        <w:rPr>
          <w:rFonts w:eastAsia="Times New Roman"/>
          <w:sz w:val="24"/>
          <w:szCs w:val="24"/>
        </w:rPr>
        <w:t>IHG</w:t>
      </w:r>
      <w:r w:rsidR="000B391D" w:rsidRPr="00DC3D5E">
        <w:rPr>
          <w:rFonts w:eastAsia="Times New Roman"/>
          <w:sz w:val="24"/>
          <w:szCs w:val="24"/>
        </w:rPr>
        <w:t>’</w:t>
      </w:r>
      <w:r w:rsidRPr="00DC3D5E">
        <w:rPr>
          <w:rFonts w:eastAsia="Times New Roman"/>
          <w:sz w:val="24"/>
          <w:szCs w:val="24"/>
        </w:rPr>
        <w:t>s focus on employees</w:t>
      </w:r>
      <w:r w:rsidR="000B391D" w:rsidRPr="00DC3D5E">
        <w:rPr>
          <w:rFonts w:eastAsia="Times New Roman"/>
          <w:sz w:val="24"/>
          <w:szCs w:val="24"/>
        </w:rPr>
        <w:t>’</w:t>
      </w:r>
      <w:r w:rsidRPr="00DC3D5E">
        <w:rPr>
          <w:rFonts w:eastAsia="Times New Roman"/>
          <w:sz w:val="24"/>
          <w:szCs w:val="24"/>
        </w:rPr>
        <w:t xml:space="preserve"> </w:t>
      </w:r>
      <w:r w:rsidR="000B391D" w:rsidRPr="00DC3D5E">
        <w:rPr>
          <w:rFonts w:eastAsia="Times New Roman"/>
          <w:sz w:val="24"/>
          <w:szCs w:val="24"/>
        </w:rPr>
        <w:t>well-being</w:t>
      </w:r>
      <w:r w:rsidRPr="00DC3D5E">
        <w:rPr>
          <w:rFonts w:eastAsia="Times New Roman"/>
          <w:sz w:val="24"/>
          <w:szCs w:val="24"/>
        </w:rPr>
        <w:t xml:space="preserve"> and training programs was a way of showing the company had an interest in developing a skilled, motivated workforce (BOODY, 2014). Managed initiatives in this area lead to employee satisfaction which provide better guest experiences and service quality.</w:t>
      </w:r>
    </w:p>
    <w:p w14:paraId="00000029" w14:textId="3CF4D221" w:rsidR="00CE5C6D" w:rsidRPr="00DC3D5E" w:rsidRDefault="0097695E" w:rsidP="000B391D">
      <w:pPr>
        <w:pStyle w:val="Heading1"/>
        <w:rPr>
          <w:rFonts w:ascii="Arial" w:hAnsi="Arial" w:cs="Arial"/>
        </w:rPr>
      </w:pPr>
      <w:bookmarkStart w:id="4" w:name="_Toc156594061"/>
      <w:r w:rsidRPr="00DC3D5E">
        <w:rPr>
          <w:rFonts w:ascii="Arial" w:hAnsi="Arial" w:cs="Arial"/>
        </w:rPr>
        <w:t>The organisation</w:t>
      </w:r>
      <w:r w:rsidR="000B391D" w:rsidRPr="00DC3D5E">
        <w:rPr>
          <w:rFonts w:ascii="Arial" w:hAnsi="Arial" w:cs="Arial"/>
        </w:rPr>
        <w:t>’</w:t>
      </w:r>
      <w:r w:rsidRPr="00DC3D5E">
        <w:rPr>
          <w:rFonts w:ascii="Arial" w:hAnsi="Arial" w:cs="Arial"/>
        </w:rPr>
        <w:t>s strategic direction and current business performance</w:t>
      </w:r>
      <w:bookmarkEnd w:id="4"/>
    </w:p>
    <w:p w14:paraId="0000002A" w14:textId="0613FD87" w:rsidR="00CE5C6D" w:rsidRPr="00DC3D5E" w:rsidRDefault="0097695E">
      <w:pPr>
        <w:spacing w:line="480" w:lineRule="auto"/>
        <w:jc w:val="both"/>
        <w:rPr>
          <w:rFonts w:eastAsia="Times New Roman"/>
          <w:b/>
          <w:sz w:val="24"/>
          <w:szCs w:val="24"/>
        </w:rPr>
      </w:pPr>
      <w:r w:rsidRPr="00DC3D5E">
        <w:rPr>
          <w:rFonts w:eastAsia="Times New Roman"/>
          <w:b/>
          <w:sz w:val="24"/>
          <w:szCs w:val="24"/>
        </w:rPr>
        <w:t>IHG Hotel Group</w:t>
      </w:r>
      <w:r w:rsidR="000B391D" w:rsidRPr="00DC3D5E">
        <w:rPr>
          <w:rFonts w:eastAsia="Times New Roman"/>
          <w:b/>
          <w:sz w:val="24"/>
          <w:szCs w:val="24"/>
        </w:rPr>
        <w:t>’</w:t>
      </w:r>
      <w:r w:rsidRPr="00DC3D5E">
        <w:rPr>
          <w:rFonts w:eastAsia="Times New Roman"/>
          <w:b/>
          <w:sz w:val="24"/>
          <w:szCs w:val="24"/>
        </w:rPr>
        <w:t>s Strategic Direction:</w:t>
      </w:r>
    </w:p>
    <w:p w14:paraId="47F1E947" w14:textId="5CD9984B" w:rsidR="00AB3C94" w:rsidRPr="00DC3D5E" w:rsidRDefault="00AB3C94" w:rsidP="00AB3C94">
      <w:pPr>
        <w:spacing w:line="480" w:lineRule="auto"/>
        <w:jc w:val="center"/>
        <w:rPr>
          <w:rFonts w:eastAsia="Times New Roman"/>
          <w:b/>
          <w:sz w:val="24"/>
          <w:szCs w:val="24"/>
        </w:rPr>
      </w:pPr>
      <w:r w:rsidRPr="00DC3D5E">
        <w:rPr>
          <w:rFonts w:eastAsia="Times New Roman"/>
          <w:b/>
          <w:noProof/>
          <w:sz w:val="24"/>
          <w:szCs w:val="24"/>
        </w:rPr>
        <w:drawing>
          <wp:inline distT="0" distB="0" distL="0" distR="0" wp14:anchorId="1A8B9942" wp14:editId="14553DA8">
            <wp:extent cx="5486400" cy="3200400"/>
            <wp:effectExtent l="0" t="0" r="0" b="1905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22B46976" w14:textId="620D813A" w:rsidR="00AB3C94" w:rsidRPr="00DC3D5E" w:rsidRDefault="00AB3C94" w:rsidP="00AB3C94">
      <w:pPr>
        <w:spacing w:line="480" w:lineRule="auto"/>
        <w:jc w:val="center"/>
        <w:rPr>
          <w:rFonts w:eastAsia="Times New Roman"/>
          <w:b/>
          <w:sz w:val="24"/>
          <w:szCs w:val="24"/>
        </w:rPr>
      </w:pPr>
      <w:r w:rsidRPr="00DC3D5E">
        <w:rPr>
          <w:rFonts w:eastAsia="Times New Roman"/>
          <w:b/>
          <w:sz w:val="24"/>
          <w:szCs w:val="24"/>
        </w:rPr>
        <w:t>Figure 4: IHG Hotel Group’s Strategic Direction</w:t>
      </w:r>
    </w:p>
    <w:p w14:paraId="3B238B93" w14:textId="1896FACF" w:rsidR="00AB3C94" w:rsidRPr="00DC3D5E" w:rsidRDefault="00AB3C94" w:rsidP="00AB3C94">
      <w:pPr>
        <w:spacing w:line="480" w:lineRule="auto"/>
        <w:jc w:val="center"/>
        <w:rPr>
          <w:rFonts w:eastAsia="Times New Roman"/>
          <w:bCs/>
          <w:sz w:val="24"/>
          <w:szCs w:val="24"/>
        </w:rPr>
      </w:pPr>
      <w:r w:rsidRPr="00DC3D5E">
        <w:rPr>
          <w:rFonts w:eastAsia="Times New Roman"/>
          <w:bCs/>
          <w:sz w:val="24"/>
          <w:szCs w:val="24"/>
        </w:rPr>
        <w:t>(Source: Self-made)</w:t>
      </w:r>
    </w:p>
    <w:p w14:paraId="0000002B" w14:textId="77777777" w:rsidR="00CE5C6D" w:rsidRPr="00DC3D5E" w:rsidRDefault="0097695E">
      <w:pPr>
        <w:spacing w:line="480" w:lineRule="auto"/>
        <w:jc w:val="both"/>
        <w:rPr>
          <w:rFonts w:eastAsia="Times New Roman"/>
          <w:sz w:val="24"/>
          <w:szCs w:val="24"/>
        </w:rPr>
      </w:pPr>
      <w:r w:rsidRPr="00DC3D5E">
        <w:rPr>
          <w:rFonts w:eastAsia="Times New Roman"/>
          <w:sz w:val="24"/>
          <w:szCs w:val="24"/>
        </w:rPr>
        <w:lastRenderedPageBreak/>
        <w:t>It has always tried to make strategic moves that keep it the largest hospitality enterprise in the world.</w:t>
      </w:r>
    </w:p>
    <w:p w14:paraId="0000002C" w14:textId="77777777" w:rsidR="00CE5C6D" w:rsidRPr="00DC3D5E" w:rsidRDefault="0097695E">
      <w:pPr>
        <w:numPr>
          <w:ilvl w:val="0"/>
          <w:numId w:val="12"/>
        </w:numPr>
        <w:spacing w:line="480" w:lineRule="auto"/>
        <w:jc w:val="both"/>
        <w:rPr>
          <w:rFonts w:eastAsia="Times New Roman"/>
          <w:sz w:val="24"/>
          <w:szCs w:val="24"/>
        </w:rPr>
      </w:pPr>
      <w:r w:rsidRPr="00DC3D5E">
        <w:rPr>
          <w:rFonts w:eastAsia="Times New Roman"/>
          <w:b/>
          <w:i/>
          <w:sz w:val="24"/>
          <w:szCs w:val="24"/>
        </w:rPr>
        <w:t xml:space="preserve">Global Expansion: </w:t>
      </w:r>
      <w:r w:rsidRPr="00DC3D5E">
        <w:rPr>
          <w:rFonts w:eastAsia="Times New Roman"/>
          <w:sz w:val="24"/>
          <w:szCs w:val="24"/>
        </w:rPr>
        <w:t>IHG has embarked on an aggressively global growth expansion strategy, entering new markets to boost its standing in the existing ones. The rationale behind this strategy is the growing demand for hospitality services globally as well as the prospects for serving different customer needs across all continents.</w:t>
      </w:r>
    </w:p>
    <w:p w14:paraId="0000002D" w14:textId="4C19E3BF" w:rsidR="00CE5C6D" w:rsidRPr="00DC3D5E" w:rsidRDefault="0097695E">
      <w:pPr>
        <w:numPr>
          <w:ilvl w:val="0"/>
          <w:numId w:val="12"/>
        </w:numPr>
        <w:spacing w:line="480" w:lineRule="auto"/>
        <w:jc w:val="both"/>
        <w:rPr>
          <w:rFonts w:eastAsia="Times New Roman"/>
          <w:sz w:val="24"/>
          <w:szCs w:val="24"/>
        </w:rPr>
      </w:pPr>
      <w:r w:rsidRPr="00DC3D5E">
        <w:rPr>
          <w:rFonts w:eastAsia="Times New Roman"/>
          <w:b/>
          <w:i/>
          <w:sz w:val="24"/>
          <w:szCs w:val="24"/>
        </w:rPr>
        <w:t xml:space="preserve">Brand Portfolio Management: </w:t>
      </w:r>
      <w:r w:rsidRPr="00DC3D5E">
        <w:rPr>
          <w:rFonts w:eastAsia="Times New Roman"/>
          <w:sz w:val="24"/>
          <w:szCs w:val="24"/>
        </w:rPr>
        <w:t>IHG</w:t>
      </w:r>
      <w:r w:rsidR="000B391D" w:rsidRPr="00DC3D5E">
        <w:rPr>
          <w:rFonts w:eastAsia="Times New Roman"/>
          <w:sz w:val="24"/>
          <w:szCs w:val="24"/>
        </w:rPr>
        <w:t>’</w:t>
      </w:r>
      <w:r w:rsidRPr="00DC3D5E">
        <w:rPr>
          <w:rFonts w:eastAsia="Times New Roman"/>
          <w:sz w:val="24"/>
          <w:szCs w:val="24"/>
        </w:rPr>
        <w:t>s brand portfolio is one of the pillars of its strategic management. According to Adair (2009), the group runs many brands from luxury to budget that enables it to capture huge market segments. IHG</w:t>
      </w:r>
      <w:r w:rsidR="000B391D" w:rsidRPr="00DC3D5E">
        <w:rPr>
          <w:rFonts w:eastAsia="Times New Roman"/>
          <w:sz w:val="24"/>
          <w:szCs w:val="24"/>
        </w:rPr>
        <w:t>’</w:t>
      </w:r>
      <w:r w:rsidRPr="00DC3D5E">
        <w:rPr>
          <w:rFonts w:eastAsia="Times New Roman"/>
          <w:sz w:val="24"/>
          <w:szCs w:val="24"/>
        </w:rPr>
        <w:t>s strategy to remain relevant consists of continuous brand innovations that address changing consumer preferences.</w:t>
      </w:r>
    </w:p>
    <w:p w14:paraId="0000002E" w14:textId="77777777" w:rsidR="00CE5C6D" w:rsidRPr="00DC3D5E" w:rsidRDefault="0097695E">
      <w:pPr>
        <w:numPr>
          <w:ilvl w:val="0"/>
          <w:numId w:val="12"/>
        </w:numPr>
        <w:spacing w:line="480" w:lineRule="auto"/>
        <w:jc w:val="both"/>
        <w:rPr>
          <w:rFonts w:eastAsia="Times New Roman"/>
          <w:sz w:val="24"/>
          <w:szCs w:val="24"/>
        </w:rPr>
      </w:pPr>
      <w:r w:rsidRPr="00DC3D5E">
        <w:rPr>
          <w:rFonts w:eastAsia="Times New Roman"/>
          <w:b/>
          <w:i/>
          <w:sz w:val="24"/>
          <w:szCs w:val="24"/>
        </w:rPr>
        <w:t xml:space="preserve">Digital Transformation: </w:t>
      </w:r>
      <w:r w:rsidRPr="00DC3D5E">
        <w:rPr>
          <w:rFonts w:eastAsia="Times New Roman"/>
          <w:sz w:val="24"/>
          <w:szCs w:val="24"/>
        </w:rPr>
        <w:t>IHG has allocated substantial resources to digital transformation efforts aimed at improving the guest experience and ensuring operational efficiency (Voegeli, 2021). In this context, developing a user-friendly mobile app, along with online registration and check-out and custom digital solutions goes along with the overall industry trend of using technology to improve customer engagement and operational efficiency.</w:t>
      </w:r>
    </w:p>
    <w:p w14:paraId="0000002F" w14:textId="5D203A8F" w:rsidR="00CE5C6D" w:rsidRPr="00DC3D5E" w:rsidRDefault="0097695E">
      <w:pPr>
        <w:numPr>
          <w:ilvl w:val="0"/>
          <w:numId w:val="12"/>
        </w:numPr>
        <w:spacing w:line="480" w:lineRule="auto"/>
        <w:jc w:val="both"/>
        <w:rPr>
          <w:rFonts w:eastAsia="Times New Roman"/>
          <w:sz w:val="24"/>
          <w:szCs w:val="24"/>
        </w:rPr>
      </w:pPr>
      <w:r w:rsidRPr="00DC3D5E">
        <w:rPr>
          <w:rFonts w:eastAsia="Times New Roman"/>
          <w:b/>
          <w:i/>
          <w:sz w:val="24"/>
          <w:szCs w:val="24"/>
        </w:rPr>
        <w:t xml:space="preserve">Sustainability and Social Responsibility: </w:t>
      </w:r>
      <w:r w:rsidRPr="00DC3D5E">
        <w:rPr>
          <w:rFonts w:eastAsia="Times New Roman"/>
          <w:sz w:val="24"/>
          <w:szCs w:val="24"/>
        </w:rPr>
        <w:t xml:space="preserve">Armstrong (2012) argues that IHG has incorporated sustainability into its strategic orientation since environmental and social responsibility is crucial for the company. The group has formulated highly ambitious goals concerning the reduction of environmentally </w:t>
      </w:r>
      <w:r w:rsidR="000B391D" w:rsidRPr="00DC3D5E">
        <w:rPr>
          <w:rFonts w:eastAsia="Times New Roman"/>
          <w:sz w:val="24"/>
          <w:szCs w:val="24"/>
        </w:rPr>
        <w:t>unfavourable</w:t>
      </w:r>
      <w:r w:rsidRPr="00DC3D5E">
        <w:rPr>
          <w:rFonts w:eastAsia="Times New Roman"/>
          <w:sz w:val="24"/>
          <w:szCs w:val="24"/>
        </w:rPr>
        <w:t xml:space="preserve"> impact, development of responsible sourcing systems and impact on well-being of local communities. This shows a commitment to consumers</w:t>
      </w:r>
      <w:r w:rsidR="000B391D" w:rsidRPr="00DC3D5E">
        <w:rPr>
          <w:rFonts w:eastAsia="Times New Roman"/>
          <w:sz w:val="24"/>
          <w:szCs w:val="24"/>
        </w:rPr>
        <w:t>’</w:t>
      </w:r>
      <w:r w:rsidRPr="00DC3D5E">
        <w:rPr>
          <w:rFonts w:eastAsia="Times New Roman"/>
          <w:sz w:val="24"/>
          <w:szCs w:val="24"/>
        </w:rPr>
        <w:t xml:space="preserve"> </w:t>
      </w:r>
      <w:r w:rsidRPr="00DC3D5E">
        <w:rPr>
          <w:rFonts w:eastAsia="Times New Roman"/>
          <w:sz w:val="24"/>
          <w:szCs w:val="24"/>
        </w:rPr>
        <w:lastRenderedPageBreak/>
        <w:t>socially conscious expectations and goal achievement in accordance with global sustainability goals.</w:t>
      </w:r>
    </w:p>
    <w:p w14:paraId="00000030" w14:textId="3BB5D2A7" w:rsidR="00CE5C6D" w:rsidRPr="00DC3D5E" w:rsidRDefault="0097695E">
      <w:pPr>
        <w:numPr>
          <w:ilvl w:val="0"/>
          <w:numId w:val="12"/>
        </w:numPr>
        <w:spacing w:line="480" w:lineRule="auto"/>
        <w:jc w:val="both"/>
        <w:rPr>
          <w:rFonts w:eastAsia="Times New Roman"/>
          <w:sz w:val="24"/>
          <w:szCs w:val="24"/>
        </w:rPr>
      </w:pPr>
      <w:r w:rsidRPr="00DC3D5E">
        <w:rPr>
          <w:rFonts w:eastAsia="Times New Roman"/>
          <w:b/>
          <w:i/>
          <w:sz w:val="24"/>
          <w:szCs w:val="24"/>
        </w:rPr>
        <w:t xml:space="preserve">Employee Engagement and Well-being: </w:t>
      </w:r>
      <w:r w:rsidRPr="00DC3D5E">
        <w:rPr>
          <w:rFonts w:eastAsia="Times New Roman"/>
          <w:sz w:val="24"/>
          <w:szCs w:val="24"/>
        </w:rPr>
        <w:t>According to Arnold (2005), IHG devotes tremendous attention to its workforce since it understands that engaged employees are key to delivering great guest experiences. A big part of IHG</w:t>
      </w:r>
      <w:r w:rsidR="000B391D" w:rsidRPr="00DC3D5E">
        <w:rPr>
          <w:rFonts w:eastAsia="Times New Roman"/>
          <w:sz w:val="24"/>
          <w:szCs w:val="24"/>
        </w:rPr>
        <w:t>’</w:t>
      </w:r>
      <w:r w:rsidRPr="00DC3D5E">
        <w:rPr>
          <w:rFonts w:eastAsia="Times New Roman"/>
          <w:sz w:val="24"/>
          <w:szCs w:val="24"/>
        </w:rPr>
        <w:t>s strategy for maintaining a competent and motivated staff is employee well-being, training programs and the creation of an inclusive workplace culture.</w:t>
      </w:r>
    </w:p>
    <w:p w14:paraId="00000031" w14:textId="77777777" w:rsidR="00CE5C6D" w:rsidRPr="00DC3D5E" w:rsidRDefault="0097695E">
      <w:pPr>
        <w:numPr>
          <w:ilvl w:val="0"/>
          <w:numId w:val="12"/>
        </w:numPr>
        <w:spacing w:line="480" w:lineRule="auto"/>
        <w:jc w:val="both"/>
        <w:rPr>
          <w:rFonts w:eastAsia="Times New Roman"/>
          <w:sz w:val="24"/>
          <w:szCs w:val="24"/>
        </w:rPr>
      </w:pPr>
      <w:r w:rsidRPr="00DC3D5E">
        <w:rPr>
          <w:rFonts w:eastAsia="Times New Roman"/>
          <w:b/>
          <w:i/>
          <w:sz w:val="24"/>
          <w:szCs w:val="24"/>
        </w:rPr>
        <w:t>Customer Loyalty Programs:</w:t>
      </w:r>
      <w:r w:rsidRPr="00DC3D5E">
        <w:rPr>
          <w:rFonts w:eastAsia="Times New Roman"/>
          <w:sz w:val="24"/>
          <w:szCs w:val="24"/>
        </w:rPr>
        <w:t xml:space="preserve"> Keeping and attracting customers is essential in a competitive environment such as the hotel industry. IHG probably underscores the growth and improvement of its loyalty programs as a way to foster repeat clients and brand loyalty.</w:t>
      </w:r>
    </w:p>
    <w:p w14:paraId="00000032" w14:textId="6115FE6F" w:rsidR="00CE5C6D" w:rsidRPr="00DC3D5E" w:rsidRDefault="0097695E">
      <w:pPr>
        <w:numPr>
          <w:ilvl w:val="0"/>
          <w:numId w:val="12"/>
        </w:numPr>
        <w:spacing w:line="480" w:lineRule="auto"/>
        <w:jc w:val="both"/>
        <w:rPr>
          <w:rFonts w:eastAsia="Times New Roman"/>
          <w:sz w:val="24"/>
          <w:szCs w:val="24"/>
        </w:rPr>
      </w:pPr>
      <w:r w:rsidRPr="00DC3D5E">
        <w:rPr>
          <w:rFonts w:eastAsia="Times New Roman"/>
          <w:b/>
          <w:i/>
          <w:sz w:val="24"/>
          <w:szCs w:val="24"/>
        </w:rPr>
        <w:t>Adaptation to Market Trends:</w:t>
      </w:r>
      <w:r w:rsidRPr="00DC3D5E">
        <w:rPr>
          <w:rFonts w:eastAsia="Times New Roman"/>
          <w:sz w:val="24"/>
          <w:szCs w:val="24"/>
        </w:rPr>
        <w:t xml:space="preserve"> The hotel industry is affected by several trends such as the changes in travel preferences, issues of health and safety, and economic conditions (Buchanan </w:t>
      </w:r>
      <w:r w:rsidR="005E234E" w:rsidRPr="00DC3D5E">
        <w:rPr>
          <w:rFonts w:eastAsia="Times New Roman"/>
          <w:sz w:val="24"/>
          <w:szCs w:val="24"/>
        </w:rPr>
        <w:t>and</w:t>
      </w:r>
      <w:r w:rsidRPr="00DC3D5E">
        <w:rPr>
          <w:rFonts w:eastAsia="Times New Roman"/>
          <w:sz w:val="24"/>
          <w:szCs w:val="24"/>
        </w:rPr>
        <w:t xml:space="preserve"> Huczynski, 2007). IHG can make adjustments to its strategy directions to accommodate these trends and ensure that it provides offerings that are relevant.</w:t>
      </w:r>
    </w:p>
    <w:p w14:paraId="00000033" w14:textId="7320A6B2" w:rsidR="00CE5C6D" w:rsidRPr="00DC3D5E" w:rsidRDefault="0097695E">
      <w:pPr>
        <w:spacing w:line="480" w:lineRule="auto"/>
        <w:jc w:val="both"/>
        <w:rPr>
          <w:rFonts w:eastAsia="Times New Roman"/>
          <w:b/>
          <w:sz w:val="24"/>
          <w:szCs w:val="24"/>
        </w:rPr>
      </w:pPr>
      <w:r w:rsidRPr="00DC3D5E">
        <w:rPr>
          <w:rFonts w:eastAsia="Times New Roman"/>
          <w:b/>
          <w:sz w:val="24"/>
          <w:szCs w:val="24"/>
        </w:rPr>
        <w:t>Current Business Performance:</w:t>
      </w:r>
    </w:p>
    <w:p w14:paraId="46A7F027" w14:textId="691C6799" w:rsidR="00AB3C94" w:rsidRPr="00DC3D5E" w:rsidRDefault="00AB3C94" w:rsidP="00AB3C94">
      <w:pPr>
        <w:spacing w:line="480" w:lineRule="auto"/>
        <w:jc w:val="center"/>
        <w:rPr>
          <w:rFonts w:eastAsia="Times New Roman"/>
          <w:sz w:val="24"/>
          <w:szCs w:val="24"/>
        </w:rPr>
      </w:pPr>
      <w:r w:rsidRPr="00DC3D5E">
        <w:rPr>
          <w:rFonts w:eastAsia="Times New Roman"/>
          <w:noProof/>
          <w:sz w:val="24"/>
          <w:szCs w:val="24"/>
        </w:rPr>
        <w:drawing>
          <wp:inline distT="0" distB="0" distL="0" distR="0" wp14:anchorId="48CBC4F1" wp14:editId="7BEF6D58">
            <wp:extent cx="4981652" cy="2772461"/>
            <wp:effectExtent l="0" t="0" r="0" b="889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01BF4E4C" w14:textId="433C3753" w:rsidR="00AB3C94" w:rsidRPr="00DC3D5E" w:rsidRDefault="00AB3C94" w:rsidP="00AB3C94">
      <w:pPr>
        <w:spacing w:line="480" w:lineRule="auto"/>
        <w:jc w:val="center"/>
        <w:rPr>
          <w:rFonts w:eastAsia="Times New Roman"/>
          <w:b/>
          <w:sz w:val="24"/>
          <w:szCs w:val="24"/>
        </w:rPr>
      </w:pPr>
      <w:r w:rsidRPr="00DC3D5E">
        <w:rPr>
          <w:rFonts w:eastAsia="Times New Roman"/>
          <w:b/>
          <w:bCs/>
          <w:sz w:val="24"/>
          <w:szCs w:val="24"/>
        </w:rPr>
        <w:lastRenderedPageBreak/>
        <w:t xml:space="preserve">Figure 5: </w:t>
      </w:r>
      <w:r w:rsidRPr="00DC3D5E">
        <w:rPr>
          <w:rFonts w:eastAsia="Times New Roman"/>
          <w:b/>
          <w:sz w:val="24"/>
          <w:szCs w:val="24"/>
        </w:rPr>
        <w:t>Current Business Performance</w:t>
      </w:r>
    </w:p>
    <w:p w14:paraId="78233EC5" w14:textId="3BA9BCE6" w:rsidR="00AB3C94" w:rsidRPr="00DC3D5E" w:rsidRDefault="00AB3C94" w:rsidP="00AB3C94">
      <w:pPr>
        <w:spacing w:line="480" w:lineRule="auto"/>
        <w:jc w:val="center"/>
        <w:rPr>
          <w:rFonts w:eastAsia="Times New Roman"/>
          <w:bCs/>
          <w:sz w:val="24"/>
          <w:szCs w:val="24"/>
        </w:rPr>
      </w:pPr>
      <w:r w:rsidRPr="00DC3D5E">
        <w:rPr>
          <w:rFonts w:eastAsia="Times New Roman"/>
          <w:bCs/>
          <w:sz w:val="24"/>
          <w:szCs w:val="24"/>
        </w:rPr>
        <w:t>(Source: Self-made)</w:t>
      </w:r>
    </w:p>
    <w:p w14:paraId="00000034" w14:textId="77777777" w:rsidR="00CE5C6D" w:rsidRPr="00DC3D5E" w:rsidRDefault="0097695E">
      <w:pPr>
        <w:numPr>
          <w:ilvl w:val="0"/>
          <w:numId w:val="10"/>
        </w:numPr>
        <w:spacing w:line="480" w:lineRule="auto"/>
        <w:jc w:val="both"/>
        <w:rPr>
          <w:rFonts w:eastAsia="Times New Roman"/>
          <w:sz w:val="24"/>
          <w:szCs w:val="24"/>
        </w:rPr>
      </w:pPr>
      <w:r w:rsidRPr="00DC3D5E">
        <w:rPr>
          <w:rFonts w:eastAsia="Times New Roman"/>
          <w:b/>
          <w:i/>
          <w:sz w:val="24"/>
          <w:szCs w:val="24"/>
        </w:rPr>
        <w:t xml:space="preserve">Impact of the COVID-19 Pandemic: </w:t>
      </w:r>
      <w:r w:rsidRPr="00DC3D5E">
        <w:rPr>
          <w:rFonts w:eastAsia="Times New Roman"/>
          <w:sz w:val="24"/>
          <w:szCs w:val="24"/>
        </w:rPr>
        <w:t>The global COVID-19 pandemic posed a number of challenges for IHG. Restrictions on travel, lock downs and changes in the behavior of consumers decreased the demand for hotel services. The group was able to react adequately by putting in place health and safety measures, providing flexible booking arrangements, as well as using digital platforms to adjust with the new normal.</w:t>
      </w:r>
    </w:p>
    <w:p w14:paraId="00000035" w14:textId="5FDDD234" w:rsidR="00CE5C6D" w:rsidRPr="00DC3D5E" w:rsidRDefault="0097695E">
      <w:pPr>
        <w:numPr>
          <w:ilvl w:val="0"/>
          <w:numId w:val="10"/>
        </w:numPr>
        <w:spacing w:line="480" w:lineRule="auto"/>
        <w:jc w:val="both"/>
        <w:rPr>
          <w:rFonts w:eastAsia="Times New Roman"/>
          <w:sz w:val="24"/>
          <w:szCs w:val="24"/>
        </w:rPr>
      </w:pPr>
      <w:r w:rsidRPr="00DC3D5E">
        <w:rPr>
          <w:rFonts w:eastAsia="Times New Roman"/>
          <w:b/>
          <w:i/>
          <w:sz w:val="24"/>
          <w:szCs w:val="24"/>
        </w:rPr>
        <w:t xml:space="preserve">Resilience and Recovery: </w:t>
      </w:r>
      <w:r w:rsidRPr="00DC3D5E">
        <w:rPr>
          <w:rFonts w:eastAsia="Times New Roman"/>
          <w:sz w:val="24"/>
          <w:szCs w:val="24"/>
        </w:rPr>
        <w:t>The strategic resilience of IHG is demonstrated by the hotel company</w:t>
      </w:r>
      <w:r w:rsidR="000B391D" w:rsidRPr="00DC3D5E">
        <w:rPr>
          <w:rFonts w:eastAsia="Times New Roman"/>
          <w:sz w:val="24"/>
          <w:szCs w:val="24"/>
        </w:rPr>
        <w:t>’</w:t>
      </w:r>
      <w:r w:rsidRPr="00DC3D5E">
        <w:rPr>
          <w:rFonts w:eastAsia="Times New Roman"/>
          <w:sz w:val="24"/>
          <w:szCs w:val="24"/>
        </w:rPr>
        <w:t>s ability to adjust to the pandemic-related challenges (Huczynski and Buchanan, 2013). The group showed its operational agility in short time adjustments ensuring the safety of guests and employees. With improved global conditions, IHG has been taking an active role in the recovery of the hotel industry.</w:t>
      </w:r>
    </w:p>
    <w:p w14:paraId="00000036" w14:textId="77777777" w:rsidR="00CE5C6D" w:rsidRPr="00DC3D5E" w:rsidRDefault="0097695E">
      <w:pPr>
        <w:numPr>
          <w:ilvl w:val="0"/>
          <w:numId w:val="10"/>
        </w:numPr>
        <w:spacing w:line="480" w:lineRule="auto"/>
        <w:jc w:val="both"/>
        <w:rPr>
          <w:rFonts w:eastAsia="Times New Roman"/>
          <w:sz w:val="24"/>
          <w:szCs w:val="24"/>
        </w:rPr>
      </w:pPr>
      <w:r w:rsidRPr="00DC3D5E">
        <w:rPr>
          <w:rFonts w:eastAsia="Times New Roman"/>
          <w:b/>
          <w:i/>
          <w:sz w:val="24"/>
          <w:szCs w:val="24"/>
        </w:rPr>
        <w:t xml:space="preserve">Financial Performance: </w:t>
      </w:r>
      <w:r w:rsidRPr="00DC3D5E">
        <w:rPr>
          <w:rFonts w:eastAsia="Times New Roman"/>
          <w:sz w:val="24"/>
          <w:szCs w:val="24"/>
        </w:rPr>
        <w:t>The financial position of IHG tends to mirror that of the wider industry. Markets across the world have recovered at different rates. Financial data reports and key performance indicators such as occupancy rates and revenue per available room also shed light on the rebound path.</w:t>
      </w:r>
    </w:p>
    <w:p w14:paraId="00000037" w14:textId="77777777" w:rsidR="00CE5C6D" w:rsidRPr="00DC3D5E" w:rsidRDefault="0097695E">
      <w:pPr>
        <w:numPr>
          <w:ilvl w:val="0"/>
          <w:numId w:val="10"/>
        </w:numPr>
        <w:spacing w:line="480" w:lineRule="auto"/>
        <w:jc w:val="both"/>
        <w:rPr>
          <w:rFonts w:eastAsia="Times New Roman"/>
          <w:sz w:val="24"/>
          <w:szCs w:val="24"/>
        </w:rPr>
      </w:pPr>
      <w:r w:rsidRPr="00DC3D5E">
        <w:rPr>
          <w:rFonts w:eastAsia="Times New Roman"/>
          <w:b/>
          <w:i/>
          <w:sz w:val="24"/>
          <w:szCs w:val="24"/>
        </w:rPr>
        <w:t xml:space="preserve">Strategic Investments: </w:t>
      </w:r>
      <w:r w:rsidRPr="00DC3D5E">
        <w:rPr>
          <w:rFonts w:eastAsia="Times New Roman"/>
          <w:sz w:val="24"/>
          <w:szCs w:val="24"/>
        </w:rPr>
        <w:t>Long-term success is guaranteed for IHG by its sustained investments in promising areas as digital transformation and sustainability (Rollinson, 2008). Although these investments may have different short-run effects, the long-term strategy of technology, environmental sustainability, and brand innovation reflects evolving consumer demands as well as emerging industry trends.</w:t>
      </w:r>
    </w:p>
    <w:p w14:paraId="58DFA246" w14:textId="77777777" w:rsidR="00006A26" w:rsidRDefault="00006A26" w:rsidP="000B391D">
      <w:pPr>
        <w:pStyle w:val="Heading1"/>
        <w:rPr>
          <w:rFonts w:ascii="Arial" w:hAnsi="Arial" w:cs="Arial"/>
        </w:rPr>
      </w:pPr>
      <w:bookmarkStart w:id="5" w:name="_Toc156594062"/>
    </w:p>
    <w:p w14:paraId="00000038" w14:textId="075166C1" w:rsidR="00CE5C6D" w:rsidRPr="00DC3D5E" w:rsidRDefault="0097695E" w:rsidP="000B391D">
      <w:pPr>
        <w:pStyle w:val="Heading1"/>
        <w:rPr>
          <w:rFonts w:ascii="Arial" w:hAnsi="Arial" w:cs="Arial"/>
        </w:rPr>
      </w:pPr>
      <w:r w:rsidRPr="00DC3D5E">
        <w:rPr>
          <w:rFonts w:ascii="Arial" w:hAnsi="Arial" w:cs="Arial"/>
        </w:rPr>
        <w:lastRenderedPageBreak/>
        <w:t>Conclusion</w:t>
      </w:r>
      <w:bookmarkEnd w:id="5"/>
    </w:p>
    <w:p w14:paraId="00000039" w14:textId="172BE715" w:rsidR="00CE5C6D" w:rsidRPr="00DC3D5E" w:rsidRDefault="0097695E">
      <w:pPr>
        <w:spacing w:line="480" w:lineRule="auto"/>
        <w:jc w:val="both"/>
        <w:rPr>
          <w:rFonts w:eastAsia="Times New Roman"/>
          <w:sz w:val="24"/>
          <w:szCs w:val="24"/>
        </w:rPr>
      </w:pPr>
      <w:r w:rsidRPr="00DC3D5E">
        <w:rPr>
          <w:rFonts w:eastAsia="Times New Roman"/>
          <w:sz w:val="24"/>
          <w:szCs w:val="24"/>
        </w:rPr>
        <w:t>The fact that IHG Hotel Group has a clearly defined organizational structure, operates as a customer-centric organization and derives strategic goals is evidence of why it can be regarded as one of the leading international companies in the hospitality niche.  Whereby the disaggregate structure driven by a proactive Board of Directors and regional units ensure effective management of a wide range of brands. However, the IHG</w:t>
      </w:r>
      <w:r w:rsidR="000B391D" w:rsidRPr="00DC3D5E">
        <w:rPr>
          <w:rFonts w:eastAsia="Times New Roman"/>
          <w:sz w:val="24"/>
          <w:szCs w:val="24"/>
        </w:rPr>
        <w:t>’</w:t>
      </w:r>
      <w:r w:rsidRPr="00DC3D5E">
        <w:rPr>
          <w:rFonts w:eastAsia="Times New Roman"/>
          <w:sz w:val="24"/>
          <w:szCs w:val="24"/>
        </w:rPr>
        <w:t>s culture focusing on performance, inclusivity and responsibility ensures a beneficial working environment and meets modern values. IHG</w:t>
      </w:r>
      <w:r w:rsidR="000B391D" w:rsidRPr="00DC3D5E">
        <w:rPr>
          <w:rFonts w:eastAsia="Times New Roman"/>
          <w:sz w:val="24"/>
          <w:szCs w:val="24"/>
        </w:rPr>
        <w:t>’</w:t>
      </w:r>
      <w:r w:rsidRPr="00DC3D5E">
        <w:rPr>
          <w:rFonts w:eastAsia="Times New Roman"/>
          <w:sz w:val="24"/>
          <w:szCs w:val="24"/>
        </w:rPr>
        <w:t xml:space="preserve">s strategic goals such as global extension, brand innovation, digital transformation, sustainability and employees involvement evince how this company can cope in the dynamic market. New change initiatives </w:t>
      </w:r>
      <w:r w:rsidR="000B391D" w:rsidRPr="00DC3D5E">
        <w:rPr>
          <w:rFonts w:eastAsia="Times New Roman"/>
          <w:sz w:val="24"/>
          <w:szCs w:val="24"/>
        </w:rPr>
        <w:t>such as</w:t>
      </w:r>
      <w:r w:rsidRPr="00DC3D5E">
        <w:rPr>
          <w:rFonts w:eastAsia="Times New Roman"/>
          <w:sz w:val="24"/>
          <w:szCs w:val="24"/>
        </w:rPr>
        <w:t xml:space="preserve"> digital transformation and sustainability campaigns have been also well-managed, which has led to better guest satisfaction and increased efficiency. Strategy adaptability is manifested in the organization</w:t>
      </w:r>
      <w:r w:rsidR="000B391D" w:rsidRPr="00DC3D5E">
        <w:rPr>
          <w:rFonts w:eastAsia="Times New Roman"/>
          <w:sz w:val="24"/>
          <w:szCs w:val="24"/>
        </w:rPr>
        <w:t>’</w:t>
      </w:r>
      <w:r w:rsidRPr="00DC3D5E">
        <w:rPr>
          <w:rFonts w:eastAsia="Times New Roman"/>
          <w:sz w:val="24"/>
          <w:szCs w:val="24"/>
        </w:rPr>
        <w:t>s resilience during COVID-19 Pandemic and the efforts of ongoing recovery. IHG with its strategic investments and a commitment to long-term growth will continue emerging as the front runner in changing hospitality set up.</w:t>
      </w:r>
      <w:r w:rsidRPr="00DC3D5E">
        <w:br w:type="page"/>
      </w:r>
    </w:p>
    <w:p w14:paraId="0000003A" w14:textId="77777777" w:rsidR="00CE5C6D" w:rsidRPr="00DC3D5E" w:rsidRDefault="0097695E" w:rsidP="000B391D">
      <w:pPr>
        <w:pStyle w:val="Heading1"/>
        <w:rPr>
          <w:rFonts w:ascii="Arial" w:hAnsi="Arial" w:cs="Arial"/>
        </w:rPr>
      </w:pPr>
      <w:bookmarkStart w:id="6" w:name="_Toc156594063"/>
      <w:r w:rsidRPr="00DC3D5E">
        <w:rPr>
          <w:rFonts w:ascii="Arial" w:hAnsi="Arial" w:cs="Arial"/>
        </w:rPr>
        <w:lastRenderedPageBreak/>
        <w:t>References</w:t>
      </w:r>
      <w:bookmarkEnd w:id="6"/>
    </w:p>
    <w:p w14:paraId="5683A1DF" w14:textId="63248CD6" w:rsidR="000B391D" w:rsidRPr="00DC3D5E" w:rsidRDefault="000B391D" w:rsidP="000B391D">
      <w:pPr>
        <w:spacing w:line="480" w:lineRule="auto"/>
        <w:jc w:val="both"/>
        <w:rPr>
          <w:rFonts w:eastAsia="Times New Roman"/>
          <w:sz w:val="24"/>
          <w:szCs w:val="24"/>
          <w:highlight w:val="white"/>
        </w:rPr>
      </w:pPr>
      <w:r w:rsidRPr="00DC3D5E">
        <w:rPr>
          <w:rFonts w:eastAsia="Times New Roman"/>
          <w:sz w:val="24"/>
          <w:szCs w:val="24"/>
          <w:highlight w:val="white"/>
        </w:rPr>
        <w:t>Adair, J.</w:t>
      </w:r>
      <w:r w:rsidR="008C38ED">
        <w:rPr>
          <w:rFonts w:eastAsia="Times New Roman"/>
          <w:sz w:val="24"/>
          <w:szCs w:val="24"/>
          <w:highlight w:val="white"/>
        </w:rPr>
        <w:t xml:space="preserve"> (</w:t>
      </w:r>
      <w:r w:rsidRPr="00DC3D5E">
        <w:rPr>
          <w:rFonts w:eastAsia="Times New Roman"/>
          <w:sz w:val="24"/>
          <w:szCs w:val="24"/>
          <w:highlight w:val="white"/>
        </w:rPr>
        <w:t>2009</w:t>
      </w:r>
      <w:r w:rsidR="008C38ED">
        <w:rPr>
          <w:rFonts w:eastAsia="Times New Roman"/>
          <w:sz w:val="24"/>
          <w:szCs w:val="24"/>
          <w:highlight w:val="white"/>
        </w:rPr>
        <w:t>)</w:t>
      </w:r>
      <w:r w:rsidRPr="00DC3D5E">
        <w:rPr>
          <w:rFonts w:eastAsia="Times New Roman"/>
          <w:sz w:val="24"/>
          <w:szCs w:val="24"/>
          <w:highlight w:val="white"/>
        </w:rPr>
        <w:t xml:space="preserve"> </w:t>
      </w:r>
      <w:r w:rsidRPr="00DC3D5E">
        <w:rPr>
          <w:rFonts w:eastAsia="Times New Roman"/>
          <w:i/>
          <w:sz w:val="24"/>
          <w:szCs w:val="24"/>
          <w:highlight w:val="white"/>
        </w:rPr>
        <w:t>The inspirational leader: How to motivate, encourage and achieve success</w:t>
      </w:r>
      <w:r w:rsidRPr="00DC3D5E">
        <w:rPr>
          <w:rFonts w:eastAsia="Times New Roman"/>
          <w:sz w:val="24"/>
          <w:szCs w:val="24"/>
          <w:highlight w:val="white"/>
        </w:rPr>
        <w:t>. Kogan Page Publishers.</w:t>
      </w:r>
    </w:p>
    <w:p w14:paraId="12E5CAD8" w14:textId="14E405E5" w:rsidR="000B391D" w:rsidRPr="00DC3D5E" w:rsidRDefault="000B391D" w:rsidP="000B391D">
      <w:pPr>
        <w:spacing w:line="480" w:lineRule="auto"/>
        <w:jc w:val="both"/>
        <w:rPr>
          <w:rFonts w:eastAsia="Times New Roman"/>
          <w:sz w:val="24"/>
          <w:szCs w:val="24"/>
          <w:highlight w:val="white"/>
        </w:rPr>
      </w:pPr>
      <w:r w:rsidRPr="00DC3D5E">
        <w:rPr>
          <w:rFonts w:eastAsia="Times New Roman"/>
          <w:sz w:val="24"/>
          <w:szCs w:val="24"/>
          <w:highlight w:val="white"/>
        </w:rPr>
        <w:t>Armstrong, M.</w:t>
      </w:r>
      <w:r w:rsidR="008C38ED">
        <w:rPr>
          <w:rFonts w:eastAsia="Times New Roman"/>
          <w:sz w:val="24"/>
          <w:szCs w:val="24"/>
          <w:highlight w:val="white"/>
        </w:rPr>
        <w:t xml:space="preserve"> (</w:t>
      </w:r>
      <w:r w:rsidRPr="00DC3D5E">
        <w:rPr>
          <w:rFonts w:eastAsia="Times New Roman"/>
          <w:sz w:val="24"/>
          <w:szCs w:val="24"/>
          <w:highlight w:val="white"/>
        </w:rPr>
        <w:t>2012</w:t>
      </w:r>
      <w:r w:rsidR="008C38ED">
        <w:rPr>
          <w:rFonts w:eastAsia="Times New Roman"/>
          <w:sz w:val="24"/>
          <w:szCs w:val="24"/>
          <w:highlight w:val="white"/>
        </w:rPr>
        <w:t>)</w:t>
      </w:r>
      <w:r w:rsidRPr="00DC3D5E">
        <w:rPr>
          <w:rFonts w:eastAsia="Times New Roman"/>
          <w:sz w:val="24"/>
          <w:szCs w:val="24"/>
          <w:highlight w:val="white"/>
        </w:rPr>
        <w:t xml:space="preserve"> </w:t>
      </w:r>
      <w:r w:rsidRPr="00DC3D5E">
        <w:rPr>
          <w:rFonts w:eastAsia="Times New Roman"/>
          <w:i/>
          <w:sz w:val="24"/>
          <w:szCs w:val="24"/>
          <w:highlight w:val="white"/>
        </w:rPr>
        <w:t>Armstrong’s handbook of management and leadership: developing effective people skills for better leadership and management</w:t>
      </w:r>
      <w:r w:rsidRPr="00DC3D5E">
        <w:rPr>
          <w:rFonts w:eastAsia="Times New Roman"/>
          <w:sz w:val="24"/>
          <w:szCs w:val="24"/>
          <w:highlight w:val="white"/>
        </w:rPr>
        <w:t>. Kogan Page Publishers.</w:t>
      </w:r>
    </w:p>
    <w:p w14:paraId="14A38A5A" w14:textId="755E0FEE" w:rsidR="000B391D" w:rsidRPr="00DC3D5E" w:rsidRDefault="000B391D" w:rsidP="000B391D">
      <w:pPr>
        <w:spacing w:line="480" w:lineRule="auto"/>
        <w:jc w:val="both"/>
        <w:rPr>
          <w:rFonts w:eastAsia="Times New Roman"/>
          <w:sz w:val="24"/>
          <w:szCs w:val="24"/>
          <w:highlight w:val="white"/>
        </w:rPr>
      </w:pPr>
      <w:r w:rsidRPr="00DC3D5E">
        <w:rPr>
          <w:rFonts w:eastAsia="Times New Roman"/>
          <w:sz w:val="24"/>
          <w:szCs w:val="24"/>
          <w:highlight w:val="white"/>
        </w:rPr>
        <w:t>Arnold, J.</w:t>
      </w:r>
      <w:r w:rsidR="008C38ED">
        <w:rPr>
          <w:rFonts w:eastAsia="Times New Roman"/>
          <w:sz w:val="24"/>
          <w:szCs w:val="24"/>
          <w:highlight w:val="white"/>
        </w:rPr>
        <w:t xml:space="preserve"> (</w:t>
      </w:r>
      <w:r w:rsidRPr="00DC3D5E">
        <w:rPr>
          <w:rFonts w:eastAsia="Times New Roman"/>
          <w:sz w:val="24"/>
          <w:szCs w:val="24"/>
          <w:highlight w:val="white"/>
        </w:rPr>
        <w:t>2005</w:t>
      </w:r>
      <w:r w:rsidR="008C38ED">
        <w:rPr>
          <w:rFonts w:eastAsia="Times New Roman"/>
          <w:sz w:val="24"/>
          <w:szCs w:val="24"/>
          <w:highlight w:val="white"/>
        </w:rPr>
        <w:t>)</w:t>
      </w:r>
      <w:r w:rsidRPr="00DC3D5E">
        <w:rPr>
          <w:rFonts w:eastAsia="Times New Roman"/>
          <w:sz w:val="24"/>
          <w:szCs w:val="24"/>
          <w:highlight w:val="white"/>
        </w:rPr>
        <w:t xml:space="preserve"> </w:t>
      </w:r>
      <w:r w:rsidRPr="00DC3D5E">
        <w:rPr>
          <w:rFonts w:eastAsia="Times New Roman"/>
          <w:i/>
          <w:sz w:val="24"/>
          <w:szCs w:val="24"/>
          <w:highlight w:val="white"/>
        </w:rPr>
        <w:t>Work psychology: Understanding human behaviour in the workplace</w:t>
      </w:r>
      <w:r w:rsidRPr="00DC3D5E">
        <w:rPr>
          <w:rFonts w:eastAsia="Times New Roman"/>
          <w:sz w:val="24"/>
          <w:szCs w:val="24"/>
          <w:highlight w:val="white"/>
        </w:rPr>
        <w:t>. Pearson Education.</w:t>
      </w:r>
    </w:p>
    <w:p w14:paraId="60FF55EA" w14:textId="0A355A70" w:rsidR="000B391D" w:rsidRPr="00DC3D5E" w:rsidRDefault="000B391D" w:rsidP="000B391D">
      <w:pPr>
        <w:spacing w:line="480" w:lineRule="auto"/>
        <w:jc w:val="both"/>
        <w:rPr>
          <w:rFonts w:eastAsia="Times New Roman"/>
          <w:sz w:val="24"/>
          <w:szCs w:val="24"/>
          <w:highlight w:val="white"/>
        </w:rPr>
      </w:pPr>
      <w:r w:rsidRPr="00DC3D5E">
        <w:rPr>
          <w:sz w:val="24"/>
          <w:szCs w:val="24"/>
          <w:highlight w:val="white"/>
        </w:rPr>
        <w:t>Ashraf, T. and Siddiqui, D.A.</w:t>
      </w:r>
      <w:r w:rsidR="008C38ED">
        <w:rPr>
          <w:sz w:val="24"/>
          <w:szCs w:val="24"/>
          <w:highlight w:val="white"/>
        </w:rPr>
        <w:t xml:space="preserve"> (</w:t>
      </w:r>
      <w:r w:rsidRPr="00DC3D5E">
        <w:rPr>
          <w:sz w:val="24"/>
          <w:szCs w:val="24"/>
          <w:highlight w:val="white"/>
        </w:rPr>
        <w:t>2020</w:t>
      </w:r>
      <w:r w:rsidR="008C38ED">
        <w:rPr>
          <w:sz w:val="24"/>
          <w:szCs w:val="24"/>
          <w:highlight w:val="white"/>
        </w:rPr>
        <w:t>)</w:t>
      </w:r>
      <w:r w:rsidRPr="00DC3D5E">
        <w:rPr>
          <w:sz w:val="24"/>
          <w:szCs w:val="24"/>
          <w:highlight w:val="white"/>
        </w:rPr>
        <w:t xml:space="preserve"> The impact of employee engagement on employee retention: the role of psychological capital, control at work, general well-being, and job satisfaction. </w:t>
      </w:r>
      <w:r w:rsidRPr="00DC3D5E">
        <w:rPr>
          <w:i/>
          <w:sz w:val="24"/>
          <w:szCs w:val="24"/>
          <w:highlight w:val="white"/>
        </w:rPr>
        <w:t>Control at Work, General Well-Being, and Job Satisfaction (August 29, 2020)</w:t>
      </w:r>
      <w:r w:rsidRPr="00DC3D5E">
        <w:rPr>
          <w:sz w:val="24"/>
          <w:szCs w:val="24"/>
          <w:highlight w:val="white"/>
        </w:rPr>
        <w:t>.</w:t>
      </w:r>
    </w:p>
    <w:p w14:paraId="3E8FED31" w14:textId="4065F795" w:rsidR="000B391D" w:rsidRPr="00DC3D5E" w:rsidRDefault="000B391D" w:rsidP="000B391D">
      <w:pPr>
        <w:spacing w:line="480" w:lineRule="auto"/>
        <w:jc w:val="both"/>
        <w:rPr>
          <w:rFonts w:eastAsia="Times New Roman"/>
          <w:sz w:val="24"/>
          <w:szCs w:val="24"/>
          <w:highlight w:val="white"/>
        </w:rPr>
      </w:pPr>
      <w:r w:rsidRPr="00DC3D5E">
        <w:rPr>
          <w:rFonts w:eastAsia="Times New Roman"/>
          <w:sz w:val="24"/>
          <w:szCs w:val="24"/>
          <w:highlight w:val="white"/>
        </w:rPr>
        <w:t>Bardukova, L.</w:t>
      </w:r>
      <w:r w:rsidR="008C38ED">
        <w:rPr>
          <w:rFonts w:eastAsia="Times New Roman"/>
          <w:sz w:val="24"/>
          <w:szCs w:val="24"/>
          <w:highlight w:val="white"/>
        </w:rPr>
        <w:t xml:space="preserve"> (</w:t>
      </w:r>
      <w:r w:rsidRPr="00DC3D5E">
        <w:rPr>
          <w:rFonts w:eastAsia="Times New Roman"/>
          <w:sz w:val="24"/>
          <w:szCs w:val="24"/>
          <w:highlight w:val="white"/>
        </w:rPr>
        <w:t>2023</w:t>
      </w:r>
      <w:r w:rsidR="008C38ED">
        <w:rPr>
          <w:rFonts w:eastAsia="Times New Roman"/>
          <w:sz w:val="24"/>
          <w:szCs w:val="24"/>
          <w:highlight w:val="white"/>
        </w:rPr>
        <w:t>)</w:t>
      </w:r>
      <w:r w:rsidRPr="00DC3D5E">
        <w:rPr>
          <w:rFonts w:eastAsia="Times New Roman"/>
          <w:sz w:val="24"/>
          <w:szCs w:val="24"/>
          <w:highlight w:val="white"/>
        </w:rPr>
        <w:t xml:space="preserve"> Navigating the Hospitality Horizon: Current Trends and Strategies for Customer Attraction and Retention in the Hotel Industry. </w:t>
      </w:r>
      <w:r w:rsidRPr="00DC3D5E">
        <w:rPr>
          <w:rFonts w:eastAsia="Times New Roman"/>
          <w:i/>
          <w:sz w:val="24"/>
          <w:szCs w:val="24"/>
          <w:highlight w:val="white"/>
        </w:rPr>
        <w:t>Economics and computer science</w:t>
      </w:r>
      <w:r w:rsidRPr="00DC3D5E">
        <w:rPr>
          <w:rFonts w:eastAsia="Times New Roman"/>
          <w:sz w:val="24"/>
          <w:szCs w:val="24"/>
          <w:highlight w:val="white"/>
        </w:rPr>
        <w:t>, (2), pp.88-103.</w:t>
      </w:r>
    </w:p>
    <w:p w14:paraId="328B3BF4" w14:textId="2CFE2C2D" w:rsidR="000B391D" w:rsidRPr="00DC3D5E" w:rsidRDefault="000B391D" w:rsidP="000B391D">
      <w:pPr>
        <w:spacing w:line="480" w:lineRule="auto"/>
        <w:jc w:val="both"/>
        <w:rPr>
          <w:rFonts w:eastAsia="Times New Roman"/>
          <w:sz w:val="24"/>
          <w:szCs w:val="24"/>
          <w:highlight w:val="white"/>
        </w:rPr>
      </w:pPr>
      <w:r w:rsidRPr="00DC3D5E">
        <w:rPr>
          <w:rFonts w:eastAsia="Times New Roman"/>
          <w:sz w:val="24"/>
          <w:szCs w:val="24"/>
          <w:highlight w:val="white"/>
        </w:rPr>
        <w:t>BODDY, D.</w:t>
      </w:r>
      <w:r w:rsidR="008C38ED">
        <w:rPr>
          <w:rFonts w:eastAsia="Times New Roman"/>
          <w:sz w:val="24"/>
          <w:szCs w:val="24"/>
          <w:highlight w:val="white"/>
        </w:rPr>
        <w:t xml:space="preserve"> (</w:t>
      </w:r>
      <w:r w:rsidRPr="00DC3D5E">
        <w:rPr>
          <w:rFonts w:eastAsia="Times New Roman"/>
          <w:sz w:val="24"/>
          <w:szCs w:val="24"/>
          <w:highlight w:val="white"/>
        </w:rPr>
        <w:t>2014</w:t>
      </w:r>
      <w:r w:rsidR="008C38ED">
        <w:rPr>
          <w:rFonts w:eastAsia="Times New Roman"/>
          <w:sz w:val="24"/>
          <w:szCs w:val="24"/>
          <w:highlight w:val="white"/>
        </w:rPr>
        <w:t>)</w:t>
      </w:r>
      <w:r w:rsidRPr="00DC3D5E">
        <w:rPr>
          <w:rFonts w:eastAsia="Times New Roman"/>
          <w:sz w:val="24"/>
          <w:szCs w:val="24"/>
          <w:highlight w:val="white"/>
        </w:rPr>
        <w:t xml:space="preserve"> Management: An Introduction, Harlow.</w:t>
      </w:r>
    </w:p>
    <w:p w14:paraId="2287E09A" w14:textId="086FAFEE" w:rsidR="000B391D" w:rsidRPr="00DC3D5E" w:rsidRDefault="000B391D" w:rsidP="000B391D">
      <w:pPr>
        <w:spacing w:line="480" w:lineRule="auto"/>
        <w:jc w:val="both"/>
        <w:rPr>
          <w:rFonts w:eastAsia="Times New Roman"/>
          <w:sz w:val="24"/>
          <w:szCs w:val="24"/>
          <w:highlight w:val="white"/>
        </w:rPr>
      </w:pPr>
      <w:r w:rsidRPr="00DC3D5E">
        <w:rPr>
          <w:rFonts w:eastAsia="Times New Roman"/>
          <w:sz w:val="24"/>
          <w:szCs w:val="24"/>
          <w:highlight w:val="white"/>
        </w:rPr>
        <w:t>Buchanan, D. And Huczynski, A.</w:t>
      </w:r>
      <w:r w:rsidR="008C38ED">
        <w:rPr>
          <w:rFonts w:eastAsia="Times New Roman"/>
          <w:sz w:val="24"/>
          <w:szCs w:val="24"/>
          <w:highlight w:val="white"/>
        </w:rPr>
        <w:t xml:space="preserve"> (</w:t>
      </w:r>
      <w:r w:rsidRPr="00DC3D5E">
        <w:rPr>
          <w:rFonts w:eastAsia="Times New Roman"/>
          <w:sz w:val="24"/>
          <w:szCs w:val="24"/>
          <w:highlight w:val="white"/>
        </w:rPr>
        <w:t>2007</w:t>
      </w:r>
      <w:r w:rsidR="008C38ED">
        <w:rPr>
          <w:rFonts w:eastAsia="Times New Roman"/>
          <w:sz w:val="24"/>
          <w:szCs w:val="24"/>
          <w:highlight w:val="white"/>
        </w:rPr>
        <w:t xml:space="preserve">) </w:t>
      </w:r>
      <w:r w:rsidRPr="00DC3D5E">
        <w:rPr>
          <w:rFonts w:eastAsia="Times New Roman"/>
          <w:sz w:val="24"/>
          <w:szCs w:val="24"/>
          <w:highlight w:val="white"/>
        </w:rPr>
        <w:t>Organisational Behaviour: An Introductory Text (6th edition), Harlow: Prentice Hall.</w:t>
      </w:r>
    </w:p>
    <w:p w14:paraId="51C02912" w14:textId="2C5E1CBF" w:rsidR="000B391D" w:rsidRPr="00DC3D5E" w:rsidRDefault="000B391D" w:rsidP="000B391D">
      <w:pPr>
        <w:spacing w:line="480" w:lineRule="auto"/>
        <w:jc w:val="both"/>
        <w:rPr>
          <w:rFonts w:eastAsia="Times New Roman"/>
          <w:sz w:val="24"/>
          <w:szCs w:val="24"/>
          <w:highlight w:val="white"/>
        </w:rPr>
      </w:pPr>
      <w:r w:rsidRPr="00DC3D5E">
        <w:rPr>
          <w:rFonts w:eastAsia="Times New Roman"/>
          <w:sz w:val="24"/>
          <w:szCs w:val="24"/>
          <w:highlight w:val="white"/>
        </w:rPr>
        <w:t>Busulwa, R., Evans, N., Oh, A. and Kang, M.</w:t>
      </w:r>
      <w:r w:rsidR="008C38ED">
        <w:rPr>
          <w:rFonts w:eastAsia="Times New Roman"/>
          <w:sz w:val="24"/>
          <w:szCs w:val="24"/>
          <w:highlight w:val="white"/>
        </w:rPr>
        <w:t xml:space="preserve"> (</w:t>
      </w:r>
      <w:r w:rsidRPr="00DC3D5E">
        <w:rPr>
          <w:rFonts w:eastAsia="Times New Roman"/>
          <w:sz w:val="24"/>
          <w:szCs w:val="24"/>
          <w:highlight w:val="white"/>
        </w:rPr>
        <w:t>2020</w:t>
      </w:r>
      <w:r w:rsidR="008C38ED">
        <w:rPr>
          <w:rFonts w:eastAsia="Times New Roman"/>
          <w:sz w:val="24"/>
          <w:szCs w:val="24"/>
          <w:highlight w:val="white"/>
        </w:rPr>
        <w:t>)</w:t>
      </w:r>
      <w:r w:rsidRPr="00DC3D5E">
        <w:rPr>
          <w:rFonts w:eastAsia="Times New Roman"/>
          <w:sz w:val="24"/>
          <w:szCs w:val="24"/>
          <w:highlight w:val="white"/>
        </w:rPr>
        <w:t xml:space="preserve"> </w:t>
      </w:r>
      <w:r w:rsidRPr="00DC3D5E">
        <w:rPr>
          <w:rFonts w:eastAsia="Times New Roman"/>
          <w:i/>
          <w:sz w:val="24"/>
          <w:szCs w:val="24"/>
          <w:highlight w:val="white"/>
        </w:rPr>
        <w:t>Hospitality management and digital transformation: balancing efficiency, agility and guest experience in the era of disruption</w:t>
      </w:r>
      <w:r w:rsidRPr="00DC3D5E">
        <w:rPr>
          <w:rFonts w:eastAsia="Times New Roman"/>
          <w:sz w:val="24"/>
          <w:szCs w:val="24"/>
          <w:highlight w:val="white"/>
        </w:rPr>
        <w:t>. Routledge.</w:t>
      </w:r>
    </w:p>
    <w:p w14:paraId="33FC50C5" w14:textId="4CA78CD2" w:rsidR="00007D6B" w:rsidRDefault="00007D6B" w:rsidP="000B391D">
      <w:pPr>
        <w:spacing w:line="480" w:lineRule="auto"/>
        <w:jc w:val="both"/>
        <w:rPr>
          <w:rFonts w:eastAsia="Times New Roman"/>
          <w:sz w:val="24"/>
          <w:szCs w:val="24"/>
          <w:highlight w:val="white"/>
        </w:rPr>
      </w:pPr>
      <w:r w:rsidRPr="00007D6B">
        <w:rPr>
          <w:rFonts w:eastAsia="Times New Roman"/>
          <w:sz w:val="24"/>
          <w:szCs w:val="24"/>
        </w:rPr>
        <w:t>Elnaga, A. and Imran, A.</w:t>
      </w:r>
      <w:r w:rsidR="004574B9">
        <w:rPr>
          <w:rFonts w:eastAsia="Times New Roman"/>
          <w:sz w:val="24"/>
          <w:szCs w:val="24"/>
        </w:rPr>
        <w:t xml:space="preserve"> (</w:t>
      </w:r>
      <w:r w:rsidRPr="00007D6B">
        <w:rPr>
          <w:rFonts w:eastAsia="Times New Roman"/>
          <w:sz w:val="24"/>
          <w:szCs w:val="24"/>
        </w:rPr>
        <w:t>2013</w:t>
      </w:r>
      <w:r w:rsidR="004574B9">
        <w:rPr>
          <w:rFonts w:eastAsia="Times New Roman"/>
          <w:sz w:val="24"/>
          <w:szCs w:val="24"/>
        </w:rPr>
        <w:t>)</w:t>
      </w:r>
      <w:r w:rsidRPr="00007D6B">
        <w:rPr>
          <w:rFonts w:eastAsia="Times New Roman"/>
          <w:sz w:val="24"/>
          <w:szCs w:val="24"/>
        </w:rPr>
        <w:t xml:space="preserve"> The effect of training on employee performance. European journal of Business and Management, 5(4), pp.137-147.</w:t>
      </w:r>
    </w:p>
    <w:p w14:paraId="53F4690F" w14:textId="5056FB87" w:rsidR="000B391D" w:rsidRPr="00DC3D5E" w:rsidRDefault="000B391D" w:rsidP="000B391D">
      <w:pPr>
        <w:spacing w:line="480" w:lineRule="auto"/>
        <w:jc w:val="both"/>
        <w:rPr>
          <w:rFonts w:eastAsia="Times New Roman"/>
          <w:sz w:val="24"/>
          <w:szCs w:val="24"/>
          <w:highlight w:val="white"/>
        </w:rPr>
      </w:pPr>
      <w:r w:rsidRPr="00DC3D5E">
        <w:rPr>
          <w:rFonts w:eastAsia="Times New Roman"/>
          <w:sz w:val="24"/>
          <w:szCs w:val="24"/>
          <w:highlight w:val="white"/>
        </w:rPr>
        <w:t>Huczynski, A. and Buchanan, D.</w:t>
      </w:r>
      <w:r w:rsidR="008C38ED">
        <w:rPr>
          <w:rFonts w:eastAsia="Times New Roman"/>
          <w:sz w:val="24"/>
          <w:szCs w:val="24"/>
          <w:highlight w:val="white"/>
        </w:rPr>
        <w:t xml:space="preserve"> (</w:t>
      </w:r>
      <w:r w:rsidRPr="00DC3D5E">
        <w:rPr>
          <w:rFonts w:eastAsia="Times New Roman"/>
          <w:sz w:val="24"/>
          <w:szCs w:val="24"/>
          <w:highlight w:val="white"/>
        </w:rPr>
        <w:t>2013</w:t>
      </w:r>
      <w:r w:rsidR="008C38ED">
        <w:rPr>
          <w:rFonts w:eastAsia="Times New Roman"/>
          <w:sz w:val="24"/>
          <w:szCs w:val="24"/>
          <w:highlight w:val="white"/>
        </w:rPr>
        <w:t>)</w:t>
      </w:r>
      <w:r w:rsidRPr="00DC3D5E">
        <w:rPr>
          <w:rFonts w:eastAsia="Times New Roman"/>
          <w:sz w:val="24"/>
          <w:szCs w:val="24"/>
          <w:highlight w:val="white"/>
        </w:rPr>
        <w:t xml:space="preserve"> Organisational Behaviour (8th Ed), Harlow: Pearson</w:t>
      </w:r>
    </w:p>
    <w:p w14:paraId="626F5643" w14:textId="3BC6C315" w:rsidR="000B391D" w:rsidRPr="00DC3D5E" w:rsidRDefault="000B391D" w:rsidP="000B391D">
      <w:pPr>
        <w:spacing w:line="480" w:lineRule="auto"/>
        <w:jc w:val="both"/>
        <w:rPr>
          <w:rFonts w:eastAsia="Times New Roman"/>
          <w:sz w:val="24"/>
          <w:szCs w:val="24"/>
        </w:rPr>
      </w:pPr>
      <w:r w:rsidRPr="00DC3D5E">
        <w:rPr>
          <w:rFonts w:eastAsia="Times New Roman"/>
          <w:sz w:val="24"/>
          <w:szCs w:val="24"/>
        </w:rPr>
        <w:lastRenderedPageBreak/>
        <w:t>Ihg.com,</w:t>
      </w:r>
      <w:r w:rsidR="00B74DAB">
        <w:rPr>
          <w:rFonts w:eastAsia="Times New Roman"/>
          <w:sz w:val="24"/>
          <w:szCs w:val="24"/>
        </w:rPr>
        <w:t xml:space="preserve"> (</w:t>
      </w:r>
      <w:r w:rsidRPr="00DC3D5E">
        <w:rPr>
          <w:rFonts w:eastAsia="Times New Roman"/>
          <w:sz w:val="24"/>
          <w:szCs w:val="24"/>
        </w:rPr>
        <w:t>2024</w:t>
      </w:r>
      <w:r w:rsidR="00B74DAB">
        <w:rPr>
          <w:rFonts w:eastAsia="Times New Roman"/>
          <w:sz w:val="24"/>
          <w:szCs w:val="24"/>
        </w:rPr>
        <w:t>)</w:t>
      </w:r>
      <w:r w:rsidRPr="00DC3D5E">
        <w:rPr>
          <w:rFonts w:eastAsia="Times New Roman"/>
          <w:sz w:val="24"/>
          <w:szCs w:val="24"/>
        </w:rPr>
        <w:t xml:space="preserve"> Available at - [online]: </w:t>
      </w:r>
      <w:hyperlink r:id="rId33">
        <w:r w:rsidRPr="00DC3D5E">
          <w:rPr>
            <w:rFonts w:eastAsia="Times New Roman"/>
            <w:sz w:val="24"/>
            <w:szCs w:val="24"/>
            <w:u w:val="single"/>
          </w:rPr>
          <w:t>https://www.ihg.com/hotels/gb/en/reservation?fromRedirect=true&amp;qSrt=sAV&amp;setPMCookies=true&amp;dp=true&amp;gclid=Cj0KCQiA2KitBhCIARIsAPPMEhKC0V6ci37h17vWw8CCsf_VwHDBRtHaencyeFmc03dUsP1Ss_rE3GIaAi9LEALw_wcB&amp;cm_mmc=PDSEA-_-G_F-IMEA_FS-SWA_H-IMEA_HS-SWA_6C_BSF_EXM_CORE-IHG_EN&amp;srb_u=1</w:t>
        </w:r>
      </w:hyperlink>
      <w:r w:rsidRPr="00DC3D5E">
        <w:rPr>
          <w:rFonts w:eastAsia="Times New Roman"/>
          <w:sz w:val="24"/>
          <w:szCs w:val="24"/>
        </w:rPr>
        <w:t>. [Accessed on 19.01.2024].</w:t>
      </w:r>
    </w:p>
    <w:p w14:paraId="644D452B" w14:textId="050AD15E" w:rsidR="000B391D" w:rsidRPr="00DC3D5E" w:rsidRDefault="000B391D" w:rsidP="000B391D">
      <w:pPr>
        <w:spacing w:line="480" w:lineRule="auto"/>
        <w:jc w:val="both"/>
        <w:rPr>
          <w:rFonts w:eastAsia="Times New Roman"/>
          <w:sz w:val="24"/>
          <w:szCs w:val="24"/>
          <w:highlight w:val="white"/>
        </w:rPr>
      </w:pPr>
      <w:r w:rsidRPr="00DC3D5E">
        <w:rPr>
          <w:rFonts w:eastAsia="Times New Roman"/>
          <w:sz w:val="24"/>
          <w:szCs w:val="24"/>
          <w:highlight w:val="white"/>
        </w:rPr>
        <w:t>Kaliannan, M., Darmalinggam, D., Dorasamy, M. and Abraham, M.</w:t>
      </w:r>
      <w:r w:rsidR="008C38ED">
        <w:rPr>
          <w:rFonts w:eastAsia="Times New Roman"/>
          <w:sz w:val="24"/>
          <w:szCs w:val="24"/>
          <w:highlight w:val="white"/>
        </w:rPr>
        <w:t xml:space="preserve"> (</w:t>
      </w:r>
      <w:r w:rsidRPr="00DC3D5E">
        <w:rPr>
          <w:rFonts w:eastAsia="Times New Roman"/>
          <w:sz w:val="24"/>
          <w:szCs w:val="24"/>
          <w:highlight w:val="white"/>
        </w:rPr>
        <w:t>2023</w:t>
      </w:r>
      <w:r w:rsidR="008C38ED">
        <w:rPr>
          <w:rFonts w:eastAsia="Times New Roman"/>
          <w:sz w:val="24"/>
          <w:szCs w:val="24"/>
          <w:highlight w:val="white"/>
        </w:rPr>
        <w:t>)</w:t>
      </w:r>
      <w:r w:rsidRPr="00DC3D5E">
        <w:rPr>
          <w:rFonts w:eastAsia="Times New Roman"/>
          <w:sz w:val="24"/>
          <w:szCs w:val="24"/>
          <w:highlight w:val="white"/>
        </w:rPr>
        <w:t xml:space="preserve"> Inclusive talent development as a key talent management approach: A systematic literature review. </w:t>
      </w:r>
      <w:r w:rsidRPr="00DC3D5E">
        <w:rPr>
          <w:rFonts w:eastAsia="Times New Roman"/>
          <w:i/>
          <w:sz w:val="24"/>
          <w:szCs w:val="24"/>
          <w:highlight w:val="white"/>
        </w:rPr>
        <w:t>Human Resource Management Review</w:t>
      </w:r>
      <w:r w:rsidRPr="00DC3D5E">
        <w:rPr>
          <w:rFonts w:eastAsia="Times New Roman"/>
          <w:sz w:val="24"/>
          <w:szCs w:val="24"/>
          <w:highlight w:val="white"/>
        </w:rPr>
        <w:t xml:space="preserve">, </w:t>
      </w:r>
      <w:r w:rsidRPr="00DC3D5E">
        <w:rPr>
          <w:rFonts w:eastAsia="Times New Roman"/>
          <w:i/>
          <w:sz w:val="24"/>
          <w:szCs w:val="24"/>
          <w:highlight w:val="white"/>
        </w:rPr>
        <w:t>33</w:t>
      </w:r>
      <w:r w:rsidRPr="00DC3D5E">
        <w:rPr>
          <w:rFonts w:eastAsia="Times New Roman"/>
          <w:sz w:val="24"/>
          <w:szCs w:val="24"/>
          <w:highlight w:val="white"/>
        </w:rPr>
        <w:t>(1), p.100926.</w:t>
      </w:r>
    </w:p>
    <w:p w14:paraId="036373FE" w14:textId="013127F8" w:rsidR="000B391D" w:rsidRPr="00DC3D5E" w:rsidRDefault="000B391D" w:rsidP="000B391D">
      <w:pPr>
        <w:spacing w:line="480" w:lineRule="auto"/>
        <w:jc w:val="both"/>
        <w:rPr>
          <w:rFonts w:eastAsia="Times New Roman"/>
          <w:sz w:val="24"/>
          <w:szCs w:val="24"/>
          <w:highlight w:val="white"/>
        </w:rPr>
      </w:pPr>
      <w:r w:rsidRPr="00DC3D5E">
        <w:rPr>
          <w:rFonts w:eastAsia="Times New Roman"/>
          <w:sz w:val="24"/>
          <w:szCs w:val="24"/>
          <w:highlight w:val="white"/>
        </w:rPr>
        <w:t>Kwan, M. and Tong, L.</w:t>
      </w:r>
      <w:r w:rsidR="008C38ED">
        <w:rPr>
          <w:rFonts w:eastAsia="Times New Roman"/>
          <w:sz w:val="24"/>
          <w:szCs w:val="24"/>
          <w:highlight w:val="white"/>
        </w:rPr>
        <w:t xml:space="preserve"> (</w:t>
      </w:r>
      <w:r w:rsidRPr="00DC3D5E">
        <w:rPr>
          <w:rFonts w:eastAsia="Times New Roman"/>
          <w:sz w:val="24"/>
          <w:szCs w:val="24"/>
          <w:highlight w:val="white"/>
        </w:rPr>
        <w:t>2023</w:t>
      </w:r>
      <w:r w:rsidR="008C38ED">
        <w:rPr>
          <w:rFonts w:eastAsia="Times New Roman"/>
          <w:sz w:val="24"/>
          <w:szCs w:val="24"/>
          <w:highlight w:val="white"/>
        </w:rPr>
        <w:t>)</w:t>
      </w:r>
      <w:r w:rsidRPr="00DC3D5E">
        <w:rPr>
          <w:rFonts w:eastAsia="Times New Roman"/>
          <w:sz w:val="24"/>
          <w:szCs w:val="24"/>
          <w:highlight w:val="white"/>
        </w:rPr>
        <w:t xml:space="preserve"> EXEMPLARY SERVICES AND INSPIRING LEADERSHIP: CASE OF INTERCONTINENTAL ZHUHAI HOTEL, IHG. </w:t>
      </w:r>
      <w:r w:rsidRPr="00DC3D5E">
        <w:rPr>
          <w:rFonts w:eastAsia="Times New Roman"/>
          <w:i/>
          <w:sz w:val="24"/>
          <w:szCs w:val="24"/>
          <w:highlight w:val="white"/>
        </w:rPr>
        <w:t>Gulf Journal of Advance Business Research</w:t>
      </w:r>
      <w:r w:rsidRPr="00DC3D5E">
        <w:rPr>
          <w:rFonts w:eastAsia="Times New Roman"/>
          <w:sz w:val="24"/>
          <w:szCs w:val="24"/>
          <w:highlight w:val="white"/>
        </w:rPr>
        <w:t xml:space="preserve">, </w:t>
      </w:r>
      <w:r w:rsidRPr="00DC3D5E">
        <w:rPr>
          <w:rFonts w:eastAsia="Times New Roman"/>
          <w:i/>
          <w:sz w:val="24"/>
          <w:szCs w:val="24"/>
          <w:highlight w:val="white"/>
        </w:rPr>
        <w:t>1</w:t>
      </w:r>
      <w:r w:rsidRPr="00DC3D5E">
        <w:rPr>
          <w:rFonts w:eastAsia="Times New Roman"/>
          <w:sz w:val="24"/>
          <w:szCs w:val="24"/>
          <w:highlight w:val="white"/>
        </w:rPr>
        <w:t>(2), pp.94-109.</w:t>
      </w:r>
    </w:p>
    <w:p w14:paraId="196583EF" w14:textId="27A566C3" w:rsidR="000B391D" w:rsidRPr="00DC3D5E" w:rsidRDefault="000B391D" w:rsidP="000B391D">
      <w:pPr>
        <w:spacing w:line="480" w:lineRule="auto"/>
        <w:jc w:val="both"/>
        <w:rPr>
          <w:rFonts w:eastAsia="Times New Roman"/>
          <w:sz w:val="24"/>
          <w:szCs w:val="24"/>
          <w:highlight w:val="white"/>
        </w:rPr>
      </w:pPr>
      <w:r w:rsidRPr="00DC3D5E">
        <w:rPr>
          <w:rFonts w:eastAsia="Times New Roman"/>
          <w:sz w:val="24"/>
          <w:szCs w:val="24"/>
          <w:highlight w:val="white"/>
        </w:rPr>
        <w:t>Marques, J.</w:t>
      </w:r>
      <w:r w:rsidR="008C38ED">
        <w:rPr>
          <w:rFonts w:eastAsia="Times New Roman"/>
          <w:sz w:val="24"/>
          <w:szCs w:val="24"/>
          <w:highlight w:val="white"/>
        </w:rPr>
        <w:t xml:space="preserve"> (</w:t>
      </w:r>
      <w:r w:rsidRPr="00DC3D5E">
        <w:rPr>
          <w:rFonts w:eastAsia="Times New Roman"/>
          <w:sz w:val="24"/>
          <w:szCs w:val="24"/>
          <w:highlight w:val="white"/>
        </w:rPr>
        <w:t>2023</w:t>
      </w:r>
      <w:r w:rsidR="008C38ED">
        <w:rPr>
          <w:rFonts w:eastAsia="Times New Roman"/>
          <w:sz w:val="24"/>
          <w:szCs w:val="24"/>
          <w:highlight w:val="white"/>
        </w:rPr>
        <w:t>)</w:t>
      </w:r>
      <w:r w:rsidRPr="00DC3D5E">
        <w:rPr>
          <w:rFonts w:eastAsia="Times New Roman"/>
          <w:sz w:val="24"/>
          <w:szCs w:val="24"/>
          <w:highlight w:val="white"/>
        </w:rPr>
        <w:t xml:space="preserve"> </w:t>
      </w:r>
      <w:r w:rsidRPr="00DC3D5E">
        <w:rPr>
          <w:rFonts w:eastAsia="Times New Roman"/>
          <w:i/>
          <w:sz w:val="24"/>
          <w:szCs w:val="24"/>
          <w:highlight w:val="white"/>
        </w:rPr>
        <w:t>Digital transformation of the Hotel Industry: Theories, practices, and global challenges</w:t>
      </w:r>
      <w:r w:rsidRPr="00DC3D5E">
        <w:rPr>
          <w:rFonts w:eastAsia="Times New Roman"/>
          <w:sz w:val="24"/>
          <w:szCs w:val="24"/>
          <w:highlight w:val="white"/>
        </w:rPr>
        <w:t>. Springer Nature.</w:t>
      </w:r>
    </w:p>
    <w:p w14:paraId="66832530" w14:textId="5CF979E6" w:rsidR="000B391D" w:rsidRPr="00DC3D5E" w:rsidRDefault="000B391D" w:rsidP="000B391D">
      <w:pPr>
        <w:spacing w:line="480" w:lineRule="auto"/>
        <w:jc w:val="both"/>
        <w:rPr>
          <w:rFonts w:eastAsia="Times New Roman"/>
          <w:sz w:val="24"/>
          <w:szCs w:val="24"/>
          <w:highlight w:val="white"/>
        </w:rPr>
      </w:pPr>
      <w:r w:rsidRPr="00DC3D5E">
        <w:rPr>
          <w:rFonts w:eastAsia="Times New Roman"/>
          <w:sz w:val="24"/>
          <w:szCs w:val="24"/>
          <w:highlight w:val="white"/>
        </w:rPr>
        <w:t>Mullins, L and Dosser, P.</w:t>
      </w:r>
      <w:r w:rsidR="008C38ED">
        <w:rPr>
          <w:rFonts w:eastAsia="Times New Roman"/>
          <w:sz w:val="24"/>
          <w:szCs w:val="24"/>
          <w:highlight w:val="white"/>
        </w:rPr>
        <w:t xml:space="preserve"> (</w:t>
      </w:r>
      <w:r w:rsidRPr="00DC3D5E">
        <w:rPr>
          <w:rFonts w:eastAsia="Times New Roman"/>
          <w:sz w:val="24"/>
          <w:szCs w:val="24"/>
          <w:highlight w:val="white"/>
        </w:rPr>
        <w:t>2013</w:t>
      </w:r>
      <w:r w:rsidR="008C38ED">
        <w:rPr>
          <w:rFonts w:eastAsia="Times New Roman"/>
          <w:sz w:val="24"/>
          <w:szCs w:val="24"/>
          <w:highlight w:val="white"/>
        </w:rPr>
        <w:t>)</w:t>
      </w:r>
      <w:r w:rsidRPr="00DC3D5E">
        <w:rPr>
          <w:rFonts w:eastAsia="Times New Roman"/>
          <w:sz w:val="24"/>
          <w:szCs w:val="24"/>
          <w:highlight w:val="white"/>
        </w:rPr>
        <w:t xml:space="preserve"> Hospitality Management and Organisational Behaviour (5th Ed) Harlow, Pearson.</w:t>
      </w:r>
    </w:p>
    <w:p w14:paraId="50369993" w14:textId="11CBB97A" w:rsidR="000B391D" w:rsidRPr="00DC3D5E" w:rsidRDefault="000B391D" w:rsidP="000B391D">
      <w:pPr>
        <w:spacing w:line="480" w:lineRule="auto"/>
        <w:jc w:val="both"/>
        <w:rPr>
          <w:rFonts w:eastAsia="Times New Roman"/>
          <w:sz w:val="24"/>
          <w:szCs w:val="24"/>
          <w:highlight w:val="white"/>
        </w:rPr>
      </w:pPr>
      <w:r w:rsidRPr="00DC3D5E">
        <w:rPr>
          <w:rFonts w:eastAsia="Times New Roman"/>
          <w:sz w:val="24"/>
          <w:szCs w:val="24"/>
          <w:highlight w:val="white"/>
        </w:rPr>
        <w:t>Mullins, L.</w:t>
      </w:r>
      <w:r w:rsidR="008C38ED">
        <w:rPr>
          <w:rFonts w:eastAsia="Times New Roman"/>
          <w:sz w:val="24"/>
          <w:szCs w:val="24"/>
          <w:highlight w:val="white"/>
        </w:rPr>
        <w:t xml:space="preserve"> (</w:t>
      </w:r>
      <w:r w:rsidRPr="00DC3D5E">
        <w:rPr>
          <w:rFonts w:eastAsia="Times New Roman"/>
          <w:sz w:val="24"/>
          <w:szCs w:val="24"/>
          <w:highlight w:val="white"/>
        </w:rPr>
        <w:t>2016</w:t>
      </w:r>
      <w:r w:rsidR="008C38ED">
        <w:rPr>
          <w:rFonts w:eastAsia="Times New Roman"/>
          <w:sz w:val="24"/>
          <w:szCs w:val="24"/>
          <w:highlight w:val="white"/>
        </w:rPr>
        <w:t>)</w:t>
      </w:r>
      <w:r w:rsidRPr="00DC3D5E">
        <w:rPr>
          <w:rFonts w:eastAsia="Times New Roman"/>
          <w:sz w:val="24"/>
          <w:szCs w:val="24"/>
          <w:highlight w:val="white"/>
        </w:rPr>
        <w:t xml:space="preserve"> Management and Organisational Behaviour (11th edition) Harlow: Pearson</w:t>
      </w:r>
    </w:p>
    <w:p w14:paraId="59AE6EE6" w14:textId="088C8075" w:rsidR="000B391D" w:rsidRPr="00DC3D5E" w:rsidRDefault="000B391D" w:rsidP="000B391D">
      <w:pPr>
        <w:spacing w:line="480" w:lineRule="auto"/>
        <w:jc w:val="both"/>
        <w:rPr>
          <w:rFonts w:eastAsia="Times New Roman"/>
          <w:sz w:val="24"/>
          <w:szCs w:val="24"/>
          <w:highlight w:val="white"/>
        </w:rPr>
      </w:pPr>
      <w:r w:rsidRPr="00DC3D5E">
        <w:rPr>
          <w:rFonts w:eastAsia="Times New Roman"/>
          <w:sz w:val="24"/>
          <w:szCs w:val="24"/>
          <w:highlight w:val="white"/>
        </w:rPr>
        <w:t>Mullins, L.</w:t>
      </w:r>
      <w:r w:rsidR="008C38ED">
        <w:rPr>
          <w:rFonts w:eastAsia="Times New Roman"/>
          <w:sz w:val="24"/>
          <w:szCs w:val="24"/>
          <w:highlight w:val="white"/>
        </w:rPr>
        <w:t xml:space="preserve"> (</w:t>
      </w:r>
      <w:r w:rsidRPr="00DC3D5E">
        <w:rPr>
          <w:rFonts w:eastAsia="Times New Roman"/>
          <w:sz w:val="24"/>
          <w:szCs w:val="24"/>
          <w:highlight w:val="white"/>
        </w:rPr>
        <w:t>2020</w:t>
      </w:r>
      <w:r w:rsidR="008C38ED">
        <w:rPr>
          <w:rFonts w:eastAsia="Times New Roman"/>
          <w:sz w:val="24"/>
          <w:szCs w:val="24"/>
          <w:highlight w:val="white"/>
        </w:rPr>
        <w:t>)</w:t>
      </w:r>
      <w:r w:rsidRPr="00DC3D5E">
        <w:rPr>
          <w:rFonts w:eastAsia="Times New Roman"/>
          <w:sz w:val="24"/>
          <w:szCs w:val="24"/>
          <w:highlight w:val="white"/>
        </w:rPr>
        <w:t xml:space="preserve"> Organisational Behaviour in the Workplace (12th edition) Harlow:Pearson</w:t>
      </w:r>
    </w:p>
    <w:p w14:paraId="13E146DF" w14:textId="118A2F9A" w:rsidR="000B391D" w:rsidRPr="00DC3D5E" w:rsidRDefault="000B391D" w:rsidP="000B391D">
      <w:pPr>
        <w:spacing w:line="480" w:lineRule="auto"/>
        <w:jc w:val="both"/>
        <w:rPr>
          <w:rFonts w:eastAsia="Times New Roman"/>
          <w:sz w:val="24"/>
          <w:szCs w:val="24"/>
          <w:highlight w:val="white"/>
        </w:rPr>
      </w:pPr>
      <w:r w:rsidRPr="00DC3D5E">
        <w:rPr>
          <w:rFonts w:eastAsia="Times New Roman"/>
          <w:sz w:val="24"/>
          <w:szCs w:val="24"/>
          <w:highlight w:val="white"/>
        </w:rPr>
        <w:t>Pillai, S.G., Haldorai, K., Seo, W.S. and Kim, W.G.</w:t>
      </w:r>
      <w:r w:rsidR="008C38ED">
        <w:rPr>
          <w:rFonts w:eastAsia="Times New Roman"/>
          <w:sz w:val="24"/>
          <w:szCs w:val="24"/>
          <w:highlight w:val="white"/>
        </w:rPr>
        <w:t xml:space="preserve"> (</w:t>
      </w:r>
      <w:r w:rsidRPr="00DC3D5E">
        <w:rPr>
          <w:rFonts w:eastAsia="Times New Roman"/>
          <w:sz w:val="24"/>
          <w:szCs w:val="24"/>
          <w:highlight w:val="white"/>
        </w:rPr>
        <w:t>2021</w:t>
      </w:r>
      <w:r w:rsidR="008C38ED">
        <w:rPr>
          <w:rFonts w:eastAsia="Times New Roman"/>
          <w:sz w:val="24"/>
          <w:szCs w:val="24"/>
          <w:highlight w:val="white"/>
        </w:rPr>
        <w:t>)</w:t>
      </w:r>
      <w:r w:rsidRPr="00DC3D5E">
        <w:rPr>
          <w:rFonts w:eastAsia="Times New Roman"/>
          <w:sz w:val="24"/>
          <w:szCs w:val="24"/>
          <w:highlight w:val="white"/>
        </w:rPr>
        <w:t xml:space="preserve"> COVID-19 and hospitality 5.0: Redefining hospitality operations. </w:t>
      </w:r>
      <w:r w:rsidRPr="00DC3D5E">
        <w:rPr>
          <w:rFonts w:eastAsia="Times New Roman"/>
          <w:i/>
          <w:sz w:val="24"/>
          <w:szCs w:val="24"/>
          <w:highlight w:val="white"/>
        </w:rPr>
        <w:t>International Journal of Hospitality Management</w:t>
      </w:r>
      <w:r w:rsidRPr="00DC3D5E">
        <w:rPr>
          <w:rFonts w:eastAsia="Times New Roman"/>
          <w:sz w:val="24"/>
          <w:szCs w:val="24"/>
          <w:highlight w:val="white"/>
        </w:rPr>
        <w:t xml:space="preserve">, </w:t>
      </w:r>
      <w:r w:rsidRPr="00DC3D5E">
        <w:rPr>
          <w:rFonts w:eastAsia="Times New Roman"/>
          <w:i/>
          <w:sz w:val="24"/>
          <w:szCs w:val="24"/>
          <w:highlight w:val="white"/>
        </w:rPr>
        <w:t>94</w:t>
      </w:r>
      <w:r w:rsidRPr="00DC3D5E">
        <w:rPr>
          <w:rFonts w:eastAsia="Times New Roman"/>
          <w:sz w:val="24"/>
          <w:szCs w:val="24"/>
          <w:highlight w:val="white"/>
        </w:rPr>
        <w:t>, p.102869.</w:t>
      </w:r>
    </w:p>
    <w:p w14:paraId="4468A045" w14:textId="3CF34437" w:rsidR="000B391D" w:rsidRPr="00DC3D5E" w:rsidRDefault="000B391D" w:rsidP="000B391D">
      <w:pPr>
        <w:spacing w:line="480" w:lineRule="auto"/>
        <w:jc w:val="both"/>
        <w:rPr>
          <w:rFonts w:eastAsia="Times New Roman"/>
          <w:sz w:val="24"/>
          <w:szCs w:val="24"/>
          <w:highlight w:val="white"/>
        </w:rPr>
      </w:pPr>
      <w:r w:rsidRPr="00DC3D5E">
        <w:rPr>
          <w:rFonts w:eastAsia="Times New Roman"/>
          <w:sz w:val="24"/>
          <w:szCs w:val="24"/>
          <w:highlight w:val="white"/>
        </w:rPr>
        <w:t>Rollinson, D.</w:t>
      </w:r>
      <w:r w:rsidR="008C38ED">
        <w:rPr>
          <w:rFonts w:eastAsia="Times New Roman"/>
          <w:sz w:val="24"/>
          <w:szCs w:val="24"/>
          <w:highlight w:val="white"/>
        </w:rPr>
        <w:t xml:space="preserve"> (</w:t>
      </w:r>
      <w:r w:rsidRPr="00DC3D5E">
        <w:rPr>
          <w:rFonts w:eastAsia="Times New Roman"/>
          <w:sz w:val="24"/>
          <w:szCs w:val="24"/>
          <w:highlight w:val="white"/>
        </w:rPr>
        <w:t>2008</w:t>
      </w:r>
      <w:r w:rsidR="008C38ED">
        <w:rPr>
          <w:rFonts w:eastAsia="Times New Roman"/>
          <w:sz w:val="24"/>
          <w:szCs w:val="24"/>
          <w:highlight w:val="white"/>
        </w:rPr>
        <w:t>)</w:t>
      </w:r>
      <w:r w:rsidRPr="00DC3D5E">
        <w:rPr>
          <w:rFonts w:eastAsia="Times New Roman"/>
          <w:sz w:val="24"/>
          <w:szCs w:val="24"/>
          <w:highlight w:val="white"/>
        </w:rPr>
        <w:t xml:space="preserve"> </w:t>
      </w:r>
      <w:r w:rsidRPr="00DC3D5E">
        <w:rPr>
          <w:rFonts w:eastAsia="Times New Roman"/>
          <w:i/>
          <w:sz w:val="24"/>
          <w:szCs w:val="24"/>
          <w:highlight w:val="white"/>
        </w:rPr>
        <w:t>Organisational behaviour and analysis: An integrated approach</w:t>
      </w:r>
      <w:r w:rsidRPr="00DC3D5E">
        <w:rPr>
          <w:rFonts w:eastAsia="Times New Roman"/>
          <w:sz w:val="24"/>
          <w:szCs w:val="24"/>
          <w:highlight w:val="white"/>
        </w:rPr>
        <w:t>. Pearson Education.</w:t>
      </w:r>
    </w:p>
    <w:p w14:paraId="7CD946F0" w14:textId="2ED5AEC0" w:rsidR="000B391D" w:rsidRPr="00DC3D5E" w:rsidRDefault="000B391D" w:rsidP="000B391D">
      <w:pPr>
        <w:spacing w:line="480" w:lineRule="auto"/>
        <w:jc w:val="both"/>
        <w:rPr>
          <w:rFonts w:eastAsia="Times New Roman"/>
          <w:sz w:val="24"/>
          <w:szCs w:val="24"/>
          <w:highlight w:val="white"/>
        </w:rPr>
      </w:pPr>
      <w:r w:rsidRPr="00DC3D5E">
        <w:rPr>
          <w:rFonts w:eastAsia="Times New Roman"/>
          <w:sz w:val="24"/>
          <w:szCs w:val="24"/>
          <w:highlight w:val="white"/>
        </w:rPr>
        <w:lastRenderedPageBreak/>
        <w:t>Stoimenov, V.</w:t>
      </w:r>
      <w:r w:rsidR="00B74DAB">
        <w:rPr>
          <w:rFonts w:eastAsia="Times New Roman"/>
          <w:sz w:val="24"/>
          <w:szCs w:val="24"/>
          <w:highlight w:val="white"/>
        </w:rPr>
        <w:t xml:space="preserve"> (</w:t>
      </w:r>
      <w:r w:rsidRPr="00DC3D5E">
        <w:rPr>
          <w:rFonts w:eastAsia="Times New Roman"/>
          <w:sz w:val="24"/>
          <w:szCs w:val="24"/>
          <w:highlight w:val="white"/>
        </w:rPr>
        <w:t>2023</w:t>
      </w:r>
      <w:r w:rsidR="00B74DAB">
        <w:rPr>
          <w:rFonts w:eastAsia="Times New Roman"/>
          <w:sz w:val="24"/>
          <w:szCs w:val="24"/>
          <w:highlight w:val="white"/>
        </w:rPr>
        <w:t>)</w:t>
      </w:r>
      <w:r w:rsidRPr="00DC3D5E">
        <w:rPr>
          <w:rFonts w:eastAsia="Times New Roman"/>
          <w:sz w:val="24"/>
          <w:szCs w:val="24"/>
          <w:highlight w:val="white"/>
        </w:rPr>
        <w:t xml:space="preserve"> GOOD PRACTICES IN HOTEL BRANDING–SUSTAINABILITY TRENDS OF INTERCONTINENTAL HOTEL GROUP. </w:t>
      </w:r>
      <w:r w:rsidRPr="00DC3D5E">
        <w:rPr>
          <w:rFonts w:eastAsia="Times New Roman"/>
          <w:i/>
          <w:sz w:val="24"/>
          <w:szCs w:val="24"/>
          <w:highlight w:val="white"/>
        </w:rPr>
        <w:t>Предприемачество</w:t>
      </w:r>
      <w:r w:rsidRPr="00DC3D5E">
        <w:rPr>
          <w:rFonts w:eastAsia="Times New Roman"/>
          <w:sz w:val="24"/>
          <w:szCs w:val="24"/>
          <w:highlight w:val="white"/>
        </w:rPr>
        <w:t xml:space="preserve">, </w:t>
      </w:r>
      <w:r w:rsidRPr="00DC3D5E">
        <w:rPr>
          <w:rFonts w:eastAsia="Times New Roman"/>
          <w:i/>
          <w:sz w:val="24"/>
          <w:szCs w:val="24"/>
          <w:highlight w:val="white"/>
        </w:rPr>
        <w:t>11</w:t>
      </w:r>
      <w:r w:rsidRPr="00DC3D5E">
        <w:rPr>
          <w:rFonts w:eastAsia="Times New Roman"/>
          <w:sz w:val="24"/>
          <w:szCs w:val="24"/>
          <w:highlight w:val="white"/>
        </w:rPr>
        <w:t>(1), pp.108-131.</w:t>
      </w:r>
    </w:p>
    <w:p w14:paraId="36835728" w14:textId="032FEA6A" w:rsidR="000B391D" w:rsidRPr="00DC3D5E" w:rsidRDefault="000B391D" w:rsidP="000B391D">
      <w:pPr>
        <w:spacing w:line="480" w:lineRule="auto"/>
        <w:jc w:val="both"/>
        <w:rPr>
          <w:rFonts w:eastAsia="Times New Roman"/>
          <w:sz w:val="24"/>
          <w:szCs w:val="24"/>
          <w:highlight w:val="white"/>
        </w:rPr>
      </w:pPr>
      <w:r w:rsidRPr="00DC3D5E">
        <w:rPr>
          <w:rFonts w:eastAsia="Times New Roman"/>
          <w:sz w:val="24"/>
          <w:szCs w:val="24"/>
          <w:highlight w:val="white"/>
        </w:rPr>
        <w:t>Voegeli, C.</w:t>
      </w:r>
      <w:r w:rsidR="00B74DAB">
        <w:rPr>
          <w:rFonts w:eastAsia="Times New Roman"/>
          <w:sz w:val="24"/>
          <w:szCs w:val="24"/>
          <w:highlight w:val="white"/>
        </w:rPr>
        <w:t xml:space="preserve"> (</w:t>
      </w:r>
      <w:r w:rsidRPr="00DC3D5E">
        <w:rPr>
          <w:rFonts w:eastAsia="Times New Roman"/>
          <w:sz w:val="24"/>
          <w:szCs w:val="24"/>
          <w:highlight w:val="white"/>
        </w:rPr>
        <w:t>2021</w:t>
      </w:r>
      <w:r w:rsidR="00B74DAB">
        <w:rPr>
          <w:rFonts w:eastAsia="Times New Roman"/>
          <w:sz w:val="24"/>
          <w:szCs w:val="24"/>
          <w:highlight w:val="white"/>
        </w:rPr>
        <w:t>)</w:t>
      </w:r>
      <w:r w:rsidRPr="00DC3D5E">
        <w:rPr>
          <w:rFonts w:eastAsia="Times New Roman"/>
          <w:sz w:val="24"/>
          <w:szCs w:val="24"/>
          <w:highlight w:val="white"/>
        </w:rPr>
        <w:t xml:space="preserve"> A Case Study of Knowledge Management Practices at the Intercontinental Hotels’ Group. </w:t>
      </w:r>
      <w:r w:rsidRPr="00DC3D5E">
        <w:rPr>
          <w:rFonts w:eastAsia="Times New Roman"/>
          <w:i/>
          <w:sz w:val="24"/>
          <w:szCs w:val="24"/>
          <w:highlight w:val="white"/>
        </w:rPr>
        <w:t>Available at SSRN 3819409</w:t>
      </w:r>
      <w:r w:rsidRPr="00DC3D5E">
        <w:rPr>
          <w:rFonts w:eastAsia="Times New Roman"/>
          <w:sz w:val="24"/>
          <w:szCs w:val="24"/>
          <w:highlight w:val="white"/>
        </w:rPr>
        <w:t>.</w:t>
      </w:r>
    </w:p>
    <w:p w14:paraId="0000004F" w14:textId="77777777" w:rsidR="00CE5C6D" w:rsidRPr="00DC3D5E" w:rsidRDefault="00CE5C6D">
      <w:pPr>
        <w:spacing w:line="480" w:lineRule="auto"/>
        <w:jc w:val="both"/>
        <w:rPr>
          <w:rFonts w:eastAsia="Times New Roman"/>
          <w:sz w:val="24"/>
          <w:szCs w:val="24"/>
          <w:highlight w:val="white"/>
        </w:rPr>
      </w:pPr>
    </w:p>
    <w:sectPr w:rsidR="00CE5C6D" w:rsidRPr="00DC3D5E" w:rsidSect="0097032E">
      <w:footerReference w:type="default" r:id="rId34"/>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9542B2" w14:textId="77777777" w:rsidR="0097032E" w:rsidRDefault="0097032E" w:rsidP="000B391D">
      <w:pPr>
        <w:spacing w:line="240" w:lineRule="auto"/>
      </w:pPr>
      <w:r>
        <w:separator/>
      </w:r>
    </w:p>
  </w:endnote>
  <w:endnote w:type="continuationSeparator" w:id="0">
    <w:p w14:paraId="562A030C" w14:textId="77777777" w:rsidR="0097032E" w:rsidRDefault="0097032E" w:rsidP="000B391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1389581"/>
      <w:docPartObj>
        <w:docPartGallery w:val="Page Numbers (Bottom of Page)"/>
        <w:docPartUnique/>
      </w:docPartObj>
    </w:sdtPr>
    <w:sdtEndPr>
      <w:rPr>
        <w:noProof/>
      </w:rPr>
    </w:sdtEndPr>
    <w:sdtContent>
      <w:p w14:paraId="7CD24461" w14:textId="058055A0" w:rsidR="000B391D" w:rsidRDefault="000B391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7922BFF" w14:textId="77777777" w:rsidR="000B391D" w:rsidRDefault="000B39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BA0A7F" w14:textId="77777777" w:rsidR="0097032E" w:rsidRDefault="0097032E" w:rsidP="000B391D">
      <w:pPr>
        <w:spacing w:line="240" w:lineRule="auto"/>
      </w:pPr>
      <w:r>
        <w:separator/>
      </w:r>
    </w:p>
  </w:footnote>
  <w:footnote w:type="continuationSeparator" w:id="0">
    <w:p w14:paraId="2EB02F66" w14:textId="77777777" w:rsidR="0097032E" w:rsidRDefault="0097032E" w:rsidP="000B391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77FF6"/>
    <w:multiLevelType w:val="multilevel"/>
    <w:tmpl w:val="AFA82B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2522111"/>
    <w:multiLevelType w:val="multilevel"/>
    <w:tmpl w:val="933626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6C615B6"/>
    <w:multiLevelType w:val="hybridMultilevel"/>
    <w:tmpl w:val="2ABE0E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D00DAF"/>
    <w:multiLevelType w:val="multilevel"/>
    <w:tmpl w:val="37540E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B666DCC"/>
    <w:multiLevelType w:val="multilevel"/>
    <w:tmpl w:val="110C65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23E16ED"/>
    <w:multiLevelType w:val="multilevel"/>
    <w:tmpl w:val="51C69E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0854A6B"/>
    <w:multiLevelType w:val="multilevel"/>
    <w:tmpl w:val="786648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37158D8"/>
    <w:multiLevelType w:val="multilevel"/>
    <w:tmpl w:val="372C15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BEF6FD2"/>
    <w:multiLevelType w:val="multilevel"/>
    <w:tmpl w:val="4C04BE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48040CA"/>
    <w:multiLevelType w:val="multilevel"/>
    <w:tmpl w:val="8A9CE8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6CD13B4"/>
    <w:multiLevelType w:val="multilevel"/>
    <w:tmpl w:val="033ECD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DB161D2"/>
    <w:multiLevelType w:val="multilevel"/>
    <w:tmpl w:val="FAF662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6574A0F"/>
    <w:multiLevelType w:val="multilevel"/>
    <w:tmpl w:val="B6DC98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FD278E8"/>
    <w:multiLevelType w:val="multilevel"/>
    <w:tmpl w:val="3880F7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103529368">
    <w:abstractNumId w:val="3"/>
  </w:num>
  <w:num w:numId="2" w16cid:durableId="360253958">
    <w:abstractNumId w:val="9"/>
  </w:num>
  <w:num w:numId="3" w16cid:durableId="71123780">
    <w:abstractNumId w:val="12"/>
  </w:num>
  <w:num w:numId="4" w16cid:durableId="1013650955">
    <w:abstractNumId w:val="6"/>
  </w:num>
  <w:num w:numId="5" w16cid:durableId="660736458">
    <w:abstractNumId w:val="5"/>
  </w:num>
  <w:num w:numId="6" w16cid:durableId="392124791">
    <w:abstractNumId w:val="4"/>
  </w:num>
  <w:num w:numId="7" w16cid:durableId="980038110">
    <w:abstractNumId w:val="10"/>
  </w:num>
  <w:num w:numId="8" w16cid:durableId="2137603428">
    <w:abstractNumId w:val="7"/>
  </w:num>
  <w:num w:numId="9" w16cid:durableId="140005421">
    <w:abstractNumId w:val="1"/>
  </w:num>
  <w:num w:numId="10" w16cid:durableId="100423130">
    <w:abstractNumId w:val="11"/>
  </w:num>
  <w:num w:numId="11" w16cid:durableId="302006695">
    <w:abstractNumId w:val="8"/>
  </w:num>
  <w:num w:numId="12" w16cid:durableId="1985960710">
    <w:abstractNumId w:val="13"/>
  </w:num>
  <w:num w:numId="13" w16cid:durableId="827212115">
    <w:abstractNumId w:val="0"/>
  </w:num>
  <w:num w:numId="14" w16cid:durableId="1311032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movePersonalInformation/>
  <w:removeDateAndTime/>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C6D"/>
    <w:rsid w:val="00006A26"/>
    <w:rsid w:val="00007D6B"/>
    <w:rsid w:val="00020AEA"/>
    <w:rsid w:val="000B391D"/>
    <w:rsid w:val="000B3F7A"/>
    <w:rsid w:val="001716CD"/>
    <w:rsid w:val="00365D4B"/>
    <w:rsid w:val="0041384E"/>
    <w:rsid w:val="004574B9"/>
    <w:rsid w:val="004848A8"/>
    <w:rsid w:val="00485074"/>
    <w:rsid w:val="00520362"/>
    <w:rsid w:val="00521B0D"/>
    <w:rsid w:val="005A1A88"/>
    <w:rsid w:val="005B59A2"/>
    <w:rsid w:val="005E234E"/>
    <w:rsid w:val="00766FF1"/>
    <w:rsid w:val="007C32BC"/>
    <w:rsid w:val="008C38ED"/>
    <w:rsid w:val="008F2EDA"/>
    <w:rsid w:val="0093301D"/>
    <w:rsid w:val="009336CB"/>
    <w:rsid w:val="0097032E"/>
    <w:rsid w:val="0097695E"/>
    <w:rsid w:val="009F3315"/>
    <w:rsid w:val="00AB3C94"/>
    <w:rsid w:val="00AF569B"/>
    <w:rsid w:val="00B74DAB"/>
    <w:rsid w:val="00C47EDC"/>
    <w:rsid w:val="00CA63D4"/>
    <w:rsid w:val="00CE5C6D"/>
    <w:rsid w:val="00D35F53"/>
    <w:rsid w:val="00D52EFE"/>
    <w:rsid w:val="00D827C1"/>
    <w:rsid w:val="00DC3D5E"/>
    <w:rsid w:val="00DE569A"/>
    <w:rsid w:val="00F01E1D"/>
    <w:rsid w:val="00FC0E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6B8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rsid w:val="000B391D"/>
    <w:pPr>
      <w:spacing w:line="48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0B391D"/>
    <w:pPr>
      <w:ind w:left="720"/>
      <w:contextualSpacing/>
    </w:pPr>
  </w:style>
  <w:style w:type="paragraph" w:styleId="TOCHeading">
    <w:name w:val="TOC Heading"/>
    <w:basedOn w:val="Heading1"/>
    <w:next w:val="Normal"/>
    <w:uiPriority w:val="39"/>
    <w:unhideWhenUsed/>
    <w:qFormat/>
    <w:rsid w:val="000B391D"/>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0B391D"/>
    <w:pPr>
      <w:spacing w:after="100"/>
    </w:pPr>
  </w:style>
  <w:style w:type="character" w:styleId="Hyperlink">
    <w:name w:val="Hyperlink"/>
    <w:basedOn w:val="DefaultParagraphFont"/>
    <w:uiPriority w:val="99"/>
    <w:unhideWhenUsed/>
    <w:rsid w:val="000B391D"/>
    <w:rPr>
      <w:color w:val="0000FF" w:themeColor="hyperlink"/>
      <w:u w:val="single"/>
    </w:rPr>
  </w:style>
  <w:style w:type="paragraph" w:styleId="Header">
    <w:name w:val="header"/>
    <w:basedOn w:val="Normal"/>
    <w:link w:val="HeaderChar"/>
    <w:uiPriority w:val="99"/>
    <w:unhideWhenUsed/>
    <w:rsid w:val="000B391D"/>
    <w:pPr>
      <w:tabs>
        <w:tab w:val="center" w:pos="4513"/>
        <w:tab w:val="right" w:pos="9026"/>
      </w:tabs>
      <w:spacing w:line="240" w:lineRule="auto"/>
    </w:pPr>
  </w:style>
  <w:style w:type="character" w:customStyle="1" w:styleId="HeaderChar">
    <w:name w:val="Header Char"/>
    <w:basedOn w:val="DefaultParagraphFont"/>
    <w:link w:val="Header"/>
    <w:uiPriority w:val="99"/>
    <w:rsid w:val="000B391D"/>
    <w:rPr>
      <w:lang w:val="en-GB"/>
    </w:rPr>
  </w:style>
  <w:style w:type="paragraph" w:styleId="Footer">
    <w:name w:val="footer"/>
    <w:basedOn w:val="Normal"/>
    <w:link w:val="FooterChar"/>
    <w:uiPriority w:val="99"/>
    <w:unhideWhenUsed/>
    <w:rsid w:val="000B391D"/>
    <w:pPr>
      <w:tabs>
        <w:tab w:val="center" w:pos="4513"/>
        <w:tab w:val="right" w:pos="9026"/>
      </w:tabs>
      <w:spacing w:line="240" w:lineRule="auto"/>
    </w:pPr>
  </w:style>
  <w:style w:type="character" w:customStyle="1" w:styleId="FooterChar">
    <w:name w:val="Footer Char"/>
    <w:basedOn w:val="DefaultParagraphFont"/>
    <w:link w:val="Footer"/>
    <w:uiPriority w:val="99"/>
    <w:rsid w:val="000B391D"/>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diagramData" Target="diagrams/data2.xml"/><Relationship Id="rId18" Type="http://schemas.openxmlformats.org/officeDocument/2006/relationships/diagramData" Target="diagrams/data3.xml"/><Relationship Id="rId26" Type="http://schemas.openxmlformats.org/officeDocument/2006/relationships/diagramColors" Target="diagrams/colors4.xml"/><Relationship Id="rId3" Type="http://schemas.openxmlformats.org/officeDocument/2006/relationships/styles" Target="styles.xml"/><Relationship Id="rId21" Type="http://schemas.openxmlformats.org/officeDocument/2006/relationships/diagramColors" Target="diagrams/colors3.xml"/><Relationship Id="rId34" Type="http://schemas.openxmlformats.org/officeDocument/2006/relationships/footer" Target="footer1.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diagramQuickStyle" Target="diagrams/quickStyle4.xml"/><Relationship Id="rId33" Type="http://schemas.openxmlformats.org/officeDocument/2006/relationships/hyperlink" Target="https://www.ihg.com/hotels/gb/en/reservation?fromRedirect=true&amp;qSrt=sAV&amp;setPMCookies=true&amp;dp=true&amp;gclid=Cj0KCQiA2KitBhCIARIsAPPMEhKC0V6ci37h17vWw8CCsf_VwHDBRtHaencyeFmc03dUsP1Ss_rE3GIaAi9LEALw_wcB&amp;cm_mmc=PDSEA-_-G_F-IMEA_FS-SWA_H-IMEA_HS-SWA_6C_BSF_EXM_CORE-IHG_EN&amp;srb_u=1" TargetMode="Externa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diagramQuickStyle" Target="diagrams/quickStyle3.xml"/><Relationship Id="rId29" Type="http://schemas.openxmlformats.org/officeDocument/2006/relationships/diagramLayout" Target="diagrams/layout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diagramLayout" Target="diagrams/layout4.xml"/><Relationship Id="rId32" Type="http://schemas.microsoft.com/office/2007/relationships/diagramDrawing" Target="diagrams/drawing5.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diagramData" Target="diagrams/data4.xml"/><Relationship Id="rId28" Type="http://schemas.openxmlformats.org/officeDocument/2006/relationships/diagramData" Target="diagrams/data5.xml"/><Relationship Id="rId36" Type="http://schemas.openxmlformats.org/officeDocument/2006/relationships/theme" Target="theme/theme1.xml"/><Relationship Id="rId10" Type="http://schemas.openxmlformats.org/officeDocument/2006/relationships/diagramQuickStyle" Target="diagrams/quickStyle1.xml"/><Relationship Id="rId19" Type="http://schemas.openxmlformats.org/officeDocument/2006/relationships/diagramLayout" Target="diagrams/layout3.xml"/><Relationship Id="rId31" Type="http://schemas.openxmlformats.org/officeDocument/2006/relationships/diagramColors" Target="diagrams/colors5.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 Id="rId27" Type="http://schemas.microsoft.com/office/2007/relationships/diagramDrawing" Target="diagrams/drawing4.xml"/><Relationship Id="rId30" Type="http://schemas.openxmlformats.org/officeDocument/2006/relationships/diagramQuickStyle" Target="diagrams/quickStyle5.xml"/><Relationship Id="rId35" Type="http://schemas.openxmlformats.org/officeDocument/2006/relationships/fontTable" Target="fontTable.xml"/><Relationship Id="rId8" Type="http://schemas.openxmlformats.org/officeDocument/2006/relationships/diagramData" Target="diagrams/data1.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5FC3127-16B5-47BB-8581-47227BD7238D}" type="doc">
      <dgm:prSet loTypeId="urn:microsoft.com/office/officeart/2005/8/layout/default" loCatId="list" qsTypeId="urn:microsoft.com/office/officeart/2005/8/quickstyle/simple1" qsCatId="simple" csTypeId="urn:microsoft.com/office/officeart/2005/8/colors/colorful2" csCatId="colorful" phldr="1"/>
      <dgm:spPr/>
      <dgm:t>
        <a:bodyPr/>
        <a:lstStyle/>
        <a:p>
          <a:endParaRPr lang="en-GB"/>
        </a:p>
      </dgm:t>
    </dgm:pt>
    <dgm:pt modelId="{1825DF2A-7329-4641-99A1-B7EABD373BA2}">
      <dgm:prSet phldrT="[Text]" custT="1"/>
      <dgm:spPr/>
      <dgm:t>
        <a:bodyPr/>
        <a:lstStyle/>
        <a:p>
          <a:r>
            <a:rPr lang="en-GB" sz="1600" b="1" i="0">
              <a:solidFill>
                <a:schemeClr val="tx1"/>
              </a:solidFill>
            </a:rPr>
            <a:t>Organization Structure of IHG Hotel Group</a:t>
          </a:r>
          <a:endParaRPr lang="en-GB" sz="1600" i="0">
            <a:solidFill>
              <a:schemeClr val="tx1"/>
            </a:solidFill>
          </a:endParaRPr>
        </a:p>
      </dgm:t>
    </dgm:pt>
    <dgm:pt modelId="{66F0C1B8-B2C2-47C6-8E6A-52D1AD68C25F}" type="parTrans" cxnId="{B093709F-F63E-4F70-B9F9-9E9228A28B43}">
      <dgm:prSet/>
      <dgm:spPr/>
      <dgm:t>
        <a:bodyPr/>
        <a:lstStyle/>
        <a:p>
          <a:endParaRPr lang="en-GB" sz="1400" i="0">
            <a:solidFill>
              <a:schemeClr val="tx1"/>
            </a:solidFill>
          </a:endParaRPr>
        </a:p>
      </dgm:t>
    </dgm:pt>
    <dgm:pt modelId="{9B1C3FE7-7EBC-445A-95D4-A78F73A9F113}" type="sibTrans" cxnId="{B093709F-F63E-4F70-B9F9-9E9228A28B43}">
      <dgm:prSet/>
      <dgm:spPr/>
      <dgm:t>
        <a:bodyPr/>
        <a:lstStyle/>
        <a:p>
          <a:endParaRPr lang="en-GB" sz="1400" i="0">
            <a:solidFill>
              <a:schemeClr val="tx1"/>
            </a:solidFill>
          </a:endParaRPr>
        </a:p>
      </dgm:t>
    </dgm:pt>
    <dgm:pt modelId="{1627FE4F-93FB-4B23-BBEC-359CD29B6E71}">
      <dgm:prSet phldrT="[Text]" custT="1"/>
      <dgm:spPr/>
      <dgm:t>
        <a:bodyPr/>
        <a:lstStyle/>
        <a:p>
          <a:r>
            <a:rPr lang="en-GB" sz="1600" b="1" i="0">
              <a:solidFill>
                <a:schemeClr val="tx1"/>
              </a:solidFill>
            </a:rPr>
            <a:t>Organizational Culture at IHG Hotel Group</a:t>
          </a:r>
          <a:endParaRPr lang="en-GB" sz="1600" i="0">
            <a:solidFill>
              <a:schemeClr val="tx1"/>
            </a:solidFill>
          </a:endParaRPr>
        </a:p>
      </dgm:t>
    </dgm:pt>
    <dgm:pt modelId="{1B2E0A4B-7E14-4A8D-B219-495BBB9D979F}" type="parTrans" cxnId="{FB5A824F-70B1-4A87-BD64-0AB1CDE1849C}">
      <dgm:prSet/>
      <dgm:spPr/>
      <dgm:t>
        <a:bodyPr/>
        <a:lstStyle/>
        <a:p>
          <a:endParaRPr lang="en-GB" sz="1400" i="0">
            <a:solidFill>
              <a:schemeClr val="tx1"/>
            </a:solidFill>
          </a:endParaRPr>
        </a:p>
      </dgm:t>
    </dgm:pt>
    <dgm:pt modelId="{34150A5E-4C97-43D9-9C55-6F24F158D621}" type="sibTrans" cxnId="{FB5A824F-70B1-4A87-BD64-0AB1CDE1849C}">
      <dgm:prSet/>
      <dgm:spPr/>
      <dgm:t>
        <a:bodyPr/>
        <a:lstStyle/>
        <a:p>
          <a:endParaRPr lang="en-GB" sz="1400" i="0">
            <a:solidFill>
              <a:schemeClr val="tx1"/>
            </a:solidFill>
          </a:endParaRPr>
        </a:p>
      </dgm:t>
    </dgm:pt>
    <dgm:pt modelId="{8C94A439-3510-47CB-A56B-2EB0D3DC2345}">
      <dgm:prSet phldrT="[Text]" custT="1"/>
      <dgm:spPr/>
      <dgm:t>
        <a:bodyPr/>
        <a:lstStyle/>
        <a:p>
          <a:r>
            <a:rPr lang="en-GB" sz="1600" b="1" i="0">
              <a:solidFill>
                <a:schemeClr val="tx1"/>
              </a:solidFill>
            </a:rPr>
            <a:t>Goals of IHG Hotel Group</a:t>
          </a:r>
          <a:endParaRPr lang="en-GB" sz="1600" i="0">
            <a:solidFill>
              <a:schemeClr val="tx1"/>
            </a:solidFill>
          </a:endParaRPr>
        </a:p>
      </dgm:t>
    </dgm:pt>
    <dgm:pt modelId="{3B2C0DDD-D20E-498F-8C4A-6A9F92CDA5E8}" type="parTrans" cxnId="{14A0FAD8-6455-49FF-BE45-5B19E3D0D7D8}">
      <dgm:prSet/>
      <dgm:spPr/>
      <dgm:t>
        <a:bodyPr/>
        <a:lstStyle/>
        <a:p>
          <a:endParaRPr lang="en-GB" sz="1400" i="0">
            <a:solidFill>
              <a:schemeClr val="tx1"/>
            </a:solidFill>
          </a:endParaRPr>
        </a:p>
      </dgm:t>
    </dgm:pt>
    <dgm:pt modelId="{E268F1E7-FB9E-4081-8D5E-420B547CAE68}" type="sibTrans" cxnId="{14A0FAD8-6455-49FF-BE45-5B19E3D0D7D8}">
      <dgm:prSet/>
      <dgm:spPr/>
      <dgm:t>
        <a:bodyPr/>
        <a:lstStyle/>
        <a:p>
          <a:endParaRPr lang="en-GB" sz="1400" i="0">
            <a:solidFill>
              <a:schemeClr val="tx1"/>
            </a:solidFill>
          </a:endParaRPr>
        </a:p>
      </dgm:t>
    </dgm:pt>
    <dgm:pt modelId="{424E8EA0-06FF-4776-8401-B5B01BC3330A}" type="pres">
      <dgm:prSet presAssocID="{B5FC3127-16B5-47BB-8581-47227BD7238D}" presName="diagram" presStyleCnt="0">
        <dgm:presLayoutVars>
          <dgm:dir/>
          <dgm:resizeHandles val="exact"/>
        </dgm:presLayoutVars>
      </dgm:prSet>
      <dgm:spPr/>
    </dgm:pt>
    <dgm:pt modelId="{CB37E9F1-F07E-4031-88FE-023B84DC6A5E}" type="pres">
      <dgm:prSet presAssocID="{1825DF2A-7329-4641-99A1-B7EABD373BA2}" presName="node" presStyleLbl="node1" presStyleIdx="0" presStyleCnt="3">
        <dgm:presLayoutVars>
          <dgm:bulletEnabled val="1"/>
        </dgm:presLayoutVars>
      </dgm:prSet>
      <dgm:spPr/>
    </dgm:pt>
    <dgm:pt modelId="{DE039047-DE6C-4EB0-8438-B4B628F9017B}" type="pres">
      <dgm:prSet presAssocID="{9B1C3FE7-7EBC-445A-95D4-A78F73A9F113}" presName="sibTrans" presStyleCnt="0"/>
      <dgm:spPr/>
    </dgm:pt>
    <dgm:pt modelId="{F3759711-0240-4F49-BB56-CBBB2B7433CB}" type="pres">
      <dgm:prSet presAssocID="{1627FE4F-93FB-4B23-BBEC-359CD29B6E71}" presName="node" presStyleLbl="node1" presStyleIdx="1" presStyleCnt="3">
        <dgm:presLayoutVars>
          <dgm:bulletEnabled val="1"/>
        </dgm:presLayoutVars>
      </dgm:prSet>
      <dgm:spPr/>
    </dgm:pt>
    <dgm:pt modelId="{3694FBBA-44BE-4695-B5D7-BA200ADEC37A}" type="pres">
      <dgm:prSet presAssocID="{34150A5E-4C97-43D9-9C55-6F24F158D621}" presName="sibTrans" presStyleCnt="0"/>
      <dgm:spPr/>
    </dgm:pt>
    <dgm:pt modelId="{7B20BCD7-C3D4-4989-BF73-BECC6DB579F4}" type="pres">
      <dgm:prSet presAssocID="{8C94A439-3510-47CB-A56B-2EB0D3DC2345}" presName="node" presStyleLbl="node1" presStyleIdx="2" presStyleCnt="3">
        <dgm:presLayoutVars>
          <dgm:bulletEnabled val="1"/>
        </dgm:presLayoutVars>
      </dgm:prSet>
      <dgm:spPr/>
    </dgm:pt>
  </dgm:ptLst>
  <dgm:cxnLst>
    <dgm:cxn modelId="{FB5A824F-70B1-4A87-BD64-0AB1CDE1849C}" srcId="{B5FC3127-16B5-47BB-8581-47227BD7238D}" destId="{1627FE4F-93FB-4B23-BBEC-359CD29B6E71}" srcOrd="1" destOrd="0" parTransId="{1B2E0A4B-7E14-4A8D-B219-495BBB9D979F}" sibTransId="{34150A5E-4C97-43D9-9C55-6F24F158D621}"/>
    <dgm:cxn modelId="{B093709F-F63E-4F70-B9F9-9E9228A28B43}" srcId="{B5FC3127-16B5-47BB-8581-47227BD7238D}" destId="{1825DF2A-7329-4641-99A1-B7EABD373BA2}" srcOrd="0" destOrd="0" parTransId="{66F0C1B8-B2C2-47C6-8E6A-52D1AD68C25F}" sibTransId="{9B1C3FE7-7EBC-445A-95D4-A78F73A9F113}"/>
    <dgm:cxn modelId="{A998E5BC-1613-47C9-BE30-52C96152055E}" type="presOf" srcId="{B5FC3127-16B5-47BB-8581-47227BD7238D}" destId="{424E8EA0-06FF-4776-8401-B5B01BC3330A}" srcOrd="0" destOrd="0" presId="urn:microsoft.com/office/officeart/2005/8/layout/default"/>
    <dgm:cxn modelId="{82721BC2-6F08-49A6-A539-0F4827BF019E}" type="presOf" srcId="{8C94A439-3510-47CB-A56B-2EB0D3DC2345}" destId="{7B20BCD7-C3D4-4989-BF73-BECC6DB579F4}" srcOrd="0" destOrd="0" presId="urn:microsoft.com/office/officeart/2005/8/layout/default"/>
    <dgm:cxn modelId="{F8BB4BC2-53F6-4B9F-B674-5E5F2B14AE28}" type="presOf" srcId="{1627FE4F-93FB-4B23-BBEC-359CD29B6E71}" destId="{F3759711-0240-4F49-BB56-CBBB2B7433CB}" srcOrd="0" destOrd="0" presId="urn:microsoft.com/office/officeart/2005/8/layout/default"/>
    <dgm:cxn modelId="{14A0FAD8-6455-49FF-BE45-5B19E3D0D7D8}" srcId="{B5FC3127-16B5-47BB-8581-47227BD7238D}" destId="{8C94A439-3510-47CB-A56B-2EB0D3DC2345}" srcOrd="2" destOrd="0" parTransId="{3B2C0DDD-D20E-498F-8C4A-6A9F92CDA5E8}" sibTransId="{E268F1E7-FB9E-4081-8D5E-420B547CAE68}"/>
    <dgm:cxn modelId="{64D128FC-41CD-4AEF-9C64-A5826380AD1C}" type="presOf" srcId="{1825DF2A-7329-4641-99A1-B7EABD373BA2}" destId="{CB37E9F1-F07E-4031-88FE-023B84DC6A5E}" srcOrd="0" destOrd="0" presId="urn:microsoft.com/office/officeart/2005/8/layout/default"/>
    <dgm:cxn modelId="{181CD873-A3FE-4FEB-AFDA-6C77B5629234}" type="presParOf" srcId="{424E8EA0-06FF-4776-8401-B5B01BC3330A}" destId="{CB37E9F1-F07E-4031-88FE-023B84DC6A5E}" srcOrd="0" destOrd="0" presId="urn:microsoft.com/office/officeart/2005/8/layout/default"/>
    <dgm:cxn modelId="{EC005E59-92B3-4908-A77C-92BA56BE33A0}" type="presParOf" srcId="{424E8EA0-06FF-4776-8401-B5B01BC3330A}" destId="{DE039047-DE6C-4EB0-8438-B4B628F9017B}" srcOrd="1" destOrd="0" presId="urn:microsoft.com/office/officeart/2005/8/layout/default"/>
    <dgm:cxn modelId="{E729D1CC-2E42-485B-A273-E1D7F2C28A9B}" type="presParOf" srcId="{424E8EA0-06FF-4776-8401-B5B01BC3330A}" destId="{F3759711-0240-4F49-BB56-CBBB2B7433CB}" srcOrd="2" destOrd="0" presId="urn:microsoft.com/office/officeart/2005/8/layout/default"/>
    <dgm:cxn modelId="{A3004EEB-2CE6-4628-846E-451C029D7E03}" type="presParOf" srcId="{424E8EA0-06FF-4776-8401-B5B01BC3330A}" destId="{3694FBBA-44BE-4695-B5D7-BA200ADEC37A}" srcOrd="3" destOrd="0" presId="urn:microsoft.com/office/officeart/2005/8/layout/default"/>
    <dgm:cxn modelId="{1554F3FE-48F1-4B46-BBF7-934F8270EDE3}" type="presParOf" srcId="{424E8EA0-06FF-4776-8401-B5B01BC3330A}" destId="{7B20BCD7-C3D4-4989-BF73-BECC6DB579F4}" srcOrd="4" destOrd="0" presId="urn:microsoft.com/office/officeart/2005/8/layout/default"/>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D653749-1389-479A-A7C0-18DF5F53A232}" type="doc">
      <dgm:prSet loTypeId="urn:microsoft.com/office/officeart/2005/8/layout/default" loCatId="list" qsTypeId="urn:microsoft.com/office/officeart/2005/8/quickstyle/simple1" qsCatId="simple" csTypeId="urn:microsoft.com/office/officeart/2005/8/colors/colorful1" csCatId="colorful" phldr="1"/>
      <dgm:spPr/>
      <dgm:t>
        <a:bodyPr/>
        <a:lstStyle/>
        <a:p>
          <a:endParaRPr lang="en-GB"/>
        </a:p>
      </dgm:t>
    </dgm:pt>
    <dgm:pt modelId="{C71419A4-6419-47B7-988B-96BBD0FFEB6D}">
      <dgm:prSet phldrT="[Text]"/>
      <dgm:spPr/>
      <dgm:t>
        <a:bodyPr/>
        <a:lstStyle/>
        <a:p>
          <a:pPr algn="ctr"/>
          <a:r>
            <a:rPr lang="en-GB" b="1" i="0">
              <a:solidFill>
                <a:schemeClr val="tx1"/>
              </a:solidFill>
            </a:rPr>
            <a:t>Digital Transformation Initiatives</a:t>
          </a:r>
          <a:endParaRPr lang="en-GB" i="0">
            <a:solidFill>
              <a:schemeClr val="tx1"/>
            </a:solidFill>
          </a:endParaRPr>
        </a:p>
      </dgm:t>
    </dgm:pt>
    <dgm:pt modelId="{1958441D-E45C-45CF-91AD-CE320830A879}" type="parTrans" cxnId="{559B0DEE-924F-4205-AB59-77F4AD5F356C}">
      <dgm:prSet/>
      <dgm:spPr/>
      <dgm:t>
        <a:bodyPr/>
        <a:lstStyle/>
        <a:p>
          <a:pPr algn="ctr"/>
          <a:endParaRPr lang="en-GB" i="0">
            <a:solidFill>
              <a:schemeClr val="tx1"/>
            </a:solidFill>
          </a:endParaRPr>
        </a:p>
      </dgm:t>
    </dgm:pt>
    <dgm:pt modelId="{4A279FB3-F87A-418F-93AF-C4170CB52121}" type="sibTrans" cxnId="{559B0DEE-924F-4205-AB59-77F4AD5F356C}">
      <dgm:prSet/>
      <dgm:spPr/>
      <dgm:t>
        <a:bodyPr/>
        <a:lstStyle/>
        <a:p>
          <a:pPr algn="ctr"/>
          <a:endParaRPr lang="en-GB" i="0">
            <a:solidFill>
              <a:schemeClr val="tx1"/>
            </a:solidFill>
          </a:endParaRPr>
        </a:p>
      </dgm:t>
    </dgm:pt>
    <dgm:pt modelId="{5FF36176-4978-4CE3-A1B0-5EC3C3C52C18}">
      <dgm:prSet phldrT="[Text]"/>
      <dgm:spPr/>
      <dgm:t>
        <a:bodyPr/>
        <a:lstStyle/>
        <a:p>
          <a:pPr algn="ctr"/>
          <a:r>
            <a:rPr lang="en-GB" b="1" i="0">
              <a:solidFill>
                <a:schemeClr val="tx1"/>
              </a:solidFill>
            </a:rPr>
            <a:t>Sustainability and Environmental Initiatives</a:t>
          </a:r>
          <a:endParaRPr lang="en-GB" i="0">
            <a:solidFill>
              <a:schemeClr val="tx1"/>
            </a:solidFill>
          </a:endParaRPr>
        </a:p>
      </dgm:t>
    </dgm:pt>
    <dgm:pt modelId="{774C1585-2600-453D-9A6C-C7C00EEE1CEA}" type="parTrans" cxnId="{B2045573-C1A9-43F3-9F51-E90E11B9B561}">
      <dgm:prSet/>
      <dgm:spPr/>
      <dgm:t>
        <a:bodyPr/>
        <a:lstStyle/>
        <a:p>
          <a:pPr algn="ctr"/>
          <a:endParaRPr lang="en-GB" i="0">
            <a:solidFill>
              <a:schemeClr val="tx1"/>
            </a:solidFill>
          </a:endParaRPr>
        </a:p>
      </dgm:t>
    </dgm:pt>
    <dgm:pt modelId="{4EA2395C-864E-40CC-AE2D-5D33FE695245}" type="sibTrans" cxnId="{B2045573-C1A9-43F3-9F51-E90E11B9B561}">
      <dgm:prSet/>
      <dgm:spPr/>
      <dgm:t>
        <a:bodyPr/>
        <a:lstStyle/>
        <a:p>
          <a:pPr algn="ctr"/>
          <a:endParaRPr lang="en-GB" i="0">
            <a:solidFill>
              <a:schemeClr val="tx1"/>
            </a:solidFill>
          </a:endParaRPr>
        </a:p>
      </dgm:t>
    </dgm:pt>
    <dgm:pt modelId="{551720F0-92AA-4EE6-9608-F1BD04E70195}">
      <dgm:prSet phldrT="[Text]"/>
      <dgm:spPr/>
      <dgm:t>
        <a:bodyPr/>
        <a:lstStyle/>
        <a:p>
          <a:pPr algn="ctr"/>
          <a:r>
            <a:rPr lang="en-GB" b="1" i="0">
              <a:solidFill>
                <a:schemeClr val="tx1"/>
              </a:solidFill>
            </a:rPr>
            <a:t>Brand Renovation</a:t>
          </a:r>
          <a:endParaRPr lang="en-GB" i="0">
            <a:solidFill>
              <a:schemeClr val="tx1"/>
            </a:solidFill>
          </a:endParaRPr>
        </a:p>
      </dgm:t>
    </dgm:pt>
    <dgm:pt modelId="{97F44DDD-A271-45F8-A512-4998829CB4B7}" type="parTrans" cxnId="{B5C9011D-F9FC-42C0-99D1-5A3CC1F6292F}">
      <dgm:prSet/>
      <dgm:spPr/>
      <dgm:t>
        <a:bodyPr/>
        <a:lstStyle/>
        <a:p>
          <a:pPr algn="ctr"/>
          <a:endParaRPr lang="en-GB" i="0">
            <a:solidFill>
              <a:schemeClr val="tx1"/>
            </a:solidFill>
          </a:endParaRPr>
        </a:p>
      </dgm:t>
    </dgm:pt>
    <dgm:pt modelId="{5ABCCA76-9C2E-40E7-9193-B87E91AD4D24}" type="sibTrans" cxnId="{B5C9011D-F9FC-42C0-99D1-5A3CC1F6292F}">
      <dgm:prSet/>
      <dgm:spPr/>
      <dgm:t>
        <a:bodyPr/>
        <a:lstStyle/>
        <a:p>
          <a:pPr algn="ctr"/>
          <a:endParaRPr lang="en-GB" i="0">
            <a:solidFill>
              <a:schemeClr val="tx1"/>
            </a:solidFill>
          </a:endParaRPr>
        </a:p>
      </dgm:t>
    </dgm:pt>
    <dgm:pt modelId="{25D258EA-5A2F-42F5-9A29-74454BF0B1E1}">
      <dgm:prSet phldrT="[Text]"/>
      <dgm:spPr/>
      <dgm:t>
        <a:bodyPr/>
        <a:lstStyle/>
        <a:p>
          <a:pPr algn="ctr"/>
          <a:r>
            <a:rPr lang="en-GB" b="1" i="0">
              <a:solidFill>
                <a:schemeClr val="tx1"/>
              </a:solidFill>
            </a:rPr>
            <a:t>COVID-19 Response and Adaptation</a:t>
          </a:r>
          <a:endParaRPr lang="en-GB" i="0">
            <a:solidFill>
              <a:schemeClr val="tx1"/>
            </a:solidFill>
          </a:endParaRPr>
        </a:p>
      </dgm:t>
    </dgm:pt>
    <dgm:pt modelId="{D04DCAC2-9D22-475A-8CE6-BF10CB8A0468}" type="parTrans" cxnId="{F49697C9-BB55-4868-A93E-F93EA49B99A3}">
      <dgm:prSet/>
      <dgm:spPr/>
      <dgm:t>
        <a:bodyPr/>
        <a:lstStyle/>
        <a:p>
          <a:pPr algn="ctr"/>
          <a:endParaRPr lang="en-GB" i="0">
            <a:solidFill>
              <a:schemeClr val="tx1"/>
            </a:solidFill>
          </a:endParaRPr>
        </a:p>
      </dgm:t>
    </dgm:pt>
    <dgm:pt modelId="{6B76A5E3-D57A-4490-8DAE-98C873514423}" type="sibTrans" cxnId="{F49697C9-BB55-4868-A93E-F93EA49B99A3}">
      <dgm:prSet/>
      <dgm:spPr/>
      <dgm:t>
        <a:bodyPr/>
        <a:lstStyle/>
        <a:p>
          <a:pPr algn="ctr"/>
          <a:endParaRPr lang="en-GB" i="0">
            <a:solidFill>
              <a:schemeClr val="tx1"/>
            </a:solidFill>
          </a:endParaRPr>
        </a:p>
      </dgm:t>
    </dgm:pt>
    <dgm:pt modelId="{445F307B-AADF-40FB-8F07-72D03D78AA8D}">
      <dgm:prSet phldrT="[Text]"/>
      <dgm:spPr/>
      <dgm:t>
        <a:bodyPr/>
        <a:lstStyle/>
        <a:p>
          <a:pPr algn="ctr"/>
          <a:r>
            <a:rPr lang="en-GB" b="1" i="0">
              <a:solidFill>
                <a:schemeClr val="tx1"/>
              </a:solidFill>
            </a:rPr>
            <a:t>Employee Well-being and Training Programs</a:t>
          </a:r>
          <a:endParaRPr lang="en-GB" i="0">
            <a:solidFill>
              <a:schemeClr val="tx1"/>
            </a:solidFill>
          </a:endParaRPr>
        </a:p>
      </dgm:t>
    </dgm:pt>
    <dgm:pt modelId="{51771D4E-6D97-4BAD-96FB-5433572081A8}" type="parTrans" cxnId="{16E5309E-0B74-48B3-A554-0CDE0AE0E812}">
      <dgm:prSet/>
      <dgm:spPr/>
      <dgm:t>
        <a:bodyPr/>
        <a:lstStyle/>
        <a:p>
          <a:pPr algn="ctr"/>
          <a:endParaRPr lang="en-GB" i="0">
            <a:solidFill>
              <a:schemeClr val="tx1"/>
            </a:solidFill>
          </a:endParaRPr>
        </a:p>
      </dgm:t>
    </dgm:pt>
    <dgm:pt modelId="{035701C5-4720-46BC-A84D-99DF11E08B51}" type="sibTrans" cxnId="{16E5309E-0B74-48B3-A554-0CDE0AE0E812}">
      <dgm:prSet/>
      <dgm:spPr/>
      <dgm:t>
        <a:bodyPr/>
        <a:lstStyle/>
        <a:p>
          <a:pPr algn="ctr"/>
          <a:endParaRPr lang="en-GB" i="0">
            <a:solidFill>
              <a:schemeClr val="tx1"/>
            </a:solidFill>
          </a:endParaRPr>
        </a:p>
      </dgm:t>
    </dgm:pt>
    <dgm:pt modelId="{4CA5471F-2B0A-4632-8DF4-DCF6BC7B2B1B}" type="pres">
      <dgm:prSet presAssocID="{AD653749-1389-479A-A7C0-18DF5F53A232}" presName="diagram" presStyleCnt="0">
        <dgm:presLayoutVars>
          <dgm:dir/>
          <dgm:resizeHandles val="exact"/>
        </dgm:presLayoutVars>
      </dgm:prSet>
      <dgm:spPr/>
    </dgm:pt>
    <dgm:pt modelId="{3DBAD5EA-1325-4C42-9EFF-E38FB7A59EC2}" type="pres">
      <dgm:prSet presAssocID="{C71419A4-6419-47B7-988B-96BBD0FFEB6D}" presName="node" presStyleLbl="node1" presStyleIdx="0" presStyleCnt="5">
        <dgm:presLayoutVars>
          <dgm:bulletEnabled val="1"/>
        </dgm:presLayoutVars>
      </dgm:prSet>
      <dgm:spPr/>
    </dgm:pt>
    <dgm:pt modelId="{8C87CA41-3D90-45C8-B3F3-942385FC58EE}" type="pres">
      <dgm:prSet presAssocID="{4A279FB3-F87A-418F-93AF-C4170CB52121}" presName="sibTrans" presStyleCnt="0"/>
      <dgm:spPr/>
    </dgm:pt>
    <dgm:pt modelId="{F6B16EBE-1D95-4DC7-AB4E-B153111A96F0}" type="pres">
      <dgm:prSet presAssocID="{5FF36176-4978-4CE3-A1B0-5EC3C3C52C18}" presName="node" presStyleLbl="node1" presStyleIdx="1" presStyleCnt="5">
        <dgm:presLayoutVars>
          <dgm:bulletEnabled val="1"/>
        </dgm:presLayoutVars>
      </dgm:prSet>
      <dgm:spPr/>
    </dgm:pt>
    <dgm:pt modelId="{7C44AE2E-3FF6-4A1A-8A12-65278569C54B}" type="pres">
      <dgm:prSet presAssocID="{4EA2395C-864E-40CC-AE2D-5D33FE695245}" presName="sibTrans" presStyleCnt="0"/>
      <dgm:spPr/>
    </dgm:pt>
    <dgm:pt modelId="{E5A3BCD0-18E2-4381-AD2E-C10CF753D385}" type="pres">
      <dgm:prSet presAssocID="{551720F0-92AA-4EE6-9608-F1BD04E70195}" presName="node" presStyleLbl="node1" presStyleIdx="2" presStyleCnt="5">
        <dgm:presLayoutVars>
          <dgm:bulletEnabled val="1"/>
        </dgm:presLayoutVars>
      </dgm:prSet>
      <dgm:spPr/>
    </dgm:pt>
    <dgm:pt modelId="{DA858EA6-8856-4FE4-9BFD-51A8371FABED}" type="pres">
      <dgm:prSet presAssocID="{5ABCCA76-9C2E-40E7-9193-B87E91AD4D24}" presName="sibTrans" presStyleCnt="0"/>
      <dgm:spPr/>
    </dgm:pt>
    <dgm:pt modelId="{1C5E9940-68EA-4787-AC71-F22CA76F654A}" type="pres">
      <dgm:prSet presAssocID="{25D258EA-5A2F-42F5-9A29-74454BF0B1E1}" presName="node" presStyleLbl="node1" presStyleIdx="3" presStyleCnt="5">
        <dgm:presLayoutVars>
          <dgm:bulletEnabled val="1"/>
        </dgm:presLayoutVars>
      </dgm:prSet>
      <dgm:spPr/>
    </dgm:pt>
    <dgm:pt modelId="{46162713-8D83-4687-B86F-F6876D03A862}" type="pres">
      <dgm:prSet presAssocID="{6B76A5E3-D57A-4490-8DAE-98C873514423}" presName="sibTrans" presStyleCnt="0"/>
      <dgm:spPr/>
    </dgm:pt>
    <dgm:pt modelId="{17027B1D-2D99-49E3-A90A-B51AEBC0D4BD}" type="pres">
      <dgm:prSet presAssocID="{445F307B-AADF-40FB-8F07-72D03D78AA8D}" presName="node" presStyleLbl="node1" presStyleIdx="4" presStyleCnt="5">
        <dgm:presLayoutVars>
          <dgm:bulletEnabled val="1"/>
        </dgm:presLayoutVars>
      </dgm:prSet>
      <dgm:spPr/>
    </dgm:pt>
  </dgm:ptLst>
  <dgm:cxnLst>
    <dgm:cxn modelId="{B5C9011D-F9FC-42C0-99D1-5A3CC1F6292F}" srcId="{AD653749-1389-479A-A7C0-18DF5F53A232}" destId="{551720F0-92AA-4EE6-9608-F1BD04E70195}" srcOrd="2" destOrd="0" parTransId="{97F44DDD-A271-45F8-A512-4998829CB4B7}" sibTransId="{5ABCCA76-9C2E-40E7-9193-B87E91AD4D24}"/>
    <dgm:cxn modelId="{3169D640-7E0B-47AE-80D9-71DC770A650E}" type="presOf" srcId="{C71419A4-6419-47B7-988B-96BBD0FFEB6D}" destId="{3DBAD5EA-1325-4C42-9EFF-E38FB7A59EC2}" srcOrd="0" destOrd="0" presId="urn:microsoft.com/office/officeart/2005/8/layout/default"/>
    <dgm:cxn modelId="{B2045573-C1A9-43F3-9F51-E90E11B9B561}" srcId="{AD653749-1389-479A-A7C0-18DF5F53A232}" destId="{5FF36176-4978-4CE3-A1B0-5EC3C3C52C18}" srcOrd="1" destOrd="0" parTransId="{774C1585-2600-453D-9A6C-C7C00EEE1CEA}" sibTransId="{4EA2395C-864E-40CC-AE2D-5D33FE695245}"/>
    <dgm:cxn modelId="{6FB42D8B-A1A4-4D03-B58A-C3E0728FA3C1}" type="presOf" srcId="{25D258EA-5A2F-42F5-9A29-74454BF0B1E1}" destId="{1C5E9940-68EA-4787-AC71-F22CA76F654A}" srcOrd="0" destOrd="0" presId="urn:microsoft.com/office/officeart/2005/8/layout/default"/>
    <dgm:cxn modelId="{16E5309E-0B74-48B3-A554-0CDE0AE0E812}" srcId="{AD653749-1389-479A-A7C0-18DF5F53A232}" destId="{445F307B-AADF-40FB-8F07-72D03D78AA8D}" srcOrd="4" destOrd="0" parTransId="{51771D4E-6D97-4BAD-96FB-5433572081A8}" sibTransId="{035701C5-4720-46BC-A84D-99DF11E08B51}"/>
    <dgm:cxn modelId="{6F9BD5C7-5867-43F7-93D6-D6C2B7D748DF}" type="presOf" srcId="{5FF36176-4978-4CE3-A1B0-5EC3C3C52C18}" destId="{F6B16EBE-1D95-4DC7-AB4E-B153111A96F0}" srcOrd="0" destOrd="0" presId="urn:microsoft.com/office/officeart/2005/8/layout/default"/>
    <dgm:cxn modelId="{F49697C9-BB55-4868-A93E-F93EA49B99A3}" srcId="{AD653749-1389-479A-A7C0-18DF5F53A232}" destId="{25D258EA-5A2F-42F5-9A29-74454BF0B1E1}" srcOrd="3" destOrd="0" parTransId="{D04DCAC2-9D22-475A-8CE6-BF10CB8A0468}" sibTransId="{6B76A5E3-D57A-4490-8DAE-98C873514423}"/>
    <dgm:cxn modelId="{4070FAD7-2032-48DB-A855-7A03BF7A9B67}" type="presOf" srcId="{551720F0-92AA-4EE6-9608-F1BD04E70195}" destId="{E5A3BCD0-18E2-4381-AD2E-C10CF753D385}" srcOrd="0" destOrd="0" presId="urn:microsoft.com/office/officeart/2005/8/layout/default"/>
    <dgm:cxn modelId="{559B0DEE-924F-4205-AB59-77F4AD5F356C}" srcId="{AD653749-1389-479A-A7C0-18DF5F53A232}" destId="{C71419A4-6419-47B7-988B-96BBD0FFEB6D}" srcOrd="0" destOrd="0" parTransId="{1958441D-E45C-45CF-91AD-CE320830A879}" sibTransId="{4A279FB3-F87A-418F-93AF-C4170CB52121}"/>
    <dgm:cxn modelId="{6AC98FF5-1C5F-41B9-B69F-FAF4C94060AD}" type="presOf" srcId="{445F307B-AADF-40FB-8F07-72D03D78AA8D}" destId="{17027B1D-2D99-49E3-A90A-B51AEBC0D4BD}" srcOrd="0" destOrd="0" presId="urn:microsoft.com/office/officeart/2005/8/layout/default"/>
    <dgm:cxn modelId="{752CB7F5-F5F7-4012-8CAB-AD1503A272F9}" type="presOf" srcId="{AD653749-1389-479A-A7C0-18DF5F53A232}" destId="{4CA5471F-2B0A-4632-8DF4-DCF6BC7B2B1B}" srcOrd="0" destOrd="0" presId="urn:microsoft.com/office/officeart/2005/8/layout/default"/>
    <dgm:cxn modelId="{21B92AF4-CB1E-4CD3-A067-5B79005DF5CE}" type="presParOf" srcId="{4CA5471F-2B0A-4632-8DF4-DCF6BC7B2B1B}" destId="{3DBAD5EA-1325-4C42-9EFF-E38FB7A59EC2}" srcOrd="0" destOrd="0" presId="urn:microsoft.com/office/officeart/2005/8/layout/default"/>
    <dgm:cxn modelId="{77FFE6E0-CECA-4AAB-A2BF-A11377DA9F9B}" type="presParOf" srcId="{4CA5471F-2B0A-4632-8DF4-DCF6BC7B2B1B}" destId="{8C87CA41-3D90-45C8-B3F3-942385FC58EE}" srcOrd="1" destOrd="0" presId="urn:microsoft.com/office/officeart/2005/8/layout/default"/>
    <dgm:cxn modelId="{E40E580D-6B81-4057-A075-28FBB6B68DF2}" type="presParOf" srcId="{4CA5471F-2B0A-4632-8DF4-DCF6BC7B2B1B}" destId="{F6B16EBE-1D95-4DC7-AB4E-B153111A96F0}" srcOrd="2" destOrd="0" presId="urn:microsoft.com/office/officeart/2005/8/layout/default"/>
    <dgm:cxn modelId="{5445C7D0-030B-4A6D-96E9-2799D920F6AB}" type="presParOf" srcId="{4CA5471F-2B0A-4632-8DF4-DCF6BC7B2B1B}" destId="{7C44AE2E-3FF6-4A1A-8A12-65278569C54B}" srcOrd="3" destOrd="0" presId="urn:microsoft.com/office/officeart/2005/8/layout/default"/>
    <dgm:cxn modelId="{A5B67F2F-9806-43CC-9AAC-F5E74F2A1B95}" type="presParOf" srcId="{4CA5471F-2B0A-4632-8DF4-DCF6BC7B2B1B}" destId="{E5A3BCD0-18E2-4381-AD2E-C10CF753D385}" srcOrd="4" destOrd="0" presId="urn:microsoft.com/office/officeart/2005/8/layout/default"/>
    <dgm:cxn modelId="{28C1B4DC-F56D-4080-8934-517F9DD24ECA}" type="presParOf" srcId="{4CA5471F-2B0A-4632-8DF4-DCF6BC7B2B1B}" destId="{DA858EA6-8856-4FE4-9BFD-51A8371FABED}" srcOrd="5" destOrd="0" presId="urn:microsoft.com/office/officeart/2005/8/layout/default"/>
    <dgm:cxn modelId="{19412544-3225-40EA-94F8-3B9808099130}" type="presParOf" srcId="{4CA5471F-2B0A-4632-8DF4-DCF6BC7B2B1B}" destId="{1C5E9940-68EA-4787-AC71-F22CA76F654A}" srcOrd="6" destOrd="0" presId="urn:microsoft.com/office/officeart/2005/8/layout/default"/>
    <dgm:cxn modelId="{8BA9A104-1551-45DE-B5CF-1642AC92B541}" type="presParOf" srcId="{4CA5471F-2B0A-4632-8DF4-DCF6BC7B2B1B}" destId="{46162713-8D83-4687-B86F-F6876D03A862}" srcOrd="7" destOrd="0" presId="urn:microsoft.com/office/officeart/2005/8/layout/default"/>
    <dgm:cxn modelId="{B6793D34-CC0E-47C0-A952-8557834DBBDF}" type="presParOf" srcId="{4CA5471F-2B0A-4632-8DF4-DCF6BC7B2B1B}" destId="{17027B1D-2D99-49E3-A90A-B51AEBC0D4BD}" srcOrd="8" destOrd="0" presId="urn:microsoft.com/office/officeart/2005/8/layout/default"/>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F88213BA-ACE6-41E3-9F97-8AFC9EBFCCA1}" type="doc">
      <dgm:prSet loTypeId="urn:microsoft.com/office/officeart/2005/8/layout/default" loCatId="list" qsTypeId="urn:microsoft.com/office/officeart/2005/8/quickstyle/simple1" qsCatId="simple" csTypeId="urn:microsoft.com/office/officeart/2005/8/colors/colorful3" csCatId="colorful" phldr="1"/>
      <dgm:spPr/>
      <dgm:t>
        <a:bodyPr/>
        <a:lstStyle/>
        <a:p>
          <a:endParaRPr lang="en-GB"/>
        </a:p>
      </dgm:t>
    </dgm:pt>
    <dgm:pt modelId="{CA9C13E5-808B-4635-B1F2-D9CD4961EAB5}">
      <dgm:prSet phldrT="[Text]"/>
      <dgm:spPr/>
      <dgm:t>
        <a:bodyPr/>
        <a:lstStyle/>
        <a:p>
          <a:r>
            <a:rPr lang="en-GB" b="1" i="0">
              <a:solidFill>
                <a:schemeClr val="tx1"/>
              </a:solidFill>
            </a:rPr>
            <a:t>Digital Transformation Initiatives</a:t>
          </a:r>
          <a:endParaRPr lang="en-GB" i="0">
            <a:solidFill>
              <a:schemeClr val="tx1"/>
            </a:solidFill>
          </a:endParaRPr>
        </a:p>
      </dgm:t>
    </dgm:pt>
    <dgm:pt modelId="{E4D367D2-800C-4BA1-BA13-BC5C321D03DC}" type="parTrans" cxnId="{564D002D-2295-4CB4-99D9-A1A80EE83D5E}">
      <dgm:prSet/>
      <dgm:spPr/>
      <dgm:t>
        <a:bodyPr/>
        <a:lstStyle/>
        <a:p>
          <a:endParaRPr lang="en-GB" i="0">
            <a:solidFill>
              <a:schemeClr val="tx1"/>
            </a:solidFill>
          </a:endParaRPr>
        </a:p>
      </dgm:t>
    </dgm:pt>
    <dgm:pt modelId="{D77B6C2B-F761-4729-A5AF-CC69E3223E26}" type="sibTrans" cxnId="{564D002D-2295-4CB4-99D9-A1A80EE83D5E}">
      <dgm:prSet/>
      <dgm:spPr/>
      <dgm:t>
        <a:bodyPr/>
        <a:lstStyle/>
        <a:p>
          <a:endParaRPr lang="en-GB" i="0">
            <a:solidFill>
              <a:schemeClr val="tx1"/>
            </a:solidFill>
          </a:endParaRPr>
        </a:p>
      </dgm:t>
    </dgm:pt>
    <dgm:pt modelId="{0CC97CAA-895B-4AE9-8952-29D9A635ADAF}">
      <dgm:prSet phldrT="[Text]"/>
      <dgm:spPr/>
      <dgm:t>
        <a:bodyPr/>
        <a:lstStyle/>
        <a:p>
          <a:r>
            <a:rPr lang="en-GB" b="1" i="0">
              <a:solidFill>
                <a:schemeClr val="tx1"/>
              </a:solidFill>
            </a:rPr>
            <a:t>Sustainability and Environmental Initiatives</a:t>
          </a:r>
          <a:endParaRPr lang="en-GB" i="0">
            <a:solidFill>
              <a:schemeClr val="tx1"/>
            </a:solidFill>
          </a:endParaRPr>
        </a:p>
      </dgm:t>
    </dgm:pt>
    <dgm:pt modelId="{8A826E99-D5FD-47DA-AFB6-B82212208BB0}" type="parTrans" cxnId="{BB01845F-7663-40E7-A152-D5EBCEB29257}">
      <dgm:prSet/>
      <dgm:spPr/>
      <dgm:t>
        <a:bodyPr/>
        <a:lstStyle/>
        <a:p>
          <a:endParaRPr lang="en-GB" i="0">
            <a:solidFill>
              <a:schemeClr val="tx1"/>
            </a:solidFill>
          </a:endParaRPr>
        </a:p>
      </dgm:t>
    </dgm:pt>
    <dgm:pt modelId="{15A67170-F351-414C-BC90-78BF2E51D11F}" type="sibTrans" cxnId="{BB01845F-7663-40E7-A152-D5EBCEB29257}">
      <dgm:prSet/>
      <dgm:spPr/>
      <dgm:t>
        <a:bodyPr/>
        <a:lstStyle/>
        <a:p>
          <a:endParaRPr lang="en-GB" i="0">
            <a:solidFill>
              <a:schemeClr val="tx1"/>
            </a:solidFill>
          </a:endParaRPr>
        </a:p>
      </dgm:t>
    </dgm:pt>
    <dgm:pt modelId="{C0E91746-7117-41EA-A6DC-A0A6B8F32D3A}">
      <dgm:prSet phldrT="[Text]"/>
      <dgm:spPr/>
      <dgm:t>
        <a:bodyPr/>
        <a:lstStyle/>
        <a:p>
          <a:r>
            <a:rPr lang="en-GB" b="1" i="0">
              <a:solidFill>
                <a:schemeClr val="tx1"/>
              </a:solidFill>
            </a:rPr>
            <a:t>Brand renovation</a:t>
          </a:r>
          <a:endParaRPr lang="en-GB" i="0">
            <a:solidFill>
              <a:schemeClr val="tx1"/>
            </a:solidFill>
          </a:endParaRPr>
        </a:p>
      </dgm:t>
    </dgm:pt>
    <dgm:pt modelId="{E222674B-9B1F-4AE7-A325-BDCF0B05F6D4}" type="parTrans" cxnId="{4A009C17-3B71-4843-A98B-7E81A7BD4C4B}">
      <dgm:prSet/>
      <dgm:spPr/>
      <dgm:t>
        <a:bodyPr/>
        <a:lstStyle/>
        <a:p>
          <a:endParaRPr lang="en-GB" i="0">
            <a:solidFill>
              <a:schemeClr val="tx1"/>
            </a:solidFill>
          </a:endParaRPr>
        </a:p>
      </dgm:t>
    </dgm:pt>
    <dgm:pt modelId="{C1EB291F-58C6-48B6-A0FE-59D2FF9A40E1}" type="sibTrans" cxnId="{4A009C17-3B71-4843-A98B-7E81A7BD4C4B}">
      <dgm:prSet/>
      <dgm:spPr/>
      <dgm:t>
        <a:bodyPr/>
        <a:lstStyle/>
        <a:p>
          <a:endParaRPr lang="en-GB" i="0">
            <a:solidFill>
              <a:schemeClr val="tx1"/>
            </a:solidFill>
          </a:endParaRPr>
        </a:p>
      </dgm:t>
    </dgm:pt>
    <dgm:pt modelId="{F2BB6C33-77F3-477E-BA5D-EA623AF598D1}">
      <dgm:prSet phldrT="[Text]"/>
      <dgm:spPr/>
      <dgm:t>
        <a:bodyPr/>
        <a:lstStyle/>
        <a:p>
          <a:r>
            <a:rPr lang="en-GB" b="1" i="0">
              <a:solidFill>
                <a:schemeClr val="tx1"/>
              </a:solidFill>
            </a:rPr>
            <a:t>COVID-19 Response and Adaptation</a:t>
          </a:r>
          <a:endParaRPr lang="en-GB" i="0">
            <a:solidFill>
              <a:schemeClr val="tx1"/>
            </a:solidFill>
          </a:endParaRPr>
        </a:p>
      </dgm:t>
    </dgm:pt>
    <dgm:pt modelId="{2D6CA20B-B75D-4E39-8934-7B4C78DD189F}" type="parTrans" cxnId="{FF2C5160-0948-4830-A692-255ADAFA21B3}">
      <dgm:prSet/>
      <dgm:spPr/>
      <dgm:t>
        <a:bodyPr/>
        <a:lstStyle/>
        <a:p>
          <a:endParaRPr lang="en-GB" i="0">
            <a:solidFill>
              <a:schemeClr val="tx1"/>
            </a:solidFill>
          </a:endParaRPr>
        </a:p>
      </dgm:t>
    </dgm:pt>
    <dgm:pt modelId="{FCC02121-5C37-4C8F-A46F-4276B2A53C30}" type="sibTrans" cxnId="{FF2C5160-0948-4830-A692-255ADAFA21B3}">
      <dgm:prSet/>
      <dgm:spPr/>
      <dgm:t>
        <a:bodyPr/>
        <a:lstStyle/>
        <a:p>
          <a:endParaRPr lang="en-GB" i="0">
            <a:solidFill>
              <a:schemeClr val="tx1"/>
            </a:solidFill>
          </a:endParaRPr>
        </a:p>
      </dgm:t>
    </dgm:pt>
    <dgm:pt modelId="{468CB86C-AE3C-4D32-BB77-747540E014AB}">
      <dgm:prSet phldrT="[Text]"/>
      <dgm:spPr/>
      <dgm:t>
        <a:bodyPr/>
        <a:lstStyle/>
        <a:p>
          <a:r>
            <a:rPr lang="en-GB" b="1" i="0">
              <a:solidFill>
                <a:schemeClr val="tx1"/>
              </a:solidFill>
            </a:rPr>
            <a:t>Employee Well-being and Training Programs</a:t>
          </a:r>
          <a:endParaRPr lang="en-GB" i="0">
            <a:solidFill>
              <a:schemeClr val="tx1"/>
            </a:solidFill>
          </a:endParaRPr>
        </a:p>
      </dgm:t>
    </dgm:pt>
    <dgm:pt modelId="{C2AFEA6E-6048-46B5-A999-13AC36828B8E}" type="parTrans" cxnId="{57974610-7870-44BF-8858-6274A9A6C6E4}">
      <dgm:prSet/>
      <dgm:spPr/>
      <dgm:t>
        <a:bodyPr/>
        <a:lstStyle/>
        <a:p>
          <a:endParaRPr lang="en-GB" i="0">
            <a:solidFill>
              <a:schemeClr val="tx1"/>
            </a:solidFill>
          </a:endParaRPr>
        </a:p>
      </dgm:t>
    </dgm:pt>
    <dgm:pt modelId="{D7274D94-5451-4255-85C7-A829C58174F8}" type="sibTrans" cxnId="{57974610-7870-44BF-8858-6274A9A6C6E4}">
      <dgm:prSet/>
      <dgm:spPr/>
      <dgm:t>
        <a:bodyPr/>
        <a:lstStyle/>
        <a:p>
          <a:endParaRPr lang="en-GB" i="0">
            <a:solidFill>
              <a:schemeClr val="tx1"/>
            </a:solidFill>
          </a:endParaRPr>
        </a:p>
      </dgm:t>
    </dgm:pt>
    <dgm:pt modelId="{DCAAA5DD-44DD-4A5D-B524-EB8490028BF2}" type="pres">
      <dgm:prSet presAssocID="{F88213BA-ACE6-41E3-9F97-8AFC9EBFCCA1}" presName="diagram" presStyleCnt="0">
        <dgm:presLayoutVars>
          <dgm:dir/>
          <dgm:resizeHandles val="exact"/>
        </dgm:presLayoutVars>
      </dgm:prSet>
      <dgm:spPr/>
    </dgm:pt>
    <dgm:pt modelId="{AB886B10-DD3E-4789-941F-A94DAE1C63E3}" type="pres">
      <dgm:prSet presAssocID="{CA9C13E5-808B-4635-B1F2-D9CD4961EAB5}" presName="node" presStyleLbl="node1" presStyleIdx="0" presStyleCnt="5">
        <dgm:presLayoutVars>
          <dgm:bulletEnabled val="1"/>
        </dgm:presLayoutVars>
      </dgm:prSet>
      <dgm:spPr/>
    </dgm:pt>
    <dgm:pt modelId="{DE786B3F-4DA6-4449-B617-F286B1FC3436}" type="pres">
      <dgm:prSet presAssocID="{D77B6C2B-F761-4729-A5AF-CC69E3223E26}" presName="sibTrans" presStyleCnt="0"/>
      <dgm:spPr/>
    </dgm:pt>
    <dgm:pt modelId="{F02C14E2-6927-465E-8CFF-F4D82AF6623B}" type="pres">
      <dgm:prSet presAssocID="{0CC97CAA-895B-4AE9-8952-29D9A635ADAF}" presName="node" presStyleLbl="node1" presStyleIdx="1" presStyleCnt="5">
        <dgm:presLayoutVars>
          <dgm:bulletEnabled val="1"/>
        </dgm:presLayoutVars>
      </dgm:prSet>
      <dgm:spPr/>
    </dgm:pt>
    <dgm:pt modelId="{21243485-89F0-40C4-858E-2731B53BE089}" type="pres">
      <dgm:prSet presAssocID="{15A67170-F351-414C-BC90-78BF2E51D11F}" presName="sibTrans" presStyleCnt="0"/>
      <dgm:spPr/>
    </dgm:pt>
    <dgm:pt modelId="{6C02342B-D9E1-408D-815A-70AC07C3388E}" type="pres">
      <dgm:prSet presAssocID="{C0E91746-7117-41EA-A6DC-A0A6B8F32D3A}" presName="node" presStyleLbl="node1" presStyleIdx="2" presStyleCnt="5">
        <dgm:presLayoutVars>
          <dgm:bulletEnabled val="1"/>
        </dgm:presLayoutVars>
      </dgm:prSet>
      <dgm:spPr/>
    </dgm:pt>
    <dgm:pt modelId="{129057F3-3A29-4B75-AAD3-A509127DCEB4}" type="pres">
      <dgm:prSet presAssocID="{C1EB291F-58C6-48B6-A0FE-59D2FF9A40E1}" presName="sibTrans" presStyleCnt="0"/>
      <dgm:spPr/>
    </dgm:pt>
    <dgm:pt modelId="{A5BD1D35-3ABF-4DB6-BA23-3073F350C816}" type="pres">
      <dgm:prSet presAssocID="{F2BB6C33-77F3-477E-BA5D-EA623AF598D1}" presName="node" presStyleLbl="node1" presStyleIdx="3" presStyleCnt="5">
        <dgm:presLayoutVars>
          <dgm:bulletEnabled val="1"/>
        </dgm:presLayoutVars>
      </dgm:prSet>
      <dgm:spPr/>
    </dgm:pt>
    <dgm:pt modelId="{8A3CA404-17DF-42C6-8550-E083216EDA2E}" type="pres">
      <dgm:prSet presAssocID="{FCC02121-5C37-4C8F-A46F-4276B2A53C30}" presName="sibTrans" presStyleCnt="0"/>
      <dgm:spPr/>
    </dgm:pt>
    <dgm:pt modelId="{54B6E9E1-C692-4BB8-85AB-D9E5CA9C79FF}" type="pres">
      <dgm:prSet presAssocID="{468CB86C-AE3C-4D32-BB77-747540E014AB}" presName="node" presStyleLbl="node1" presStyleIdx="4" presStyleCnt="5">
        <dgm:presLayoutVars>
          <dgm:bulletEnabled val="1"/>
        </dgm:presLayoutVars>
      </dgm:prSet>
      <dgm:spPr/>
    </dgm:pt>
  </dgm:ptLst>
  <dgm:cxnLst>
    <dgm:cxn modelId="{57974610-7870-44BF-8858-6274A9A6C6E4}" srcId="{F88213BA-ACE6-41E3-9F97-8AFC9EBFCCA1}" destId="{468CB86C-AE3C-4D32-BB77-747540E014AB}" srcOrd="4" destOrd="0" parTransId="{C2AFEA6E-6048-46B5-A999-13AC36828B8E}" sibTransId="{D7274D94-5451-4255-85C7-A829C58174F8}"/>
    <dgm:cxn modelId="{4A009C17-3B71-4843-A98B-7E81A7BD4C4B}" srcId="{F88213BA-ACE6-41E3-9F97-8AFC9EBFCCA1}" destId="{C0E91746-7117-41EA-A6DC-A0A6B8F32D3A}" srcOrd="2" destOrd="0" parTransId="{E222674B-9B1F-4AE7-A325-BDCF0B05F6D4}" sibTransId="{C1EB291F-58C6-48B6-A0FE-59D2FF9A40E1}"/>
    <dgm:cxn modelId="{564D002D-2295-4CB4-99D9-A1A80EE83D5E}" srcId="{F88213BA-ACE6-41E3-9F97-8AFC9EBFCCA1}" destId="{CA9C13E5-808B-4635-B1F2-D9CD4961EAB5}" srcOrd="0" destOrd="0" parTransId="{E4D367D2-800C-4BA1-BA13-BC5C321D03DC}" sibTransId="{D77B6C2B-F761-4729-A5AF-CC69E3223E26}"/>
    <dgm:cxn modelId="{577E275B-1EAE-49DC-AA31-2F885D51BC3A}" type="presOf" srcId="{468CB86C-AE3C-4D32-BB77-747540E014AB}" destId="{54B6E9E1-C692-4BB8-85AB-D9E5CA9C79FF}" srcOrd="0" destOrd="0" presId="urn:microsoft.com/office/officeart/2005/8/layout/default"/>
    <dgm:cxn modelId="{BB01845F-7663-40E7-A152-D5EBCEB29257}" srcId="{F88213BA-ACE6-41E3-9F97-8AFC9EBFCCA1}" destId="{0CC97CAA-895B-4AE9-8952-29D9A635ADAF}" srcOrd="1" destOrd="0" parTransId="{8A826E99-D5FD-47DA-AFB6-B82212208BB0}" sibTransId="{15A67170-F351-414C-BC90-78BF2E51D11F}"/>
    <dgm:cxn modelId="{FF2C5160-0948-4830-A692-255ADAFA21B3}" srcId="{F88213BA-ACE6-41E3-9F97-8AFC9EBFCCA1}" destId="{F2BB6C33-77F3-477E-BA5D-EA623AF598D1}" srcOrd="3" destOrd="0" parTransId="{2D6CA20B-B75D-4E39-8934-7B4C78DD189F}" sibTransId="{FCC02121-5C37-4C8F-A46F-4276B2A53C30}"/>
    <dgm:cxn modelId="{55A9D04E-B532-40D9-89C9-328C644F7104}" type="presOf" srcId="{0CC97CAA-895B-4AE9-8952-29D9A635ADAF}" destId="{F02C14E2-6927-465E-8CFF-F4D82AF6623B}" srcOrd="0" destOrd="0" presId="urn:microsoft.com/office/officeart/2005/8/layout/default"/>
    <dgm:cxn modelId="{0EF2DD8E-5454-456B-821D-54A3613E96AE}" type="presOf" srcId="{F88213BA-ACE6-41E3-9F97-8AFC9EBFCCA1}" destId="{DCAAA5DD-44DD-4A5D-B524-EB8490028BF2}" srcOrd="0" destOrd="0" presId="urn:microsoft.com/office/officeart/2005/8/layout/default"/>
    <dgm:cxn modelId="{FB034C91-2C5C-4489-83DB-0DB7F186829E}" type="presOf" srcId="{F2BB6C33-77F3-477E-BA5D-EA623AF598D1}" destId="{A5BD1D35-3ABF-4DB6-BA23-3073F350C816}" srcOrd="0" destOrd="0" presId="urn:microsoft.com/office/officeart/2005/8/layout/default"/>
    <dgm:cxn modelId="{401D1CB5-E067-41EB-905F-267EAA9AF836}" type="presOf" srcId="{C0E91746-7117-41EA-A6DC-A0A6B8F32D3A}" destId="{6C02342B-D9E1-408D-815A-70AC07C3388E}" srcOrd="0" destOrd="0" presId="urn:microsoft.com/office/officeart/2005/8/layout/default"/>
    <dgm:cxn modelId="{340E62F9-0C4E-43FE-AB37-C8D550C0F0A2}" type="presOf" srcId="{CA9C13E5-808B-4635-B1F2-D9CD4961EAB5}" destId="{AB886B10-DD3E-4789-941F-A94DAE1C63E3}" srcOrd="0" destOrd="0" presId="urn:microsoft.com/office/officeart/2005/8/layout/default"/>
    <dgm:cxn modelId="{8035745D-FF51-4040-A7C7-E2B5031144D4}" type="presParOf" srcId="{DCAAA5DD-44DD-4A5D-B524-EB8490028BF2}" destId="{AB886B10-DD3E-4789-941F-A94DAE1C63E3}" srcOrd="0" destOrd="0" presId="urn:microsoft.com/office/officeart/2005/8/layout/default"/>
    <dgm:cxn modelId="{A5D516C4-23A7-417A-AAB2-FF42D367F737}" type="presParOf" srcId="{DCAAA5DD-44DD-4A5D-B524-EB8490028BF2}" destId="{DE786B3F-4DA6-4449-B617-F286B1FC3436}" srcOrd="1" destOrd="0" presId="urn:microsoft.com/office/officeart/2005/8/layout/default"/>
    <dgm:cxn modelId="{99164DBB-DA6E-43C2-B363-295CB7363886}" type="presParOf" srcId="{DCAAA5DD-44DD-4A5D-B524-EB8490028BF2}" destId="{F02C14E2-6927-465E-8CFF-F4D82AF6623B}" srcOrd="2" destOrd="0" presId="urn:microsoft.com/office/officeart/2005/8/layout/default"/>
    <dgm:cxn modelId="{01CE7F88-12E5-435A-AD14-ACAA0167A806}" type="presParOf" srcId="{DCAAA5DD-44DD-4A5D-B524-EB8490028BF2}" destId="{21243485-89F0-40C4-858E-2731B53BE089}" srcOrd="3" destOrd="0" presId="urn:microsoft.com/office/officeart/2005/8/layout/default"/>
    <dgm:cxn modelId="{E31C4D00-308D-448C-A6BF-AE5766DA5BF9}" type="presParOf" srcId="{DCAAA5DD-44DD-4A5D-B524-EB8490028BF2}" destId="{6C02342B-D9E1-408D-815A-70AC07C3388E}" srcOrd="4" destOrd="0" presId="urn:microsoft.com/office/officeart/2005/8/layout/default"/>
    <dgm:cxn modelId="{2A24EE7B-4D7E-4600-84B7-331EF0D66D8B}" type="presParOf" srcId="{DCAAA5DD-44DD-4A5D-B524-EB8490028BF2}" destId="{129057F3-3A29-4B75-AAD3-A509127DCEB4}" srcOrd="5" destOrd="0" presId="urn:microsoft.com/office/officeart/2005/8/layout/default"/>
    <dgm:cxn modelId="{E2330085-D984-49B6-9203-AC3257E5D25C}" type="presParOf" srcId="{DCAAA5DD-44DD-4A5D-B524-EB8490028BF2}" destId="{A5BD1D35-3ABF-4DB6-BA23-3073F350C816}" srcOrd="6" destOrd="0" presId="urn:microsoft.com/office/officeart/2005/8/layout/default"/>
    <dgm:cxn modelId="{298F7742-AC78-46EB-951A-15B61336A381}" type="presParOf" srcId="{DCAAA5DD-44DD-4A5D-B524-EB8490028BF2}" destId="{8A3CA404-17DF-42C6-8550-E083216EDA2E}" srcOrd="7" destOrd="0" presId="urn:microsoft.com/office/officeart/2005/8/layout/default"/>
    <dgm:cxn modelId="{3F57AE10-8A76-4C12-A26C-19B8165355B0}" type="presParOf" srcId="{DCAAA5DD-44DD-4A5D-B524-EB8490028BF2}" destId="{54B6E9E1-C692-4BB8-85AB-D9E5CA9C79FF}" srcOrd="8" destOrd="0" presId="urn:microsoft.com/office/officeart/2005/8/layout/default"/>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DF9A58ED-DF77-42C1-9851-456B97A528FB}" type="doc">
      <dgm:prSet loTypeId="urn:microsoft.com/office/officeart/2005/8/layout/default" loCatId="list" qsTypeId="urn:microsoft.com/office/officeart/2005/8/quickstyle/simple1" qsCatId="simple" csTypeId="urn:microsoft.com/office/officeart/2005/8/colors/colorful4" csCatId="colorful" phldr="1"/>
      <dgm:spPr/>
      <dgm:t>
        <a:bodyPr/>
        <a:lstStyle/>
        <a:p>
          <a:endParaRPr lang="en-GB"/>
        </a:p>
      </dgm:t>
    </dgm:pt>
    <dgm:pt modelId="{41345D59-D35E-4D30-8B67-6854EA928040}">
      <dgm:prSet phldrT="[Text]"/>
      <dgm:spPr/>
      <dgm:t>
        <a:bodyPr/>
        <a:lstStyle/>
        <a:p>
          <a:r>
            <a:rPr lang="en-GB" b="1" i="0"/>
            <a:t>Global Expansion</a:t>
          </a:r>
          <a:endParaRPr lang="en-GB" i="0"/>
        </a:p>
      </dgm:t>
    </dgm:pt>
    <dgm:pt modelId="{7F3ECEE6-992C-4264-B3DB-DE72F67D32E5}" type="parTrans" cxnId="{726C689C-3617-43A2-B959-89BBE044F3BB}">
      <dgm:prSet/>
      <dgm:spPr/>
      <dgm:t>
        <a:bodyPr/>
        <a:lstStyle/>
        <a:p>
          <a:endParaRPr lang="en-GB" i="0">
            <a:solidFill>
              <a:schemeClr val="tx1"/>
            </a:solidFill>
          </a:endParaRPr>
        </a:p>
      </dgm:t>
    </dgm:pt>
    <dgm:pt modelId="{56FF96B2-7F60-45B4-9EBC-A72EC91A56BC}" type="sibTrans" cxnId="{726C689C-3617-43A2-B959-89BBE044F3BB}">
      <dgm:prSet/>
      <dgm:spPr/>
      <dgm:t>
        <a:bodyPr/>
        <a:lstStyle/>
        <a:p>
          <a:endParaRPr lang="en-GB" i="0">
            <a:solidFill>
              <a:schemeClr val="tx1"/>
            </a:solidFill>
          </a:endParaRPr>
        </a:p>
      </dgm:t>
    </dgm:pt>
    <dgm:pt modelId="{3DFCD56B-BE20-40CF-8DA1-F5D38DD37A75}">
      <dgm:prSet phldrT="[Text]"/>
      <dgm:spPr/>
      <dgm:t>
        <a:bodyPr/>
        <a:lstStyle/>
        <a:p>
          <a:r>
            <a:rPr lang="en-GB" b="1" i="0"/>
            <a:t>Brand Portfolio Management</a:t>
          </a:r>
          <a:endParaRPr lang="en-GB" i="0"/>
        </a:p>
      </dgm:t>
    </dgm:pt>
    <dgm:pt modelId="{77413C37-01F6-499B-819C-509B137ACBE8}" type="parTrans" cxnId="{8879F443-A85E-4396-AC3B-B8EE131E79E9}">
      <dgm:prSet/>
      <dgm:spPr/>
      <dgm:t>
        <a:bodyPr/>
        <a:lstStyle/>
        <a:p>
          <a:endParaRPr lang="en-GB" i="0">
            <a:solidFill>
              <a:schemeClr val="tx1"/>
            </a:solidFill>
          </a:endParaRPr>
        </a:p>
      </dgm:t>
    </dgm:pt>
    <dgm:pt modelId="{BD201A2F-6C5D-42E9-A30E-DAC8C9939C64}" type="sibTrans" cxnId="{8879F443-A85E-4396-AC3B-B8EE131E79E9}">
      <dgm:prSet/>
      <dgm:spPr/>
      <dgm:t>
        <a:bodyPr/>
        <a:lstStyle/>
        <a:p>
          <a:endParaRPr lang="en-GB" i="0">
            <a:solidFill>
              <a:schemeClr val="tx1"/>
            </a:solidFill>
          </a:endParaRPr>
        </a:p>
      </dgm:t>
    </dgm:pt>
    <dgm:pt modelId="{B920B627-74EC-4E8E-BD26-B1419404F45A}">
      <dgm:prSet phldrT="[Text]"/>
      <dgm:spPr/>
      <dgm:t>
        <a:bodyPr/>
        <a:lstStyle/>
        <a:p>
          <a:r>
            <a:rPr lang="en-GB" b="1" i="0"/>
            <a:t>Digital Transformation</a:t>
          </a:r>
          <a:endParaRPr lang="en-GB" i="0"/>
        </a:p>
      </dgm:t>
    </dgm:pt>
    <dgm:pt modelId="{B5D585F5-D5DB-4ED6-A21F-3597415CACD6}" type="parTrans" cxnId="{2D43EF7C-95F7-46D8-81DB-3F32B06EAAD4}">
      <dgm:prSet/>
      <dgm:spPr/>
      <dgm:t>
        <a:bodyPr/>
        <a:lstStyle/>
        <a:p>
          <a:endParaRPr lang="en-GB" i="0">
            <a:solidFill>
              <a:schemeClr val="tx1"/>
            </a:solidFill>
          </a:endParaRPr>
        </a:p>
      </dgm:t>
    </dgm:pt>
    <dgm:pt modelId="{86C903DF-F52F-4309-B5F2-CF48C8B6DE35}" type="sibTrans" cxnId="{2D43EF7C-95F7-46D8-81DB-3F32B06EAAD4}">
      <dgm:prSet/>
      <dgm:spPr/>
      <dgm:t>
        <a:bodyPr/>
        <a:lstStyle/>
        <a:p>
          <a:endParaRPr lang="en-GB" i="0">
            <a:solidFill>
              <a:schemeClr val="tx1"/>
            </a:solidFill>
          </a:endParaRPr>
        </a:p>
      </dgm:t>
    </dgm:pt>
    <dgm:pt modelId="{B039B23A-4D03-4C12-99DF-A17BF4D37750}">
      <dgm:prSet phldrT="[Text]"/>
      <dgm:spPr/>
      <dgm:t>
        <a:bodyPr/>
        <a:lstStyle/>
        <a:p>
          <a:r>
            <a:rPr lang="en-GB" b="1" i="0"/>
            <a:t>Sustainability and Social Responsibility</a:t>
          </a:r>
          <a:endParaRPr lang="en-GB" i="0"/>
        </a:p>
      </dgm:t>
    </dgm:pt>
    <dgm:pt modelId="{2F696055-33D9-4AEE-8997-6E94E97299A3}" type="parTrans" cxnId="{697824F0-B4E3-4678-9CAF-5182D6837C37}">
      <dgm:prSet/>
      <dgm:spPr/>
      <dgm:t>
        <a:bodyPr/>
        <a:lstStyle/>
        <a:p>
          <a:endParaRPr lang="en-GB" i="0">
            <a:solidFill>
              <a:schemeClr val="tx1"/>
            </a:solidFill>
          </a:endParaRPr>
        </a:p>
      </dgm:t>
    </dgm:pt>
    <dgm:pt modelId="{9B9E4D36-B778-42AC-BD40-6F972E0D2149}" type="sibTrans" cxnId="{697824F0-B4E3-4678-9CAF-5182D6837C37}">
      <dgm:prSet/>
      <dgm:spPr/>
      <dgm:t>
        <a:bodyPr/>
        <a:lstStyle/>
        <a:p>
          <a:endParaRPr lang="en-GB" i="0">
            <a:solidFill>
              <a:schemeClr val="tx1"/>
            </a:solidFill>
          </a:endParaRPr>
        </a:p>
      </dgm:t>
    </dgm:pt>
    <dgm:pt modelId="{57C7F3B3-A795-4215-BFBC-C144D6199BAC}">
      <dgm:prSet phldrT="[Text]"/>
      <dgm:spPr/>
      <dgm:t>
        <a:bodyPr/>
        <a:lstStyle/>
        <a:p>
          <a:r>
            <a:rPr lang="en-GB" b="1" i="0"/>
            <a:t>Employee Engagement and Well-being</a:t>
          </a:r>
          <a:endParaRPr lang="en-GB" i="0"/>
        </a:p>
      </dgm:t>
    </dgm:pt>
    <dgm:pt modelId="{35D0A9D9-B8F7-4486-B226-B14D40B345E6}" type="parTrans" cxnId="{9914D7ED-E760-416A-8D46-4C11891B6592}">
      <dgm:prSet/>
      <dgm:spPr/>
      <dgm:t>
        <a:bodyPr/>
        <a:lstStyle/>
        <a:p>
          <a:endParaRPr lang="en-GB" i="0">
            <a:solidFill>
              <a:schemeClr val="tx1"/>
            </a:solidFill>
          </a:endParaRPr>
        </a:p>
      </dgm:t>
    </dgm:pt>
    <dgm:pt modelId="{1DB65E70-6584-474A-ABD9-7AD8B34B4DF7}" type="sibTrans" cxnId="{9914D7ED-E760-416A-8D46-4C11891B6592}">
      <dgm:prSet/>
      <dgm:spPr/>
      <dgm:t>
        <a:bodyPr/>
        <a:lstStyle/>
        <a:p>
          <a:endParaRPr lang="en-GB" i="0">
            <a:solidFill>
              <a:schemeClr val="tx1"/>
            </a:solidFill>
          </a:endParaRPr>
        </a:p>
      </dgm:t>
    </dgm:pt>
    <dgm:pt modelId="{CB423B44-C30C-40D4-B5FF-1D3CE8DB1309}">
      <dgm:prSet/>
      <dgm:spPr/>
      <dgm:t>
        <a:bodyPr/>
        <a:lstStyle/>
        <a:p>
          <a:r>
            <a:rPr lang="en-GB" b="1" i="0"/>
            <a:t>Customer Loyalty Programs</a:t>
          </a:r>
          <a:endParaRPr lang="en-GB" i="0"/>
        </a:p>
      </dgm:t>
    </dgm:pt>
    <dgm:pt modelId="{25A1BAED-601C-49A4-A244-208EFD2B97C8}" type="parTrans" cxnId="{3E142750-20B0-478E-A54D-A82484DC3D7B}">
      <dgm:prSet/>
      <dgm:spPr/>
      <dgm:t>
        <a:bodyPr/>
        <a:lstStyle/>
        <a:p>
          <a:endParaRPr lang="en-GB" i="0">
            <a:solidFill>
              <a:schemeClr val="tx1"/>
            </a:solidFill>
          </a:endParaRPr>
        </a:p>
      </dgm:t>
    </dgm:pt>
    <dgm:pt modelId="{8D4C6898-2EFB-4574-8B7D-6B8FCA53836D}" type="sibTrans" cxnId="{3E142750-20B0-478E-A54D-A82484DC3D7B}">
      <dgm:prSet/>
      <dgm:spPr/>
      <dgm:t>
        <a:bodyPr/>
        <a:lstStyle/>
        <a:p>
          <a:endParaRPr lang="en-GB" i="0">
            <a:solidFill>
              <a:schemeClr val="tx1"/>
            </a:solidFill>
          </a:endParaRPr>
        </a:p>
      </dgm:t>
    </dgm:pt>
    <dgm:pt modelId="{3E1D7707-4420-46AF-911F-646DE31AAA9C}">
      <dgm:prSet/>
      <dgm:spPr/>
      <dgm:t>
        <a:bodyPr/>
        <a:lstStyle/>
        <a:p>
          <a:r>
            <a:rPr lang="en-GB" b="1" i="0"/>
            <a:t>Adaptation to Market Trends</a:t>
          </a:r>
          <a:endParaRPr lang="en-GB" i="0"/>
        </a:p>
      </dgm:t>
    </dgm:pt>
    <dgm:pt modelId="{B62153F4-52D7-4DD5-B6B4-66ECACAEE3A5}" type="parTrans" cxnId="{113A729C-4083-4F8A-83CF-2CBCC363D676}">
      <dgm:prSet/>
      <dgm:spPr/>
      <dgm:t>
        <a:bodyPr/>
        <a:lstStyle/>
        <a:p>
          <a:endParaRPr lang="en-GB" i="0">
            <a:solidFill>
              <a:schemeClr val="tx1"/>
            </a:solidFill>
          </a:endParaRPr>
        </a:p>
      </dgm:t>
    </dgm:pt>
    <dgm:pt modelId="{3657A582-DA2B-44D4-AD59-C7CBF241C5D2}" type="sibTrans" cxnId="{113A729C-4083-4F8A-83CF-2CBCC363D676}">
      <dgm:prSet/>
      <dgm:spPr/>
      <dgm:t>
        <a:bodyPr/>
        <a:lstStyle/>
        <a:p>
          <a:endParaRPr lang="en-GB" i="0">
            <a:solidFill>
              <a:schemeClr val="tx1"/>
            </a:solidFill>
          </a:endParaRPr>
        </a:p>
      </dgm:t>
    </dgm:pt>
    <dgm:pt modelId="{02947D05-B0D9-41A5-B011-C55D7AE75176}" type="pres">
      <dgm:prSet presAssocID="{DF9A58ED-DF77-42C1-9851-456B97A528FB}" presName="diagram" presStyleCnt="0">
        <dgm:presLayoutVars>
          <dgm:dir/>
          <dgm:resizeHandles val="exact"/>
        </dgm:presLayoutVars>
      </dgm:prSet>
      <dgm:spPr/>
    </dgm:pt>
    <dgm:pt modelId="{FCAF5E07-8011-491F-80B8-2C36F6231B02}" type="pres">
      <dgm:prSet presAssocID="{41345D59-D35E-4D30-8B67-6854EA928040}" presName="node" presStyleLbl="node1" presStyleIdx="0" presStyleCnt="7">
        <dgm:presLayoutVars>
          <dgm:bulletEnabled val="1"/>
        </dgm:presLayoutVars>
      </dgm:prSet>
      <dgm:spPr/>
    </dgm:pt>
    <dgm:pt modelId="{83A32FE2-B019-4F0D-BC3B-51B508004343}" type="pres">
      <dgm:prSet presAssocID="{56FF96B2-7F60-45B4-9EBC-A72EC91A56BC}" presName="sibTrans" presStyleCnt="0"/>
      <dgm:spPr/>
    </dgm:pt>
    <dgm:pt modelId="{24D6E0F0-8E43-4EAA-9FBF-0657DC77AC96}" type="pres">
      <dgm:prSet presAssocID="{3DFCD56B-BE20-40CF-8DA1-F5D38DD37A75}" presName="node" presStyleLbl="node1" presStyleIdx="1" presStyleCnt="7">
        <dgm:presLayoutVars>
          <dgm:bulletEnabled val="1"/>
        </dgm:presLayoutVars>
      </dgm:prSet>
      <dgm:spPr/>
    </dgm:pt>
    <dgm:pt modelId="{5BB3BB30-BED2-4DC1-8374-6D9C1A9A3785}" type="pres">
      <dgm:prSet presAssocID="{BD201A2F-6C5D-42E9-A30E-DAC8C9939C64}" presName="sibTrans" presStyleCnt="0"/>
      <dgm:spPr/>
    </dgm:pt>
    <dgm:pt modelId="{1184FE56-0F39-47B9-8A3B-1ED40D6AED80}" type="pres">
      <dgm:prSet presAssocID="{B920B627-74EC-4E8E-BD26-B1419404F45A}" presName="node" presStyleLbl="node1" presStyleIdx="2" presStyleCnt="7">
        <dgm:presLayoutVars>
          <dgm:bulletEnabled val="1"/>
        </dgm:presLayoutVars>
      </dgm:prSet>
      <dgm:spPr/>
    </dgm:pt>
    <dgm:pt modelId="{435ADCA5-D96E-43D7-A577-88C681DB81F7}" type="pres">
      <dgm:prSet presAssocID="{86C903DF-F52F-4309-B5F2-CF48C8B6DE35}" presName="sibTrans" presStyleCnt="0"/>
      <dgm:spPr/>
    </dgm:pt>
    <dgm:pt modelId="{4E10CA28-82AA-4DED-8769-C3487FD1F788}" type="pres">
      <dgm:prSet presAssocID="{B039B23A-4D03-4C12-99DF-A17BF4D37750}" presName="node" presStyleLbl="node1" presStyleIdx="3" presStyleCnt="7">
        <dgm:presLayoutVars>
          <dgm:bulletEnabled val="1"/>
        </dgm:presLayoutVars>
      </dgm:prSet>
      <dgm:spPr/>
    </dgm:pt>
    <dgm:pt modelId="{0B6DDE3D-C6AE-4E03-A41A-AD8C552B5F21}" type="pres">
      <dgm:prSet presAssocID="{9B9E4D36-B778-42AC-BD40-6F972E0D2149}" presName="sibTrans" presStyleCnt="0"/>
      <dgm:spPr/>
    </dgm:pt>
    <dgm:pt modelId="{0351D019-0B84-421B-B297-021C1A923754}" type="pres">
      <dgm:prSet presAssocID="{57C7F3B3-A795-4215-BFBC-C144D6199BAC}" presName="node" presStyleLbl="node1" presStyleIdx="4" presStyleCnt="7">
        <dgm:presLayoutVars>
          <dgm:bulletEnabled val="1"/>
        </dgm:presLayoutVars>
      </dgm:prSet>
      <dgm:spPr/>
    </dgm:pt>
    <dgm:pt modelId="{5263B263-EDC1-4A6D-B66D-D66BA8DDC505}" type="pres">
      <dgm:prSet presAssocID="{1DB65E70-6584-474A-ABD9-7AD8B34B4DF7}" presName="sibTrans" presStyleCnt="0"/>
      <dgm:spPr/>
    </dgm:pt>
    <dgm:pt modelId="{2C630B99-477E-468E-A39E-5020E8A8AFD5}" type="pres">
      <dgm:prSet presAssocID="{CB423B44-C30C-40D4-B5FF-1D3CE8DB1309}" presName="node" presStyleLbl="node1" presStyleIdx="5" presStyleCnt="7">
        <dgm:presLayoutVars>
          <dgm:bulletEnabled val="1"/>
        </dgm:presLayoutVars>
      </dgm:prSet>
      <dgm:spPr/>
    </dgm:pt>
    <dgm:pt modelId="{167723B1-AD63-425D-9730-F2DC50E877FD}" type="pres">
      <dgm:prSet presAssocID="{8D4C6898-2EFB-4574-8B7D-6B8FCA53836D}" presName="sibTrans" presStyleCnt="0"/>
      <dgm:spPr/>
    </dgm:pt>
    <dgm:pt modelId="{5C281641-169E-480C-8FB8-C5EDC7C9EFD2}" type="pres">
      <dgm:prSet presAssocID="{3E1D7707-4420-46AF-911F-646DE31AAA9C}" presName="node" presStyleLbl="node1" presStyleIdx="6" presStyleCnt="7">
        <dgm:presLayoutVars>
          <dgm:bulletEnabled val="1"/>
        </dgm:presLayoutVars>
      </dgm:prSet>
      <dgm:spPr/>
    </dgm:pt>
  </dgm:ptLst>
  <dgm:cxnLst>
    <dgm:cxn modelId="{91C9760C-2813-4C7B-9A51-A5BB7BD518F2}" type="presOf" srcId="{B039B23A-4D03-4C12-99DF-A17BF4D37750}" destId="{4E10CA28-82AA-4DED-8769-C3487FD1F788}" srcOrd="0" destOrd="0" presId="urn:microsoft.com/office/officeart/2005/8/layout/default"/>
    <dgm:cxn modelId="{F2498418-86AC-4F67-8D30-4347EE0BD44D}" type="presOf" srcId="{CB423B44-C30C-40D4-B5FF-1D3CE8DB1309}" destId="{2C630B99-477E-468E-A39E-5020E8A8AFD5}" srcOrd="0" destOrd="0" presId="urn:microsoft.com/office/officeart/2005/8/layout/default"/>
    <dgm:cxn modelId="{4DAC1E20-ED0A-4D82-A84A-F68B659E2411}" type="presOf" srcId="{3DFCD56B-BE20-40CF-8DA1-F5D38DD37A75}" destId="{24D6E0F0-8E43-4EAA-9FBF-0657DC77AC96}" srcOrd="0" destOrd="0" presId="urn:microsoft.com/office/officeart/2005/8/layout/default"/>
    <dgm:cxn modelId="{71749D21-55EC-4CCB-9093-C485D521F5E1}" type="presOf" srcId="{3E1D7707-4420-46AF-911F-646DE31AAA9C}" destId="{5C281641-169E-480C-8FB8-C5EDC7C9EFD2}" srcOrd="0" destOrd="0" presId="urn:microsoft.com/office/officeart/2005/8/layout/default"/>
    <dgm:cxn modelId="{8879F443-A85E-4396-AC3B-B8EE131E79E9}" srcId="{DF9A58ED-DF77-42C1-9851-456B97A528FB}" destId="{3DFCD56B-BE20-40CF-8DA1-F5D38DD37A75}" srcOrd="1" destOrd="0" parTransId="{77413C37-01F6-499B-819C-509B137ACBE8}" sibTransId="{BD201A2F-6C5D-42E9-A30E-DAC8C9939C64}"/>
    <dgm:cxn modelId="{3E142750-20B0-478E-A54D-A82484DC3D7B}" srcId="{DF9A58ED-DF77-42C1-9851-456B97A528FB}" destId="{CB423B44-C30C-40D4-B5FF-1D3CE8DB1309}" srcOrd="5" destOrd="0" parTransId="{25A1BAED-601C-49A4-A244-208EFD2B97C8}" sibTransId="{8D4C6898-2EFB-4574-8B7D-6B8FCA53836D}"/>
    <dgm:cxn modelId="{F8712E53-323E-47DC-B141-6EE2FA5D19E4}" type="presOf" srcId="{41345D59-D35E-4D30-8B67-6854EA928040}" destId="{FCAF5E07-8011-491F-80B8-2C36F6231B02}" srcOrd="0" destOrd="0" presId="urn:microsoft.com/office/officeart/2005/8/layout/default"/>
    <dgm:cxn modelId="{2D43EF7C-95F7-46D8-81DB-3F32B06EAAD4}" srcId="{DF9A58ED-DF77-42C1-9851-456B97A528FB}" destId="{B920B627-74EC-4E8E-BD26-B1419404F45A}" srcOrd="2" destOrd="0" parTransId="{B5D585F5-D5DB-4ED6-A21F-3597415CACD6}" sibTransId="{86C903DF-F52F-4309-B5F2-CF48C8B6DE35}"/>
    <dgm:cxn modelId="{02845489-8587-422B-9AD2-70E79F7208CD}" type="presOf" srcId="{B920B627-74EC-4E8E-BD26-B1419404F45A}" destId="{1184FE56-0F39-47B9-8A3B-1ED40D6AED80}" srcOrd="0" destOrd="0" presId="urn:microsoft.com/office/officeart/2005/8/layout/default"/>
    <dgm:cxn modelId="{726C689C-3617-43A2-B959-89BBE044F3BB}" srcId="{DF9A58ED-DF77-42C1-9851-456B97A528FB}" destId="{41345D59-D35E-4D30-8B67-6854EA928040}" srcOrd="0" destOrd="0" parTransId="{7F3ECEE6-992C-4264-B3DB-DE72F67D32E5}" sibTransId="{56FF96B2-7F60-45B4-9EBC-A72EC91A56BC}"/>
    <dgm:cxn modelId="{113A729C-4083-4F8A-83CF-2CBCC363D676}" srcId="{DF9A58ED-DF77-42C1-9851-456B97A528FB}" destId="{3E1D7707-4420-46AF-911F-646DE31AAA9C}" srcOrd="6" destOrd="0" parTransId="{B62153F4-52D7-4DD5-B6B4-66ECACAEE3A5}" sibTransId="{3657A582-DA2B-44D4-AD59-C7CBF241C5D2}"/>
    <dgm:cxn modelId="{9631FFCF-9F85-47E9-84AC-38EF18466184}" type="presOf" srcId="{DF9A58ED-DF77-42C1-9851-456B97A528FB}" destId="{02947D05-B0D9-41A5-B011-C55D7AE75176}" srcOrd="0" destOrd="0" presId="urn:microsoft.com/office/officeart/2005/8/layout/default"/>
    <dgm:cxn modelId="{DDBD77DC-833D-42DD-B9E4-9A2EE457A6D4}" type="presOf" srcId="{57C7F3B3-A795-4215-BFBC-C144D6199BAC}" destId="{0351D019-0B84-421B-B297-021C1A923754}" srcOrd="0" destOrd="0" presId="urn:microsoft.com/office/officeart/2005/8/layout/default"/>
    <dgm:cxn modelId="{9914D7ED-E760-416A-8D46-4C11891B6592}" srcId="{DF9A58ED-DF77-42C1-9851-456B97A528FB}" destId="{57C7F3B3-A795-4215-BFBC-C144D6199BAC}" srcOrd="4" destOrd="0" parTransId="{35D0A9D9-B8F7-4486-B226-B14D40B345E6}" sibTransId="{1DB65E70-6584-474A-ABD9-7AD8B34B4DF7}"/>
    <dgm:cxn modelId="{697824F0-B4E3-4678-9CAF-5182D6837C37}" srcId="{DF9A58ED-DF77-42C1-9851-456B97A528FB}" destId="{B039B23A-4D03-4C12-99DF-A17BF4D37750}" srcOrd="3" destOrd="0" parTransId="{2F696055-33D9-4AEE-8997-6E94E97299A3}" sibTransId="{9B9E4D36-B778-42AC-BD40-6F972E0D2149}"/>
    <dgm:cxn modelId="{3763BBD0-2E23-4A5C-BAA2-438A81AF65DE}" type="presParOf" srcId="{02947D05-B0D9-41A5-B011-C55D7AE75176}" destId="{FCAF5E07-8011-491F-80B8-2C36F6231B02}" srcOrd="0" destOrd="0" presId="urn:microsoft.com/office/officeart/2005/8/layout/default"/>
    <dgm:cxn modelId="{06884945-F548-4612-B0C8-93F7BEF9B63F}" type="presParOf" srcId="{02947D05-B0D9-41A5-B011-C55D7AE75176}" destId="{83A32FE2-B019-4F0D-BC3B-51B508004343}" srcOrd="1" destOrd="0" presId="urn:microsoft.com/office/officeart/2005/8/layout/default"/>
    <dgm:cxn modelId="{246EBA7A-2574-4B4D-8C69-ACEAFCF70F32}" type="presParOf" srcId="{02947D05-B0D9-41A5-B011-C55D7AE75176}" destId="{24D6E0F0-8E43-4EAA-9FBF-0657DC77AC96}" srcOrd="2" destOrd="0" presId="urn:microsoft.com/office/officeart/2005/8/layout/default"/>
    <dgm:cxn modelId="{49A0B2EB-AC05-4647-A114-DD1B3AEA0AFF}" type="presParOf" srcId="{02947D05-B0D9-41A5-B011-C55D7AE75176}" destId="{5BB3BB30-BED2-4DC1-8374-6D9C1A9A3785}" srcOrd="3" destOrd="0" presId="urn:microsoft.com/office/officeart/2005/8/layout/default"/>
    <dgm:cxn modelId="{4C25A769-34BE-42A6-92C3-DAEF902F1039}" type="presParOf" srcId="{02947D05-B0D9-41A5-B011-C55D7AE75176}" destId="{1184FE56-0F39-47B9-8A3B-1ED40D6AED80}" srcOrd="4" destOrd="0" presId="urn:microsoft.com/office/officeart/2005/8/layout/default"/>
    <dgm:cxn modelId="{D0A5FF88-7829-4006-A7AD-BCCC55479C92}" type="presParOf" srcId="{02947D05-B0D9-41A5-B011-C55D7AE75176}" destId="{435ADCA5-D96E-43D7-A577-88C681DB81F7}" srcOrd="5" destOrd="0" presId="urn:microsoft.com/office/officeart/2005/8/layout/default"/>
    <dgm:cxn modelId="{EEE2446B-3A3C-4D6E-866F-F193213D191F}" type="presParOf" srcId="{02947D05-B0D9-41A5-B011-C55D7AE75176}" destId="{4E10CA28-82AA-4DED-8769-C3487FD1F788}" srcOrd="6" destOrd="0" presId="urn:microsoft.com/office/officeart/2005/8/layout/default"/>
    <dgm:cxn modelId="{438BD06B-3ED5-474E-915D-EB2B64F915A0}" type="presParOf" srcId="{02947D05-B0D9-41A5-B011-C55D7AE75176}" destId="{0B6DDE3D-C6AE-4E03-A41A-AD8C552B5F21}" srcOrd="7" destOrd="0" presId="urn:microsoft.com/office/officeart/2005/8/layout/default"/>
    <dgm:cxn modelId="{E9762D8E-CAA2-45C5-81A0-42DADD7BFF53}" type="presParOf" srcId="{02947D05-B0D9-41A5-B011-C55D7AE75176}" destId="{0351D019-0B84-421B-B297-021C1A923754}" srcOrd="8" destOrd="0" presId="urn:microsoft.com/office/officeart/2005/8/layout/default"/>
    <dgm:cxn modelId="{11AAF69B-965F-46EC-9836-39582B7B5EA2}" type="presParOf" srcId="{02947D05-B0D9-41A5-B011-C55D7AE75176}" destId="{5263B263-EDC1-4A6D-B66D-D66BA8DDC505}" srcOrd="9" destOrd="0" presId="urn:microsoft.com/office/officeart/2005/8/layout/default"/>
    <dgm:cxn modelId="{5C3CED7E-11DE-4FBA-88A8-9D2EDE048350}" type="presParOf" srcId="{02947D05-B0D9-41A5-B011-C55D7AE75176}" destId="{2C630B99-477E-468E-A39E-5020E8A8AFD5}" srcOrd="10" destOrd="0" presId="urn:microsoft.com/office/officeart/2005/8/layout/default"/>
    <dgm:cxn modelId="{C3C3726A-C605-4B58-BA3D-4050BDB8040C}" type="presParOf" srcId="{02947D05-B0D9-41A5-B011-C55D7AE75176}" destId="{167723B1-AD63-425D-9730-F2DC50E877FD}" srcOrd="11" destOrd="0" presId="urn:microsoft.com/office/officeart/2005/8/layout/default"/>
    <dgm:cxn modelId="{555BC798-EAC3-42F0-9897-52C90E0F6776}" type="presParOf" srcId="{02947D05-B0D9-41A5-B011-C55D7AE75176}" destId="{5C281641-169E-480C-8FB8-C5EDC7C9EFD2}" srcOrd="12" destOrd="0" presId="urn:microsoft.com/office/officeart/2005/8/layout/default"/>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594BACBC-C39C-4C35-A195-FB908F88F2C2}" type="doc">
      <dgm:prSet loTypeId="urn:microsoft.com/office/officeart/2005/8/layout/default" loCatId="list" qsTypeId="urn:microsoft.com/office/officeart/2005/8/quickstyle/simple1" qsCatId="simple" csTypeId="urn:microsoft.com/office/officeart/2005/8/colors/colorful5" csCatId="colorful" phldr="1"/>
      <dgm:spPr/>
      <dgm:t>
        <a:bodyPr/>
        <a:lstStyle/>
        <a:p>
          <a:endParaRPr lang="en-GB"/>
        </a:p>
      </dgm:t>
    </dgm:pt>
    <dgm:pt modelId="{2C63D445-5217-4A25-8D91-C4FCF663D4F9}">
      <dgm:prSet phldrT="[Text]" custT="1"/>
      <dgm:spPr/>
      <dgm:t>
        <a:bodyPr/>
        <a:lstStyle/>
        <a:p>
          <a:r>
            <a:rPr lang="en-GB" sz="2000" b="1" i="0"/>
            <a:t>Impact of the COVID-19 Pandemic</a:t>
          </a:r>
          <a:endParaRPr lang="en-GB" sz="2000" i="0"/>
        </a:p>
      </dgm:t>
    </dgm:pt>
    <dgm:pt modelId="{17B67BEF-E997-4403-8BB5-496FC6C669DB}" type="parTrans" cxnId="{E9299AE9-048C-4BA6-90A2-444FCF3940AA}">
      <dgm:prSet/>
      <dgm:spPr/>
      <dgm:t>
        <a:bodyPr/>
        <a:lstStyle/>
        <a:p>
          <a:endParaRPr lang="en-GB" sz="1400" i="0">
            <a:solidFill>
              <a:schemeClr val="tx1"/>
            </a:solidFill>
          </a:endParaRPr>
        </a:p>
      </dgm:t>
    </dgm:pt>
    <dgm:pt modelId="{BD107464-805D-4214-92F8-8043986C918C}" type="sibTrans" cxnId="{E9299AE9-048C-4BA6-90A2-444FCF3940AA}">
      <dgm:prSet/>
      <dgm:spPr/>
      <dgm:t>
        <a:bodyPr/>
        <a:lstStyle/>
        <a:p>
          <a:endParaRPr lang="en-GB" sz="1400" i="0">
            <a:solidFill>
              <a:schemeClr val="tx1"/>
            </a:solidFill>
          </a:endParaRPr>
        </a:p>
      </dgm:t>
    </dgm:pt>
    <dgm:pt modelId="{34B200F8-B5ED-4F62-9A17-E85533FCB270}">
      <dgm:prSet phldrT="[Text]" custT="1"/>
      <dgm:spPr/>
      <dgm:t>
        <a:bodyPr/>
        <a:lstStyle/>
        <a:p>
          <a:r>
            <a:rPr lang="en-GB" sz="2000" b="1" i="0"/>
            <a:t>Resilience and Recovery</a:t>
          </a:r>
          <a:endParaRPr lang="en-GB" sz="2000" i="0"/>
        </a:p>
      </dgm:t>
    </dgm:pt>
    <dgm:pt modelId="{1D957170-41CB-47A8-AAA6-FEF962036C41}" type="parTrans" cxnId="{6248D571-0692-4F1C-96EA-DCB601593E8D}">
      <dgm:prSet/>
      <dgm:spPr/>
      <dgm:t>
        <a:bodyPr/>
        <a:lstStyle/>
        <a:p>
          <a:endParaRPr lang="en-GB" sz="1400" i="0">
            <a:solidFill>
              <a:schemeClr val="tx1"/>
            </a:solidFill>
          </a:endParaRPr>
        </a:p>
      </dgm:t>
    </dgm:pt>
    <dgm:pt modelId="{6A33508A-4A78-4D3A-ACEC-F29453B257E6}" type="sibTrans" cxnId="{6248D571-0692-4F1C-96EA-DCB601593E8D}">
      <dgm:prSet/>
      <dgm:spPr/>
      <dgm:t>
        <a:bodyPr/>
        <a:lstStyle/>
        <a:p>
          <a:endParaRPr lang="en-GB" sz="1400" i="0">
            <a:solidFill>
              <a:schemeClr val="tx1"/>
            </a:solidFill>
          </a:endParaRPr>
        </a:p>
      </dgm:t>
    </dgm:pt>
    <dgm:pt modelId="{E702CB49-59B2-4DF6-ADFA-C036D1BC7248}">
      <dgm:prSet phldrT="[Text]" custT="1"/>
      <dgm:spPr/>
      <dgm:t>
        <a:bodyPr/>
        <a:lstStyle/>
        <a:p>
          <a:r>
            <a:rPr lang="en-GB" sz="2000" b="1" i="0"/>
            <a:t>Financial Performance</a:t>
          </a:r>
          <a:endParaRPr lang="en-GB" sz="2000" i="0"/>
        </a:p>
      </dgm:t>
    </dgm:pt>
    <dgm:pt modelId="{8205C40E-CEC3-41D2-B016-8FA0AFB53F1A}" type="parTrans" cxnId="{AEF00F66-BA29-499A-9C84-BD44BBF39B66}">
      <dgm:prSet/>
      <dgm:spPr/>
      <dgm:t>
        <a:bodyPr/>
        <a:lstStyle/>
        <a:p>
          <a:endParaRPr lang="en-GB" sz="1400" i="0">
            <a:solidFill>
              <a:schemeClr val="tx1"/>
            </a:solidFill>
          </a:endParaRPr>
        </a:p>
      </dgm:t>
    </dgm:pt>
    <dgm:pt modelId="{1A928A47-6246-475B-BD80-E7AA91E36998}" type="sibTrans" cxnId="{AEF00F66-BA29-499A-9C84-BD44BBF39B66}">
      <dgm:prSet/>
      <dgm:spPr/>
      <dgm:t>
        <a:bodyPr/>
        <a:lstStyle/>
        <a:p>
          <a:endParaRPr lang="en-GB" sz="1400" i="0">
            <a:solidFill>
              <a:schemeClr val="tx1"/>
            </a:solidFill>
          </a:endParaRPr>
        </a:p>
      </dgm:t>
    </dgm:pt>
    <dgm:pt modelId="{66BB0A37-A1A7-40C2-ADC0-040E44ACD114}">
      <dgm:prSet phldrT="[Text]" custT="1"/>
      <dgm:spPr/>
      <dgm:t>
        <a:bodyPr/>
        <a:lstStyle/>
        <a:p>
          <a:r>
            <a:rPr lang="en-GB" sz="2000" b="1" i="0"/>
            <a:t>Strategic Investments</a:t>
          </a:r>
          <a:endParaRPr lang="en-GB" sz="2000" i="0"/>
        </a:p>
      </dgm:t>
    </dgm:pt>
    <dgm:pt modelId="{3EF2EE96-759B-453C-ADCC-027EAE1B476C}" type="sibTrans" cxnId="{163A555C-652F-4B53-8B4D-A40638128DB9}">
      <dgm:prSet/>
      <dgm:spPr/>
      <dgm:t>
        <a:bodyPr/>
        <a:lstStyle/>
        <a:p>
          <a:endParaRPr lang="en-GB" sz="1400" i="0">
            <a:solidFill>
              <a:schemeClr val="tx1"/>
            </a:solidFill>
          </a:endParaRPr>
        </a:p>
      </dgm:t>
    </dgm:pt>
    <dgm:pt modelId="{56F11C2C-DD56-4696-A3B1-22FB468FB847}" type="parTrans" cxnId="{163A555C-652F-4B53-8B4D-A40638128DB9}">
      <dgm:prSet/>
      <dgm:spPr/>
      <dgm:t>
        <a:bodyPr/>
        <a:lstStyle/>
        <a:p>
          <a:endParaRPr lang="en-GB" sz="1400" i="0">
            <a:solidFill>
              <a:schemeClr val="tx1"/>
            </a:solidFill>
          </a:endParaRPr>
        </a:p>
      </dgm:t>
    </dgm:pt>
    <dgm:pt modelId="{958C181B-D0B0-446B-9AA7-C2590DD7291E}" type="pres">
      <dgm:prSet presAssocID="{594BACBC-C39C-4C35-A195-FB908F88F2C2}" presName="diagram" presStyleCnt="0">
        <dgm:presLayoutVars>
          <dgm:dir/>
          <dgm:resizeHandles val="exact"/>
        </dgm:presLayoutVars>
      </dgm:prSet>
      <dgm:spPr/>
    </dgm:pt>
    <dgm:pt modelId="{80BF9C1A-0BD7-467C-982D-BC457296A986}" type="pres">
      <dgm:prSet presAssocID="{2C63D445-5217-4A25-8D91-C4FCF663D4F9}" presName="node" presStyleLbl="node1" presStyleIdx="0" presStyleCnt="4">
        <dgm:presLayoutVars>
          <dgm:bulletEnabled val="1"/>
        </dgm:presLayoutVars>
      </dgm:prSet>
      <dgm:spPr/>
    </dgm:pt>
    <dgm:pt modelId="{DDC778A4-6213-4EE3-B27E-5F2BCEB115AA}" type="pres">
      <dgm:prSet presAssocID="{BD107464-805D-4214-92F8-8043986C918C}" presName="sibTrans" presStyleCnt="0"/>
      <dgm:spPr/>
    </dgm:pt>
    <dgm:pt modelId="{2F422E23-2551-4E8E-A4BB-4B9FB4FA3ED4}" type="pres">
      <dgm:prSet presAssocID="{34B200F8-B5ED-4F62-9A17-E85533FCB270}" presName="node" presStyleLbl="node1" presStyleIdx="1" presStyleCnt="4">
        <dgm:presLayoutVars>
          <dgm:bulletEnabled val="1"/>
        </dgm:presLayoutVars>
      </dgm:prSet>
      <dgm:spPr/>
    </dgm:pt>
    <dgm:pt modelId="{E9ACDA1B-1072-4D80-A2ED-98B7A87E5179}" type="pres">
      <dgm:prSet presAssocID="{6A33508A-4A78-4D3A-ACEC-F29453B257E6}" presName="sibTrans" presStyleCnt="0"/>
      <dgm:spPr/>
    </dgm:pt>
    <dgm:pt modelId="{7065F870-27B6-420F-8096-87C8AA199070}" type="pres">
      <dgm:prSet presAssocID="{E702CB49-59B2-4DF6-ADFA-C036D1BC7248}" presName="node" presStyleLbl="node1" presStyleIdx="2" presStyleCnt="4">
        <dgm:presLayoutVars>
          <dgm:bulletEnabled val="1"/>
        </dgm:presLayoutVars>
      </dgm:prSet>
      <dgm:spPr/>
    </dgm:pt>
    <dgm:pt modelId="{5FCF3084-B292-42C8-BB9F-36D88F10569A}" type="pres">
      <dgm:prSet presAssocID="{1A928A47-6246-475B-BD80-E7AA91E36998}" presName="sibTrans" presStyleCnt="0"/>
      <dgm:spPr/>
    </dgm:pt>
    <dgm:pt modelId="{11CBB63C-6F28-45C6-AACD-F2F938B032F0}" type="pres">
      <dgm:prSet presAssocID="{66BB0A37-A1A7-40C2-ADC0-040E44ACD114}" presName="node" presStyleLbl="node1" presStyleIdx="3" presStyleCnt="4">
        <dgm:presLayoutVars>
          <dgm:bulletEnabled val="1"/>
        </dgm:presLayoutVars>
      </dgm:prSet>
      <dgm:spPr/>
    </dgm:pt>
  </dgm:ptLst>
  <dgm:cxnLst>
    <dgm:cxn modelId="{3A804904-BCDB-46FC-BCFA-4D0FDFF86973}" type="presOf" srcId="{E702CB49-59B2-4DF6-ADFA-C036D1BC7248}" destId="{7065F870-27B6-420F-8096-87C8AA199070}" srcOrd="0" destOrd="0" presId="urn:microsoft.com/office/officeart/2005/8/layout/default"/>
    <dgm:cxn modelId="{04CE700F-12FF-45A4-8C3B-74E2FD942A75}" type="presOf" srcId="{34B200F8-B5ED-4F62-9A17-E85533FCB270}" destId="{2F422E23-2551-4E8E-A4BB-4B9FB4FA3ED4}" srcOrd="0" destOrd="0" presId="urn:microsoft.com/office/officeart/2005/8/layout/default"/>
    <dgm:cxn modelId="{163A555C-652F-4B53-8B4D-A40638128DB9}" srcId="{594BACBC-C39C-4C35-A195-FB908F88F2C2}" destId="{66BB0A37-A1A7-40C2-ADC0-040E44ACD114}" srcOrd="3" destOrd="0" parTransId="{56F11C2C-DD56-4696-A3B1-22FB468FB847}" sibTransId="{3EF2EE96-759B-453C-ADCC-027EAE1B476C}"/>
    <dgm:cxn modelId="{AEF00F66-BA29-499A-9C84-BD44BBF39B66}" srcId="{594BACBC-C39C-4C35-A195-FB908F88F2C2}" destId="{E702CB49-59B2-4DF6-ADFA-C036D1BC7248}" srcOrd="2" destOrd="0" parTransId="{8205C40E-CEC3-41D2-B016-8FA0AFB53F1A}" sibTransId="{1A928A47-6246-475B-BD80-E7AA91E36998}"/>
    <dgm:cxn modelId="{6248D571-0692-4F1C-96EA-DCB601593E8D}" srcId="{594BACBC-C39C-4C35-A195-FB908F88F2C2}" destId="{34B200F8-B5ED-4F62-9A17-E85533FCB270}" srcOrd="1" destOrd="0" parTransId="{1D957170-41CB-47A8-AAA6-FEF962036C41}" sibTransId="{6A33508A-4A78-4D3A-ACEC-F29453B257E6}"/>
    <dgm:cxn modelId="{8FB3857C-C2CA-4162-9C24-206266E717B3}" type="presOf" srcId="{66BB0A37-A1A7-40C2-ADC0-040E44ACD114}" destId="{11CBB63C-6F28-45C6-AACD-F2F938B032F0}" srcOrd="0" destOrd="0" presId="urn:microsoft.com/office/officeart/2005/8/layout/default"/>
    <dgm:cxn modelId="{56182C92-D8F1-43AE-8BB2-1CB69A2A6E95}" type="presOf" srcId="{2C63D445-5217-4A25-8D91-C4FCF663D4F9}" destId="{80BF9C1A-0BD7-467C-982D-BC457296A986}" srcOrd="0" destOrd="0" presId="urn:microsoft.com/office/officeart/2005/8/layout/default"/>
    <dgm:cxn modelId="{51E340B0-04F5-41D5-89CD-17B1D682F6EE}" type="presOf" srcId="{594BACBC-C39C-4C35-A195-FB908F88F2C2}" destId="{958C181B-D0B0-446B-9AA7-C2590DD7291E}" srcOrd="0" destOrd="0" presId="urn:microsoft.com/office/officeart/2005/8/layout/default"/>
    <dgm:cxn modelId="{E9299AE9-048C-4BA6-90A2-444FCF3940AA}" srcId="{594BACBC-C39C-4C35-A195-FB908F88F2C2}" destId="{2C63D445-5217-4A25-8D91-C4FCF663D4F9}" srcOrd="0" destOrd="0" parTransId="{17B67BEF-E997-4403-8BB5-496FC6C669DB}" sibTransId="{BD107464-805D-4214-92F8-8043986C918C}"/>
    <dgm:cxn modelId="{BF6A118F-197E-4390-A41A-D59B3C12FCF3}" type="presParOf" srcId="{958C181B-D0B0-446B-9AA7-C2590DD7291E}" destId="{80BF9C1A-0BD7-467C-982D-BC457296A986}" srcOrd="0" destOrd="0" presId="urn:microsoft.com/office/officeart/2005/8/layout/default"/>
    <dgm:cxn modelId="{1C04DA3F-9C8F-4321-8250-D3E4019486EB}" type="presParOf" srcId="{958C181B-D0B0-446B-9AA7-C2590DD7291E}" destId="{DDC778A4-6213-4EE3-B27E-5F2BCEB115AA}" srcOrd="1" destOrd="0" presId="urn:microsoft.com/office/officeart/2005/8/layout/default"/>
    <dgm:cxn modelId="{67B904D0-214A-49C0-98D3-A9B46BF1B4FE}" type="presParOf" srcId="{958C181B-D0B0-446B-9AA7-C2590DD7291E}" destId="{2F422E23-2551-4E8E-A4BB-4B9FB4FA3ED4}" srcOrd="2" destOrd="0" presId="urn:microsoft.com/office/officeart/2005/8/layout/default"/>
    <dgm:cxn modelId="{F5FFE3C2-1E6D-4F4A-B7F6-2D4227CDAE1D}" type="presParOf" srcId="{958C181B-D0B0-446B-9AA7-C2590DD7291E}" destId="{E9ACDA1B-1072-4D80-A2ED-98B7A87E5179}" srcOrd="3" destOrd="0" presId="urn:microsoft.com/office/officeart/2005/8/layout/default"/>
    <dgm:cxn modelId="{848ECFAC-AB7F-4909-BF68-B209BE2EAB60}" type="presParOf" srcId="{958C181B-D0B0-446B-9AA7-C2590DD7291E}" destId="{7065F870-27B6-420F-8096-87C8AA199070}" srcOrd="4" destOrd="0" presId="urn:microsoft.com/office/officeart/2005/8/layout/default"/>
    <dgm:cxn modelId="{EB899247-40E5-46BC-B445-EF215F83F146}" type="presParOf" srcId="{958C181B-D0B0-446B-9AA7-C2590DD7291E}" destId="{5FCF3084-B292-42C8-BB9F-36D88F10569A}" srcOrd="5" destOrd="0" presId="urn:microsoft.com/office/officeart/2005/8/layout/default"/>
    <dgm:cxn modelId="{90A7CC76-9450-4D06-9EE3-68F603ACD15D}" type="presParOf" srcId="{958C181B-D0B0-446B-9AA7-C2590DD7291E}" destId="{11CBB63C-6F28-45C6-AACD-F2F938B032F0}" srcOrd="6" destOrd="0" presId="urn:microsoft.com/office/officeart/2005/8/layout/default"/>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B37E9F1-F07E-4031-88FE-023B84DC6A5E}">
      <dsp:nvSpPr>
        <dsp:cNvPr id="0" name=""/>
        <dsp:cNvSpPr/>
      </dsp:nvSpPr>
      <dsp:spPr>
        <a:xfrm>
          <a:off x="217423" y="309"/>
          <a:ext cx="2081542" cy="1248925"/>
        </a:xfrm>
        <a:prstGeom prst="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b="1" i="0" kern="1200">
              <a:solidFill>
                <a:schemeClr val="tx1"/>
              </a:solidFill>
            </a:rPr>
            <a:t>Organization Structure of IHG Hotel Group</a:t>
          </a:r>
          <a:endParaRPr lang="en-GB" sz="1600" i="0" kern="1200">
            <a:solidFill>
              <a:schemeClr val="tx1"/>
            </a:solidFill>
          </a:endParaRPr>
        </a:p>
      </dsp:txBody>
      <dsp:txXfrm>
        <a:off x="217423" y="309"/>
        <a:ext cx="2081542" cy="1248925"/>
      </dsp:txXfrm>
    </dsp:sp>
    <dsp:sp modelId="{F3759711-0240-4F49-BB56-CBBB2B7433CB}">
      <dsp:nvSpPr>
        <dsp:cNvPr id="0" name=""/>
        <dsp:cNvSpPr/>
      </dsp:nvSpPr>
      <dsp:spPr>
        <a:xfrm>
          <a:off x="2507120" y="309"/>
          <a:ext cx="2081542" cy="1248925"/>
        </a:xfrm>
        <a:prstGeom prst="rect">
          <a:avLst/>
        </a:prstGeom>
        <a:solidFill>
          <a:schemeClr val="accent2">
            <a:hueOff val="2340759"/>
            <a:satOff val="-2919"/>
            <a:lumOff val="68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b="1" i="0" kern="1200">
              <a:solidFill>
                <a:schemeClr val="tx1"/>
              </a:solidFill>
            </a:rPr>
            <a:t>Organizational Culture at IHG Hotel Group</a:t>
          </a:r>
          <a:endParaRPr lang="en-GB" sz="1600" i="0" kern="1200">
            <a:solidFill>
              <a:schemeClr val="tx1"/>
            </a:solidFill>
          </a:endParaRPr>
        </a:p>
      </dsp:txBody>
      <dsp:txXfrm>
        <a:off x="2507120" y="309"/>
        <a:ext cx="2081542" cy="1248925"/>
      </dsp:txXfrm>
    </dsp:sp>
    <dsp:sp modelId="{7B20BCD7-C3D4-4989-BF73-BECC6DB579F4}">
      <dsp:nvSpPr>
        <dsp:cNvPr id="0" name=""/>
        <dsp:cNvSpPr/>
      </dsp:nvSpPr>
      <dsp:spPr>
        <a:xfrm>
          <a:off x="1362272" y="1457389"/>
          <a:ext cx="2081542" cy="1248925"/>
        </a:xfrm>
        <a:prstGeom prst="rect">
          <a:avLst/>
        </a:prstGeom>
        <a:solidFill>
          <a:schemeClr val="accent2">
            <a:hueOff val="4681519"/>
            <a:satOff val="-5839"/>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b="1" i="0" kern="1200">
              <a:solidFill>
                <a:schemeClr val="tx1"/>
              </a:solidFill>
            </a:rPr>
            <a:t>Goals of IHG Hotel Group</a:t>
          </a:r>
          <a:endParaRPr lang="en-GB" sz="1600" i="0" kern="1200">
            <a:solidFill>
              <a:schemeClr val="tx1"/>
            </a:solidFill>
          </a:endParaRPr>
        </a:p>
      </dsp:txBody>
      <dsp:txXfrm>
        <a:off x="1362272" y="1457389"/>
        <a:ext cx="2081542" cy="124892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DBAD5EA-1325-4C42-9EFF-E38FB7A59EC2}">
      <dsp:nvSpPr>
        <dsp:cNvPr id="0" name=""/>
        <dsp:cNvSpPr/>
      </dsp:nvSpPr>
      <dsp:spPr>
        <a:xfrm>
          <a:off x="0" y="70049"/>
          <a:ext cx="1569100" cy="941460"/>
        </a:xfrm>
        <a:prstGeom prst="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i="0" kern="1200">
              <a:solidFill>
                <a:schemeClr val="tx1"/>
              </a:solidFill>
            </a:rPr>
            <a:t>Digital Transformation Initiatives</a:t>
          </a:r>
          <a:endParaRPr lang="en-GB" sz="1500" i="0" kern="1200">
            <a:solidFill>
              <a:schemeClr val="tx1"/>
            </a:solidFill>
          </a:endParaRPr>
        </a:p>
      </dsp:txBody>
      <dsp:txXfrm>
        <a:off x="0" y="70049"/>
        <a:ext cx="1569100" cy="941460"/>
      </dsp:txXfrm>
    </dsp:sp>
    <dsp:sp modelId="{F6B16EBE-1D95-4DC7-AB4E-B153111A96F0}">
      <dsp:nvSpPr>
        <dsp:cNvPr id="0" name=""/>
        <dsp:cNvSpPr/>
      </dsp:nvSpPr>
      <dsp:spPr>
        <a:xfrm>
          <a:off x="1726011" y="70049"/>
          <a:ext cx="1569100" cy="941460"/>
        </a:xfrm>
        <a:prstGeom prst="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i="0" kern="1200">
              <a:solidFill>
                <a:schemeClr val="tx1"/>
              </a:solidFill>
            </a:rPr>
            <a:t>Sustainability and Environmental Initiatives</a:t>
          </a:r>
          <a:endParaRPr lang="en-GB" sz="1500" i="0" kern="1200">
            <a:solidFill>
              <a:schemeClr val="tx1"/>
            </a:solidFill>
          </a:endParaRPr>
        </a:p>
      </dsp:txBody>
      <dsp:txXfrm>
        <a:off x="1726011" y="70049"/>
        <a:ext cx="1569100" cy="941460"/>
      </dsp:txXfrm>
    </dsp:sp>
    <dsp:sp modelId="{E5A3BCD0-18E2-4381-AD2E-C10CF753D385}">
      <dsp:nvSpPr>
        <dsp:cNvPr id="0" name=""/>
        <dsp:cNvSpPr/>
      </dsp:nvSpPr>
      <dsp:spPr>
        <a:xfrm>
          <a:off x="3452022" y="70049"/>
          <a:ext cx="1569100" cy="941460"/>
        </a:xfrm>
        <a:prstGeom prst="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i="0" kern="1200">
              <a:solidFill>
                <a:schemeClr val="tx1"/>
              </a:solidFill>
            </a:rPr>
            <a:t>Brand Renovation</a:t>
          </a:r>
          <a:endParaRPr lang="en-GB" sz="1500" i="0" kern="1200">
            <a:solidFill>
              <a:schemeClr val="tx1"/>
            </a:solidFill>
          </a:endParaRPr>
        </a:p>
      </dsp:txBody>
      <dsp:txXfrm>
        <a:off x="3452022" y="70049"/>
        <a:ext cx="1569100" cy="941460"/>
      </dsp:txXfrm>
    </dsp:sp>
    <dsp:sp modelId="{1C5E9940-68EA-4787-AC71-F22CA76F654A}">
      <dsp:nvSpPr>
        <dsp:cNvPr id="0" name=""/>
        <dsp:cNvSpPr/>
      </dsp:nvSpPr>
      <dsp:spPr>
        <a:xfrm>
          <a:off x="863005" y="1168420"/>
          <a:ext cx="1569100" cy="941460"/>
        </a:xfrm>
        <a:prstGeom prst="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i="0" kern="1200">
              <a:solidFill>
                <a:schemeClr val="tx1"/>
              </a:solidFill>
            </a:rPr>
            <a:t>COVID-19 Response and Adaptation</a:t>
          </a:r>
          <a:endParaRPr lang="en-GB" sz="1500" i="0" kern="1200">
            <a:solidFill>
              <a:schemeClr val="tx1"/>
            </a:solidFill>
          </a:endParaRPr>
        </a:p>
      </dsp:txBody>
      <dsp:txXfrm>
        <a:off x="863005" y="1168420"/>
        <a:ext cx="1569100" cy="941460"/>
      </dsp:txXfrm>
    </dsp:sp>
    <dsp:sp modelId="{17027B1D-2D99-49E3-A90A-B51AEBC0D4BD}">
      <dsp:nvSpPr>
        <dsp:cNvPr id="0" name=""/>
        <dsp:cNvSpPr/>
      </dsp:nvSpPr>
      <dsp:spPr>
        <a:xfrm>
          <a:off x="2589016" y="1168420"/>
          <a:ext cx="1569100" cy="941460"/>
        </a:xfrm>
        <a:prstGeom prst="rect">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i="0" kern="1200">
              <a:solidFill>
                <a:schemeClr val="tx1"/>
              </a:solidFill>
            </a:rPr>
            <a:t>Employee Well-being and Training Programs</a:t>
          </a:r>
          <a:endParaRPr lang="en-GB" sz="1500" i="0" kern="1200">
            <a:solidFill>
              <a:schemeClr val="tx1"/>
            </a:solidFill>
          </a:endParaRPr>
        </a:p>
      </dsp:txBody>
      <dsp:txXfrm>
        <a:off x="2589016" y="1168420"/>
        <a:ext cx="1569100" cy="94146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B886B10-DD3E-4789-941F-A94DAE1C63E3}">
      <dsp:nvSpPr>
        <dsp:cNvPr id="0" name=""/>
        <dsp:cNvSpPr/>
      </dsp:nvSpPr>
      <dsp:spPr>
        <a:xfrm>
          <a:off x="0" y="59664"/>
          <a:ext cx="1714499" cy="1028700"/>
        </a:xfrm>
        <a:prstGeom prst="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b="1" i="0" kern="1200">
              <a:solidFill>
                <a:schemeClr val="tx1"/>
              </a:solidFill>
            </a:rPr>
            <a:t>Digital Transformation Initiatives</a:t>
          </a:r>
          <a:endParaRPr lang="en-GB" sz="1600" i="0" kern="1200">
            <a:solidFill>
              <a:schemeClr val="tx1"/>
            </a:solidFill>
          </a:endParaRPr>
        </a:p>
      </dsp:txBody>
      <dsp:txXfrm>
        <a:off x="0" y="59664"/>
        <a:ext cx="1714499" cy="1028700"/>
      </dsp:txXfrm>
    </dsp:sp>
    <dsp:sp modelId="{F02C14E2-6927-465E-8CFF-F4D82AF6623B}">
      <dsp:nvSpPr>
        <dsp:cNvPr id="0" name=""/>
        <dsp:cNvSpPr/>
      </dsp:nvSpPr>
      <dsp:spPr>
        <a:xfrm>
          <a:off x="1885950" y="59664"/>
          <a:ext cx="1714499" cy="1028700"/>
        </a:xfrm>
        <a:prstGeom prst="rect">
          <a:avLst/>
        </a:prstGeom>
        <a:solidFill>
          <a:schemeClr val="accent3">
            <a:hueOff val="2812566"/>
            <a:satOff val="-4220"/>
            <a:lumOff val="-68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b="1" i="0" kern="1200">
              <a:solidFill>
                <a:schemeClr val="tx1"/>
              </a:solidFill>
            </a:rPr>
            <a:t>Sustainability and Environmental Initiatives</a:t>
          </a:r>
          <a:endParaRPr lang="en-GB" sz="1600" i="0" kern="1200">
            <a:solidFill>
              <a:schemeClr val="tx1"/>
            </a:solidFill>
          </a:endParaRPr>
        </a:p>
      </dsp:txBody>
      <dsp:txXfrm>
        <a:off x="1885950" y="59664"/>
        <a:ext cx="1714499" cy="1028700"/>
      </dsp:txXfrm>
    </dsp:sp>
    <dsp:sp modelId="{6C02342B-D9E1-408D-815A-70AC07C3388E}">
      <dsp:nvSpPr>
        <dsp:cNvPr id="0" name=""/>
        <dsp:cNvSpPr/>
      </dsp:nvSpPr>
      <dsp:spPr>
        <a:xfrm>
          <a:off x="3771900" y="59664"/>
          <a:ext cx="1714499" cy="1028700"/>
        </a:xfrm>
        <a:prstGeom prst="rect">
          <a:avLst/>
        </a:prstGeom>
        <a:solidFill>
          <a:schemeClr val="accent3">
            <a:hueOff val="5625132"/>
            <a:satOff val="-8440"/>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b="1" i="0" kern="1200">
              <a:solidFill>
                <a:schemeClr val="tx1"/>
              </a:solidFill>
            </a:rPr>
            <a:t>Brand renovation</a:t>
          </a:r>
          <a:endParaRPr lang="en-GB" sz="1600" i="0" kern="1200">
            <a:solidFill>
              <a:schemeClr val="tx1"/>
            </a:solidFill>
          </a:endParaRPr>
        </a:p>
      </dsp:txBody>
      <dsp:txXfrm>
        <a:off x="3771900" y="59664"/>
        <a:ext cx="1714499" cy="1028700"/>
      </dsp:txXfrm>
    </dsp:sp>
    <dsp:sp modelId="{A5BD1D35-3ABF-4DB6-BA23-3073F350C816}">
      <dsp:nvSpPr>
        <dsp:cNvPr id="0" name=""/>
        <dsp:cNvSpPr/>
      </dsp:nvSpPr>
      <dsp:spPr>
        <a:xfrm>
          <a:off x="942975" y="1259814"/>
          <a:ext cx="1714499" cy="1028700"/>
        </a:xfrm>
        <a:prstGeom prst="rect">
          <a:avLst/>
        </a:prstGeom>
        <a:solidFill>
          <a:schemeClr val="accent3">
            <a:hueOff val="8437698"/>
            <a:satOff val="-12660"/>
            <a:lumOff val="-205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b="1" i="0" kern="1200">
              <a:solidFill>
                <a:schemeClr val="tx1"/>
              </a:solidFill>
            </a:rPr>
            <a:t>COVID-19 Response and Adaptation</a:t>
          </a:r>
          <a:endParaRPr lang="en-GB" sz="1600" i="0" kern="1200">
            <a:solidFill>
              <a:schemeClr val="tx1"/>
            </a:solidFill>
          </a:endParaRPr>
        </a:p>
      </dsp:txBody>
      <dsp:txXfrm>
        <a:off x="942975" y="1259814"/>
        <a:ext cx="1714499" cy="1028700"/>
      </dsp:txXfrm>
    </dsp:sp>
    <dsp:sp modelId="{54B6E9E1-C692-4BB8-85AB-D9E5CA9C79FF}">
      <dsp:nvSpPr>
        <dsp:cNvPr id="0" name=""/>
        <dsp:cNvSpPr/>
      </dsp:nvSpPr>
      <dsp:spPr>
        <a:xfrm>
          <a:off x="2828925" y="1259814"/>
          <a:ext cx="1714499" cy="1028700"/>
        </a:xfrm>
        <a:prstGeom prst="rect">
          <a:avLst/>
        </a:prstGeom>
        <a:solidFill>
          <a:schemeClr val="accent3">
            <a:hueOff val="11250264"/>
            <a:satOff val="-16880"/>
            <a:lumOff val="-274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b="1" i="0" kern="1200">
              <a:solidFill>
                <a:schemeClr val="tx1"/>
              </a:solidFill>
            </a:rPr>
            <a:t>Employee Well-being and Training Programs</a:t>
          </a:r>
          <a:endParaRPr lang="en-GB" sz="1600" i="0" kern="1200">
            <a:solidFill>
              <a:schemeClr val="tx1"/>
            </a:solidFill>
          </a:endParaRPr>
        </a:p>
      </dsp:txBody>
      <dsp:txXfrm>
        <a:off x="2828925" y="1259814"/>
        <a:ext cx="1714499" cy="1028700"/>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CAF5E07-8011-491F-80B8-2C36F6231B02}">
      <dsp:nvSpPr>
        <dsp:cNvPr id="0" name=""/>
        <dsp:cNvSpPr/>
      </dsp:nvSpPr>
      <dsp:spPr>
        <a:xfrm>
          <a:off x="184308" y="892"/>
          <a:ext cx="1599307" cy="959584"/>
        </a:xfrm>
        <a:prstGeom prst="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i="0" kern="1200"/>
            <a:t>Global Expansion</a:t>
          </a:r>
          <a:endParaRPr lang="en-GB" sz="1500" i="0" kern="1200"/>
        </a:p>
      </dsp:txBody>
      <dsp:txXfrm>
        <a:off x="184308" y="892"/>
        <a:ext cx="1599307" cy="959584"/>
      </dsp:txXfrm>
    </dsp:sp>
    <dsp:sp modelId="{24D6E0F0-8E43-4EAA-9FBF-0657DC77AC96}">
      <dsp:nvSpPr>
        <dsp:cNvPr id="0" name=""/>
        <dsp:cNvSpPr/>
      </dsp:nvSpPr>
      <dsp:spPr>
        <a:xfrm>
          <a:off x="1943546" y="892"/>
          <a:ext cx="1599307" cy="959584"/>
        </a:xfrm>
        <a:prstGeom prst="rect">
          <a:avLst/>
        </a:prstGeom>
        <a:solidFill>
          <a:schemeClr val="accent4">
            <a:hueOff val="-744128"/>
            <a:satOff val="4483"/>
            <a:lumOff val="35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i="0" kern="1200"/>
            <a:t>Brand Portfolio Management</a:t>
          </a:r>
          <a:endParaRPr lang="en-GB" sz="1500" i="0" kern="1200"/>
        </a:p>
      </dsp:txBody>
      <dsp:txXfrm>
        <a:off x="1943546" y="892"/>
        <a:ext cx="1599307" cy="959584"/>
      </dsp:txXfrm>
    </dsp:sp>
    <dsp:sp modelId="{1184FE56-0F39-47B9-8A3B-1ED40D6AED80}">
      <dsp:nvSpPr>
        <dsp:cNvPr id="0" name=""/>
        <dsp:cNvSpPr/>
      </dsp:nvSpPr>
      <dsp:spPr>
        <a:xfrm>
          <a:off x="3702784" y="892"/>
          <a:ext cx="1599307" cy="959584"/>
        </a:xfrm>
        <a:prstGeom prst="rect">
          <a:avLst/>
        </a:prstGeom>
        <a:solidFill>
          <a:schemeClr val="accent4">
            <a:hueOff val="-1488257"/>
            <a:satOff val="8966"/>
            <a:lumOff val="71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i="0" kern="1200"/>
            <a:t>Digital Transformation</a:t>
          </a:r>
          <a:endParaRPr lang="en-GB" sz="1500" i="0" kern="1200"/>
        </a:p>
      </dsp:txBody>
      <dsp:txXfrm>
        <a:off x="3702784" y="892"/>
        <a:ext cx="1599307" cy="959584"/>
      </dsp:txXfrm>
    </dsp:sp>
    <dsp:sp modelId="{4E10CA28-82AA-4DED-8769-C3487FD1F788}">
      <dsp:nvSpPr>
        <dsp:cNvPr id="0" name=""/>
        <dsp:cNvSpPr/>
      </dsp:nvSpPr>
      <dsp:spPr>
        <a:xfrm>
          <a:off x="184308" y="1120407"/>
          <a:ext cx="1599307" cy="959584"/>
        </a:xfrm>
        <a:prstGeom prst="rect">
          <a:avLst/>
        </a:prstGeom>
        <a:solidFill>
          <a:schemeClr val="accent4">
            <a:hueOff val="-2232385"/>
            <a:satOff val="13449"/>
            <a:lumOff val="107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i="0" kern="1200"/>
            <a:t>Sustainability and Social Responsibility</a:t>
          </a:r>
          <a:endParaRPr lang="en-GB" sz="1500" i="0" kern="1200"/>
        </a:p>
      </dsp:txBody>
      <dsp:txXfrm>
        <a:off x="184308" y="1120407"/>
        <a:ext cx="1599307" cy="959584"/>
      </dsp:txXfrm>
    </dsp:sp>
    <dsp:sp modelId="{0351D019-0B84-421B-B297-021C1A923754}">
      <dsp:nvSpPr>
        <dsp:cNvPr id="0" name=""/>
        <dsp:cNvSpPr/>
      </dsp:nvSpPr>
      <dsp:spPr>
        <a:xfrm>
          <a:off x="1943546" y="1120407"/>
          <a:ext cx="1599307" cy="959584"/>
        </a:xfrm>
        <a:prstGeom prst="rect">
          <a:avLst/>
        </a:prstGeom>
        <a:solidFill>
          <a:schemeClr val="accent4">
            <a:hueOff val="-2976513"/>
            <a:satOff val="17933"/>
            <a:lumOff val="143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i="0" kern="1200"/>
            <a:t>Employee Engagement and Well-being</a:t>
          </a:r>
          <a:endParaRPr lang="en-GB" sz="1500" i="0" kern="1200"/>
        </a:p>
      </dsp:txBody>
      <dsp:txXfrm>
        <a:off x="1943546" y="1120407"/>
        <a:ext cx="1599307" cy="959584"/>
      </dsp:txXfrm>
    </dsp:sp>
    <dsp:sp modelId="{2C630B99-477E-468E-A39E-5020E8A8AFD5}">
      <dsp:nvSpPr>
        <dsp:cNvPr id="0" name=""/>
        <dsp:cNvSpPr/>
      </dsp:nvSpPr>
      <dsp:spPr>
        <a:xfrm>
          <a:off x="3702784" y="1120407"/>
          <a:ext cx="1599307" cy="959584"/>
        </a:xfrm>
        <a:prstGeom prst="rect">
          <a:avLst/>
        </a:prstGeom>
        <a:solidFill>
          <a:schemeClr val="accent4">
            <a:hueOff val="-3720641"/>
            <a:satOff val="22416"/>
            <a:lumOff val="179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i="0" kern="1200"/>
            <a:t>Customer Loyalty Programs</a:t>
          </a:r>
          <a:endParaRPr lang="en-GB" sz="1500" i="0" kern="1200"/>
        </a:p>
      </dsp:txBody>
      <dsp:txXfrm>
        <a:off x="3702784" y="1120407"/>
        <a:ext cx="1599307" cy="959584"/>
      </dsp:txXfrm>
    </dsp:sp>
    <dsp:sp modelId="{5C281641-169E-480C-8FB8-C5EDC7C9EFD2}">
      <dsp:nvSpPr>
        <dsp:cNvPr id="0" name=""/>
        <dsp:cNvSpPr/>
      </dsp:nvSpPr>
      <dsp:spPr>
        <a:xfrm>
          <a:off x="1943546" y="2239922"/>
          <a:ext cx="1599307" cy="959584"/>
        </a:xfrm>
        <a:prstGeom prst="rect">
          <a:avLst/>
        </a:prstGeom>
        <a:solidFill>
          <a:schemeClr val="accent4">
            <a:hueOff val="-4464770"/>
            <a:satOff val="26899"/>
            <a:lumOff val="215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i="0" kern="1200"/>
            <a:t>Adaptation to Market Trends</a:t>
          </a:r>
          <a:endParaRPr lang="en-GB" sz="1500" i="0" kern="1200"/>
        </a:p>
      </dsp:txBody>
      <dsp:txXfrm>
        <a:off x="1943546" y="2239922"/>
        <a:ext cx="1599307" cy="959584"/>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0BF9C1A-0BD7-467C-982D-BC457296A986}">
      <dsp:nvSpPr>
        <dsp:cNvPr id="0" name=""/>
        <dsp:cNvSpPr/>
      </dsp:nvSpPr>
      <dsp:spPr>
        <a:xfrm>
          <a:off x="253461" y="1195"/>
          <a:ext cx="2130823" cy="1278494"/>
        </a:xfrm>
        <a:prstGeom prst="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en-GB" sz="2000" b="1" i="0" kern="1200"/>
            <a:t>Impact of the COVID-19 Pandemic</a:t>
          </a:r>
          <a:endParaRPr lang="en-GB" sz="2000" i="0" kern="1200"/>
        </a:p>
      </dsp:txBody>
      <dsp:txXfrm>
        <a:off x="253461" y="1195"/>
        <a:ext cx="2130823" cy="1278494"/>
      </dsp:txXfrm>
    </dsp:sp>
    <dsp:sp modelId="{2F422E23-2551-4E8E-A4BB-4B9FB4FA3ED4}">
      <dsp:nvSpPr>
        <dsp:cNvPr id="0" name=""/>
        <dsp:cNvSpPr/>
      </dsp:nvSpPr>
      <dsp:spPr>
        <a:xfrm>
          <a:off x="2597367" y="1195"/>
          <a:ext cx="2130823" cy="1278494"/>
        </a:xfrm>
        <a:prstGeom prst="rect">
          <a:avLst/>
        </a:prstGeom>
        <a:solidFill>
          <a:schemeClr val="accent5">
            <a:hueOff val="-3311292"/>
            <a:satOff val="13270"/>
            <a:lumOff val="287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en-GB" sz="2000" b="1" i="0" kern="1200"/>
            <a:t>Resilience and Recovery</a:t>
          </a:r>
          <a:endParaRPr lang="en-GB" sz="2000" i="0" kern="1200"/>
        </a:p>
      </dsp:txBody>
      <dsp:txXfrm>
        <a:off x="2597367" y="1195"/>
        <a:ext cx="2130823" cy="1278494"/>
      </dsp:txXfrm>
    </dsp:sp>
    <dsp:sp modelId="{7065F870-27B6-420F-8096-87C8AA199070}">
      <dsp:nvSpPr>
        <dsp:cNvPr id="0" name=""/>
        <dsp:cNvSpPr/>
      </dsp:nvSpPr>
      <dsp:spPr>
        <a:xfrm>
          <a:off x="253461" y="1492771"/>
          <a:ext cx="2130823" cy="1278494"/>
        </a:xfrm>
        <a:prstGeom prst="rect">
          <a:avLst/>
        </a:prstGeom>
        <a:solidFill>
          <a:schemeClr val="accent5">
            <a:hueOff val="-6622584"/>
            <a:satOff val="26541"/>
            <a:lumOff val="575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en-GB" sz="2000" b="1" i="0" kern="1200"/>
            <a:t>Financial Performance</a:t>
          </a:r>
          <a:endParaRPr lang="en-GB" sz="2000" i="0" kern="1200"/>
        </a:p>
      </dsp:txBody>
      <dsp:txXfrm>
        <a:off x="253461" y="1492771"/>
        <a:ext cx="2130823" cy="1278494"/>
      </dsp:txXfrm>
    </dsp:sp>
    <dsp:sp modelId="{11CBB63C-6F28-45C6-AACD-F2F938B032F0}">
      <dsp:nvSpPr>
        <dsp:cNvPr id="0" name=""/>
        <dsp:cNvSpPr/>
      </dsp:nvSpPr>
      <dsp:spPr>
        <a:xfrm>
          <a:off x="2597367" y="1492771"/>
          <a:ext cx="2130823" cy="1278494"/>
        </a:xfrm>
        <a:prstGeom prst="rect">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en-GB" sz="2000" b="1" i="0" kern="1200"/>
            <a:t>Strategic Investments</a:t>
          </a:r>
          <a:endParaRPr lang="en-GB" sz="2000" i="0" kern="1200"/>
        </a:p>
      </dsp:txBody>
      <dsp:txXfrm>
        <a:off x="2597367" y="1492771"/>
        <a:ext cx="2130823" cy="1278494"/>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E48925-EAAC-4197-88B7-031ED9FA94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3025</Words>
  <Characters>17245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2024-01-19T16:31:00Z</dcterms:created>
  <dcterms:modified xsi:type="dcterms:W3CDTF">2024-03-01T16:14:00Z</dcterms:modified>
</cp:coreProperties>
</file>