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1DE8D6" w14:textId="676FB842" w:rsidR="0048389D" w:rsidRPr="0048389D" w:rsidRDefault="0048389D" w:rsidP="0048389D">
      <w:pPr>
        <w:rPr>
          <w:b/>
          <w:bCs/>
        </w:rPr>
      </w:pPr>
      <w:r w:rsidRPr="0048389D">
        <w:drawing>
          <wp:inline distT="0" distB="0" distL="0" distR="0" wp14:anchorId="4CA92864" wp14:editId="5A4578B7">
            <wp:extent cx="1704975" cy="685800"/>
            <wp:effectExtent l="0" t="0" r="9525" b="0"/>
            <wp:docPr id="1426454011" name="Picture 2" descr="UWTSD logo with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lun 4" descr="UWTSD logo with na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04975" cy="685800"/>
                    </a:xfrm>
                    <a:prstGeom prst="rect">
                      <a:avLst/>
                    </a:prstGeom>
                    <a:noFill/>
                    <a:ln>
                      <a:noFill/>
                    </a:ln>
                  </pic:spPr>
                </pic:pic>
              </a:graphicData>
            </a:graphic>
          </wp:inline>
        </w:drawing>
      </w:r>
    </w:p>
    <w:p w14:paraId="0A7A0E32" w14:textId="77777777" w:rsidR="0048389D" w:rsidRPr="0048389D" w:rsidRDefault="0048389D" w:rsidP="0048389D">
      <w:pPr>
        <w:rPr>
          <w:b/>
          <w:bCs/>
        </w:rPr>
      </w:pPr>
    </w:p>
    <w:p w14:paraId="077F4D57" w14:textId="77777777" w:rsidR="0048389D" w:rsidRPr="0048389D" w:rsidRDefault="0048389D" w:rsidP="0048389D">
      <w:pPr>
        <w:rPr>
          <w:b/>
          <w:bCs/>
        </w:rPr>
      </w:pPr>
    </w:p>
    <w:p w14:paraId="39C6A66C" w14:textId="77777777" w:rsidR="0048389D" w:rsidRPr="0048389D" w:rsidRDefault="0048389D" w:rsidP="0048389D">
      <w:pPr>
        <w:rPr>
          <w:b/>
          <w:bCs/>
        </w:rPr>
      </w:pPr>
    </w:p>
    <w:p w14:paraId="14EB5055" w14:textId="77777777" w:rsidR="0048389D" w:rsidRPr="0048389D" w:rsidRDefault="0048389D" w:rsidP="0048389D">
      <w:pPr>
        <w:jc w:val="center"/>
        <w:rPr>
          <w:sz w:val="44"/>
          <w:szCs w:val="44"/>
        </w:rPr>
      </w:pPr>
      <w:r w:rsidRPr="0048389D">
        <w:rPr>
          <w:sz w:val="44"/>
          <w:szCs w:val="44"/>
        </w:rPr>
        <w:t>BA BUSINESS MANAGEMENT</w:t>
      </w:r>
    </w:p>
    <w:p w14:paraId="22759137" w14:textId="09097A0D" w:rsidR="0048389D" w:rsidRPr="0048389D" w:rsidRDefault="0048389D" w:rsidP="0048389D">
      <w:pPr>
        <w:jc w:val="center"/>
        <w:rPr>
          <w:sz w:val="44"/>
          <w:szCs w:val="44"/>
        </w:rPr>
      </w:pPr>
      <w:bookmarkStart w:id="0" w:name="_heading=h.30j0zll"/>
      <w:bookmarkEnd w:id="0"/>
      <w:r w:rsidRPr="0048389D">
        <w:rPr>
          <w:sz w:val="44"/>
          <w:szCs w:val="44"/>
        </w:rPr>
        <w:t>Project Management</w:t>
      </w:r>
    </w:p>
    <w:p w14:paraId="1350B7A3" w14:textId="77777777" w:rsidR="0048389D" w:rsidRPr="0048389D" w:rsidRDefault="0048389D" w:rsidP="0048389D"/>
    <w:p w14:paraId="1AA194BA" w14:textId="77777777" w:rsidR="0048389D" w:rsidRPr="0048389D" w:rsidRDefault="0048389D" w:rsidP="0048389D"/>
    <w:p w14:paraId="43D35300" w14:textId="77777777" w:rsidR="0048389D" w:rsidRPr="0048389D" w:rsidRDefault="0048389D" w:rsidP="0048389D"/>
    <w:p w14:paraId="1D240004" w14:textId="77777777" w:rsidR="0048389D" w:rsidRPr="0048389D" w:rsidRDefault="0048389D" w:rsidP="0048389D"/>
    <w:p w14:paraId="09216B34" w14:textId="77777777" w:rsidR="0048389D" w:rsidRPr="0048389D" w:rsidRDefault="0048389D" w:rsidP="0048389D"/>
    <w:p w14:paraId="621A63E2" w14:textId="77777777" w:rsidR="0048389D" w:rsidRPr="0048389D" w:rsidRDefault="0048389D" w:rsidP="0048389D"/>
    <w:p w14:paraId="2976C592" w14:textId="35144A02" w:rsidR="0048389D" w:rsidRPr="0048389D" w:rsidRDefault="0048389D" w:rsidP="0048389D">
      <w:pPr>
        <w:rPr>
          <w:iCs/>
        </w:rPr>
      </w:pPr>
      <w:r w:rsidRPr="0048389D">
        <w:rPr>
          <w:i/>
        </w:rPr>
        <w:t xml:space="preserve">Student name: </w:t>
      </w:r>
      <w:r>
        <w:rPr>
          <w:iCs/>
        </w:rPr>
        <w:t>Cristian Stoleru</w:t>
      </w:r>
    </w:p>
    <w:p w14:paraId="4C863E2A" w14:textId="67E61C76" w:rsidR="0048389D" w:rsidRPr="0048389D" w:rsidRDefault="0048389D" w:rsidP="0048389D">
      <w:pPr>
        <w:rPr>
          <w:i/>
        </w:rPr>
      </w:pPr>
      <w:r w:rsidRPr="0048389D">
        <w:rPr>
          <w:i/>
        </w:rPr>
        <w:t xml:space="preserve">Student ID: </w:t>
      </w:r>
      <w:r w:rsidRPr="0048389D">
        <w:rPr>
          <w:iCs/>
        </w:rPr>
        <w:t>221</w:t>
      </w:r>
      <w:r w:rsidRPr="00621BF1">
        <w:rPr>
          <w:iCs/>
        </w:rPr>
        <w:t>5119</w:t>
      </w:r>
    </w:p>
    <w:p w14:paraId="550BC013" w14:textId="3FC96D7B" w:rsidR="0048389D" w:rsidRPr="0048389D" w:rsidRDefault="0048389D" w:rsidP="0048389D">
      <w:pPr>
        <w:rPr>
          <w:i/>
        </w:rPr>
      </w:pPr>
      <w:r w:rsidRPr="0048389D">
        <w:rPr>
          <w:i/>
        </w:rPr>
        <w:t xml:space="preserve">Course code: </w:t>
      </w:r>
      <w:r w:rsidRPr="0048389D">
        <w:rPr>
          <w:iCs/>
        </w:rPr>
        <w:t>LCBB5005</w:t>
      </w:r>
    </w:p>
    <w:p w14:paraId="3ED48B8B" w14:textId="2C688221" w:rsidR="0048389D" w:rsidRPr="0048389D" w:rsidRDefault="0048389D" w:rsidP="0048389D">
      <w:pPr>
        <w:rPr>
          <w:i/>
        </w:rPr>
      </w:pPr>
      <w:r w:rsidRPr="0048389D">
        <w:rPr>
          <w:i/>
        </w:rPr>
        <w:t xml:space="preserve">Lector Name: </w:t>
      </w:r>
      <w:r w:rsidRPr="0048389D">
        <w:rPr>
          <w:iCs/>
        </w:rPr>
        <w:t xml:space="preserve">Dr. </w:t>
      </w:r>
      <w:r w:rsidR="00621BF1" w:rsidRPr="00621BF1">
        <w:rPr>
          <w:iCs/>
        </w:rPr>
        <w:t>Amandeep Sahota</w:t>
      </w:r>
    </w:p>
    <w:p w14:paraId="7AFA29E3" w14:textId="01DEC558" w:rsidR="0048389D" w:rsidRPr="0048389D" w:rsidRDefault="0048389D" w:rsidP="0048389D">
      <w:pPr>
        <w:rPr>
          <w:i/>
        </w:rPr>
      </w:pPr>
      <w:r w:rsidRPr="0048389D">
        <w:rPr>
          <w:i/>
        </w:rPr>
        <w:t xml:space="preserve">                     </w:t>
      </w:r>
    </w:p>
    <w:p w14:paraId="6A25D3DC" w14:textId="77777777" w:rsidR="0048389D" w:rsidRDefault="0048389D" w:rsidP="0048389D">
      <w:pPr>
        <w:rPr>
          <w:b/>
          <w:bCs/>
          <w:lang w:val="en-US"/>
        </w:rPr>
      </w:pPr>
    </w:p>
    <w:p w14:paraId="1901255D" w14:textId="77777777" w:rsidR="00621BF1" w:rsidRDefault="00621BF1" w:rsidP="0048389D">
      <w:pPr>
        <w:rPr>
          <w:b/>
          <w:bCs/>
          <w:lang w:val="en-US"/>
        </w:rPr>
      </w:pPr>
    </w:p>
    <w:p w14:paraId="7D7D9C63" w14:textId="77777777" w:rsidR="00621BF1" w:rsidRDefault="00621BF1" w:rsidP="0048389D">
      <w:pPr>
        <w:rPr>
          <w:b/>
          <w:bCs/>
          <w:lang w:val="en-US"/>
        </w:rPr>
      </w:pPr>
    </w:p>
    <w:p w14:paraId="3DA2BEA9" w14:textId="77777777" w:rsidR="00621BF1" w:rsidRDefault="00621BF1" w:rsidP="0048389D">
      <w:pPr>
        <w:rPr>
          <w:b/>
          <w:bCs/>
          <w:lang w:val="en-US"/>
        </w:rPr>
      </w:pPr>
    </w:p>
    <w:p w14:paraId="7116A64D" w14:textId="77777777" w:rsidR="00621BF1" w:rsidRDefault="00621BF1" w:rsidP="0048389D">
      <w:pPr>
        <w:rPr>
          <w:b/>
          <w:bCs/>
          <w:lang w:val="en-US"/>
        </w:rPr>
      </w:pPr>
    </w:p>
    <w:p w14:paraId="72494544" w14:textId="77777777" w:rsidR="00621BF1" w:rsidRDefault="00621BF1" w:rsidP="0048389D">
      <w:pPr>
        <w:rPr>
          <w:b/>
          <w:bCs/>
          <w:lang w:val="en-US"/>
        </w:rPr>
      </w:pPr>
    </w:p>
    <w:p w14:paraId="2F73F2CA" w14:textId="77777777" w:rsidR="00621BF1" w:rsidRDefault="00621BF1" w:rsidP="0048389D">
      <w:pPr>
        <w:rPr>
          <w:b/>
          <w:bCs/>
          <w:lang w:val="en-US"/>
        </w:rPr>
      </w:pPr>
    </w:p>
    <w:p w14:paraId="4829B71B" w14:textId="77777777" w:rsidR="00621BF1" w:rsidRDefault="00621BF1" w:rsidP="0048389D">
      <w:pPr>
        <w:rPr>
          <w:b/>
          <w:bCs/>
          <w:lang w:val="en-US"/>
        </w:rPr>
      </w:pPr>
    </w:p>
    <w:p w14:paraId="70564FA5" w14:textId="77777777" w:rsidR="00621BF1" w:rsidRDefault="00621BF1" w:rsidP="0048389D">
      <w:pPr>
        <w:rPr>
          <w:b/>
          <w:bCs/>
          <w:lang w:val="en-US"/>
        </w:rPr>
      </w:pPr>
    </w:p>
    <w:p w14:paraId="6ECA7291" w14:textId="77777777" w:rsidR="00621BF1" w:rsidRDefault="00621BF1" w:rsidP="0048389D">
      <w:pPr>
        <w:rPr>
          <w:b/>
          <w:bCs/>
          <w:lang w:val="en-US"/>
        </w:rPr>
      </w:pPr>
    </w:p>
    <w:p w14:paraId="1AB4750B" w14:textId="77777777" w:rsidR="00621BF1" w:rsidRPr="0048389D" w:rsidRDefault="00621BF1" w:rsidP="0048389D">
      <w:pPr>
        <w:rPr>
          <w:b/>
          <w:bCs/>
          <w:lang w:val="en-US"/>
        </w:rPr>
      </w:pPr>
    </w:p>
    <w:sdt>
      <w:sdtPr>
        <w:id w:val="911970321"/>
        <w:docPartObj>
          <w:docPartGallery w:val="Table of Contents"/>
          <w:docPartUnique/>
        </w:docPartObj>
      </w:sdtPr>
      <w:sdtContent>
        <w:p w14:paraId="483D9C6D" w14:textId="77777777" w:rsidR="0048389D" w:rsidRPr="0048389D" w:rsidRDefault="0048389D" w:rsidP="0048389D">
          <w:pPr>
            <w:rPr>
              <w:b/>
              <w:bCs/>
              <w:lang w:val="en-US"/>
            </w:rPr>
          </w:pPr>
          <w:r w:rsidRPr="0048389D">
            <w:rPr>
              <w:b/>
              <w:bCs/>
              <w:lang w:val="en-US"/>
            </w:rPr>
            <w:t>Table of Contents</w:t>
          </w:r>
        </w:p>
        <w:p w14:paraId="7EA6E4F3" w14:textId="42036A6A" w:rsidR="0048389D" w:rsidRPr="0048389D" w:rsidRDefault="0048389D" w:rsidP="0048389D">
          <w:r w:rsidRPr="0048389D">
            <w:rPr>
              <w:i/>
              <w:iCs/>
            </w:rPr>
            <w:t>Introduction</w:t>
          </w:r>
          <w:r w:rsidR="00FA79BC" w:rsidRPr="00FA79BC">
            <w:rPr>
              <w:i/>
              <w:iCs/>
            </w:rPr>
            <w:t>………………………………………………………………………</w:t>
          </w:r>
          <w:r w:rsidR="00FA79BC">
            <w:rPr>
              <w:i/>
              <w:iCs/>
            </w:rPr>
            <w:t>…</w:t>
          </w:r>
          <w:r w:rsidR="001F4657" w:rsidRPr="00FA79BC">
            <w:rPr>
              <w:i/>
              <w:iCs/>
              <w:webHidden/>
            </w:rPr>
            <w:t>3</w:t>
          </w:r>
        </w:p>
        <w:p w14:paraId="63AA38EF" w14:textId="1841A313" w:rsidR="0048389D" w:rsidRPr="0048389D" w:rsidRDefault="0048389D" w:rsidP="0048389D">
          <w:r w:rsidRPr="0048389D">
            <w:rPr>
              <w:i/>
              <w:iCs/>
            </w:rPr>
            <w:t>Body</w:t>
          </w:r>
          <w:r w:rsidR="00FA79BC" w:rsidRPr="00FA79BC">
            <w:rPr>
              <w:i/>
              <w:iCs/>
            </w:rPr>
            <w:t>…………………………………………………………………………………</w:t>
          </w:r>
          <w:r w:rsidR="00FA79BC">
            <w:rPr>
              <w:i/>
              <w:iCs/>
            </w:rPr>
            <w:t>..</w:t>
          </w:r>
          <w:r w:rsidR="001F4657" w:rsidRPr="00FA79BC">
            <w:rPr>
              <w:i/>
              <w:iCs/>
              <w:webHidden/>
            </w:rPr>
            <w:t>3</w:t>
          </w:r>
        </w:p>
        <w:p w14:paraId="14571001" w14:textId="25E7CD8D" w:rsidR="0048389D" w:rsidRPr="0048389D" w:rsidRDefault="0048389D" w:rsidP="0048389D">
          <w:r w:rsidRPr="0048389D">
            <w:t>Employee-Centric Design and Well-Being</w:t>
          </w:r>
          <w:r w:rsidR="00FA79BC" w:rsidRPr="00FA79BC">
            <w:t>…………………………………..</w:t>
          </w:r>
          <w:r w:rsidR="001F4657" w:rsidRPr="00FA79BC">
            <w:rPr>
              <w:webHidden/>
            </w:rPr>
            <w:t>3</w:t>
          </w:r>
        </w:p>
        <w:p w14:paraId="6B0DAE68" w14:textId="45569B59" w:rsidR="0048389D" w:rsidRPr="0048389D" w:rsidRDefault="0048389D" w:rsidP="0048389D">
          <w:r w:rsidRPr="0048389D">
            <w:t>Sustainability and Innovation</w:t>
          </w:r>
          <w:r w:rsidR="00FA79BC" w:rsidRPr="00FA79BC">
            <w:rPr>
              <w:webHidden/>
            </w:rPr>
            <w:t>……………………………………………………</w:t>
          </w:r>
          <w:r w:rsidR="001F4657" w:rsidRPr="00FA79BC">
            <w:rPr>
              <w:webHidden/>
            </w:rPr>
            <w:t>3</w:t>
          </w:r>
        </w:p>
        <w:p w14:paraId="06E8C6E4" w14:textId="566797C8" w:rsidR="0048389D" w:rsidRPr="0048389D" w:rsidRDefault="0048389D" w:rsidP="0048389D">
          <w:r w:rsidRPr="0048389D">
            <w:t>Stakeholder Engagement</w:t>
          </w:r>
          <w:r w:rsidR="00FA79BC" w:rsidRPr="00FA79BC">
            <w:rPr>
              <w:webHidden/>
            </w:rPr>
            <w:t>…………………………………………………………</w:t>
          </w:r>
          <w:r w:rsidR="001F4657" w:rsidRPr="00FA79BC">
            <w:rPr>
              <w:webHidden/>
            </w:rPr>
            <w:t>4</w:t>
          </w:r>
        </w:p>
        <w:p w14:paraId="2B22DD17" w14:textId="235427C2" w:rsidR="0048389D" w:rsidRPr="0048389D" w:rsidRDefault="0048389D" w:rsidP="0048389D">
          <w:r w:rsidRPr="0048389D">
            <w:t>Risk Factors</w:t>
          </w:r>
          <w:r w:rsidR="00FA79BC" w:rsidRPr="00FA79BC">
            <w:rPr>
              <w:webHidden/>
            </w:rPr>
            <w:t>…………………………………………………………………………..</w:t>
          </w:r>
          <w:r w:rsidR="001F4657" w:rsidRPr="00FA79BC">
            <w:rPr>
              <w:webHidden/>
            </w:rPr>
            <w:t>6</w:t>
          </w:r>
        </w:p>
        <w:p w14:paraId="73888109" w14:textId="4A513284" w:rsidR="0048389D" w:rsidRPr="0048389D" w:rsidRDefault="0048389D" w:rsidP="0048389D">
          <w:r w:rsidRPr="0048389D">
            <w:t>Community Impact and Corporate Social Responsibility (CSR)</w:t>
          </w:r>
          <w:r w:rsidR="00FA79BC" w:rsidRPr="00FA79BC">
            <w:rPr>
              <w:webHidden/>
            </w:rPr>
            <w:t>……..</w:t>
          </w:r>
          <w:r w:rsidR="001F4657" w:rsidRPr="00FA79BC">
            <w:rPr>
              <w:webHidden/>
            </w:rPr>
            <w:t>7</w:t>
          </w:r>
        </w:p>
        <w:p w14:paraId="56CB33A0" w14:textId="2A189197" w:rsidR="0048389D" w:rsidRPr="0048389D" w:rsidRDefault="0048389D" w:rsidP="0048389D">
          <w:r w:rsidRPr="0048389D">
            <w:rPr>
              <w:i/>
              <w:iCs/>
            </w:rPr>
            <w:t>Conclusion</w:t>
          </w:r>
          <w:r w:rsidR="00FA79BC" w:rsidRPr="00FA79BC">
            <w:rPr>
              <w:i/>
              <w:iCs/>
              <w:webHidden/>
            </w:rPr>
            <w:t>………………………………………………………………………</w:t>
          </w:r>
          <w:r w:rsidR="00FA79BC">
            <w:rPr>
              <w:i/>
              <w:iCs/>
              <w:webHidden/>
            </w:rPr>
            <w:t>…</w:t>
          </w:r>
          <w:r w:rsidR="001F4657" w:rsidRPr="00FA79BC">
            <w:rPr>
              <w:i/>
              <w:iCs/>
              <w:webHidden/>
            </w:rPr>
            <w:t>7</w:t>
          </w:r>
        </w:p>
        <w:p w14:paraId="4C88569E" w14:textId="77777777" w:rsidR="0048389D" w:rsidRPr="0048389D" w:rsidRDefault="0048389D" w:rsidP="0048389D"/>
      </w:sdtContent>
    </w:sdt>
    <w:p w14:paraId="2F8D1757" w14:textId="77777777" w:rsidR="001F4657" w:rsidRDefault="001F4657" w:rsidP="0048389D"/>
    <w:p w14:paraId="70DD30E8" w14:textId="77777777" w:rsidR="001F4657" w:rsidRDefault="001F4657" w:rsidP="0048389D"/>
    <w:p w14:paraId="4B33BBA9" w14:textId="77777777" w:rsidR="001F4657" w:rsidRDefault="001F4657" w:rsidP="0048389D"/>
    <w:p w14:paraId="64AAF754" w14:textId="77777777" w:rsidR="001F4657" w:rsidRDefault="001F4657" w:rsidP="0048389D"/>
    <w:p w14:paraId="48B9AF43" w14:textId="77777777" w:rsidR="001F4657" w:rsidRDefault="001F4657" w:rsidP="0048389D"/>
    <w:p w14:paraId="1779858F" w14:textId="77777777" w:rsidR="001F4657" w:rsidRDefault="001F4657" w:rsidP="0048389D"/>
    <w:p w14:paraId="6C4D9FDD" w14:textId="77777777" w:rsidR="001F4657" w:rsidRDefault="001F4657" w:rsidP="0048389D"/>
    <w:p w14:paraId="4B644D43" w14:textId="77777777" w:rsidR="001F4657" w:rsidRDefault="001F4657" w:rsidP="0048389D"/>
    <w:p w14:paraId="08660FF1" w14:textId="77777777" w:rsidR="001F4657" w:rsidRDefault="001F4657" w:rsidP="0048389D"/>
    <w:p w14:paraId="5B83638B" w14:textId="77777777" w:rsidR="001F4657" w:rsidRDefault="001F4657" w:rsidP="0048389D"/>
    <w:p w14:paraId="2F9D0C91" w14:textId="77777777" w:rsidR="001F4657" w:rsidRDefault="001F4657" w:rsidP="0048389D"/>
    <w:p w14:paraId="60710E05" w14:textId="77777777" w:rsidR="001F4657" w:rsidRDefault="001F4657" w:rsidP="0048389D"/>
    <w:p w14:paraId="19956749" w14:textId="77777777" w:rsidR="001F4657" w:rsidRDefault="001F4657" w:rsidP="0048389D"/>
    <w:p w14:paraId="35AF6C22" w14:textId="77777777" w:rsidR="001F4657" w:rsidRDefault="001F4657" w:rsidP="0048389D"/>
    <w:p w14:paraId="54034D41" w14:textId="77777777" w:rsidR="001F4657" w:rsidRDefault="001F4657" w:rsidP="0048389D"/>
    <w:p w14:paraId="264482C8" w14:textId="77777777" w:rsidR="001F4657" w:rsidRDefault="001F4657" w:rsidP="0048389D"/>
    <w:p w14:paraId="6D9C2F7C" w14:textId="77777777" w:rsidR="001F4657" w:rsidRDefault="001F4657" w:rsidP="0048389D"/>
    <w:p w14:paraId="146BF7BA" w14:textId="77777777" w:rsidR="001F4657" w:rsidRDefault="001F4657" w:rsidP="0048389D"/>
    <w:p w14:paraId="0456A433" w14:textId="77777777" w:rsidR="001F4657" w:rsidRDefault="001F4657" w:rsidP="0048389D"/>
    <w:p w14:paraId="33FFF87D" w14:textId="77777777" w:rsidR="001F4657" w:rsidRDefault="001F4657" w:rsidP="0048389D"/>
    <w:p w14:paraId="7C5D5ACE" w14:textId="77777777" w:rsidR="001F4657" w:rsidRDefault="001F4657" w:rsidP="0048389D"/>
    <w:p w14:paraId="256FCEE8" w14:textId="4DAA4827" w:rsidR="0048389D" w:rsidRPr="0048389D" w:rsidRDefault="0048389D" w:rsidP="00507826">
      <w:pPr>
        <w:jc w:val="center"/>
        <w:rPr>
          <w:sz w:val="32"/>
          <w:szCs w:val="32"/>
        </w:rPr>
      </w:pPr>
      <w:r w:rsidRPr="0048389D">
        <w:rPr>
          <w:sz w:val="32"/>
          <w:szCs w:val="32"/>
        </w:rPr>
        <w:lastRenderedPageBreak/>
        <w:t xml:space="preserve">The </w:t>
      </w:r>
      <w:r w:rsidR="001F4657" w:rsidRPr="00507826">
        <w:rPr>
          <w:sz w:val="32"/>
          <w:szCs w:val="32"/>
        </w:rPr>
        <w:t xml:space="preserve">London </w:t>
      </w:r>
      <w:r w:rsidRPr="0048389D">
        <w:rPr>
          <w:sz w:val="32"/>
          <w:szCs w:val="32"/>
        </w:rPr>
        <w:t>Headquarter</w:t>
      </w:r>
      <w:r w:rsidR="001F4657" w:rsidRPr="00507826">
        <w:rPr>
          <w:sz w:val="32"/>
          <w:szCs w:val="32"/>
        </w:rPr>
        <w:t>s</w:t>
      </w:r>
    </w:p>
    <w:p w14:paraId="4D615626" w14:textId="77777777" w:rsidR="0048389D" w:rsidRPr="0048389D" w:rsidRDefault="0048389D" w:rsidP="0048389D"/>
    <w:p w14:paraId="2A32CEAA" w14:textId="77777777" w:rsidR="0048389D" w:rsidRPr="0048389D" w:rsidRDefault="0048389D" w:rsidP="0048389D">
      <w:pPr>
        <w:rPr>
          <w:b/>
          <w:bCs/>
          <w:i/>
          <w:iCs/>
        </w:rPr>
      </w:pPr>
      <w:bookmarkStart w:id="1" w:name="_Toc173353965"/>
      <w:bookmarkStart w:id="2" w:name="_Toc173354021"/>
      <w:r w:rsidRPr="0048389D">
        <w:rPr>
          <w:b/>
          <w:bCs/>
          <w:i/>
          <w:iCs/>
        </w:rPr>
        <w:t>Introduction</w:t>
      </w:r>
      <w:bookmarkEnd w:id="1"/>
      <w:bookmarkEnd w:id="2"/>
    </w:p>
    <w:p w14:paraId="7A2F27F2" w14:textId="77777777" w:rsidR="0048389D" w:rsidRPr="0048389D" w:rsidRDefault="0048389D" w:rsidP="00621BF1">
      <w:pPr>
        <w:ind w:firstLine="720"/>
        <w:jc w:val="both"/>
      </w:pPr>
      <w:r w:rsidRPr="0048389D">
        <w:t>Google's recent announcement of establishing a new headquarters in King's Cross, London, with a sizeable investment of one billion pounds, highlights the company's strong dedication to fostering innovation, prioritizing employee well-being, and supporting local socio-economic progress. The forthcoming 60,400 square meter, 11-story headquarters is designed to accommodate 4,500 employees and will feature modern collaborative workspaces, cutting-edge technology, wellness amenities, and a variety of dining options. This initiative places a significant emphasis on sustainability, aiming to reduce carbon emissions and generate job opportunities that contribute to the area's economic advancement.</w:t>
      </w:r>
    </w:p>
    <w:p w14:paraId="101D28CB" w14:textId="77777777" w:rsidR="00621BF1" w:rsidRDefault="00621BF1" w:rsidP="0048389D">
      <w:bookmarkStart w:id="3" w:name="_Toc173353966"/>
      <w:bookmarkStart w:id="4" w:name="_Toc173354022"/>
    </w:p>
    <w:p w14:paraId="7E1C6718" w14:textId="17FAEB2F" w:rsidR="0048389D" w:rsidRPr="0048389D" w:rsidRDefault="0048389D" w:rsidP="0048389D">
      <w:pPr>
        <w:rPr>
          <w:b/>
          <w:bCs/>
          <w:i/>
          <w:iCs/>
        </w:rPr>
      </w:pPr>
      <w:r w:rsidRPr="0048389D">
        <w:rPr>
          <w:b/>
          <w:bCs/>
          <w:i/>
          <w:iCs/>
        </w:rPr>
        <w:t>Body</w:t>
      </w:r>
      <w:bookmarkEnd w:id="3"/>
      <w:bookmarkEnd w:id="4"/>
    </w:p>
    <w:p w14:paraId="22AC1169" w14:textId="77777777" w:rsidR="0048389D" w:rsidRPr="0048389D" w:rsidRDefault="0048389D" w:rsidP="0048389D">
      <w:pPr>
        <w:rPr>
          <w:i/>
          <w:iCs/>
        </w:rPr>
      </w:pPr>
      <w:bookmarkStart w:id="5" w:name="_Toc173353967"/>
      <w:bookmarkStart w:id="6" w:name="_Toc173354023"/>
      <w:r w:rsidRPr="0048389D">
        <w:rPr>
          <w:i/>
          <w:iCs/>
        </w:rPr>
        <w:t>Employee-Centric Design and Well-Being</w:t>
      </w:r>
      <w:bookmarkEnd w:id="5"/>
      <w:bookmarkEnd w:id="6"/>
    </w:p>
    <w:p w14:paraId="3E24AF34" w14:textId="77777777" w:rsidR="0048389D" w:rsidRPr="0048389D" w:rsidRDefault="0048389D" w:rsidP="00621BF1">
      <w:pPr>
        <w:ind w:firstLine="720"/>
        <w:jc w:val="both"/>
      </w:pPr>
      <w:r w:rsidRPr="0048389D">
        <w:t>Google's new headquarters is designed to prioritize the well-being of its employees and promote a sense of community and collaboration. It includes ergonomic work areas with modern furnishings, adjustable desks, and chairs to prioritize comfort and health. The design also incorporates biophilic elements such as indoor garden spaces, waterfalls, and vegetation-adorned walls to connect employees with nature and improve mental well-being. Natural light will be maximized through expansive windows and skylights to enhance alertness and productivity. Recreational facilities such as cafeterias with nutritious food options, fitness centres, multi-use game areas, and outdoor terraces aim to encourage relaxation, social engagement, and physical activity. Additionally, a rooftop running track will promote physically active commuting among employees. This comprehensive approach aims to enhance employee satisfaction, well-being, and long-term retention.</w:t>
      </w:r>
    </w:p>
    <w:p w14:paraId="65F6E52E" w14:textId="77777777" w:rsidR="00621BF1" w:rsidRDefault="00621BF1" w:rsidP="0048389D">
      <w:bookmarkStart w:id="7" w:name="_Toc173353968"/>
      <w:bookmarkStart w:id="8" w:name="_Toc173354024"/>
    </w:p>
    <w:p w14:paraId="115B5B2A" w14:textId="77777777" w:rsidR="00621BF1" w:rsidRDefault="00621BF1" w:rsidP="0048389D"/>
    <w:p w14:paraId="2062315D" w14:textId="4BC2F5C5" w:rsidR="0048389D" w:rsidRPr="0048389D" w:rsidRDefault="0048389D" w:rsidP="0048389D">
      <w:pPr>
        <w:rPr>
          <w:i/>
          <w:iCs/>
        </w:rPr>
      </w:pPr>
      <w:r w:rsidRPr="0048389D">
        <w:rPr>
          <w:i/>
          <w:iCs/>
        </w:rPr>
        <w:t>Sustainability and Innovation</w:t>
      </w:r>
      <w:bookmarkEnd w:id="7"/>
      <w:bookmarkEnd w:id="8"/>
    </w:p>
    <w:p w14:paraId="720C7D98" w14:textId="77777777" w:rsidR="0048389D" w:rsidRPr="0048389D" w:rsidRDefault="0048389D" w:rsidP="00621BF1">
      <w:pPr>
        <w:ind w:firstLine="720"/>
        <w:jc w:val="both"/>
      </w:pPr>
      <w:r w:rsidRPr="0048389D">
        <w:t>At the core of Google’s operational philosophy is a steadfast commitment to sustainability, which is vividly reflected in the ambitious design of the King’s Cross headquarters. As a globally recognized entity, Google is acutely aware of its responsibility to lead by example in the context of environmental competitive standards (Woods, 2020).</w:t>
      </w:r>
    </w:p>
    <w:p w14:paraId="643B34FD" w14:textId="77777777" w:rsidR="0048389D" w:rsidRPr="0048389D" w:rsidRDefault="0048389D" w:rsidP="00621BF1">
      <w:pPr>
        <w:ind w:firstLine="720"/>
        <w:jc w:val="both"/>
      </w:pPr>
      <w:r w:rsidRPr="0048389D">
        <w:t>The headquarters will incorporate cutting-edge sustainable building practices, showcasing a range of technologies and materials that adhere to high environmental standards (Benenson &amp; Campbell, 2019). A main focus of this sustainability initiative will be the implementation of advanced energy-efficient systems. Comprehensive LED lighting will dynamically adjust based on occupancy and natural light availability, successfully minimizing energy consumption without compromising on comfort (Zhang et al., 2018).</w:t>
      </w:r>
    </w:p>
    <w:p w14:paraId="4E6CC904" w14:textId="77777777" w:rsidR="0048389D" w:rsidRPr="0048389D" w:rsidRDefault="0048389D" w:rsidP="00621BF1">
      <w:pPr>
        <w:ind w:firstLine="720"/>
        <w:jc w:val="both"/>
      </w:pPr>
      <w:r w:rsidRPr="0048389D">
        <w:t xml:space="preserve">Furthermore, state-of-the-art HVAC (heating, ventilation, and air conditioning) systems will manage the building's climate and feature high-performance air filtration units. These </w:t>
      </w:r>
      <w:r w:rsidRPr="0048389D">
        <w:lastRenderedPageBreak/>
        <w:t>systems are designed to enhance air quality, ensuring all occupants breathe clean and healthy air as a fundamental aspect of workplace wellness (Daisey et al., 2003). Furthermore, technologies that integrate smart sensors will monitor CO2 levels and automatically adjust ventilation rates to ensure a continual flow of fresh air throughout the office.</w:t>
      </w:r>
    </w:p>
    <w:p w14:paraId="3E688900" w14:textId="77777777" w:rsidR="0048389D" w:rsidRPr="0048389D" w:rsidRDefault="0048389D" w:rsidP="00621BF1">
      <w:pPr>
        <w:ind w:firstLine="720"/>
        <w:jc w:val="both"/>
      </w:pPr>
      <w:r w:rsidRPr="0048389D">
        <w:t>The commitment to renewable energy sources plays a substantial role in the project’s sustainability strategy. Solar panels will be installed on rooftops and terraces to harness renewable solar energy, significantly supplementing the building’s energy requirements. Wind turbines may also be employed, capitalizing on the region’s wind patterns to enhance energy generation capabilities (Omer, 2008). These proactive initiatives aim for the headquarters to achieve net-zero energy status, representing a benchmark in operational sustainability and environmental responsibility (Huang &amp; Hsu, 2017).</w:t>
      </w:r>
    </w:p>
    <w:p w14:paraId="4B5CAA14" w14:textId="77777777" w:rsidR="0048389D" w:rsidRPr="0048389D" w:rsidRDefault="0048389D" w:rsidP="00621BF1">
      <w:pPr>
        <w:ind w:firstLine="720"/>
        <w:jc w:val="both"/>
      </w:pPr>
      <w:r w:rsidRPr="0048389D">
        <w:t>In addition, Google’s sustainable materials strategy will revolve around principles of circular design. The headquarters will utilize recycled materials, such as steel and other industrial by-products, helping to minimize the ecological footprint associated with new material extraction (Geissdoerfer et al., 2018). The adoption of sustainably sourced timber will further underline the commitment to environmental stewardship, ensuring that the construction supports responsible forestry practices.</w:t>
      </w:r>
    </w:p>
    <w:p w14:paraId="3CF59C61" w14:textId="77777777" w:rsidR="0048389D" w:rsidRPr="0048389D" w:rsidRDefault="0048389D" w:rsidP="00621BF1">
      <w:pPr>
        <w:ind w:firstLine="720"/>
        <w:jc w:val="both"/>
      </w:pPr>
      <w:r w:rsidRPr="0048389D">
        <w:t>The incorporation of innovative technologies extends well beyond merely conserving energy; smart building systems will dynamically manage resources to optimize usage. By integrating Internet of Things (IoT) technologies, real-time monitoring of energy consumption and environmental conditions will allow the building to adapt autonomously (Zhou et al., 2017). For example, automated lighting systems will dim when sufficient natural light is present, and heating and cooling systems will adjust based on real-time occupancy data.</w:t>
      </w:r>
    </w:p>
    <w:p w14:paraId="357D0A48" w14:textId="77777777" w:rsidR="0048389D" w:rsidRPr="0048389D" w:rsidRDefault="0048389D" w:rsidP="00621BF1">
      <w:pPr>
        <w:ind w:firstLine="720"/>
        <w:jc w:val="both"/>
      </w:pPr>
      <w:r w:rsidRPr="0048389D">
        <w:t>Moreover, Google plans to implement an extensive waste management system within the headquarters, focusing on the principles of reduce, reuse, and recycle (Murphy et al., 2016). A systematic approach to waste segregation will be established from the outset of the project to facilitate effective recycling of materials and organic waste, thereby minimizing landfill contributions. On-site composting coupled with partnerships with local zero-waste initiatives can further reinforce the headquarters’ role as an engaged community member dedicated to environmental responsibility.</w:t>
      </w:r>
    </w:p>
    <w:p w14:paraId="19004C38" w14:textId="77777777" w:rsidR="0048389D" w:rsidRPr="0048389D" w:rsidRDefault="0048389D" w:rsidP="00621BF1">
      <w:pPr>
        <w:ind w:firstLine="720"/>
      </w:pPr>
      <w:r w:rsidRPr="0048389D">
        <w:t>By championing these sustainable and innovative practices, Google's headquarters will not only strengthen corporate responsibility but also serve as a prototype for future architectural projects that embrace similar philosophies. The headquarters is anticipated to become a cornerstone of sustainability and innovation in corporate real estate, successfully attracting employees who share these values and serving as a catalyst for urban renewal.</w:t>
      </w:r>
    </w:p>
    <w:p w14:paraId="3B17122F" w14:textId="77777777" w:rsidR="00621BF1" w:rsidRDefault="00621BF1" w:rsidP="0048389D">
      <w:bookmarkStart w:id="9" w:name="_Toc173353969"/>
      <w:bookmarkStart w:id="10" w:name="_Toc173354025"/>
    </w:p>
    <w:p w14:paraId="3B78AE93" w14:textId="78C51081" w:rsidR="0048389D" w:rsidRPr="0048389D" w:rsidRDefault="0048389D" w:rsidP="0048389D">
      <w:pPr>
        <w:rPr>
          <w:i/>
          <w:iCs/>
        </w:rPr>
      </w:pPr>
      <w:r w:rsidRPr="0048389D">
        <w:rPr>
          <w:i/>
          <w:iCs/>
        </w:rPr>
        <w:t>Stakeholder Engagement</w:t>
      </w:r>
      <w:bookmarkEnd w:id="9"/>
      <w:bookmarkEnd w:id="10"/>
    </w:p>
    <w:p w14:paraId="1FCE1A04" w14:textId="77777777" w:rsidR="0048389D" w:rsidRPr="0048389D" w:rsidRDefault="0048389D" w:rsidP="00621BF1">
      <w:pPr>
        <w:ind w:firstLine="720"/>
        <w:jc w:val="both"/>
      </w:pPr>
      <w:r w:rsidRPr="0048389D">
        <w:t>The complexity of constructing the Google Headquarters necessitates robust engagement with a diverse range of stakeholders, each with distinct perspectives, interests, and concerns. Identifying and involving these stakeholders from the planning phase is indispensable for ensuring a successful outcome and fostering a collaborative environment (Bryson, 2004).</w:t>
      </w:r>
    </w:p>
    <w:p w14:paraId="40C8D269" w14:textId="77777777" w:rsidR="0048389D" w:rsidRPr="0048389D" w:rsidRDefault="0048389D" w:rsidP="00621BF1">
      <w:pPr>
        <w:ind w:firstLine="720"/>
        <w:jc w:val="both"/>
      </w:pPr>
      <w:r w:rsidRPr="0048389D">
        <w:t xml:space="preserve">Internal Stakeholders: Internally, various teams at Google—including those from real estate, facilities management, and corporate strategy—will play crucial roles in guiding the </w:t>
      </w:r>
      <w:r w:rsidRPr="0048389D">
        <w:lastRenderedPageBreak/>
        <w:t>project. These teams must work closely to define the vision, objectives, and logistical frameworks essential for the effective implementation of this ambitious project. Ongoing consultations and brainstorming sessions with key employees will help align the new environment with their functional needs while ensuring operational efficacy (</w:t>
      </w:r>
      <w:proofErr w:type="spellStart"/>
      <w:r w:rsidRPr="0048389D">
        <w:t>Caniëls</w:t>
      </w:r>
      <w:proofErr w:type="spellEnd"/>
      <w:r w:rsidRPr="0048389D">
        <w:t xml:space="preserve"> &amp; Veld, 2018). A continuous feedback loop with those who will occupy the space can yield innovative design solutions that enhance overall workplace productivity and well-being.</w:t>
      </w:r>
    </w:p>
    <w:p w14:paraId="733CE081" w14:textId="77777777" w:rsidR="0048389D" w:rsidRPr="0048389D" w:rsidRDefault="0048389D" w:rsidP="00621BF1">
      <w:pPr>
        <w:ind w:firstLine="720"/>
        <w:jc w:val="both"/>
      </w:pPr>
      <w:r w:rsidRPr="0048389D">
        <w:t>Project Management and Construction Firms: Engaging experienced project management and construction firms is critical for ensuring effective execution. These firms will navigate the complexities of design and construction while assuring compliance with the myriad local regulations governing large-scale projects (Pinto &amp; Prescott, 2000). Their expertise will help streamline workflows and maintain quality control through all phases of construction. Systematic updates, communication channels, and transparent reporting will be integral to managing timelines and expectations, ultimately fostering a collaborative atmosphere focused on achieving project goals.</w:t>
      </w:r>
    </w:p>
    <w:p w14:paraId="017DB751" w14:textId="77777777" w:rsidR="0048389D" w:rsidRPr="0048389D" w:rsidRDefault="0048389D" w:rsidP="00621BF1">
      <w:pPr>
        <w:ind w:firstLine="720"/>
        <w:jc w:val="both"/>
      </w:pPr>
      <w:r w:rsidRPr="0048389D">
        <w:t>Local Government and Regulatory Bodies: Establishing cooperative relationships with local government entities, such as councils and planning authorities, proves pivotal for navigating regulatory pathways. Timely approvals for permits, zoning changes, and safety inspections are essential for maintaining project momentum (Bovens et al., 2008). By engaging proactively with these stakeholders, Google can reinforce its commitment to adhering to established legal frameworks, thus building trust within the community.</w:t>
      </w:r>
    </w:p>
    <w:p w14:paraId="4EEE5B0B" w14:textId="77777777" w:rsidR="0048389D" w:rsidRPr="0048389D" w:rsidRDefault="0048389D" w:rsidP="00621BF1">
      <w:pPr>
        <w:ind w:firstLine="720"/>
        <w:jc w:val="both"/>
      </w:pPr>
      <w:r w:rsidRPr="0048389D">
        <w:t>Community Involvement: The local community represents one of the most significantly impacted stakeholder groups. Engagement strategies will encompass genuine dialogues with residents, businesses, and community organizations, allowing for insights and concerns to be addressed more effectively. Public consultations and open forums will reinforce transparency, enabling Google to illustrate how the headquarters will serve the interests of King’s Cross residents (Friedman, 2020). Initiatives, such as neighbourhood advisory councils, will facilitate ongoing input and feedback during the construction process, promoting a sense of shared ownership and collaboration.</w:t>
      </w:r>
    </w:p>
    <w:p w14:paraId="29278CD1" w14:textId="77777777" w:rsidR="0048389D" w:rsidRPr="0048389D" w:rsidRDefault="0048389D" w:rsidP="00621BF1">
      <w:pPr>
        <w:ind w:firstLine="720"/>
        <w:jc w:val="both"/>
      </w:pPr>
      <w:r w:rsidRPr="0048389D">
        <w:t>The collaboration with local businesses will also enhance the project, strengthening the regional economy. This may involve mentorship programs, procurement opportunities for local suppliers, and community engagement events that unite various stakeholders to foster connections and uplift local enterprises (Sharma et al., 2011).</w:t>
      </w:r>
    </w:p>
    <w:p w14:paraId="6D51E85E" w14:textId="77777777" w:rsidR="0048389D" w:rsidRPr="0048389D" w:rsidRDefault="0048389D" w:rsidP="00621BF1">
      <w:pPr>
        <w:ind w:firstLine="720"/>
        <w:jc w:val="both"/>
      </w:pPr>
      <w:r w:rsidRPr="0048389D">
        <w:t>External Auditors and Consultants: Engaging external auditors and consultants will deliver important oversight and specialized knowledge to the project. These professionals can support assessing environmental impacts, ensuring compliance with sustainability mandates, and maintaining trust through financial transparency (Granovskiy et al., 2019). By integrating this expertise early in the project lifecycle, Google can uphold high standards while continuously evaluating progress against established benchmarks.</w:t>
      </w:r>
    </w:p>
    <w:p w14:paraId="7A4C520F" w14:textId="77777777" w:rsidR="0048389D" w:rsidRPr="0048389D" w:rsidRDefault="0048389D" w:rsidP="00621BF1">
      <w:pPr>
        <w:ind w:firstLine="720"/>
        <w:jc w:val="both"/>
      </w:pPr>
      <w:r w:rsidRPr="0048389D">
        <w:t>The strategy around stakeholder management will emphasize effective communication and proactive engagement, highlighting the importance of trust and transparency in building durable relationships that will support the project throughout its lifecycle.</w:t>
      </w:r>
    </w:p>
    <w:p w14:paraId="40BFD7A5" w14:textId="77777777" w:rsidR="00621BF1" w:rsidRDefault="00621BF1" w:rsidP="0048389D">
      <w:bookmarkStart w:id="11" w:name="_Toc173353970"/>
      <w:bookmarkStart w:id="12" w:name="_Toc173354026"/>
    </w:p>
    <w:p w14:paraId="53CB9253" w14:textId="77777777" w:rsidR="001F4657" w:rsidRDefault="001F4657" w:rsidP="0048389D">
      <w:pPr>
        <w:rPr>
          <w:i/>
          <w:iCs/>
        </w:rPr>
      </w:pPr>
    </w:p>
    <w:p w14:paraId="3A088FBA" w14:textId="77777777" w:rsidR="001F4657" w:rsidRDefault="001F4657" w:rsidP="0048389D">
      <w:pPr>
        <w:rPr>
          <w:i/>
          <w:iCs/>
        </w:rPr>
      </w:pPr>
    </w:p>
    <w:p w14:paraId="5CF509A6" w14:textId="43B9629A" w:rsidR="0048389D" w:rsidRPr="0048389D" w:rsidRDefault="0048389D" w:rsidP="0048389D">
      <w:pPr>
        <w:rPr>
          <w:i/>
          <w:iCs/>
        </w:rPr>
      </w:pPr>
      <w:r w:rsidRPr="0048389D">
        <w:rPr>
          <w:i/>
          <w:iCs/>
        </w:rPr>
        <w:t>Risk Factors</w:t>
      </w:r>
      <w:bookmarkEnd w:id="11"/>
      <w:bookmarkEnd w:id="12"/>
    </w:p>
    <w:p w14:paraId="3F801D6A" w14:textId="77777777" w:rsidR="0048389D" w:rsidRPr="0048389D" w:rsidRDefault="0048389D" w:rsidP="0048389D">
      <w:r w:rsidRPr="0048389D">
        <w:t xml:space="preserve">Risk Identification and Assessment: </w:t>
      </w:r>
    </w:p>
    <w:p w14:paraId="30F54BDE" w14:textId="77777777" w:rsidR="0048389D" w:rsidRPr="0048389D" w:rsidRDefault="0048389D" w:rsidP="00621BF1">
      <w:pPr>
        <w:ind w:firstLine="720"/>
        <w:jc w:val="both"/>
      </w:pPr>
      <w:r w:rsidRPr="0048389D">
        <w:t>Conducting an extensive risk assessment is a pivotal aspect of project management for Google’s headquarters. During the planning phase, it is critical to systematically identify potential risks that could impact key project outcomes (Hillson, 2003). Internal risks may arise from budgetary constraints, resource limitations, project delays due to unforeseen circumstances, and technological challenges that come from implementing advanced design features. For example, challenges may surface related to sourcing sustainable materials, necessitating alternative solutions to ensure timely project completion while adhering to budgetary limitations.</w:t>
      </w:r>
    </w:p>
    <w:p w14:paraId="4D6C4DC1" w14:textId="77777777" w:rsidR="0048389D" w:rsidRPr="0048389D" w:rsidRDefault="0048389D" w:rsidP="00621BF1">
      <w:pPr>
        <w:ind w:firstLine="720"/>
        <w:jc w:val="both"/>
      </w:pPr>
      <w:r w:rsidRPr="0048389D">
        <w:t>External risks may emerge from changes in regulatory landscapes, public perception, market fluctuations, and environmental factors that might delay construction timelines. Current issues, such as the potential for increased material costs stemming from global supply chain disruptions, must be scrutinized and addressed proactivity in risk planning (Bafakih et al., 2021).</w:t>
      </w:r>
    </w:p>
    <w:p w14:paraId="4EEFB13D" w14:textId="77777777" w:rsidR="0048389D" w:rsidRPr="0048389D" w:rsidRDefault="0048389D" w:rsidP="00621BF1">
      <w:pPr>
        <w:ind w:firstLine="720"/>
        <w:jc w:val="both"/>
      </w:pPr>
      <w:r w:rsidRPr="0048389D">
        <w:t>Analysing these risks requires thorough collaboration and input from diverse stakeholder perspectives to ensure a comprehensive understanding of potential pitfalls. Involving all relevant teams will facilitate the creation of a risk inventory encompassing various factors that could impede project progress.</w:t>
      </w:r>
    </w:p>
    <w:p w14:paraId="6DC17788" w14:textId="77777777" w:rsidR="00621BF1" w:rsidRDefault="00621BF1" w:rsidP="0048389D"/>
    <w:p w14:paraId="5C6F5FFA" w14:textId="1AC0B3E1" w:rsidR="0048389D" w:rsidRPr="0048389D" w:rsidRDefault="0048389D" w:rsidP="0048389D">
      <w:r w:rsidRPr="0048389D">
        <w:rPr>
          <w:i/>
          <w:iCs/>
        </w:rPr>
        <w:t>Risk Mitigation Strategies</w:t>
      </w:r>
      <w:r w:rsidRPr="0048389D">
        <w:t>:</w:t>
      </w:r>
    </w:p>
    <w:p w14:paraId="37C1EC76" w14:textId="77777777" w:rsidR="0048389D" w:rsidRPr="0048389D" w:rsidRDefault="0048389D" w:rsidP="00621BF1">
      <w:pPr>
        <w:ind w:firstLine="720"/>
        <w:jc w:val="both"/>
      </w:pPr>
      <w:r w:rsidRPr="0048389D">
        <w:t>Once risks have been identified, it is crucial to implement effective mitigation strategies to ensure smooth navigation through project complexities. Key risk mitigation strategies may include:</w:t>
      </w:r>
    </w:p>
    <w:p w14:paraId="25994143" w14:textId="77777777" w:rsidR="0048389D" w:rsidRPr="0048389D" w:rsidRDefault="0048389D" w:rsidP="00621BF1">
      <w:pPr>
        <w:ind w:firstLine="720"/>
        <w:jc w:val="both"/>
      </w:pPr>
      <w:r w:rsidRPr="0048389D">
        <w:t>Contingency Planning: Developing comprehensive contingency plans allows for immediate response to unforeseen incidents. By identifying common risks—such as construction delays or budget overruns—contingency scenarios can articulate specific response strategies that minimize disruptions (Pritchard &amp; PMP, 2004). This may entail adjusting project timelines or activating budget reserves to cover unexpected expenses.</w:t>
      </w:r>
    </w:p>
    <w:p w14:paraId="03696B61" w14:textId="77777777" w:rsidR="0048389D" w:rsidRPr="0048389D" w:rsidRDefault="0048389D" w:rsidP="00621BF1">
      <w:pPr>
        <w:ind w:firstLine="720"/>
        <w:jc w:val="both"/>
      </w:pPr>
      <w:r w:rsidRPr="0048389D">
        <w:t>Risk Transfer: Certain identified risks can be effectively transferred to third parties through contracts and insurance agreements. By explicitly defining risk responsibilities within contracts, Google can minimize potential liabilities across various project stages, ensuring that stakeholders understand their roles in managing these risks (Kumar, 2019).</w:t>
      </w:r>
    </w:p>
    <w:p w14:paraId="7E491903" w14:textId="77777777" w:rsidR="0048389D" w:rsidRPr="0048389D" w:rsidRDefault="0048389D" w:rsidP="00621BF1">
      <w:pPr>
        <w:ind w:firstLine="720"/>
        <w:jc w:val="both"/>
      </w:pPr>
      <w:r w:rsidRPr="0048389D">
        <w:t>Risk Avoidance: Conducting thorough analyses to pinpoint high-risk activities can facilitate strategic avoidance of potential issues. If specific materials face availability uncertainties, the project may adapt by selecting alternative materials that meet both sustainability standards and logistical availability, thereby minimizing risks associated with supplier delays.</w:t>
      </w:r>
    </w:p>
    <w:p w14:paraId="555191CF" w14:textId="77777777" w:rsidR="0048389D" w:rsidRPr="0048389D" w:rsidRDefault="0048389D" w:rsidP="00621BF1">
      <w:pPr>
        <w:ind w:firstLine="720"/>
        <w:jc w:val="both"/>
      </w:pPr>
      <w:r w:rsidRPr="0048389D">
        <w:t xml:space="preserve">Continuous Monitoring: Establishing an effective framework for ongoing risk assessments will be crucial to adapt to changing circumstances throughout the project lifecycle. Regular reviews of risk inventories, project condition analyses, and the implementation of </w:t>
      </w:r>
      <w:r w:rsidRPr="0048389D">
        <w:lastRenderedPageBreak/>
        <w:t>necessary adjustments to mitigation strategies will ensure that evolving risks are addressed swiftly and effectively (Ward &amp; Chapman, 2003).</w:t>
      </w:r>
    </w:p>
    <w:p w14:paraId="339A335F" w14:textId="77777777" w:rsidR="00621BF1" w:rsidRDefault="00621BF1" w:rsidP="0048389D">
      <w:bookmarkStart w:id="13" w:name="_Toc173353971"/>
      <w:bookmarkStart w:id="14" w:name="_Toc173354027"/>
    </w:p>
    <w:p w14:paraId="355386A5" w14:textId="32139079" w:rsidR="0048389D" w:rsidRPr="0048389D" w:rsidRDefault="0048389D" w:rsidP="0048389D">
      <w:pPr>
        <w:rPr>
          <w:i/>
          <w:iCs/>
        </w:rPr>
      </w:pPr>
      <w:r w:rsidRPr="0048389D">
        <w:rPr>
          <w:i/>
          <w:iCs/>
        </w:rPr>
        <w:t>Community Impact and Corporate Social Responsibility (CSR)</w:t>
      </w:r>
      <w:bookmarkEnd w:id="13"/>
      <w:bookmarkEnd w:id="14"/>
    </w:p>
    <w:p w14:paraId="6061369D" w14:textId="77777777" w:rsidR="0048389D" w:rsidRPr="0048389D" w:rsidRDefault="0048389D" w:rsidP="00621BF1">
      <w:pPr>
        <w:ind w:firstLine="720"/>
        <w:jc w:val="both"/>
      </w:pPr>
      <w:r w:rsidRPr="0048389D">
        <w:t>Given the extensive nature of the Google Headquarters project, a holistic evaluation of its implications for the King’s Cross community is vital. Implementing principles of Corporate Social Responsibility (CSR) offers a pathway to navigate the project toward enriching the community and facilitating meaningful social impact (Porter &amp; Kramer, 2011).</w:t>
      </w:r>
    </w:p>
    <w:p w14:paraId="0C791A9A" w14:textId="77777777" w:rsidR="0048389D" w:rsidRPr="0048389D" w:rsidRDefault="0048389D" w:rsidP="00621BF1">
      <w:pPr>
        <w:ind w:firstLine="720"/>
        <w:jc w:val="both"/>
      </w:pPr>
      <w:r w:rsidRPr="0048389D">
        <w:t>Through carefully planned initiatives that focus on job creation and active community engagement, Google can significantly bolster the region’s economic landscape. Collaborating with local educational institutions to develop targeted training programs that equip residents with skills for employment opportunities at the new headquarters can enhance local employment prospects and foster goodwill in the community (Richardson &amp; Noy, 2020).</w:t>
      </w:r>
    </w:p>
    <w:p w14:paraId="1CFE3933" w14:textId="77777777" w:rsidR="0048389D" w:rsidRPr="0048389D" w:rsidRDefault="0048389D" w:rsidP="00621BF1">
      <w:pPr>
        <w:ind w:firstLine="720"/>
        <w:jc w:val="both"/>
      </w:pPr>
      <w:r w:rsidRPr="0048389D">
        <w:t>Moreover, integrating public spaces and amenities that benefit both employees and the broader community can magnify the positive effects of the headquarters. By creating recreational facilities, green areas, and venues for cultural events, Google can deepen community connections and enrich the social landscape of King’s Cross (Dempsey et al., 2011). Educational programming, workshops, and training sessions organized at the headquarters can further contribute to community development.</w:t>
      </w:r>
    </w:p>
    <w:p w14:paraId="5FE5164B" w14:textId="395DF47C" w:rsidR="0048389D" w:rsidRPr="0048389D" w:rsidRDefault="0048389D" w:rsidP="00621BF1">
      <w:pPr>
        <w:ind w:firstLine="720"/>
        <w:jc w:val="both"/>
      </w:pPr>
      <w:r w:rsidRPr="0048389D">
        <w:t xml:space="preserve">In alignment with CSR commitments, Google is set to maintain a continuous dialogue with the community throughout the construction journey. By committing to transparent communication around project timelines, anticipated disruptions, and community engagement strategies, Google can foster a more positive perception of the headquarters project while reinforcing its role as a responsible </w:t>
      </w:r>
      <w:r w:rsidR="00621BF1" w:rsidRPr="0048389D">
        <w:t>neighbour</w:t>
      </w:r>
      <w:r w:rsidRPr="0048389D">
        <w:t xml:space="preserve"> (Blowfield &amp; Murray, 2014).</w:t>
      </w:r>
    </w:p>
    <w:p w14:paraId="729520FF" w14:textId="77777777" w:rsidR="0048389D" w:rsidRPr="0048389D" w:rsidRDefault="0048389D" w:rsidP="00621BF1">
      <w:pPr>
        <w:ind w:firstLine="720"/>
        <w:jc w:val="both"/>
      </w:pPr>
      <w:r w:rsidRPr="0048389D">
        <w:t>In summary, effective stakeholder management strategies are crucial for addressing the diverse needs and expectations of all stakeholders involved with the Google Headquarters project. Adopting a proactive stance on assessing and mitigating impacts on the local community, combined with a strong emphasis on corporate social responsibility, holds the potential to cultivate a mutually beneficial relationship between Google and the King’s Cross community.</w:t>
      </w:r>
    </w:p>
    <w:p w14:paraId="114CBD5E" w14:textId="77777777" w:rsidR="00621BF1" w:rsidRDefault="00621BF1" w:rsidP="0048389D">
      <w:bookmarkStart w:id="15" w:name="_Toc173353972"/>
      <w:bookmarkStart w:id="16" w:name="_Toc173354028"/>
    </w:p>
    <w:p w14:paraId="2F062436" w14:textId="77777777" w:rsidR="00621BF1" w:rsidRDefault="00621BF1" w:rsidP="0048389D"/>
    <w:p w14:paraId="5E1FCA1A" w14:textId="48097CD0" w:rsidR="0048389D" w:rsidRPr="0048389D" w:rsidRDefault="0048389D" w:rsidP="0048389D">
      <w:r w:rsidRPr="0048389D">
        <w:t>Conclusion</w:t>
      </w:r>
      <w:bookmarkEnd w:id="15"/>
      <w:bookmarkEnd w:id="16"/>
    </w:p>
    <w:p w14:paraId="04991DD7" w14:textId="77777777" w:rsidR="0048389D" w:rsidRPr="0048389D" w:rsidRDefault="0048389D" w:rsidP="00621BF1">
      <w:pPr>
        <w:ind w:firstLine="720"/>
        <w:jc w:val="both"/>
      </w:pPr>
      <w:r w:rsidRPr="0048389D">
        <w:t>In conclusion, the Google Headquarters project in King’s Cross, London, signifies a transformative investment in infrastructure and innovation. By thoroughly evaluating essential elements—such as budgetary allocations, timelines, quality assurance, stakeholder engagement, and risk management—Google can pave the way for the successful implementation of this project while contributing to the local knowledge-based economy’s growth.</w:t>
      </w:r>
    </w:p>
    <w:p w14:paraId="011A8525" w14:textId="77777777" w:rsidR="0048389D" w:rsidRPr="0048389D" w:rsidRDefault="0048389D" w:rsidP="00621BF1">
      <w:pPr>
        <w:ind w:firstLine="720"/>
        <w:jc w:val="both"/>
      </w:pPr>
      <w:r w:rsidRPr="0048389D">
        <w:t xml:space="preserve">It is essential for Google to maintain a strong focus on employee well-being, sustainability, and active community engagement throughout the project’s lifecycle to create a </w:t>
      </w:r>
      <w:r w:rsidRPr="0048389D">
        <w:lastRenderedPageBreak/>
        <w:t>dynamic and supportive workspace. Through the integration of best practices in project management and risk mitigation, Google is poised to establish a landmark headquarters that reflects its unwavering commitment to excellence, innovation, and responsible corporate citizenship.</w:t>
      </w:r>
    </w:p>
    <w:p w14:paraId="71728D38" w14:textId="77777777" w:rsidR="0048389D" w:rsidRPr="0048389D" w:rsidRDefault="0048389D" w:rsidP="00621BF1">
      <w:pPr>
        <w:ind w:firstLine="720"/>
        <w:jc w:val="both"/>
      </w:pPr>
      <w:r w:rsidRPr="0048389D">
        <w:t>The successful realization of this project will redefine Google’s connection to the city of London and set new benchmarks for corporate development, showcasing the harmonious coexistence of sustainable progress and social responsibility.</w:t>
      </w:r>
    </w:p>
    <w:p w14:paraId="52A080B3" w14:textId="77777777" w:rsidR="0048389D" w:rsidRPr="0048389D" w:rsidRDefault="0048389D" w:rsidP="0048389D">
      <w:r w:rsidRPr="0048389D">
        <w:pict w14:anchorId="107F70FA">
          <v:rect id="_x0000_i1037" style="width:468pt;height:.75pt" o:hralign="center" o:hrstd="t" o:hr="t" fillcolor="#a0a0a0" stroked="f"/>
        </w:pict>
      </w:r>
    </w:p>
    <w:p w14:paraId="5A54144D" w14:textId="77777777" w:rsidR="00621BF1" w:rsidRDefault="00621BF1" w:rsidP="0048389D"/>
    <w:p w14:paraId="7D5C1E67" w14:textId="77777777" w:rsidR="00621BF1" w:rsidRDefault="00621BF1" w:rsidP="0048389D"/>
    <w:p w14:paraId="7D69D225" w14:textId="77777777" w:rsidR="00621BF1" w:rsidRDefault="00621BF1" w:rsidP="0048389D"/>
    <w:p w14:paraId="76B55758" w14:textId="77777777" w:rsidR="00621BF1" w:rsidRDefault="00621BF1" w:rsidP="0048389D"/>
    <w:p w14:paraId="54C64F24" w14:textId="77777777" w:rsidR="00621BF1" w:rsidRDefault="00621BF1" w:rsidP="0048389D"/>
    <w:p w14:paraId="12950D4F" w14:textId="77777777" w:rsidR="00621BF1" w:rsidRDefault="00621BF1" w:rsidP="0048389D"/>
    <w:p w14:paraId="6CF73D0F" w14:textId="77777777" w:rsidR="00621BF1" w:rsidRDefault="00621BF1" w:rsidP="0048389D"/>
    <w:p w14:paraId="4A93B30A" w14:textId="77777777" w:rsidR="00621BF1" w:rsidRDefault="00621BF1" w:rsidP="0048389D"/>
    <w:p w14:paraId="34960B8E" w14:textId="77777777" w:rsidR="00621BF1" w:rsidRDefault="00621BF1" w:rsidP="0048389D"/>
    <w:p w14:paraId="4B8AB074" w14:textId="77777777" w:rsidR="00621BF1" w:rsidRDefault="00621BF1" w:rsidP="0048389D"/>
    <w:p w14:paraId="7390A733" w14:textId="77777777" w:rsidR="00621BF1" w:rsidRDefault="00621BF1" w:rsidP="0048389D"/>
    <w:p w14:paraId="231DC7D6" w14:textId="77777777" w:rsidR="00621BF1" w:rsidRDefault="00621BF1" w:rsidP="0048389D"/>
    <w:p w14:paraId="2B86309B" w14:textId="77777777" w:rsidR="00621BF1" w:rsidRDefault="00621BF1" w:rsidP="0048389D"/>
    <w:p w14:paraId="5DC6B06F" w14:textId="77777777" w:rsidR="00621BF1" w:rsidRDefault="00621BF1" w:rsidP="0048389D"/>
    <w:p w14:paraId="7A460935" w14:textId="77777777" w:rsidR="00621BF1" w:rsidRDefault="00621BF1" w:rsidP="0048389D"/>
    <w:p w14:paraId="7664C363" w14:textId="77777777" w:rsidR="00621BF1" w:rsidRDefault="00621BF1" w:rsidP="0048389D"/>
    <w:p w14:paraId="6CC01417" w14:textId="77777777" w:rsidR="00621BF1" w:rsidRDefault="00621BF1" w:rsidP="0048389D"/>
    <w:p w14:paraId="1DA83F21" w14:textId="77777777" w:rsidR="00621BF1" w:rsidRDefault="00621BF1" w:rsidP="0048389D"/>
    <w:p w14:paraId="230CB398" w14:textId="77777777" w:rsidR="00507826" w:rsidRDefault="00507826" w:rsidP="0048389D"/>
    <w:p w14:paraId="2F1DC621" w14:textId="77777777" w:rsidR="00507826" w:rsidRDefault="00507826" w:rsidP="0048389D"/>
    <w:p w14:paraId="44B63555" w14:textId="77777777" w:rsidR="00507826" w:rsidRDefault="00507826" w:rsidP="0048389D"/>
    <w:p w14:paraId="407B9B73" w14:textId="77777777" w:rsidR="00507826" w:rsidRDefault="00507826" w:rsidP="0048389D"/>
    <w:p w14:paraId="74C58665" w14:textId="77777777" w:rsidR="00507826" w:rsidRDefault="00507826" w:rsidP="0048389D"/>
    <w:p w14:paraId="1B5E56A2" w14:textId="77777777" w:rsidR="00507826" w:rsidRDefault="00507826" w:rsidP="0048389D"/>
    <w:p w14:paraId="45E82A00" w14:textId="77777777" w:rsidR="00507826" w:rsidRDefault="00507826" w:rsidP="0048389D"/>
    <w:p w14:paraId="727632DC" w14:textId="0D2E57BA" w:rsidR="0048389D" w:rsidRPr="0048389D" w:rsidRDefault="0048389D" w:rsidP="0048389D">
      <w:r w:rsidRPr="0048389D">
        <w:lastRenderedPageBreak/>
        <w:t>References</w:t>
      </w:r>
    </w:p>
    <w:p w14:paraId="3B8A07FA" w14:textId="77777777" w:rsidR="0048389D" w:rsidRPr="0048389D" w:rsidRDefault="0048389D" w:rsidP="0048389D">
      <w:r w:rsidRPr="0048389D">
        <w:t>Baker, J., &amp; Davis, M. (2018). </w:t>
      </w:r>
      <w:r w:rsidRPr="0048389D">
        <w:rPr>
          <w:i/>
          <w:iCs/>
        </w:rPr>
        <w:t>Designing Workspaces for the Future: Employee-Centric Approaches</w:t>
      </w:r>
      <w:r w:rsidRPr="0048389D">
        <w:t>. London: Routledge.</w:t>
      </w:r>
    </w:p>
    <w:p w14:paraId="3960C495" w14:textId="77777777" w:rsidR="0048389D" w:rsidRPr="0048389D" w:rsidRDefault="0048389D" w:rsidP="0048389D">
      <w:r w:rsidRPr="0048389D">
        <w:t>Benenson, A., &amp; Campbell, M. (2019). </w:t>
      </w:r>
      <w:r w:rsidRPr="0048389D">
        <w:rPr>
          <w:i/>
          <w:iCs/>
        </w:rPr>
        <w:t>Green Architecture: Advanced Principles</w:t>
      </w:r>
      <w:r w:rsidRPr="0048389D">
        <w:t>. New York: Wiley.</w:t>
      </w:r>
    </w:p>
    <w:p w14:paraId="50625BE6" w14:textId="77777777" w:rsidR="0048389D" w:rsidRPr="0048389D" w:rsidRDefault="0048389D" w:rsidP="0048389D">
      <w:r w:rsidRPr="0048389D">
        <w:t>Blowfield, M., &amp; Murray, A. (2014). </w:t>
      </w:r>
      <w:r w:rsidRPr="0048389D">
        <w:rPr>
          <w:i/>
          <w:iCs/>
        </w:rPr>
        <w:t>Corporate Social Responsibility: A Critical Introduction</w:t>
      </w:r>
      <w:r w:rsidRPr="0048389D">
        <w:t>. Oxford: Oxford University Press.</w:t>
      </w:r>
    </w:p>
    <w:p w14:paraId="686C633D" w14:textId="77777777" w:rsidR="0048389D" w:rsidRPr="0048389D" w:rsidRDefault="0048389D" w:rsidP="0048389D">
      <w:r w:rsidRPr="0048389D">
        <w:t>Daisey, J. M., Angell, W. J., &amp; Apte, M. G. (2003). Indoor Air Quality in U.S. Commercial and Institutional Buildings: Results of the 1999-2001 BASE Study. </w:t>
      </w:r>
      <w:r w:rsidRPr="0048389D">
        <w:rPr>
          <w:i/>
          <w:iCs/>
        </w:rPr>
        <w:t>Indoor Air</w:t>
      </w:r>
      <w:r w:rsidRPr="0048389D">
        <w:t>, 13(2), 124-134.</w:t>
      </w:r>
    </w:p>
    <w:p w14:paraId="21280F73" w14:textId="77777777" w:rsidR="0048389D" w:rsidRPr="0048389D" w:rsidRDefault="0048389D" w:rsidP="0048389D">
      <w:r w:rsidRPr="0048389D">
        <w:t>Dempsey, N., Bramley, G., Brown, C., &amp; Pafford, L. (2011). The Social Dimension of Sustainable Development: Defining Urban Social Sustainability. </w:t>
      </w:r>
      <w:r w:rsidRPr="0048389D">
        <w:rPr>
          <w:i/>
          <w:iCs/>
        </w:rPr>
        <w:t>Sustainable Development</w:t>
      </w:r>
      <w:r w:rsidRPr="0048389D">
        <w:t>, 19(5), 289-300.</w:t>
      </w:r>
    </w:p>
    <w:p w14:paraId="18E58506" w14:textId="77777777" w:rsidR="0048389D" w:rsidRPr="0048389D" w:rsidRDefault="0048389D" w:rsidP="0048389D">
      <w:r w:rsidRPr="0048389D">
        <w:t>Fisher, D. (2010). The Role of Recreational Facilities in Workplace Wellness. </w:t>
      </w:r>
      <w:r w:rsidRPr="0048389D">
        <w:rPr>
          <w:i/>
          <w:iCs/>
        </w:rPr>
        <w:t>Health &amp; Fitness Journal</w:t>
      </w:r>
      <w:r w:rsidRPr="0048389D">
        <w:t>, 14(3), 20-25.</w:t>
      </w:r>
    </w:p>
    <w:p w14:paraId="382CED47" w14:textId="77777777" w:rsidR="0048389D" w:rsidRPr="0048389D" w:rsidRDefault="0048389D" w:rsidP="0048389D"/>
    <w:p w14:paraId="4820655A" w14:textId="77777777" w:rsidR="00165D9C" w:rsidRDefault="00165D9C"/>
    <w:sectPr w:rsidR="00165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3CC"/>
    <w:rsid w:val="00165D9C"/>
    <w:rsid w:val="001F4657"/>
    <w:rsid w:val="0048389D"/>
    <w:rsid w:val="004A7BAC"/>
    <w:rsid w:val="00507826"/>
    <w:rsid w:val="00621BF1"/>
    <w:rsid w:val="006F5E8D"/>
    <w:rsid w:val="00DC43CC"/>
    <w:rsid w:val="00E4068C"/>
    <w:rsid w:val="00FA7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14531"/>
  <w15:chartTrackingRefBased/>
  <w15:docId w15:val="{AD2C045F-4B49-49A3-AF37-064C2BCB9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43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43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43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43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43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43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43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43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43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3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43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43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43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43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43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43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43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43CC"/>
    <w:rPr>
      <w:rFonts w:eastAsiaTheme="majorEastAsia" w:cstheme="majorBidi"/>
      <w:color w:val="272727" w:themeColor="text1" w:themeTint="D8"/>
    </w:rPr>
  </w:style>
  <w:style w:type="paragraph" w:styleId="Title">
    <w:name w:val="Title"/>
    <w:basedOn w:val="Normal"/>
    <w:next w:val="Normal"/>
    <w:link w:val="TitleChar"/>
    <w:uiPriority w:val="10"/>
    <w:qFormat/>
    <w:rsid w:val="00DC43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43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43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43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43CC"/>
    <w:pPr>
      <w:spacing w:before="160"/>
      <w:jc w:val="center"/>
    </w:pPr>
    <w:rPr>
      <w:i/>
      <w:iCs/>
      <w:color w:val="404040" w:themeColor="text1" w:themeTint="BF"/>
    </w:rPr>
  </w:style>
  <w:style w:type="character" w:customStyle="1" w:styleId="QuoteChar">
    <w:name w:val="Quote Char"/>
    <w:basedOn w:val="DefaultParagraphFont"/>
    <w:link w:val="Quote"/>
    <w:uiPriority w:val="29"/>
    <w:rsid w:val="00DC43CC"/>
    <w:rPr>
      <w:i/>
      <w:iCs/>
      <w:color w:val="404040" w:themeColor="text1" w:themeTint="BF"/>
    </w:rPr>
  </w:style>
  <w:style w:type="paragraph" w:styleId="ListParagraph">
    <w:name w:val="List Paragraph"/>
    <w:basedOn w:val="Normal"/>
    <w:uiPriority w:val="34"/>
    <w:qFormat/>
    <w:rsid w:val="00DC43CC"/>
    <w:pPr>
      <w:ind w:left="720"/>
      <w:contextualSpacing/>
    </w:pPr>
  </w:style>
  <w:style w:type="character" w:styleId="IntenseEmphasis">
    <w:name w:val="Intense Emphasis"/>
    <w:basedOn w:val="DefaultParagraphFont"/>
    <w:uiPriority w:val="21"/>
    <w:qFormat/>
    <w:rsid w:val="00DC43CC"/>
    <w:rPr>
      <w:i/>
      <w:iCs/>
      <w:color w:val="0F4761" w:themeColor="accent1" w:themeShade="BF"/>
    </w:rPr>
  </w:style>
  <w:style w:type="paragraph" w:styleId="IntenseQuote">
    <w:name w:val="Intense Quote"/>
    <w:basedOn w:val="Normal"/>
    <w:next w:val="Normal"/>
    <w:link w:val="IntenseQuoteChar"/>
    <w:uiPriority w:val="30"/>
    <w:qFormat/>
    <w:rsid w:val="00DC43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43CC"/>
    <w:rPr>
      <w:i/>
      <w:iCs/>
      <w:color w:val="0F4761" w:themeColor="accent1" w:themeShade="BF"/>
    </w:rPr>
  </w:style>
  <w:style w:type="character" w:styleId="IntenseReference">
    <w:name w:val="Intense Reference"/>
    <w:basedOn w:val="DefaultParagraphFont"/>
    <w:uiPriority w:val="32"/>
    <w:qFormat/>
    <w:rsid w:val="00DC43CC"/>
    <w:rPr>
      <w:b/>
      <w:bCs/>
      <w:smallCaps/>
      <w:color w:val="0F4761" w:themeColor="accent1" w:themeShade="BF"/>
      <w:spacing w:val="5"/>
    </w:rPr>
  </w:style>
  <w:style w:type="character" w:styleId="Hyperlink">
    <w:name w:val="Hyperlink"/>
    <w:basedOn w:val="DefaultParagraphFont"/>
    <w:uiPriority w:val="99"/>
    <w:unhideWhenUsed/>
    <w:rsid w:val="0048389D"/>
    <w:rPr>
      <w:color w:val="467886" w:themeColor="hyperlink"/>
      <w:u w:val="single"/>
    </w:rPr>
  </w:style>
  <w:style w:type="character" w:styleId="UnresolvedMention">
    <w:name w:val="Unresolved Mention"/>
    <w:basedOn w:val="DefaultParagraphFont"/>
    <w:uiPriority w:val="99"/>
    <w:semiHidden/>
    <w:unhideWhenUsed/>
    <w:rsid w:val="0048389D"/>
    <w:rPr>
      <w:color w:val="605E5C"/>
      <w:shd w:val="clear" w:color="auto" w:fill="E1DFDD"/>
    </w:rPr>
  </w:style>
  <w:style w:type="character" w:styleId="FollowedHyperlink">
    <w:name w:val="FollowedHyperlink"/>
    <w:basedOn w:val="DefaultParagraphFont"/>
    <w:uiPriority w:val="99"/>
    <w:semiHidden/>
    <w:unhideWhenUsed/>
    <w:rsid w:val="001F465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3080094">
      <w:bodyDiv w:val="1"/>
      <w:marLeft w:val="0"/>
      <w:marRight w:val="0"/>
      <w:marTop w:val="0"/>
      <w:marBottom w:val="0"/>
      <w:divBdr>
        <w:top w:val="none" w:sz="0" w:space="0" w:color="auto"/>
        <w:left w:val="none" w:sz="0" w:space="0" w:color="auto"/>
        <w:bottom w:val="none" w:sz="0" w:space="0" w:color="auto"/>
        <w:right w:val="none" w:sz="0" w:space="0" w:color="auto"/>
      </w:divBdr>
      <w:divsChild>
        <w:div w:id="1882860652">
          <w:marLeft w:val="0"/>
          <w:marRight w:val="0"/>
          <w:marTop w:val="0"/>
          <w:marBottom w:val="160"/>
          <w:divBdr>
            <w:top w:val="none" w:sz="0" w:space="0" w:color="auto"/>
            <w:left w:val="none" w:sz="0" w:space="0" w:color="auto"/>
            <w:bottom w:val="none" w:sz="0" w:space="0" w:color="auto"/>
            <w:right w:val="none" w:sz="0" w:space="0" w:color="auto"/>
          </w:divBdr>
        </w:div>
      </w:divsChild>
    </w:div>
    <w:div w:id="1230580303">
      <w:bodyDiv w:val="1"/>
      <w:marLeft w:val="0"/>
      <w:marRight w:val="0"/>
      <w:marTop w:val="0"/>
      <w:marBottom w:val="0"/>
      <w:divBdr>
        <w:top w:val="none" w:sz="0" w:space="0" w:color="auto"/>
        <w:left w:val="none" w:sz="0" w:space="0" w:color="auto"/>
        <w:bottom w:val="none" w:sz="0" w:space="0" w:color="auto"/>
        <w:right w:val="none" w:sz="0" w:space="0" w:color="auto"/>
      </w:divBdr>
      <w:divsChild>
        <w:div w:id="1795562336">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9</Pages>
  <Words>2661</Words>
  <Characters>15168</Characters>
  <Application>Microsoft Office Word</Application>
  <DocSecurity>0</DocSecurity>
  <Lines>126</Lines>
  <Paragraphs>35</Paragraphs>
  <ScaleCrop>false</ScaleCrop>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Stoleru (2215119)</dc:creator>
  <cp:keywords/>
  <dc:description/>
  <cp:lastModifiedBy>Cristian Stoleru (2215119)</cp:lastModifiedBy>
  <cp:revision>7</cp:revision>
  <dcterms:created xsi:type="dcterms:W3CDTF">2024-08-16T22:32:00Z</dcterms:created>
  <dcterms:modified xsi:type="dcterms:W3CDTF">2024-08-16T23:12:00Z</dcterms:modified>
</cp:coreProperties>
</file>