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FC324" w14:textId="77777777" w:rsidR="00E77563" w:rsidRPr="00595424" w:rsidRDefault="00E77563">
      <w:pPr>
        <w:spacing w:before="2000"/>
        <w:rPr>
          <w:sz w:val="24"/>
          <w:szCs w:val="24"/>
        </w:rPr>
      </w:pPr>
    </w:p>
    <w:p w14:paraId="191E1A7E" w14:textId="77777777" w:rsidR="00E77563" w:rsidRPr="00595424" w:rsidRDefault="00000000">
      <w:pPr>
        <w:spacing w:after="600"/>
        <w:jc w:val="center"/>
        <w:rPr>
          <w:sz w:val="24"/>
          <w:szCs w:val="24"/>
        </w:rPr>
      </w:pPr>
      <w:r w:rsidRPr="00595424">
        <w:rPr>
          <w:rFonts w:eastAsia="Arial"/>
          <w:b/>
          <w:bCs/>
          <w:sz w:val="24"/>
          <w:szCs w:val="24"/>
        </w:rPr>
        <w:t>Research Literacy: Learning How to Read a Research Paper</w:t>
      </w:r>
    </w:p>
    <w:p w14:paraId="32EB0228" w14:textId="77777777" w:rsidR="00E77563" w:rsidRPr="00595424" w:rsidRDefault="00000000">
      <w:pPr>
        <w:spacing w:after="1200"/>
        <w:jc w:val="center"/>
        <w:rPr>
          <w:sz w:val="24"/>
          <w:szCs w:val="24"/>
        </w:rPr>
      </w:pPr>
      <w:r w:rsidRPr="00595424">
        <w:rPr>
          <w:rFonts w:eastAsia="Arial"/>
          <w:i/>
          <w:iCs/>
          <w:sz w:val="24"/>
          <w:szCs w:val="24"/>
        </w:rPr>
        <w:t>A Review of: Martzoukou, K., Luders, E. S., Mair, J., Kostagiolas, P., Johnson, N., Work, F., &amp; Fulton, C. (2024). A Cross-Sectional Study of Discipline-Based Self-Perceived Digital Literacy Competencies of Nursing Students.</w:t>
      </w:r>
    </w:p>
    <w:p w14:paraId="7CBE7CB6" w14:textId="021C0470" w:rsidR="00E77563" w:rsidRPr="00595424" w:rsidRDefault="00000000">
      <w:pPr>
        <w:spacing w:after="200"/>
        <w:jc w:val="center"/>
        <w:rPr>
          <w:sz w:val="24"/>
          <w:szCs w:val="24"/>
        </w:rPr>
      </w:pPr>
      <w:r w:rsidRPr="00595424">
        <w:rPr>
          <w:rFonts w:eastAsia="Arial"/>
          <w:sz w:val="24"/>
          <w:szCs w:val="24"/>
        </w:rPr>
        <w:t xml:space="preserve">Student Name: </w:t>
      </w:r>
      <w:r w:rsidR="00595424" w:rsidRPr="00595424">
        <w:rPr>
          <w:rFonts w:eastAsia="Arial"/>
          <w:sz w:val="24"/>
          <w:szCs w:val="24"/>
        </w:rPr>
        <w:t>Muhammad Ali Faisa</w:t>
      </w:r>
      <w:r w:rsidR="009910DA">
        <w:rPr>
          <w:rFonts w:eastAsia="Arial"/>
          <w:sz w:val="24"/>
          <w:szCs w:val="24"/>
        </w:rPr>
        <w:t>l</w:t>
      </w:r>
    </w:p>
    <w:p w14:paraId="32C35D8F" w14:textId="358513B6" w:rsidR="00E77563" w:rsidRPr="00595424" w:rsidRDefault="00000000">
      <w:pPr>
        <w:spacing w:after="200"/>
        <w:jc w:val="center"/>
        <w:rPr>
          <w:sz w:val="24"/>
          <w:szCs w:val="24"/>
        </w:rPr>
      </w:pPr>
      <w:r w:rsidRPr="00595424">
        <w:rPr>
          <w:rFonts w:eastAsia="Arial"/>
          <w:sz w:val="24"/>
          <w:szCs w:val="24"/>
        </w:rPr>
        <w:t xml:space="preserve">Student Number: </w:t>
      </w:r>
      <w:r w:rsidR="00595424" w:rsidRPr="00595424">
        <w:rPr>
          <w:rFonts w:eastAsia="Arial"/>
          <w:sz w:val="24"/>
          <w:szCs w:val="24"/>
        </w:rPr>
        <w:t>2525261</w:t>
      </w:r>
    </w:p>
    <w:p w14:paraId="0BE91224" w14:textId="68106653" w:rsidR="00E77563" w:rsidRPr="00595424" w:rsidRDefault="00000000">
      <w:pPr>
        <w:spacing w:after="200"/>
        <w:jc w:val="center"/>
        <w:rPr>
          <w:sz w:val="24"/>
          <w:szCs w:val="24"/>
        </w:rPr>
      </w:pPr>
      <w:r w:rsidRPr="00595424">
        <w:rPr>
          <w:rFonts w:eastAsia="Arial"/>
          <w:sz w:val="24"/>
          <w:szCs w:val="24"/>
        </w:rPr>
        <w:t xml:space="preserve">Module Code and Title: </w:t>
      </w:r>
      <w:r w:rsidR="00595424" w:rsidRPr="00595424">
        <w:rPr>
          <w:rFonts w:eastAsia="Arial"/>
          <w:sz w:val="24"/>
          <w:szCs w:val="24"/>
        </w:rPr>
        <w:t>Digital Skills and Research Methods</w:t>
      </w:r>
    </w:p>
    <w:p w14:paraId="0769A4BB" w14:textId="68924F39" w:rsidR="00E77563" w:rsidRPr="00595424" w:rsidRDefault="00595424">
      <w:pPr>
        <w:spacing w:after="200"/>
        <w:jc w:val="center"/>
        <w:rPr>
          <w:sz w:val="24"/>
          <w:szCs w:val="24"/>
        </w:rPr>
      </w:pPr>
      <w:r w:rsidRPr="00595424">
        <w:rPr>
          <w:rFonts w:eastAsia="Arial"/>
          <w:sz w:val="24"/>
          <w:szCs w:val="24"/>
        </w:rPr>
        <w:t>Module Code: LCHS4007</w:t>
      </w:r>
    </w:p>
    <w:p w14:paraId="7AE14F81" w14:textId="77777777" w:rsidR="00E77563" w:rsidRPr="00595424" w:rsidRDefault="00000000">
      <w:pPr>
        <w:spacing w:after="200"/>
        <w:jc w:val="center"/>
        <w:rPr>
          <w:sz w:val="24"/>
          <w:szCs w:val="24"/>
        </w:rPr>
      </w:pPr>
      <w:r w:rsidRPr="00595424">
        <w:rPr>
          <w:rFonts w:eastAsia="Arial"/>
          <w:sz w:val="24"/>
          <w:szCs w:val="24"/>
        </w:rPr>
        <w:t>Assignment Title: Assessment Component 2 - Research Literacy Report</w:t>
      </w:r>
    </w:p>
    <w:p w14:paraId="30B40332" w14:textId="77777777" w:rsidR="00E77563" w:rsidRPr="00595424" w:rsidRDefault="00000000">
      <w:pPr>
        <w:rPr>
          <w:sz w:val="24"/>
          <w:szCs w:val="24"/>
        </w:rPr>
      </w:pPr>
      <w:r w:rsidRPr="00595424">
        <w:rPr>
          <w:sz w:val="24"/>
          <w:szCs w:val="24"/>
        </w:rPr>
        <w:br w:type="page"/>
      </w:r>
    </w:p>
    <w:p w14:paraId="04EB6E68" w14:textId="77777777" w:rsidR="00E77563" w:rsidRDefault="00E77563">
      <w:pPr>
        <w:sectPr w:rsidR="00E77563">
          <w:pgSz w:w="11906" w:h="16838"/>
          <w:pgMar w:top="1440" w:right="1440" w:bottom="1440" w:left="1440" w:header="708" w:footer="708" w:gutter="0"/>
          <w:cols w:space="720"/>
          <w:docGrid w:linePitch="360"/>
        </w:sectPr>
      </w:pPr>
    </w:p>
    <w:sdt>
      <w:sdtPr>
        <w:rPr>
          <w:rFonts w:ascii="Times New Roman" w:eastAsia="Times New Roman" w:hAnsi="Times New Roman" w:cs="Times New Roman"/>
          <w:color w:val="auto"/>
          <w:sz w:val="20"/>
          <w:szCs w:val="20"/>
        </w:rPr>
        <w:id w:val="-821346657"/>
        <w:docPartObj>
          <w:docPartGallery w:val="Table of Contents"/>
          <w:docPartUnique/>
        </w:docPartObj>
      </w:sdtPr>
      <w:sdtEndPr>
        <w:rPr>
          <w:b/>
          <w:bCs/>
          <w:noProof/>
        </w:rPr>
      </w:sdtEndPr>
      <w:sdtContent>
        <w:p w14:paraId="5C77E1D3" w14:textId="7E2FC9AC" w:rsidR="00D13593" w:rsidRPr="00D13593" w:rsidRDefault="00D13593" w:rsidP="00D13593">
          <w:pPr>
            <w:pStyle w:val="TOCHeading"/>
            <w:jc w:val="center"/>
            <w:rPr>
              <w:rFonts w:ascii="Times New Roman" w:hAnsi="Times New Roman" w:cs="Times New Roman"/>
            </w:rPr>
          </w:pPr>
          <w:r w:rsidRPr="00D13593">
            <w:rPr>
              <w:rFonts w:ascii="Times New Roman" w:hAnsi="Times New Roman" w:cs="Times New Roman"/>
            </w:rPr>
            <w:t>Table of Contents</w:t>
          </w:r>
        </w:p>
        <w:p w14:paraId="18324612" w14:textId="1DE0BCC6" w:rsidR="00D13593" w:rsidRPr="00D13593" w:rsidRDefault="00D13593">
          <w:pPr>
            <w:pStyle w:val="TOC1"/>
            <w:tabs>
              <w:tab w:val="left" w:pos="480"/>
              <w:tab w:val="right" w:leader="dot" w:pos="9016"/>
            </w:tabs>
            <w:rPr>
              <w:noProof/>
            </w:rPr>
          </w:pPr>
          <w:r w:rsidRPr="00D13593">
            <w:fldChar w:fldCharType="begin"/>
          </w:r>
          <w:r w:rsidRPr="00D13593">
            <w:instrText xml:space="preserve"> TOC \o "1-3" \h \z \u </w:instrText>
          </w:r>
          <w:r w:rsidRPr="00D13593">
            <w:fldChar w:fldCharType="separate"/>
          </w:r>
          <w:hyperlink w:anchor="_Toc235529380" w:history="1">
            <w:r w:rsidRPr="00D13593">
              <w:rPr>
                <w:rStyle w:val="Hyperlink"/>
                <w:noProof/>
              </w:rPr>
              <w:t>1.</w:t>
            </w:r>
            <w:r w:rsidRPr="00D13593">
              <w:rPr>
                <w:noProof/>
              </w:rPr>
              <w:tab/>
            </w:r>
            <w:r w:rsidRPr="00D13593">
              <w:rPr>
                <w:rStyle w:val="Hyperlink"/>
                <w:noProof/>
              </w:rPr>
              <w:t>Section 1: Introducing the Research Paper and Topic Development</w:t>
            </w:r>
            <w:r w:rsidRPr="00D13593">
              <w:rPr>
                <w:noProof/>
                <w:webHidden/>
              </w:rPr>
              <w:tab/>
            </w:r>
            <w:r w:rsidRPr="00D13593">
              <w:rPr>
                <w:noProof/>
                <w:webHidden/>
              </w:rPr>
              <w:fldChar w:fldCharType="begin"/>
            </w:r>
            <w:r w:rsidRPr="00D13593">
              <w:rPr>
                <w:noProof/>
                <w:webHidden/>
              </w:rPr>
              <w:instrText xml:space="preserve"> PAGEREF _Toc235529380 \h </w:instrText>
            </w:r>
            <w:r w:rsidRPr="00D13593">
              <w:rPr>
                <w:noProof/>
                <w:webHidden/>
              </w:rPr>
            </w:r>
            <w:r w:rsidRPr="00D13593">
              <w:rPr>
                <w:noProof/>
                <w:webHidden/>
              </w:rPr>
              <w:fldChar w:fldCharType="separate"/>
            </w:r>
            <w:r w:rsidRPr="00D13593">
              <w:rPr>
                <w:noProof/>
                <w:webHidden/>
              </w:rPr>
              <w:t>2</w:t>
            </w:r>
            <w:r w:rsidRPr="00D13593">
              <w:rPr>
                <w:noProof/>
                <w:webHidden/>
              </w:rPr>
              <w:fldChar w:fldCharType="end"/>
            </w:r>
          </w:hyperlink>
        </w:p>
        <w:p w14:paraId="5BB6D79C" w14:textId="6B69BD74" w:rsidR="00D13593" w:rsidRPr="00D13593" w:rsidRDefault="00D13593">
          <w:pPr>
            <w:pStyle w:val="TOC1"/>
            <w:tabs>
              <w:tab w:val="left" w:pos="480"/>
              <w:tab w:val="right" w:leader="dot" w:pos="9016"/>
            </w:tabs>
            <w:rPr>
              <w:noProof/>
            </w:rPr>
          </w:pPr>
          <w:hyperlink w:anchor="_Toc235529381" w:history="1">
            <w:r w:rsidRPr="00D13593">
              <w:rPr>
                <w:rStyle w:val="Hyperlink"/>
                <w:noProof/>
              </w:rPr>
              <w:t>2.</w:t>
            </w:r>
            <w:r w:rsidRPr="00D13593">
              <w:rPr>
                <w:noProof/>
              </w:rPr>
              <w:tab/>
            </w:r>
            <w:r w:rsidRPr="00D13593">
              <w:rPr>
                <w:rStyle w:val="Hyperlink"/>
                <w:noProof/>
              </w:rPr>
              <w:t>Section 2: Understanding the Purpose and Research Question</w:t>
            </w:r>
            <w:r w:rsidRPr="00D13593">
              <w:rPr>
                <w:noProof/>
                <w:webHidden/>
              </w:rPr>
              <w:tab/>
            </w:r>
            <w:r w:rsidRPr="00D13593">
              <w:rPr>
                <w:noProof/>
                <w:webHidden/>
              </w:rPr>
              <w:fldChar w:fldCharType="begin"/>
            </w:r>
            <w:r w:rsidRPr="00D13593">
              <w:rPr>
                <w:noProof/>
                <w:webHidden/>
              </w:rPr>
              <w:instrText xml:space="preserve"> PAGEREF _Toc235529381 \h </w:instrText>
            </w:r>
            <w:r w:rsidRPr="00D13593">
              <w:rPr>
                <w:noProof/>
                <w:webHidden/>
              </w:rPr>
            </w:r>
            <w:r w:rsidRPr="00D13593">
              <w:rPr>
                <w:noProof/>
                <w:webHidden/>
              </w:rPr>
              <w:fldChar w:fldCharType="separate"/>
            </w:r>
            <w:r w:rsidRPr="00D13593">
              <w:rPr>
                <w:noProof/>
                <w:webHidden/>
              </w:rPr>
              <w:t>3</w:t>
            </w:r>
            <w:r w:rsidRPr="00D13593">
              <w:rPr>
                <w:noProof/>
                <w:webHidden/>
              </w:rPr>
              <w:fldChar w:fldCharType="end"/>
            </w:r>
          </w:hyperlink>
        </w:p>
        <w:p w14:paraId="107A68EC" w14:textId="60DF250E" w:rsidR="00D13593" w:rsidRPr="00D13593" w:rsidRDefault="00D13593">
          <w:pPr>
            <w:pStyle w:val="TOC1"/>
            <w:tabs>
              <w:tab w:val="left" w:pos="480"/>
              <w:tab w:val="right" w:leader="dot" w:pos="9016"/>
            </w:tabs>
            <w:rPr>
              <w:noProof/>
            </w:rPr>
          </w:pPr>
          <w:hyperlink w:anchor="_Toc235529382" w:history="1">
            <w:r w:rsidRPr="00D13593">
              <w:rPr>
                <w:rStyle w:val="Hyperlink"/>
                <w:noProof/>
              </w:rPr>
              <w:t>3.</w:t>
            </w:r>
            <w:r w:rsidRPr="00D13593">
              <w:rPr>
                <w:noProof/>
              </w:rPr>
              <w:tab/>
            </w:r>
            <w:r w:rsidRPr="00D13593">
              <w:rPr>
                <w:rStyle w:val="Hyperlink"/>
                <w:noProof/>
              </w:rPr>
              <w:t>Section 3: Understanding the Research Methods</w:t>
            </w:r>
            <w:r w:rsidRPr="00D13593">
              <w:rPr>
                <w:noProof/>
                <w:webHidden/>
              </w:rPr>
              <w:tab/>
            </w:r>
            <w:r w:rsidRPr="00D13593">
              <w:rPr>
                <w:noProof/>
                <w:webHidden/>
              </w:rPr>
              <w:fldChar w:fldCharType="begin"/>
            </w:r>
            <w:r w:rsidRPr="00D13593">
              <w:rPr>
                <w:noProof/>
                <w:webHidden/>
              </w:rPr>
              <w:instrText xml:space="preserve"> PAGEREF _Toc235529382 \h </w:instrText>
            </w:r>
            <w:r w:rsidRPr="00D13593">
              <w:rPr>
                <w:noProof/>
                <w:webHidden/>
              </w:rPr>
            </w:r>
            <w:r w:rsidRPr="00D13593">
              <w:rPr>
                <w:noProof/>
                <w:webHidden/>
              </w:rPr>
              <w:fldChar w:fldCharType="separate"/>
            </w:r>
            <w:r w:rsidRPr="00D13593">
              <w:rPr>
                <w:noProof/>
                <w:webHidden/>
              </w:rPr>
              <w:t>3</w:t>
            </w:r>
            <w:r w:rsidRPr="00D13593">
              <w:rPr>
                <w:noProof/>
                <w:webHidden/>
              </w:rPr>
              <w:fldChar w:fldCharType="end"/>
            </w:r>
          </w:hyperlink>
        </w:p>
        <w:p w14:paraId="4317D2C4" w14:textId="1536B169" w:rsidR="00D13593" w:rsidRPr="00D13593" w:rsidRDefault="00D13593">
          <w:pPr>
            <w:pStyle w:val="TOC1"/>
            <w:tabs>
              <w:tab w:val="left" w:pos="480"/>
              <w:tab w:val="right" w:leader="dot" w:pos="9016"/>
            </w:tabs>
            <w:rPr>
              <w:noProof/>
            </w:rPr>
          </w:pPr>
          <w:hyperlink w:anchor="_Toc235529383" w:history="1">
            <w:r w:rsidRPr="00D13593">
              <w:rPr>
                <w:rStyle w:val="Hyperlink"/>
                <w:noProof/>
              </w:rPr>
              <w:t>4.</w:t>
            </w:r>
            <w:r w:rsidRPr="00D13593">
              <w:rPr>
                <w:noProof/>
              </w:rPr>
              <w:tab/>
            </w:r>
            <w:r w:rsidRPr="00D13593">
              <w:rPr>
                <w:rStyle w:val="Hyperlink"/>
                <w:noProof/>
              </w:rPr>
              <w:t>Section 4: Conclusion</w:t>
            </w:r>
            <w:r w:rsidRPr="00D13593">
              <w:rPr>
                <w:noProof/>
                <w:webHidden/>
              </w:rPr>
              <w:tab/>
            </w:r>
            <w:r w:rsidRPr="00D13593">
              <w:rPr>
                <w:noProof/>
                <w:webHidden/>
              </w:rPr>
              <w:fldChar w:fldCharType="begin"/>
            </w:r>
            <w:r w:rsidRPr="00D13593">
              <w:rPr>
                <w:noProof/>
                <w:webHidden/>
              </w:rPr>
              <w:instrText xml:space="preserve"> PAGEREF _Toc235529383 \h </w:instrText>
            </w:r>
            <w:r w:rsidRPr="00D13593">
              <w:rPr>
                <w:noProof/>
                <w:webHidden/>
              </w:rPr>
            </w:r>
            <w:r w:rsidRPr="00D13593">
              <w:rPr>
                <w:noProof/>
                <w:webHidden/>
              </w:rPr>
              <w:fldChar w:fldCharType="separate"/>
            </w:r>
            <w:r w:rsidRPr="00D13593">
              <w:rPr>
                <w:noProof/>
                <w:webHidden/>
              </w:rPr>
              <w:t>5</w:t>
            </w:r>
            <w:r w:rsidRPr="00D13593">
              <w:rPr>
                <w:noProof/>
                <w:webHidden/>
              </w:rPr>
              <w:fldChar w:fldCharType="end"/>
            </w:r>
          </w:hyperlink>
        </w:p>
        <w:p w14:paraId="03FD896A" w14:textId="487F042B" w:rsidR="00D13593" w:rsidRPr="00D13593" w:rsidRDefault="00D13593">
          <w:pPr>
            <w:pStyle w:val="TOC1"/>
            <w:tabs>
              <w:tab w:val="right" w:leader="dot" w:pos="9016"/>
            </w:tabs>
            <w:rPr>
              <w:noProof/>
            </w:rPr>
          </w:pPr>
          <w:hyperlink w:anchor="_Toc235529384" w:history="1">
            <w:r w:rsidRPr="00D13593">
              <w:rPr>
                <w:rStyle w:val="Hyperlink"/>
                <w:noProof/>
              </w:rPr>
              <w:t>References</w:t>
            </w:r>
            <w:r w:rsidRPr="00D13593">
              <w:rPr>
                <w:noProof/>
                <w:webHidden/>
              </w:rPr>
              <w:tab/>
            </w:r>
            <w:r w:rsidRPr="00D13593">
              <w:rPr>
                <w:noProof/>
                <w:webHidden/>
              </w:rPr>
              <w:fldChar w:fldCharType="begin"/>
            </w:r>
            <w:r w:rsidRPr="00D13593">
              <w:rPr>
                <w:noProof/>
                <w:webHidden/>
              </w:rPr>
              <w:instrText xml:space="preserve"> PAGEREF _Toc235529384 \h </w:instrText>
            </w:r>
            <w:r w:rsidRPr="00D13593">
              <w:rPr>
                <w:noProof/>
                <w:webHidden/>
              </w:rPr>
            </w:r>
            <w:r w:rsidRPr="00D13593">
              <w:rPr>
                <w:noProof/>
                <w:webHidden/>
              </w:rPr>
              <w:fldChar w:fldCharType="separate"/>
            </w:r>
            <w:r w:rsidRPr="00D13593">
              <w:rPr>
                <w:noProof/>
                <w:webHidden/>
              </w:rPr>
              <w:t>6</w:t>
            </w:r>
            <w:r w:rsidRPr="00D13593">
              <w:rPr>
                <w:noProof/>
                <w:webHidden/>
              </w:rPr>
              <w:fldChar w:fldCharType="end"/>
            </w:r>
          </w:hyperlink>
        </w:p>
        <w:p w14:paraId="7E1F454C" w14:textId="4BCFCE72" w:rsidR="00D13593" w:rsidRDefault="00D13593">
          <w:r w:rsidRPr="00D13593">
            <w:rPr>
              <w:b/>
              <w:bCs/>
              <w:noProof/>
            </w:rPr>
            <w:fldChar w:fldCharType="end"/>
          </w:r>
        </w:p>
      </w:sdtContent>
    </w:sdt>
    <w:p w14:paraId="6BA0E02C" w14:textId="5FCCEF3C" w:rsidR="00D13593" w:rsidRDefault="00D13593">
      <w:pPr>
        <w:rPr>
          <w:rFonts w:eastAsia="Arial"/>
          <w:b/>
          <w:bCs/>
          <w:color w:val="2E74B5"/>
          <w:sz w:val="24"/>
          <w:szCs w:val="24"/>
        </w:rPr>
      </w:pPr>
      <w:r>
        <w:br w:type="page"/>
      </w:r>
    </w:p>
    <w:p w14:paraId="56F74C12" w14:textId="07BCA8B5" w:rsidR="00E77563" w:rsidRPr="00D13593" w:rsidRDefault="00000000" w:rsidP="00D13593">
      <w:pPr>
        <w:pStyle w:val="Heading1"/>
      </w:pPr>
      <w:bookmarkStart w:id="0" w:name="_Toc235529380"/>
      <w:r w:rsidRPr="00D13593">
        <w:lastRenderedPageBreak/>
        <w:t>Section 1: Introducing the Research Paper and Topic Development</w:t>
      </w:r>
      <w:bookmarkEnd w:id="0"/>
    </w:p>
    <w:p w14:paraId="682E2288" w14:textId="3D52F93F" w:rsidR="00E77563" w:rsidRPr="00D13593" w:rsidRDefault="00000000" w:rsidP="00D13593">
      <w:pPr>
        <w:spacing w:after="200" w:line="360" w:lineRule="auto"/>
        <w:ind w:firstLine="720"/>
        <w:jc w:val="both"/>
        <w:rPr>
          <w:sz w:val="24"/>
          <w:szCs w:val="24"/>
        </w:rPr>
      </w:pPr>
      <w:r w:rsidRPr="00D13593">
        <w:rPr>
          <w:rFonts w:eastAsia="Arial"/>
          <w:sz w:val="24"/>
          <w:szCs w:val="24"/>
        </w:rPr>
        <w:t xml:space="preserve">The research paper reviewed in this report is titled “A Cross-Sectional Study of Discipline-Based Self-Perceived Digital Literacy Competencies of Nursing Students”, written by Martzoukou, Luders, Mair, Kostagiolas, Johnson, Work and Fulton, and published in the Journal of Advanced Nursing in </w:t>
      </w:r>
      <w:r w:rsidR="00D13593" w:rsidRPr="00D13593">
        <w:rPr>
          <w:rFonts w:eastAsia="Arial"/>
          <w:sz w:val="24"/>
          <w:szCs w:val="24"/>
        </w:rPr>
        <w:t>2023</w:t>
      </w:r>
      <w:r w:rsidRPr="00D13593">
        <w:rPr>
          <w:rFonts w:eastAsia="Arial"/>
          <w:sz w:val="24"/>
          <w:szCs w:val="24"/>
        </w:rPr>
        <w:t xml:space="preserve"> (Martzoukou et al., </w:t>
      </w:r>
      <w:r w:rsidR="00D13593" w:rsidRPr="00D13593">
        <w:rPr>
          <w:rFonts w:eastAsia="Arial"/>
          <w:sz w:val="24"/>
          <w:szCs w:val="24"/>
        </w:rPr>
        <w:t>2023</w:t>
      </w:r>
      <w:r w:rsidRPr="00D13593">
        <w:rPr>
          <w:rFonts w:eastAsia="Arial"/>
          <w:sz w:val="24"/>
          <w:szCs w:val="24"/>
        </w:rPr>
        <w:t>).</w:t>
      </w:r>
    </w:p>
    <w:p w14:paraId="4CEFACFF" w14:textId="77777777" w:rsidR="00E77563" w:rsidRPr="00D13593" w:rsidRDefault="00000000" w:rsidP="00D13593">
      <w:pPr>
        <w:spacing w:after="200" w:line="360" w:lineRule="auto"/>
        <w:ind w:firstLine="720"/>
        <w:jc w:val="both"/>
        <w:rPr>
          <w:sz w:val="24"/>
          <w:szCs w:val="24"/>
        </w:rPr>
      </w:pPr>
      <w:r w:rsidRPr="00D13593">
        <w:rPr>
          <w:rFonts w:eastAsia="Arial"/>
          <w:sz w:val="24"/>
          <w:szCs w:val="24"/>
        </w:rPr>
        <w:t>The paper explores how nursing, midwifery and paramedic students rate their own digital skills across a wide range of areas, including everyday technology use, information literacy, digital creation, digital research, communication, innovation, learning and development, identity management and digital wellbeing. Rather than testing students' actual ability, the study asks students to reflect on and rate their own confidence and competence in each of these areas, using a repurposed self-assessment survey originally designed for a broader student population (Martzoukou et al., 2020) and adapted specifically for healthcare disciplines.</w:t>
      </w:r>
    </w:p>
    <w:p w14:paraId="1028BE3B" w14:textId="154A796C" w:rsidR="00A45189" w:rsidRPr="00D13593" w:rsidRDefault="00A45189" w:rsidP="00D13593">
      <w:pPr>
        <w:spacing w:after="200" w:line="360" w:lineRule="auto"/>
        <w:ind w:firstLine="720"/>
        <w:jc w:val="both"/>
        <w:rPr>
          <w:rFonts w:eastAsia="Arial"/>
          <w:sz w:val="24"/>
          <w:szCs w:val="24"/>
        </w:rPr>
      </w:pPr>
      <w:r w:rsidRPr="00D13593">
        <w:rPr>
          <w:rFonts w:eastAsia="Arial"/>
          <w:sz w:val="24"/>
          <w:szCs w:val="24"/>
        </w:rPr>
        <w:t xml:space="preserve">The research is focused on students from a single Scottish university in the fields of nursing, midwifery and paramedic practice and is predominantly composed of students in the nursing field. Pregem and post-registered students (those currently registered with Nursing and Midwifery Council and are continuing their professional development) were both included and comparisons made between the two age groups and course type (Martzoukou et al., </w:t>
      </w:r>
      <w:r w:rsidR="00D13593" w:rsidRPr="00D13593">
        <w:rPr>
          <w:rFonts w:eastAsia="Arial"/>
          <w:sz w:val="24"/>
          <w:szCs w:val="24"/>
        </w:rPr>
        <w:t>2023</w:t>
      </w:r>
      <w:r w:rsidRPr="00D13593">
        <w:rPr>
          <w:rFonts w:eastAsia="Arial"/>
          <w:sz w:val="24"/>
          <w:szCs w:val="24"/>
        </w:rPr>
        <w:t>).</w:t>
      </w:r>
    </w:p>
    <w:p w14:paraId="41525DAE" w14:textId="3B758AF5" w:rsidR="00E77563" w:rsidRPr="00D13593" w:rsidRDefault="00A45189" w:rsidP="00D13593">
      <w:pPr>
        <w:spacing w:after="200" w:line="360" w:lineRule="auto"/>
        <w:ind w:firstLine="720"/>
        <w:jc w:val="both"/>
        <w:rPr>
          <w:sz w:val="24"/>
          <w:szCs w:val="24"/>
          <w:highlight w:val="yellow"/>
        </w:rPr>
      </w:pPr>
      <w:r w:rsidRPr="00D13593">
        <w:rPr>
          <w:rFonts w:eastAsia="Arial"/>
          <w:sz w:val="24"/>
          <w:szCs w:val="24"/>
        </w:rPr>
        <w:t xml:space="preserve">Within the UK health and social care, this topic is very important because digital technology has become integral to the way that care is provided, documented and assessed. The Royal College of Nursing have been saying since 2016 that all nurses should be an “e-nurse”, data, information and technology competent, to benefit patients and services. This need has been further propelled by the COVID-19 pandemic, which has driven education and clinical practice to increasingly rely on virtual learning, telehealth and digital record keeping. An inadequate digital literacy by future nurses has direct implications for patient safety, the quality of evidence-based care, and for future nurses' professional development. This study is one of the first to explore where these gaps are and, as such, is important for informing the way digital skills are taught in Nursing curricula, and in preparing the workforce to meet the demands of an increasingly digital healthcare system (Martzoukou et al., </w:t>
      </w:r>
      <w:r w:rsidR="00D13593" w:rsidRPr="00D13593">
        <w:rPr>
          <w:rFonts w:eastAsia="Arial"/>
          <w:sz w:val="24"/>
          <w:szCs w:val="24"/>
        </w:rPr>
        <w:t>2023</w:t>
      </w:r>
      <w:r w:rsidRPr="00D13593">
        <w:rPr>
          <w:rFonts w:eastAsia="Arial"/>
          <w:sz w:val="24"/>
          <w:szCs w:val="24"/>
        </w:rPr>
        <w:t>).</w:t>
      </w:r>
    </w:p>
    <w:p w14:paraId="0FE0AE1C" w14:textId="77777777" w:rsidR="00E77563" w:rsidRPr="00D13593" w:rsidRDefault="00000000" w:rsidP="00D13593">
      <w:pPr>
        <w:pStyle w:val="Heading1"/>
      </w:pPr>
      <w:bookmarkStart w:id="1" w:name="_Toc235529381"/>
      <w:r w:rsidRPr="00D13593">
        <w:t>Section 2: Understanding the Purpose and Research Question</w:t>
      </w:r>
      <w:bookmarkEnd w:id="1"/>
    </w:p>
    <w:p w14:paraId="3984301B" w14:textId="432A209B" w:rsidR="00E77563" w:rsidRPr="00D13593" w:rsidRDefault="00000000" w:rsidP="00D13593">
      <w:pPr>
        <w:spacing w:after="200" w:line="360" w:lineRule="auto"/>
        <w:ind w:firstLine="720"/>
        <w:jc w:val="both"/>
        <w:rPr>
          <w:sz w:val="24"/>
          <w:szCs w:val="24"/>
        </w:rPr>
      </w:pPr>
      <w:r w:rsidRPr="00D13593">
        <w:rPr>
          <w:rFonts w:eastAsia="Arial"/>
          <w:sz w:val="24"/>
          <w:szCs w:val="24"/>
        </w:rPr>
        <w:lastRenderedPageBreak/>
        <w:t>The wider project behind this paper had four objectives: to repurpose an existing digital competencies survey for specific academic disciplines; to explore students' digital competencies using this repurposed tool and identify demographic and course-related differences; to discuss with students their experiences and challenges in developing digital skills; and to produce recommendations and resources to support discipline-specific digital skills development. This particular paper concentrates on the first two objectives for nursing students. Two hypotheses were also tested: that self-assessed digital competence would be linked to students' age group, and that it would be linked to whether they were on a pre-registration or post-registration course</w:t>
      </w:r>
      <w:r w:rsidR="00721BCA" w:rsidRPr="00D13593">
        <w:rPr>
          <w:rFonts w:eastAsia="Arial"/>
          <w:sz w:val="24"/>
          <w:szCs w:val="24"/>
        </w:rPr>
        <w:t xml:space="preserve"> (Martzoukou et al., </w:t>
      </w:r>
      <w:r w:rsidR="00D13593" w:rsidRPr="00D13593">
        <w:rPr>
          <w:rFonts w:eastAsia="Arial"/>
          <w:sz w:val="24"/>
          <w:szCs w:val="24"/>
        </w:rPr>
        <w:t>2023</w:t>
      </w:r>
      <w:r w:rsidR="00721BCA" w:rsidRPr="00D13593">
        <w:rPr>
          <w:rFonts w:eastAsia="Arial"/>
          <w:sz w:val="24"/>
          <w:szCs w:val="24"/>
        </w:rPr>
        <w:t>)</w:t>
      </w:r>
      <w:r w:rsidRPr="00D13593">
        <w:rPr>
          <w:rFonts w:eastAsia="Arial"/>
          <w:sz w:val="24"/>
          <w:szCs w:val="24"/>
        </w:rPr>
        <w:t>.</w:t>
      </w:r>
    </w:p>
    <w:p w14:paraId="1F363DAC" w14:textId="77777777" w:rsidR="00E77563" w:rsidRPr="00D13593" w:rsidRDefault="00000000" w:rsidP="00D13593">
      <w:pPr>
        <w:pStyle w:val="Heading1"/>
      </w:pPr>
      <w:bookmarkStart w:id="2" w:name="_Toc235529382"/>
      <w:r w:rsidRPr="00D13593">
        <w:t>Section 3: Understanding the Research Methods</w:t>
      </w:r>
      <w:bookmarkEnd w:id="2"/>
    </w:p>
    <w:p w14:paraId="7EE8BC5B" w14:textId="3F94F662" w:rsidR="00E77563" w:rsidRPr="00D13593" w:rsidRDefault="00A45189" w:rsidP="00D13593">
      <w:pPr>
        <w:spacing w:after="200" w:line="360" w:lineRule="auto"/>
        <w:ind w:firstLine="720"/>
        <w:jc w:val="both"/>
        <w:rPr>
          <w:sz w:val="24"/>
          <w:szCs w:val="24"/>
          <w:highlight w:val="yellow"/>
        </w:rPr>
      </w:pPr>
      <w:r w:rsidRPr="00D13593">
        <w:rPr>
          <w:rFonts w:eastAsia="Arial"/>
          <w:sz w:val="24"/>
          <w:szCs w:val="24"/>
        </w:rPr>
        <w:t>It is helpful to first define the terms quantitative, qualitative and mixed-methods research because these research methods are essentially different ways of approaching a research question.</w:t>
      </w:r>
    </w:p>
    <w:p w14:paraId="418EFD33" w14:textId="3324AF21" w:rsidR="00E77563" w:rsidRPr="00D13593" w:rsidRDefault="00000000" w:rsidP="00D13593">
      <w:pPr>
        <w:spacing w:after="200" w:line="360" w:lineRule="auto"/>
        <w:ind w:firstLine="720"/>
        <w:jc w:val="both"/>
        <w:rPr>
          <w:sz w:val="24"/>
          <w:szCs w:val="24"/>
        </w:rPr>
      </w:pPr>
      <w:r w:rsidRPr="00D13593">
        <w:rPr>
          <w:rFonts w:eastAsia="Arial"/>
          <w:sz w:val="24"/>
          <w:szCs w:val="24"/>
        </w:rPr>
        <w:t xml:space="preserve">Quantitative research is concerned with collecting numerical data that can be measured, counted and analysed statistically. </w:t>
      </w:r>
      <w:r w:rsidR="00A45189" w:rsidRPr="00D13593">
        <w:rPr>
          <w:rFonts w:eastAsia="Arial"/>
          <w:sz w:val="24"/>
          <w:szCs w:val="24"/>
        </w:rPr>
        <w:t xml:space="preserve">Uses structured instruments (e.g. a questionnaire with closed questions, or rating scales) and intends to identify patterns, comparisons or contrasts between groups that can be generalised to a larger population (Bryman, 2016). Qualitative research, on the other hand, focuses on understanding the experiences, perceptions and meanings of people in depth. </w:t>
      </w:r>
      <w:r w:rsidRPr="00D13593">
        <w:rPr>
          <w:rFonts w:eastAsia="Arial"/>
          <w:sz w:val="24"/>
          <w:szCs w:val="24"/>
        </w:rPr>
        <w:t>It usually relies on methods such as interviews, focus groups or open-ended questions, and the resulting data is analysed thematically or narratively rather than statistically (Parahoo, 2014). Mixed-methods research combines both approaches within a single study, using quantitative data to identify broad patterns and qualitative data to provide richer explanation and context, with the intention that the two strands together produce a fuller picture than either could alone (Creswell &amp; Plano Clark, 2010).</w:t>
      </w:r>
    </w:p>
    <w:p w14:paraId="25945709" w14:textId="180F15A7" w:rsidR="00E77563" w:rsidRPr="00D13593" w:rsidRDefault="00000000" w:rsidP="00D13593">
      <w:pPr>
        <w:spacing w:after="200" w:line="360" w:lineRule="auto"/>
        <w:ind w:firstLine="720"/>
        <w:jc w:val="both"/>
        <w:rPr>
          <w:sz w:val="24"/>
          <w:szCs w:val="24"/>
        </w:rPr>
      </w:pPr>
      <w:r w:rsidRPr="00D13593">
        <w:rPr>
          <w:rFonts w:eastAsia="Arial"/>
          <w:sz w:val="24"/>
          <w:szCs w:val="24"/>
        </w:rPr>
        <w:t>The study reviewed here is best described as predominantly quantitative in design, with a smaller supporting qualitative element. The authors describe their overall approach as a cross-sectional quantitative research design, meaning that data were collected from a group of students at a single point in time rather than following them over a period</w:t>
      </w:r>
      <w:r w:rsidR="00721BCA" w:rsidRPr="00D13593">
        <w:rPr>
          <w:rFonts w:eastAsia="Arial"/>
          <w:sz w:val="24"/>
          <w:szCs w:val="24"/>
        </w:rPr>
        <w:t xml:space="preserve"> (Martzoukou et al., </w:t>
      </w:r>
      <w:r w:rsidR="00D13593" w:rsidRPr="00D13593">
        <w:rPr>
          <w:rFonts w:eastAsia="Arial"/>
          <w:sz w:val="24"/>
          <w:szCs w:val="24"/>
        </w:rPr>
        <w:t>2023</w:t>
      </w:r>
      <w:r w:rsidR="00721BCA" w:rsidRPr="00D13593">
        <w:rPr>
          <w:rFonts w:eastAsia="Arial"/>
          <w:sz w:val="24"/>
          <w:szCs w:val="24"/>
        </w:rPr>
        <w:t>)</w:t>
      </w:r>
      <w:r w:rsidRPr="00D13593">
        <w:rPr>
          <w:rFonts w:eastAsia="Arial"/>
          <w:sz w:val="24"/>
          <w:szCs w:val="24"/>
        </w:rPr>
        <w:t xml:space="preserve">. The main body of the survey used closed questions and a five-point Likert scale, ranging from “Novice” to “Expert”, allowing students to rate their own competence across numerous digital skill areas, and this numerical data was analysed statistically. However, the survey also </w:t>
      </w:r>
      <w:r w:rsidRPr="00D13593">
        <w:rPr>
          <w:rFonts w:eastAsia="Arial"/>
          <w:sz w:val="24"/>
          <w:szCs w:val="24"/>
        </w:rPr>
        <w:lastRenderedPageBreak/>
        <w:t>included three open-ended questions asking students to describe, in their own words, how they learned digital skills, how they kept their skills up to date, and how digital skills had helped them overcome challenges</w:t>
      </w:r>
      <w:r w:rsidR="00721BCA" w:rsidRPr="00D13593">
        <w:rPr>
          <w:rFonts w:eastAsia="Arial"/>
          <w:sz w:val="24"/>
          <w:szCs w:val="24"/>
        </w:rPr>
        <w:t xml:space="preserve"> (Martzoukou et al., </w:t>
      </w:r>
      <w:r w:rsidR="00D13593" w:rsidRPr="00D13593">
        <w:rPr>
          <w:rFonts w:eastAsia="Arial"/>
          <w:sz w:val="24"/>
          <w:szCs w:val="24"/>
        </w:rPr>
        <w:t>2023</w:t>
      </w:r>
      <w:r w:rsidR="00721BCA" w:rsidRPr="00D13593">
        <w:rPr>
          <w:rFonts w:eastAsia="Arial"/>
          <w:sz w:val="24"/>
          <w:szCs w:val="24"/>
        </w:rPr>
        <w:t>)</w:t>
      </w:r>
      <w:r w:rsidRPr="00D13593">
        <w:rPr>
          <w:rFonts w:eastAsia="Arial"/>
          <w:sz w:val="24"/>
          <w:szCs w:val="24"/>
        </w:rPr>
        <w:t>. These responses were analysed qualitatively using thematic analysis, in which the data were manually coded into recurring themes and subthemes. This combination of a dominant quantitative strand with an embedded, smaller qualitative strand reflects a mixed-methods element within an overall quantitative design, allowing the numerical results to be complemented by some insight into students' own experiences.</w:t>
      </w:r>
    </w:p>
    <w:p w14:paraId="5BDCC834" w14:textId="77777777" w:rsidR="00A45189" w:rsidRPr="00D13593" w:rsidRDefault="00A45189" w:rsidP="00D13593">
      <w:pPr>
        <w:spacing w:after="200" w:line="360" w:lineRule="auto"/>
        <w:ind w:firstLine="720"/>
        <w:jc w:val="both"/>
        <w:rPr>
          <w:rFonts w:eastAsia="Arial"/>
          <w:sz w:val="24"/>
          <w:szCs w:val="24"/>
        </w:rPr>
      </w:pPr>
      <w:r w:rsidRPr="00D13593">
        <w:rPr>
          <w:rFonts w:eastAsia="Arial"/>
          <w:sz w:val="24"/>
          <w:szCs w:val="24"/>
        </w:rPr>
        <w:t>Primary versus secondary data is also helpful. Primary data is data that is gathered first-hand for the purpose of the researcher's own study, while Secondary data is information that already exists, such as statistics previously published, records or datasets that the researchers use for their study (Bowling, 2014). This study was based upon primary data so the researchers came up with their own survey design to answer their research questions.</w:t>
      </w:r>
    </w:p>
    <w:p w14:paraId="77A9D4BB" w14:textId="46FFBAF8" w:rsidR="00721BCA" w:rsidRPr="00D13593" w:rsidRDefault="00A45189" w:rsidP="00D13593">
      <w:pPr>
        <w:spacing w:after="200" w:line="360" w:lineRule="auto"/>
        <w:ind w:firstLine="720"/>
        <w:jc w:val="both"/>
        <w:rPr>
          <w:rFonts w:eastAsia="Arial"/>
          <w:sz w:val="24"/>
          <w:szCs w:val="24"/>
        </w:rPr>
      </w:pPr>
      <w:r w:rsidRPr="00D13593">
        <w:rPr>
          <w:rFonts w:eastAsia="Arial"/>
          <w:sz w:val="24"/>
          <w:szCs w:val="24"/>
        </w:rPr>
        <w:t>As regards data collection methods, the researchers employed an online, self-administered questionnaire, created in JISC Online Surveys, a data collection system, which is compliant with data protection regulations. The survey instrument was not developed from scratch, but rather adapted from an existing survey of digital competencies, which was developed in a more general way and modified in consultation with academic staff and the student representative for the school of nursing and midwifery and paramedic programs to ensure its applicability to nursing, midwifery and paramedic practice</w:t>
      </w:r>
      <w:r w:rsidR="00721BCA" w:rsidRPr="00D13593">
        <w:rPr>
          <w:rFonts w:eastAsia="Arial"/>
          <w:sz w:val="24"/>
          <w:szCs w:val="24"/>
        </w:rPr>
        <w:t xml:space="preserve"> (Martzoukou et al., </w:t>
      </w:r>
      <w:r w:rsidR="00D13593" w:rsidRPr="00D13593">
        <w:rPr>
          <w:rFonts w:eastAsia="Arial"/>
          <w:sz w:val="24"/>
          <w:szCs w:val="24"/>
        </w:rPr>
        <w:t>2023</w:t>
      </w:r>
      <w:r w:rsidR="00721BCA" w:rsidRPr="00D13593">
        <w:rPr>
          <w:rFonts w:eastAsia="Arial"/>
          <w:sz w:val="24"/>
          <w:szCs w:val="24"/>
        </w:rPr>
        <w:t>)</w:t>
      </w:r>
      <w:r w:rsidRPr="00D13593">
        <w:rPr>
          <w:rFonts w:eastAsia="Arial"/>
          <w:sz w:val="24"/>
          <w:szCs w:val="24"/>
        </w:rPr>
        <w:t>.</w:t>
      </w:r>
    </w:p>
    <w:p w14:paraId="3FF94DEE" w14:textId="4749DCD6" w:rsidR="00A45189" w:rsidRPr="00D13593" w:rsidRDefault="00A45189" w:rsidP="00D13593">
      <w:pPr>
        <w:spacing w:after="200" w:line="360" w:lineRule="auto"/>
        <w:ind w:firstLine="720"/>
        <w:jc w:val="both"/>
        <w:rPr>
          <w:rFonts w:eastAsia="Arial"/>
          <w:sz w:val="24"/>
          <w:szCs w:val="24"/>
        </w:rPr>
      </w:pPr>
      <w:r w:rsidRPr="00D13593">
        <w:rPr>
          <w:rFonts w:eastAsia="Arial"/>
          <w:sz w:val="24"/>
          <w:szCs w:val="24"/>
        </w:rPr>
        <w:t>The finalised questionnaire encompassed the following data (in addition to the three open</w:t>
      </w:r>
      <w:r w:rsidR="00721BCA" w:rsidRPr="00D13593">
        <w:rPr>
          <w:rFonts w:eastAsia="Arial"/>
          <w:sz w:val="24"/>
          <w:szCs w:val="24"/>
        </w:rPr>
        <w:t xml:space="preserve"> </w:t>
      </w:r>
      <w:r w:rsidRPr="00D13593">
        <w:rPr>
          <w:rFonts w:eastAsia="Arial"/>
          <w:sz w:val="24"/>
          <w:szCs w:val="24"/>
        </w:rPr>
        <w:t>-ended questions above): demographic data, daily use of digital spaces, ICT skills for productivity and competence, information literacy, digital creation, research, communication, innovation, learning and development, identity management and wellbeing. The total population sampling method was employed and all students (1,200) within the relevant school were invited to participate and participation was anonymous and voluntary. A total of 182 students answered, representing approximately fifteen per cent response rate, which is typical for such online surveys, the authors say.</w:t>
      </w:r>
    </w:p>
    <w:p w14:paraId="4E52643C" w14:textId="1976D2B5" w:rsidR="00E77563" w:rsidRPr="00D13593" w:rsidRDefault="00A45189" w:rsidP="00D13593">
      <w:pPr>
        <w:spacing w:after="200" w:line="360" w:lineRule="auto"/>
        <w:ind w:firstLine="720"/>
        <w:jc w:val="both"/>
        <w:rPr>
          <w:sz w:val="24"/>
          <w:szCs w:val="24"/>
        </w:rPr>
      </w:pPr>
      <w:r w:rsidRPr="00D13593">
        <w:rPr>
          <w:rFonts w:eastAsia="Arial"/>
          <w:sz w:val="24"/>
          <w:szCs w:val="24"/>
        </w:rPr>
        <w:t xml:space="preserve">The closed survey questions were analysed using IBM SPSS Statistics, and the descriptive statistics (frequency, percentage, mean, median and mode) were used to summarise students' self-rated competence in each area of the closed items. Cronbach's alpha was administered to test the internal consistency of the survey items in each set of questions and </w:t>
      </w:r>
      <w:r w:rsidRPr="00D13593">
        <w:rPr>
          <w:rFonts w:eastAsia="Arial"/>
          <w:sz w:val="24"/>
          <w:szCs w:val="24"/>
        </w:rPr>
        <w:lastRenderedPageBreak/>
        <w:t>the results indicated that the questions within each competence dimension were measuring their intended concept reliably</w:t>
      </w:r>
      <w:r w:rsidR="00D13593" w:rsidRPr="00D13593">
        <w:rPr>
          <w:rFonts w:eastAsia="Arial"/>
          <w:sz w:val="24"/>
          <w:szCs w:val="24"/>
        </w:rPr>
        <w:t xml:space="preserve"> (Martzoukou et al., 2023)</w:t>
      </w:r>
      <w:r w:rsidRPr="00D13593">
        <w:rPr>
          <w:rFonts w:eastAsia="Arial"/>
          <w:sz w:val="24"/>
          <w:szCs w:val="24"/>
        </w:rPr>
        <w:t>.</w:t>
      </w:r>
      <w:r w:rsidRPr="00D13593">
        <w:rPr>
          <w:rFonts w:eastAsia="Arial"/>
          <w:sz w:val="24"/>
          <w:szCs w:val="24"/>
          <w:highlight w:val="yellow"/>
        </w:rPr>
        <w:t xml:space="preserve"> </w:t>
      </w:r>
      <w:r w:rsidRPr="00D13593">
        <w:rPr>
          <w:rFonts w:eastAsia="Arial"/>
          <w:sz w:val="24"/>
          <w:szCs w:val="24"/>
        </w:rPr>
        <w:t>Because normality testing showed that the data were not normally distributed, the researchers used non-parametric statistical tests rather than tests that assume a normal distribution. Specifically, the Mann-Whitney U-test was used to compare two groups, such as pre-registration versus post-registration students, while the Kruskal-Wallis H-test was used to compare more than two groups, such as different age or generational categories, allowing the researchers to test their two hypotheses about age and course type differences. The qualitative responses from the open-ended questions were analysed manually using thematic analysis, where the researchers coded the responses to themes that were explicitly captured in the survey questions, as well as emerging subthemes.</w:t>
      </w:r>
    </w:p>
    <w:p w14:paraId="49DC1E26" w14:textId="77777777" w:rsidR="00E77563" w:rsidRPr="00D13593" w:rsidRDefault="00000000" w:rsidP="00D13593">
      <w:pPr>
        <w:pStyle w:val="Heading1"/>
      </w:pPr>
      <w:bookmarkStart w:id="3" w:name="_Toc235529383"/>
      <w:r w:rsidRPr="00D13593">
        <w:t>Section 4: Conclusion</w:t>
      </w:r>
      <w:bookmarkEnd w:id="3"/>
    </w:p>
    <w:p w14:paraId="3C2BDFE5" w14:textId="77777777" w:rsidR="00A45189" w:rsidRPr="00D13593" w:rsidRDefault="00A45189" w:rsidP="00D13593">
      <w:pPr>
        <w:spacing w:after="200" w:line="360" w:lineRule="auto"/>
        <w:ind w:firstLine="720"/>
        <w:jc w:val="both"/>
        <w:rPr>
          <w:rFonts w:eastAsia="Arial"/>
          <w:sz w:val="24"/>
          <w:szCs w:val="24"/>
        </w:rPr>
      </w:pPr>
      <w:r w:rsidRPr="00D13593">
        <w:rPr>
          <w:rFonts w:eastAsia="Arial"/>
          <w:sz w:val="24"/>
          <w:szCs w:val="24"/>
        </w:rPr>
        <w:t>This report is a breakdown of a study that investigated nursing, midwifery and paramedic students' self-perceived digital literacy at a Scottish university. The paper aimed to adapt an existing digital competencies survey to a healthcare context and explore if there was a relationship between age and course type to student self-perceived competency, as well as to determine how well students felt they performed in the areas in which it was used. In methodologically terms, the study was of a predominantly quantitative, cross-sectional design, with a primary data collection tool being a purpose-designed online questionnaire, which was analysed descriptively and using non-parametric tests, and a smaller qualitative strand, analysing the open-ended responses thematically.</w:t>
      </w:r>
    </w:p>
    <w:p w14:paraId="1404B28A" w14:textId="7A3933A6" w:rsidR="00E77563" w:rsidRPr="00D13593" w:rsidRDefault="00A45189" w:rsidP="00D13593">
      <w:pPr>
        <w:spacing w:after="200" w:line="360" w:lineRule="auto"/>
        <w:ind w:firstLine="720"/>
        <w:jc w:val="both"/>
        <w:rPr>
          <w:sz w:val="24"/>
          <w:szCs w:val="24"/>
          <w:highlight w:val="yellow"/>
        </w:rPr>
      </w:pPr>
      <w:r w:rsidRPr="00D13593">
        <w:rPr>
          <w:rFonts w:eastAsia="Arial"/>
          <w:sz w:val="24"/>
          <w:szCs w:val="24"/>
        </w:rPr>
        <w:t>The process of completing this paper in detail has highlighted some important issues in research literacy that will be helpful in the future. First, it has emphasised the need to understand a paper's research design right from the off as this will influence the interpretation of findings and the conclusions that can be drawn. Secondly, the differentiation of primary from secondary data and quantitative from qualitative data has enabled researchers to be more aware about their choice of tools and statistical tests for their research questions. Finally, the fact that so much survey information had been turned into understandable, supported evidence has made a strong case for the importance of structured data analysis to generate evidence that can really guide practice. These research skills will enable them to read academic literature in a more critical and confident manner in the future and in evidence based health and social care practice.</w:t>
      </w:r>
    </w:p>
    <w:p w14:paraId="676B155A" w14:textId="77777777" w:rsidR="00E77563" w:rsidRDefault="00000000" w:rsidP="00D13593">
      <w:pPr>
        <w:pStyle w:val="Heading1"/>
        <w:numPr>
          <w:ilvl w:val="0"/>
          <w:numId w:val="0"/>
        </w:numPr>
        <w:jc w:val="center"/>
      </w:pPr>
      <w:bookmarkStart w:id="4" w:name="_Toc235529384"/>
      <w:r>
        <w:lastRenderedPageBreak/>
        <w:t>References</w:t>
      </w:r>
      <w:bookmarkEnd w:id="4"/>
    </w:p>
    <w:p w14:paraId="365B86E1"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Bowling, A. (2014) </w:t>
      </w:r>
      <w:r w:rsidRPr="00D13593">
        <w:rPr>
          <w:rFonts w:eastAsia="Arial"/>
          <w:i/>
          <w:iCs/>
          <w:sz w:val="22"/>
          <w:szCs w:val="22"/>
        </w:rPr>
        <w:t>Research Methods in Health: Investigating Health and Health Services</w:t>
      </w:r>
      <w:r w:rsidRPr="00D13593">
        <w:rPr>
          <w:rFonts w:eastAsia="Arial"/>
          <w:sz w:val="22"/>
          <w:szCs w:val="22"/>
        </w:rPr>
        <w:t>. 4th edn. London: Open University Press.</w:t>
      </w:r>
    </w:p>
    <w:p w14:paraId="7052486B"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Bryman, A. (2016) </w:t>
      </w:r>
      <w:r w:rsidRPr="00D13593">
        <w:rPr>
          <w:rFonts w:eastAsia="Arial"/>
          <w:i/>
          <w:iCs/>
          <w:sz w:val="22"/>
          <w:szCs w:val="22"/>
        </w:rPr>
        <w:t>Social Research Methods</w:t>
      </w:r>
      <w:r w:rsidRPr="00D13593">
        <w:rPr>
          <w:rFonts w:eastAsia="Arial"/>
          <w:sz w:val="22"/>
          <w:szCs w:val="22"/>
        </w:rPr>
        <w:t>. 5th edn. Oxford: Oxford University Press.</w:t>
      </w:r>
    </w:p>
    <w:p w14:paraId="1FB1132E"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Creswell, J.W. and Plano Clark, V.L. (2010) </w:t>
      </w:r>
      <w:r w:rsidRPr="00D13593">
        <w:rPr>
          <w:rFonts w:eastAsia="Arial"/>
          <w:i/>
          <w:iCs/>
          <w:sz w:val="22"/>
          <w:szCs w:val="22"/>
        </w:rPr>
        <w:t>Designing and Conducting Mixed Methods Research</w:t>
      </w:r>
      <w:r w:rsidRPr="00D13593">
        <w:rPr>
          <w:rFonts w:eastAsia="Arial"/>
          <w:sz w:val="22"/>
          <w:szCs w:val="22"/>
        </w:rPr>
        <w:t>. 2nd edn. London: Sage.</w:t>
      </w:r>
    </w:p>
    <w:p w14:paraId="67398B2C"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Martzoukou, K., Fulton, C., Kostagiolas, P. and Lavranos, C. (2020) 'A study of higher education students' self-perceived digital competences for learning and everyday life online participation', </w:t>
      </w:r>
      <w:r w:rsidRPr="00D13593">
        <w:rPr>
          <w:rFonts w:eastAsia="Arial"/>
          <w:i/>
          <w:iCs/>
          <w:sz w:val="22"/>
          <w:szCs w:val="22"/>
        </w:rPr>
        <w:t>Journal of Documentation</w:t>
      </w:r>
      <w:r w:rsidRPr="00D13593">
        <w:rPr>
          <w:rFonts w:eastAsia="Arial"/>
          <w:sz w:val="22"/>
          <w:szCs w:val="22"/>
        </w:rPr>
        <w:t>, 76(6), pp. 1413–1458. doi:10.1108/JD-03-2020-0041.</w:t>
      </w:r>
    </w:p>
    <w:p w14:paraId="259D116B"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Martzoukou, K., Luders, E.S., Mair, J., Kostagiolas, P., Johnson, N., Work, F. and Fulton, C. (2023) 'A cross-sectional study of discipline-based self-perceived digital literacy competencies of nursing students', </w:t>
      </w:r>
      <w:r w:rsidRPr="00D13593">
        <w:rPr>
          <w:rFonts w:eastAsia="Arial"/>
          <w:i/>
          <w:iCs/>
          <w:sz w:val="22"/>
          <w:szCs w:val="22"/>
        </w:rPr>
        <w:t>Journal of Advanced Nursing</w:t>
      </w:r>
      <w:r w:rsidRPr="00D13593">
        <w:rPr>
          <w:rFonts w:eastAsia="Arial"/>
          <w:sz w:val="22"/>
          <w:szCs w:val="22"/>
        </w:rPr>
        <w:t>, 80(2), pp. 656–672. doi:10.1111/jan.15801.</w:t>
      </w:r>
    </w:p>
    <w:p w14:paraId="15B20812"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Parahoo, K. (2014) </w:t>
      </w:r>
      <w:r w:rsidRPr="00D13593">
        <w:rPr>
          <w:rFonts w:eastAsia="Arial"/>
          <w:i/>
          <w:iCs/>
          <w:sz w:val="22"/>
          <w:szCs w:val="22"/>
        </w:rPr>
        <w:t>Nursing Research: Principles, Process and Issues</w:t>
      </w:r>
      <w:r w:rsidRPr="00D13593">
        <w:rPr>
          <w:rFonts w:eastAsia="Arial"/>
          <w:sz w:val="22"/>
          <w:szCs w:val="22"/>
        </w:rPr>
        <w:t>. 3rd edn. Basingstoke: Palgrave Macmillan.</w:t>
      </w:r>
    </w:p>
    <w:p w14:paraId="69EC57FA"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Royal College of Nursing (2018) </w:t>
      </w:r>
      <w:r w:rsidRPr="00D13593">
        <w:rPr>
          <w:rFonts w:eastAsia="Arial"/>
          <w:i/>
          <w:iCs/>
          <w:sz w:val="22"/>
          <w:szCs w:val="22"/>
        </w:rPr>
        <w:t>The UK Nursing Labour Market Review 2018</w:t>
      </w:r>
      <w:r w:rsidRPr="00D13593">
        <w:rPr>
          <w:rFonts w:eastAsia="Arial"/>
          <w:sz w:val="22"/>
          <w:szCs w:val="22"/>
        </w:rPr>
        <w:t>. London: Royal College of Nursing.</w:t>
      </w:r>
    </w:p>
    <w:p w14:paraId="2AF80FED" w14:textId="77777777" w:rsidR="00D13593" w:rsidRPr="00D13593" w:rsidRDefault="00D13593" w:rsidP="00D13593">
      <w:pPr>
        <w:spacing w:after="150" w:line="360" w:lineRule="auto"/>
        <w:jc w:val="both"/>
        <w:rPr>
          <w:rFonts w:eastAsia="Arial"/>
          <w:sz w:val="22"/>
          <w:szCs w:val="22"/>
        </w:rPr>
      </w:pPr>
      <w:r w:rsidRPr="00D13593">
        <w:rPr>
          <w:rFonts w:eastAsia="Arial"/>
          <w:sz w:val="22"/>
          <w:szCs w:val="22"/>
        </w:rPr>
        <w:t xml:space="preserve">Saunders, M., Lewis, P. and Thornhill, A. (2019) </w:t>
      </w:r>
      <w:r w:rsidRPr="00D13593">
        <w:rPr>
          <w:rFonts w:eastAsia="Arial"/>
          <w:i/>
          <w:iCs/>
          <w:sz w:val="22"/>
          <w:szCs w:val="22"/>
        </w:rPr>
        <w:t>Research Methods for Business Students</w:t>
      </w:r>
      <w:r w:rsidRPr="00D13593">
        <w:rPr>
          <w:rFonts w:eastAsia="Arial"/>
          <w:sz w:val="22"/>
          <w:szCs w:val="22"/>
        </w:rPr>
        <w:t>. 8th edn. Harlow: Pearson.</w:t>
      </w:r>
    </w:p>
    <w:p w14:paraId="56EB9734" w14:textId="0FA7E07B" w:rsidR="00E77563" w:rsidRPr="00D13593" w:rsidRDefault="00E77563" w:rsidP="00D13593">
      <w:pPr>
        <w:spacing w:after="150" w:line="360" w:lineRule="auto"/>
        <w:jc w:val="both"/>
      </w:pPr>
    </w:p>
    <w:sectPr w:rsidR="00E77563" w:rsidRPr="00D13593">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771B" w14:textId="77777777" w:rsidR="000208FD" w:rsidRDefault="000208FD">
      <w:r>
        <w:separator/>
      </w:r>
    </w:p>
  </w:endnote>
  <w:endnote w:type="continuationSeparator" w:id="0">
    <w:p w14:paraId="7CE6FF17" w14:textId="77777777" w:rsidR="000208FD" w:rsidRDefault="00020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0A079" w14:textId="77777777" w:rsidR="00E77563"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A45189">
      <w:rPr>
        <w:rFonts w:ascii="Arial" w:eastAsia="Arial" w:hAnsi="Arial" w:cs="Arial"/>
        <w:noProof/>
      </w:rPr>
      <w:t>2</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DA41B" w14:textId="77777777" w:rsidR="000208FD" w:rsidRDefault="000208FD">
      <w:r>
        <w:separator/>
      </w:r>
    </w:p>
  </w:footnote>
  <w:footnote w:type="continuationSeparator" w:id="0">
    <w:p w14:paraId="1F3F6DE9" w14:textId="77777777" w:rsidR="000208FD" w:rsidRDefault="00020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AACC6" w14:textId="77777777" w:rsidR="00E77563" w:rsidRDefault="00E775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32C5"/>
    <w:multiLevelType w:val="hybridMultilevel"/>
    <w:tmpl w:val="2592CF26"/>
    <w:lvl w:ilvl="0" w:tplc="5FAA7F2A">
      <w:start w:val="1"/>
      <w:numFmt w:val="bullet"/>
      <w:lvlText w:val="●"/>
      <w:lvlJc w:val="left"/>
      <w:pPr>
        <w:ind w:left="720" w:hanging="360"/>
      </w:pPr>
    </w:lvl>
    <w:lvl w:ilvl="1" w:tplc="CD84CE90">
      <w:start w:val="1"/>
      <w:numFmt w:val="bullet"/>
      <w:lvlText w:val="○"/>
      <w:lvlJc w:val="left"/>
      <w:pPr>
        <w:ind w:left="1440" w:hanging="360"/>
      </w:pPr>
    </w:lvl>
    <w:lvl w:ilvl="2" w:tplc="EB48B032">
      <w:start w:val="1"/>
      <w:numFmt w:val="bullet"/>
      <w:lvlText w:val="■"/>
      <w:lvlJc w:val="left"/>
      <w:pPr>
        <w:ind w:left="2160" w:hanging="360"/>
      </w:pPr>
    </w:lvl>
    <w:lvl w:ilvl="3" w:tplc="00A07AF0">
      <w:start w:val="1"/>
      <w:numFmt w:val="bullet"/>
      <w:lvlText w:val="●"/>
      <w:lvlJc w:val="left"/>
      <w:pPr>
        <w:ind w:left="2880" w:hanging="360"/>
      </w:pPr>
    </w:lvl>
    <w:lvl w:ilvl="4" w:tplc="EFB6B04E">
      <w:start w:val="1"/>
      <w:numFmt w:val="bullet"/>
      <w:lvlText w:val="○"/>
      <w:lvlJc w:val="left"/>
      <w:pPr>
        <w:ind w:left="3600" w:hanging="360"/>
      </w:pPr>
    </w:lvl>
    <w:lvl w:ilvl="5" w:tplc="42CAB73E">
      <w:start w:val="1"/>
      <w:numFmt w:val="bullet"/>
      <w:lvlText w:val="■"/>
      <w:lvlJc w:val="left"/>
      <w:pPr>
        <w:ind w:left="4320" w:hanging="360"/>
      </w:pPr>
    </w:lvl>
    <w:lvl w:ilvl="6" w:tplc="39584CB2">
      <w:start w:val="1"/>
      <w:numFmt w:val="bullet"/>
      <w:lvlText w:val="●"/>
      <w:lvlJc w:val="left"/>
      <w:pPr>
        <w:ind w:left="5040" w:hanging="360"/>
      </w:pPr>
    </w:lvl>
    <w:lvl w:ilvl="7" w:tplc="9C2E2AD6">
      <w:start w:val="1"/>
      <w:numFmt w:val="bullet"/>
      <w:lvlText w:val="●"/>
      <w:lvlJc w:val="left"/>
      <w:pPr>
        <w:ind w:left="5760" w:hanging="360"/>
      </w:pPr>
    </w:lvl>
    <w:lvl w:ilvl="8" w:tplc="D5D03E3C">
      <w:start w:val="1"/>
      <w:numFmt w:val="bullet"/>
      <w:lvlText w:val="●"/>
      <w:lvlJc w:val="left"/>
      <w:pPr>
        <w:ind w:left="6480" w:hanging="360"/>
      </w:pPr>
    </w:lvl>
  </w:abstractNum>
  <w:abstractNum w:abstractNumId="1" w15:restartNumberingAfterBreak="0">
    <w:nsid w:val="6E2D0AF3"/>
    <w:multiLevelType w:val="hybridMultilevel"/>
    <w:tmpl w:val="88D4C568"/>
    <w:lvl w:ilvl="0" w:tplc="B29C88AC">
      <w:start w:val="1"/>
      <w:numFmt w:val="decimal"/>
      <w:pStyle w:val="Heading1"/>
      <w:lvlText w:val="%1."/>
      <w:lvlJc w:val="left"/>
      <w:pPr>
        <w:ind w:left="720" w:hanging="360"/>
      </w:pPr>
      <w:rPr>
        <w:rFonts w:eastAsia="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1408752">
    <w:abstractNumId w:val="0"/>
    <w:lvlOverride w:ilvl="0">
      <w:startOverride w:val="1"/>
    </w:lvlOverride>
  </w:num>
  <w:num w:numId="2" w16cid:durableId="981613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SwNDYxMbMwNTS2NDRU0lEKTi0uzszPAykwrAUAZC67iCwAAAA="/>
  </w:docVars>
  <w:rsids>
    <w:rsidRoot w:val="00E77563"/>
    <w:rsid w:val="000208FD"/>
    <w:rsid w:val="002A3EB0"/>
    <w:rsid w:val="004B07BF"/>
    <w:rsid w:val="004B217D"/>
    <w:rsid w:val="00595424"/>
    <w:rsid w:val="00721BCA"/>
    <w:rsid w:val="00776AA0"/>
    <w:rsid w:val="008534E5"/>
    <w:rsid w:val="009910DA"/>
    <w:rsid w:val="00A45189"/>
    <w:rsid w:val="00D13593"/>
    <w:rsid w:val="00E77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E10A2"/>
  <w15:docId w15:val="{1595C397-FD88-44D8-BF8E-4BBB88D6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D13593"/>
    <w:pPr>
      <w:numPr>
        <w:numId w:val="2"/>
      </w:numPr>
      <w:spacing w:before="300" w:after="200" w:line="360" w:lineRule="auto"/>
      <w:ind w:hanging="720"/>
      <w:jc w:val="both"/>
      <w:outlineLvl w:val="0"/>
    </w:pPr>
    <w:rPr>
      <w:rFonts w:eastAsia="Arial"/>
      <w:b/>
      <w:bCs/>
      <w:color w:val="2E74B5"/>
      <w:sz w:val="24"/>
      <w:szCs w:val="24"/>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D13593"/>
    <w:pPr>
      <w:keepNext/>
      <w:keepLines/>
      <w:numPr>
        <w:numId w:val="0"/>
      </w:numPr>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D135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8321F-17DA-4065-89AF-0DD016129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1932</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4</cp:revision>
  <dcterms:created xsi:type="dcterms:W3CDTF">2026-07-21T07:12:00Z</dcterms:created>
  <dcterms:modified xsi:type="dcterms:W3CDTF">2026-07-21T07:47:00Z</dcterms:modified>
</cp:coreProperties>
</file>