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5B711" w14:textId="77777777" w:rsidR="00A900BD" w:rsidRPr="00624ACA" w:rsidRDefault="009F024D" w:rsidP="00A900BD">
      <w:pPr>
        <w:spacing w:line="360" w:lineRule="auto"/>
        <w:jc w:val="center"/>
        <w:rPr>
          <w:rFonts w:eastAsia="Times New Roman"/>
          <w:b/>
          <w:sz w:val="32"/>
          <w:szCs w:val="32"/>
          <w:highlight w:val="white"/>
          <w:lang w:val="en-GB"/>
        </w:rPr>
      </w:pPr>
      <w:r w:rsidRPr="00624ACA">
        <w:rPr>
          <w:noProof/>
          <w:lang w:val="en-IN"/>
        </w:rPr>
        <w:drawing>
          <wp:anchor distT="0" distB="0" distL="114300" distR="114300" simplePos="0" relativeHeight="251658240" behindDoc="0" locked="0" layoutInCell="1" allowOverlap="1" wp14:anchorId="7FAC4CAE" wp14:editId="1006A2AE">
            <wp:simplePos x="0" y="0"/>
            <wp:positionH relativeFrom="column">
              <wp:posOffset>1940064</wp:posOffset>
            </wp:positionH>
            <wp:positionV relativeFrom="paragraph">
              <wp:posOffset>0</wp:posOffset>
            </wp:positionV>
            <wp:extent cx="2106930" cy="874395"/>
            <wp:effectExtent l="152400" t="95250" r="312420" b="26860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2106930" cy="87439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6DCE4D5" w14:textId="77777777" w:rsidR="00A900BD" w:rsidRPr="00624ACA" w:rsidRDefault="00A900BD" w:rsidP="00A900BD">
      <w:pPr>
        <w:spacing w:line="360" w:lineRule="auto"/>
        <w:jc w:val="center"/>
        <w:rPr>
          <w:rFonts w:eastAsia="Times New Roman"/>
          <w:b/>
          <w:sz w:val="32"/>
          <w:szCs w:val="32"/>
          <w:highlight w:val="white"/>
          <w:lang w:val="en-GB"/>
        </w:rPr>
      </w:pPr>
    </w:p>
    <w:p w14:paraId="1343C188" w14:textId="77777777" w:rsidR="00A900BD" w:rsidRPr="00624ACA" w:rsidRDefault="00A900BD" w:rsidP="00A900BD">
      <w:pPr>
        <w:spacing w:line="360" w:lineRule="auto"/>
        <w:jc w:val="center"/>
        <w:rPr>
          <w:rFonts w:eastAsia="Times New Roman"/>
          <w:b/>
          <w:sz w:val="32"/>
          <w:szCs w:val="32"/>
          <w:highlight w:val="white"/>
          <w:lang w:val="en-GB"/>
        </w:rPr>
      </w:pPr>
    </w:p>
    <w:p w14:paraId="29644584" w14:textId="77777777" w:rsidR="00A900BD" w:rsidRPr="00624ACA" w:rsidRDefault="00A900BD" w:rsidP="00A900BD">
      <w:pPr>
        <w:spacing w:line="360" w:lineRule="auto"/>
        <w:jc w:val="center"/>
        <w:rPr>
          <w:rFonts w:eastAsia="Times New Roman"/>
          <w:b/>
          <w:sz w:val="32"/>
          <w:szCs w:val="32"/>
          <w:highlight w:val="white"/>
          <w:lang w:val="en-GB"/>
        </w:rPr>
      </w:pPr>
    </w:p>
    <w:p w14:paraId="06CB9AE5" w14:textId="77777777" w:rsidR="00A900BD" w:rsidRPr="00624ACA" w:rsidRDefault="009F024D" w:rsidP="00A900BD">
      <w:pPr>
        <w:spacing w:line="360" w:lineRule="auto"/>
        <w:jc w:val="center"/>
        <w:rPr>
          <w:rFonts w:eastAsia="Times New Roman"/>
          <w:b/>
          <w:sz w:val="32"/>
          <w:szCs w:val="32"/>
          <w:highlight w:val="white"/>
          <w:lang w:val="en-GB"/>
        </w:rPr>
      </w:pPr>
      <w:r w:rsidRPr="00624ACA">
        <w:rPr>
          <w:rFonts w:eastAsia="Times New Roman"/>
          <w:b/>
          <w:sz w:val="32"/>
          <w:szCs w:val="32"/>
          <w:highlight w:val="white"/>
          <w:lang w:val="en-GB"/>
        </w:rPr>
        <w:t xml:space="preserve">Student Name: </w:t>
      </w:r>
      <w:r w:rsidRPr="00624ACA">
        <w:rPr>
          <w:rFonts w:eastAsia="Times New Roman"/>
          <w:bCs/>
          <w:sz w:val="32"/>
          <w:szCs w:val="32"/>
          <w:highlight w:val="white"/>
          <w:lang w:val="en-GB"/>
        </w:rPr>
        <w:t>Nanish Wilson</w:t>
      </w:r>
    </w:p>
    <w:p w14:paraId="4C01F0AC" w14:textId="77777777" w:rsidR="00A900BD" w:rsidRPr="00624ACA" w:rsidRDefault="009F024D" w:rsidP="00A900BD">
      <w:pPr>
        <w:spacing w:line="360" w:lineRule="auto"/>
        <w:jc w:val="center"/>
        <w:rPr>
          <w:rFonts w:eastAsia="Times New Roman"/>
          <w:b/>
          <w:sz w:val="32"/>
          <w:szCs w:val="32"/>
          <w:highlight w:val="white"/>
          <w:lang w:val="en-GB"/>
        </w:rPr>
      </w:pPr>
      <w:r w:rsidRPr="00624ACA">
        <w:rPr>
          <w:rFonts w:eastAsia="Times New Roman"/>
          <w:b/>
          <w:sz w:val="32"/>
          <w:szCs w:val="32"/>
          <w:highlight w:val="white"/>
          <w:lang w:val="en-GB"/>
        </w:rPr>
        <w:t>Student ID Number:</w:t>
      </w:r>
    </w:p>
    <w:p w14:paraId="017ADA25" w14:textId="77777777" w:rsidR="00A900BD" w:rsidRPr="00624ACA" w:rsidRDefault="00A900BD" w:rsidP="00A900BD">
      <w:pPr>
        <w:spacing w:line="360" w:lineRule="auto"/>
        <w:jc w:val="center"/>
        <w:rPr>
          <w:rFonts w:eastAsia="Times New Roman"/>
          <w:b/>
          <w:sz w:val="32"/>
          <w:szCs w:val="32"/>
          <w:highlight w:val="white"/>
          <w:lang w:val="en-GB"/>
        </w:rPr>
      </w:pPr>
    </w:p>
    <w:p w14:paraId="610F60E1" w14:textId="77777777" w:rsidR="00A900BD" w:rsidRPr="00624ACA" w:rsidRDefault="00A900BD" w:rsidP="00A900BD">
      <w:pPr>
        <w:spacing w:line="360" w:lineRule="auto"/>
        <w:jc w:val="center"/>
        <w:rPr>
          <w:rFonts w:eastAsia="Times New Roman"/>
          <w:b/>
          <w:sz w:val="32"/>
          <w:szCs w:val="32"/>
          <w:highlight w:val="white"/>
          <w:lang w:val="en-GB"/>
        </w:rPr>
      </w:pPr>
    </w:p>
    <w:p w14:paraId="260494B9" w14:textId="77777777" w:rsidR="00A900BD" w:rsidRPr="00624ACA" w:rsidRDefault="009F024D" w:rsidP="00A900BD">
      <w:pPr>
        <w:spacing w:line="360" w:lineRule="auto"/>
        <w:jc w:val="center"/>
        <w:rPr>
          <w:rFonts w:eastAsia="Times New Roman"/>
          <w:b/>
          <w:sz w:val="32"/>
          <w:szCs w:val="32"/>
          <w:highlight w:val="white"/>
          <w:lang w:val="en-GB"/>
        </w:rPr>
      </w:pPr>
      <w:r w:rsidRPr="00624ACA">
        <w:rPr>
          <w:rFonts w:eastAsia="Times New Roman"/>
          <w:b/>
          <w:sz w:val="32"/>
          <w:szCs w:val="32"/>
          <w:highlight w:val="white"/>
          <w:lang w:val="en-GB"/>
        </w:rPr>
        <w:t xml:space="preserve">Module Code: </w:t>
      </w:r>
      <w:r w:rsidRPr="00624ACA">
        <w:rPr>
          <w:bCs/>
          <w:sz w:val="32"/>
          <w:szCs w:val="32"/>
          <w:lang w:val="en-GB"/>
        </w:rPr>
        <w:t>LCHS4007</w:t>
      </w:r>
    </w:p>
    <w:p w14:paraId="18CA3B40" w14:textId="77777777" w:rsidR="00A900BD" w:rsidRPr="00624ACA" w:rsidRDefault="009F024D" w:rsidP="00A900BD">
      <w:pPr>
        <w:spacing w:line="360" w:lineRule="auto"/>
        <w:jc w:val="center"/>
        <w:rPr>
          <w:rFonts w:eastAsia="Times New Roman"/>
          <w:b/>
          <w:sz w:val="32"/>
          <w:szCs w:val="32"/>
          <w:highlight w:val="white"/>
          <w:lang w:val="en-GB"/>
        </w:rPr>
      </w:pPr>
      <w:r w:rsidRPr="00624ACA">
        <w:rPr>
          <w:rFonts w:eastAsia="Times New Roman"/>
          <w:b/>
          <w:sz w:val="32"/>
          <w:szCs w:val="32"/>
          <w:highlight w:val="white"/>
          <w:lang w:val="en-GB"/>
        </w:rPr>
        <w:t xml:space="preserve">Module Title: </w:t>
      </w:r>
      <w:r w:rsidRPr="00624ACA">
        <w:rPr>
          <w:bCs/>
          <w:sz w:val="32"/>
          <w:szCs w:val="32"/>
          <w:lang w:val="en-GB"/>
        </w:rPr>
        <w:t>Digital Skills and Research Methods</w:t>
      </w:r>
    </w:p>
    <w:p w14:paraId="214FC903" w14:textId="77777777" w:rsidR="00A900BD" w:rsidRPr="00624ACA" w:rsidRDefault="00A900BD" w:rsidP="00A900BD">
      <w:pPr>
        <w:spacing w:line="360" w:lineRule="auto"/>
        <w:jc w:val="center"/>
        <w:rPr>
          <w:rFonts w:eastAsia="Times New Roman"/>
          <w:b/>
          <w:sz w:val="32"/>
          <w:szCs w:val="32"/>
          <w:highlight w:val="white"/>
          <w:lang w:val="en-GB"/>
        </w:rPr>
      </w:pPr>
    </w:p>
    <w:p w14:paraId="0CDF4BDD" w14:textId="77777777" w:rsidR="00A900BD" w:rsidRPr="00624ACA" w:rsidRDefault="00A900BD" w:rsidP="00A900BD">
      <w:pPr>
        <w:spacing w:line="360" w:lineRule="auto"/>
        <w:jc w:val="center"/>
        <w:rPr>
          <w:rFonts w:eastAsia="Times New Roman"/>
          <w:b/>
          <w:sz w:val="32"/>
          <w:szCs w:val="32"/>
          <w:highlight w:val="white"/>
          <w:lang w:val="en-GB"/>
        </w:rPr>
      </w:pPr>
    </w:p>
    <w:p w14:paraId="6D6E139B" w14:textId="77777777" w:rsidR="00A900BD" w:rsidRPr="00624ACA" w:rsidRDefault="009F024D" w:rsidP="00A900BD">
      <w:pPr>
        <w:spacing w:line="360" w:lineRule="auto"/>
        <w:jc w:val="center"/>
        <w:rPr>
          <w:rFonts w:eastAsia="Times New Roman"/>
          <w:b/>
          <w:sz w:val="32"/>
          <w:szCs w:val="32"/>
          <w:highlight w:val="white"/>
          <w:lang w:val="en-GB"/>
        </w:rPr>
      </w:pPr>
      <w:r w:rsidRPr="00624ACA">
        <w:rPr>
          <w:rFonts w:eastAsia="Times New Roman"/>
          <w:b/>
          <w:sz w:val="32"/>
          <w:szCs w:val="32"/>
          <w:highlight w:val="white"/>
          <w:lang w:val="en-GB"/>
        </w:rPr>
        <w:t xml:space="preserve">Lecturer’s Name: </w:t>
      </w:r>
      <w:r w:rsidRPr="00624ACA">
        <w:rPr>
          <w:bCs/>
          <w:sz w:val="32"/>
          <w:szCs w:val="32"/>
          <w:lang w:val="en-GB"/>
        </w:rPr>
        <w:t>Hajra Mustasim (Module lead)</w:t>
      </w:r>
    </w:p>
    <w:p w14:paraId="32F31599" w14:textId="77777777" w:rsidR="00A900BD" w:rsidRPr="00624ACA" w:rsidRDefault="00A900BD" w:rsidP="00A900BD">
      <w:pPr>
        <w:spacing w:line="360" w:lineRule="auto"/>
        <w:jc w:val="center"/>
        <w:rPr>
          <w:rFonts w:eastAsia="Times New Roman"/>
          <w:b/>
          <w:sz w:val="32"/>
          <w:szCs w:val="32"/>
          <w:highlight w:val="white"/>
          <w:lang w:val="en-GB"/>
        </w:rPr>
      </w:pPr>
    </w:p>
    <w:p w14:paraId="329064D3" w14:textId="77777777" w:rsidR="00A900BD" w:rsidRPr="00624ACA" w:rsidRDefault="00A900BD" w:rsidP="00A900BD">
      <w:pPr>
        <w:spacing w:line="360" w:lineRule="auto"/>
        <w:jc w:val="center"/>
        <w:rPr>
          <w:rFonts w:eastAsia="Times New Roman"/>
          <w:b/>
          <w:sz w:val="32"/>
          <w:szCs w:val="32"/>
          <w:highlight w:val="white"/>
          <w:lang w:val="en-GB"/>
        </w:rPr>
      </w:pPr>
    </w:p>
    <w:p w14:paraId="6878CF1D" w14:textId="77777777" w:rsidR="00A900BD" w:rsidRPr="00624ACA" w:rsidRDefault="00A900BD" w:rsidP="00A900BD">
      <w:pPr>
        <w:spacing w:line="360" w:lineRule="auto"/>
        <w:jc w:val="center"/>
        <w:rPr>
          <w:rFonts w:eastAsia="Times New Roman"/>
          <w:b/>
          <w:sz w:val="32"/>
          <w:szCs w:val="32"/>
          <w:highlight w:val="white"/>
          <w:lang w:val="en-GB"/>
        </w:rPr>
      </w:pPr>
    </w:p>
    <w:p w14:paraId="7DAE6AEA" w14:textId="77777777" w:rsidR="00A900BD" w:rsidRPr="00624ACA" w:rsidRDefault="00A900BD" w:rsidP="00A900BD">
      <w:pPr>
        <w:spacing w:line="360" w:lineRule="auto"/>
        <w:jc w:val="center"/>
        <w:rPr>
          <w:rFonts w:eastAsia="Times New Roman"/>
          <w:b/>
          <w:sz w:val="32"/>
          <w:szCs w:val="32"/>
          <w:highlight w:val="white"/>
          <w:lang w:val="en-GB"/>
        </w:rPr>
      </w:pPr>
    </w:p>
    <w:p w14:paraId="27489BFB" w14:textId="77777777" w:rsidR="009F024D" w:rsidRDefault="009F024D" w:rsidP="00A900BD">
      <w:pPr>
        <w:spacing w:line="360" w:lineRule="auto"/>
        <w:jc w:val="center"/>
        <w:rPr>
          <w:bCs/>
          <w:i/>
          <w:color w:val="222222"/>
          <w:sz w:val="32"/>
          <w:szCs w:val="32"/>
          <w:shd w:val="clear" w:color="auto" w:fill="FFFFFF"/>
          <w:lang w:val="en-GB"/>
        </w:rPr>
      </w:pPr>
      <w:r w:rsidRPr="00624ACA">
        <w:rPr>
          <w:rFonts w:eastAsia="Times New Roman"/>
          <w:b/>
          <w:sz w:val="32"/>
          <w:szCs w:val="32"/>
          <w:highlight w:val="white"/>
          <w:lang w:val="en-GB"/>
        </w:rPr>
        <w:t xml:space="preserve">Assessment Title: </w:t>
      </w:r>
      <w:r w:rsidR="005E45F2" w:rsidRPr="00624ACA">
        <w:rPr>
          <w:bCs/>
          <w:i/>
          <w:color w:val="222222"/>
          <w:sz w:val="32"/>
          <w:szCs w:val="32"/>
          <w:shd w:val="clear" w:color="auto" w:fill="FFFFFF"/>
          <w:lang w:val="en-GB"/>
        </w:rPr>
        <w:t>An Investigation into the Impact of Adult Mental Health Challenges on Patient Recovery and Clinical Outcomes in the UK Healthcare Sector: A Case Study of Guy's Hospital, UK</w:t>
      </w:r>
    </w:p>
    <w:p w14:paraId="2794A129" w14:textId="77777777" w:rsidR="009F024D" w:rsidRDefault="009F024D">
      <w:pPr>
        <w:rPr>
          <w:bCs/>
          <w:i/>
          <w:color w:val="222222"/>
          <w:sz w:val="32"/>
          <w:szCs w:val="32"/>
          <w:shd w:val="clear" w:color="auto" w:fill="FFFFFF"/>
          <w:lang w:val="en-GB"/>
        </w:rPr>
      </w:pPr>
      <w:r>
        <w:rPr>
          <w:bCs/>
          <w:i/>
          <w:color w:val="222222"/>
          <w:sz w:val="32"/>
          <w:szCs w:val="32"/>
          <w:shd w:val="clear" w:color="auto" w:fill="FFFFFF"/>
          <w:lang w:val="en-GB"/>
        </w:rPr>
        <w:br w:type="page"/>
      </w:r>
    </w:p>
    <w:sdt>
      <w:sdtPr>
        <w:rPr>
          <w:rFonts w:ascii="Arial" w:eastAsia="Arial" w:hAnsi="Arial" w:cs="Arial"/>
          <w:color w:val="auto"/>
          <w:sz w:val="22"/>
          <w:szCs w:val="22"/>
          <w:lang w:val="en" w:eastAsia="en-IN"/>
        </w:rPr>
        <w:id w:val="-140737460"/>
        <w:docPartObj>
          <w:docPartGallery w:val="Table of Contents"/>
          <w:docPartUnique/>
        </w:docPartObj>
      </w:sdtPr>
      <w:sdtEndPr>
        <w:rPr>
          <w:b/>
          <w:bCs/>
          <w:noProof/>
        </w:rPr>
      </w:sdtEndPr>
      <w:sdtContent>
        <w:p w14:paraId="0BF7657C" w14:textId="77777777" w:rsidR="009F024D" w:rsidRPr="00784FF2" w:rsidRDefault="009F024D" w:rsidP="009F024D">
          <w:pPr>
            <w:pStyle w:val="TOCHeading"/>
            <w:spacing w:line="360" w:lineRule="auto"/>
            <w:jc w:val="center"/>
            <w:rPr>
              <w:rFonts w:ascii="Arial" w:hAnsi="Arial" w:cs="Arial"/>
              <w:b/>
              <w:color w:val="000000" w:themeColor="text1"/>
              <w:sz w:val="28"/>
              <w:szCs w:val="24"/>
              <w:u w:val="single"/>
            </w:rPr>
          </w:pPr>
          <w:r w:rsidRPr="00784FF2">
            <w:rPr>
              <w:rFonts w:ascii="Arial" w:hAnsi="Arial" w:cs="Arial"/>
              <w:b/>
              <w:color w:val="000000" w:themeColor="text1"/>
              <w:sz w:val="28"/>
              <w:szCs w:val="24"/>
              <w:u w:val="single"/>
            </w:rPr>
            <w:t>Table of Contents</w:t>
          </w:r>
        </w:p>
        <w:p w14:paraId="2CFCF361" w14:textId="77777777" w:rsidR="009F024D" w:rsidRPr="00784FF2" w:rsidRDefault="009F024D" w:rsidP="009F024D">
          <w:pPr>
            <w:pStyle w:val="TOC1"/>
            <w:tabs>
              <w:tab w:val="right" w:leader="dot" w:pos="9350"/>
            </w:tabs>
            <w:spacing w:line="360" w:lineRule="auto"/>
            <w:jc w:val="both"/>
            <w:rPr>
              <w:noProof/>
              <w:color w:val="000000" w:themeColor="text1"/>
              <w:sz w:val="24"/>
              <w:szCs w:val="24"/>
            </w:rPr>
          </w:pPr>
          <w:r w:rsidRPr="00784FF2">
            <w:rPr>
              <w:color w:val="000000" w:themeColor="text1"/>
              <w:sz w:val="24"/>
              <w:szCs w:val="24"/>
            </w:rPr>
            <w:fldChar w:fldCharType="begin"/>
          </w:r>
          <w:r w:rsidRPr="00784FF2">
            <w:rPr>
              <w:color w:val="000000" w:themeColor="text1"/>
              <w:sz w:val="24"/>
              <w:szCs w:val="24"/>
            </w:rPr>
            <w:instrText xml:space="preserve"> TOC \o "1-3" \h \z \u </w:instrText>
          </w:r>
          <w:r w:rsidRPr="00784FF2">
            <w:rPr>
              <w:color w:val="000000" w:themeColor="text1"/>
              <w:sz w:val="24"/>
              <w:szCs w:val="24"/>
            </w:rPr>
            <w:fldChar w:fldCharType="separate"/>
          </w:r>
          <w:hyperlink w:anchor="_Toc213420948" w:history="1">
            <w:r w:rsidRPr="00784FF2">
              <w:rPr>
                <w:rStyle w:val="Hyperlink"/>
                <w:noProof/>
                <w:color w:val="000000" w:themeColor="text1"/>
                <w:sz w:val="24"/>
                <w:szCs w:val="24"/>
                <w:lang w:val="en-GB"/>
              </w:rPr>
              <w:t>Introduction</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_Toc213420948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3</w:t>
            </w:r>
            <w:r w:rsidRPr="00784FF2">
              <w:rPr>
                <w:noProof/>
                <w:webHidden/>
                <w:color w:val="000000" w:themeColor="text1"/>
                <w:sz w:val="24"/>
                <w:szCs w:val="24"/>
              </w:rPr>
              <w:fldChar w:fldCharType="end"/>
            </w:r>
          </w:hyperlink>
        </w:p>
        <w:p w14:paraId="7F11A5F4" w14:textId="77777777" w:rsidR="009F024D" w:rsidRPr="00784FF2" w:rsidRDefault="009F024D" w:rsidP="009F024D">
          <w:pPr>
            <w:pStyle w:val="TOC1"/>
            <w:tabs>
              <w:tab w:val="right" w:leader="dot" w:pos="9350"/>
            </w:tabs>
            <w:spacing w:line="360" w:lineRule="auto"/>
            <w:jc w:val="both"/>
            <w:rPr>
              <w:noProof/>
              <w:color w:val="000000" w:themeColor="text1"/>
              <w:sz w:val="24"/>
              <w:szCs w:val="24"/>
            </w:rPr>
          </w:pPr>
          <w:hyperlink w:anchor="_Toc213420949" w:history="1">
            <w:r w:rsidRPr="00784FF2">
              <w:rPr>
                <w:rStyle w:val="Hyperlink"/>
                <w:noProof/>
                <w:color w:val="000000" w:themeColor="text1"/>
                <w:sz w:val="24"/>
                <w:szCs w:val="24"/>
                <w:lang w:val="en-GB"/>
              </w:rPr>
              <w:t>Task 1: Research Topic Identification</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_Toc213420949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3</w:t>
            </w:r>
            <w:r w:rsidRPr="00784FF2">
              <w:rPr>
                <w:noProof/>
                <w:webHidden/>
                <w:color w:val="000000" w:themeColor="text1"/>
                <w:sz w:val="24"/>
                <w:szCs w:val="24"/>
              </w:rPr>
              <w:fldChar w:fldCharType="end"/>
            </w:r>
          </w:hyperlink>
        </w:p>
        <w:p w14:paraId="63187A0C" w14:textId="77777777" w:rsidR="009F024D" w:rsidRPr="00784FF2" w:rsidRDefault="009F024D" w:rsidP="009F024D">
          <w:pPr>
            <w:pStyle w:val="TOC2"/>
            <w:tabs>
              <w:tab w:val="right" w:leader="dot" w:pos="9350"/>
            </w:tabs>
            <w:spacing w:line="360" w:lineRule="auto"/>
            <w:jc w:val="both"/>
            <w:rPr>
              <w:noProof/>
              <w:color w:val="000000" w:themeColor="text1"/>
              <w:sz w:val="24"/>
              <w:szCs w:val="24"/>
            </w:rPr>
          </w:pPr>
          <w:hyperlink w:anchor="_Toc213420950" w:history="1">
            <w:r w:rsidRPr="00784FF2">
              <w:rPr>
                <w:rStyle w:val="Hyperlink"/>
                <w:noProof/>
                <w:color w:val="000000" w:themeColor="text1"/>
                <w:sz w:val="24"/>
                <w:szCs w:val="24"/>
                <w:lang w:val="en-GB"/>
              </w:rPr>
              <w:t>1.1 Identification of the Issue</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_Toc213420950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3</w:t>
            </w:r>
            <w:r w:rsidRPr="00784FF2">
              <w:rPr>
                <w:noProof/>
                <w:webHidden/>
                <w:color w:val="000000" w:themeColor="text1"/>
                <w:sz w:val="24"/>
                <w:szCs w:val="24"/>
              </w:rPr>
              <w:fldChar w:fldCharType="end"/>
            </w:r>
          </w:hyperlink>
        </w:p>
        <w:p w14:paraId="3D0F1AAA" w14:textId="77777777" w:rsidR="009F024D" w:rsidRPr="00784FF2" w:rsidRDefault="009F024D" w:rsidP="009F024D">
          <w:pPr>
            <w:pStyle w:val="TOC2"/>
            <w:tabs>
              <w:tab w:val="right" w:leader="dot" w:pos="9350"/>
            </w:tabs>
            <w:spacing w:line="360" w:lineRule="auto"/>
            <w:jc w:val="both"/>
            <w:rPr>
              <w:noProof/>
              <w:color w:val="000000" w:themeColor="text1"/>
              <w:sz w:val="24"/>
              <w:szCs w:val="24"/>
            </w:rPr>
          </w:pPr>
          <w:hyperlink w:anchor="_Toc213420951" w:history="1">
            <w:r w:rsidRPr="00784FF2">
              <w:rPr>
                <w:rStyle w:val="Hyperlink"/>
                <w:noProof/>
                <w:color w:val="000000" w:themeColor="text1"/>
                <w:sz w:val="24"/>
                <w:szCs w:val="24"/>
                <w:lang w:val="en-GB"/>
              </w:rPr>
              <w:t>1.2 The Issue Affects Whom</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_Toc213420951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3</w:t>
            </w:r>
            <w:r w:rsidRPr="00784FF2">
              <w:rPr>
                <w:noProof/>
                <w:webHidden/>
                <w:color w:val="000000" w:themeColor="text1"/>
                <w:sz w:val="24"/>
                <w:szCs w:val="24"/>
              </w:rPr>
              <w:fldChar w:fldCharType="end"/>
            </w:r>
          </w:hyperlink>
        </w:p>
        <w:p w14:paraId="077ED2B7" w14:textId="77777777" w:rsidR="009F024D" w:rsidRPr="00784FF2" w:rsidRDefault="009F024D" w:rsidP="009F024D">
          <w:pPr>
            <w:pStyle w:val="TOC2"/>
            <w:tabs>
              <w:tab w:val="right" w:leader="dot" w:pos="9350"/>
            </w:tabs>
            <w:spacing w:line="360" w:lineRule="auto"/>
            <w:jc w:val="both"/>
            <w:rPr>
              <w:noProof/>
              <w:color w:val="000000" w:themeColor="text1"/>
              <w:sz w:val="24"/>
              <w:szCs w:val="24"/>
            </w:rPr>
          </w:pPr>
          <w:hyperlink w:anchor="_Toc213420952" w:history="1">
            <w:r w:rsidRPr="00784FF2">
              <w:rPr>
                <w:rStyle w:val="Hyperlink"/>
                <w:noProof/>
                <w:color w:val="000000" w:themeColor="text1"/>
                <w:sz w:val="24"/>
                <w:szCs w:val="24"/>
                <w:lang w:val="en-GB"/>
              </w:rPr>
              <w:t>1.3 Justification for the Research Topic</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_Toc213420952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4</w:t>
            </w:r>
            <w:r w:rsidRPr="00784FF2">
              <w:rPr>
                <w:noProof/>
                <w:webHidden/>
                <w:color w:val="000000" w:themeColor="text1"/>
                <w:sz w:val="24"/>
                <w:szCs w:val="24"/>
              </w:rPr>
              <w:fldChar w:fldCharType="end"/>
            </w:r>
          </w:hyperlink>
        </w:p>
        <w:p w14:paraId="276659A0" w14:textId="77777777" w:rsidR="009F024D" w:rsidRPr="00784FF2" w:rsidRDefault="009F024D" w:rsidP="009F024D">
          <w:pPr>
            <w:pStyle w:val="TOC2"/>
            <w:tabs>
              <w:tab w:val="right" w:leader="dot" w:pos="9350"/>
            </w:tabs>
            <w:spacing w:line="360" w:lineRule="auto"/>
            <w:jc w:val="both"/>
            <w:rPr>
              <w:noProof/>
              <w:color w:val="000000" w:themeColor="text1"/>
              <w:sz w:val="24"/>
              <w:szCs w:val="24"/>
            </w:rPr>
          </w:pPr>
          <w:hyperlink w:anchor="_Toc213420953" w:history="1">
            <w:r w:rsidRPr="00784FF2">
              <w:rPr>
                <w:rStyle w:val="Hyperlink"/>
                <w:noProof/>
                <w:color w:val="000000" w:themeColor="text1"/>
                <w:sz w:val="24"/>
                <w:szCs w:val="24"/>
                <w:lang w:val="en-GB"/>
              </w:rPr>
              <w:t>1.4 Discussion of the three relevant information sources in support of the Research Topic</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_Toc213420953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4</w:t>
            </w:r>
            <w:r w:rsidRPr="00784FF2">
              <w:rPr>
                <w:noProof/>
                <w:webHidden/>
                <w:color w:val="000000" w:themeColor="text1"/>
                <w:sz w:val="24"/>
                <w:szCs w:val="24"/>
              </w:rPr>
              <w:fldChar w:fldCharType="end"/>
            </w:r>
          </w:hyperlink>
        </w:p>
        <w:p w14:paraId="1C8909DF" w14:textId="77777777" w:rsidR="009F024D" w:rsidRPr="00784FF2" w:rsidRDefault="009F024D" w:rsidP="009F024D">
          <w:pPr>
            <w:pStyle w:val="TOC2"/>
            <w:tabs>
              <w:tab w:val="right" w:leader="dot" w:pos="9350"/>
            </w:tabs>
            <w:spacing w:line="360" w:lineRule="auto"/>
            <w:jc w:val="both"/>
            <w:rPr>
              <w:noProof/>
              <w:color w:val="000000" w:themeColor="text1"/>
              <w:sz w:val="24"/>
              <w:szCs w:val="24"/>
            </w:rPr>
          </w:pPr>
          <w:hyperlink w:anchor="_Toc213420954" w:history="1">
            <w:r w:rsidRPr="00784FF2">
              <w:rPr>
                <w:rStyle w:val="Hyperlink"/>
                <w:noProof/>
                <w:color w:val="000000" w:themeColor="text1"/>
                <w:sz w:val="24"/>
                <w:szCs w:val="24"/>
                <w:lang w:val="en-GB"/>
              </w:rPr>
              <w:t>1.5 Summary of Literature Insights</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_Toc213420954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5</w:t>
            </w:r>
            <w:r w:rsidRPr="00784FF2">
              <w:rPr>
                <w:noProof/>
                <w:webHidden/>
                <w:color w:val="000000" w:themeColor="text1"/>
                <w:sz w:val="24"/>
                <w:szCs w:val="24"/>
              </w:rPr>
              <w:fldChar w:fldCharType="end"/>
            </w:r>
          </w:hyperlink>
        </w:p>
        <w:p w14:paraId="504C7312" w14:textId="77777777" w:rsidR="009F024D" w:rsidRPr="00784FF2" w:rsidRDefault="009F024D" w:rsidP="009F024D">
          <w:pPr>
            <w:pStyle w:val="TOC1"/>
            <w:tabs>
              <w:tab w:val="right" w:leader="dot" w:pos="9350"/>
            </w:tabs>
            <w:spacing w:line="360" w:lineRule="auto"/>
            <w:jc w:val="both"/>
            <w:rPr>
              <w:noProof/>
              <w:color w:val="000000" w:themeColor="text1"/>
              <w:sz w:val="24"/>
              <w:szCs w:val="24"/>
            </w:rPr>
          </w:pPr>
          <w:hyperlink w:anchor="_Toc213420955" w:history="1">
            <w:r w:rsidRPr="00784FF2">
              <w:rPr>
                <w:rStyle w:val="Hyperlink"/>
                <w:noProof/>
                <w:color w:val="000000" w:themeColor="text1"/>
                <w:sz w:val="24"/>
                <w:szCs w:val="24"/>
                <w:lang w:val="en-GB"/>
              </w:rPr>
              <w:t>Task 2: Research Methodologies</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_Toc213420955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5</w:t>
            </w:r>
            <w:r w:rsidRPr="00784FF2">
              <w:rPr>
                <w:noProof/>
                <w:webHidden/>
                <w:color w:val="000000" w:themeColor="text1"/>
                <w:sz w:val="24"/>
                <w:szCs w:val="24"/>
              </w:rPr>
              <w:fldChar w:fldCharType="end"/>
            </w:r>
          </w:hyperlink>
        </w:p>
        <w:p w14:paraId="1FE7692F" w14:textId="77777777" w:rsidR="009F024D" w:rsidRPr="00784FF2" w:rsidRDefault="009F024D" w:rsidP="009F024D">
          <w:pPr>
            <w:pStyle w:val="TOC2"/>
            <w:tabs>
              <w:tab w:val="right" w:leader="dot" w:pos="9350"/>
            </w:tabs>
            <w:spacing w:line="360" w:lineRule="auto"/>
            <w:jc w:val="both"/>
            <w:rPr>
              <w:noProof/>
              <w:color w:val="000000" w:themeColor="text1"/>
              <w:sz w:val="24"/>
              <w:szCs w:val="24"/>
            </w:rPr>
          </w:pPr>
          <w:hyperlink w:anchor="_Toc213420956" w:history="1">
            <w:r w:rsidRPr="00784FF2">
              <w:rPr>
                <w:rStyle w:val="Hyperlink"/>
                <w:noProof/>
                <w:color w:val="000000" w:themeColor="text1"/>
                <w:sz w:val="24"/>
                <w:szCs w:val="24"/>
                <w:lang w:val="en-GB"/>
              </w:rPr>
              <w:t>2.1 Overview of Quantitative and Qualitative Approaches</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_Toc213420956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5</w:t>
            </w:r>
            <w:r w:rsidRPr="00784FF2">
              <w:rPr>
                <w:noProof/>
                <w:webHidden/>
                <w:color w:val="000000" w:themeColor="text1"/>
                <w:sz w:val="24"/>
                <w:szCs w:val="24"/>
              </w:rPr>
              <w:fldChar w:fldCharType="end"/>
            </w:r>
          </w:hyperlink>
        </w:p>
        <w:p w14:paraId="0BBAFC48" w14:textId="77777777" w:rsidR="009F024D" w:rsidRPr="00784FF2" w:rsidRDefault="009F024D" w:rsidP="009F024D">
          <w:pPr>
            <w:pStyle w:val="TOC2"/>
            <w:tabs>
              <w:tab w:val="right" w:leader="dot" w:pos="9350"/>
            </w:tabs>
            <w:spacing w:line="360" w:lineRule="auto"/>
            <w:jc w:val="both"/>
            <w:rPr>
              <w:noProof/>
              <w:color w:val="000000" w:themeColor="text1"/>
              <w:sz w:val="24"/>
              <w:szCs w:val="24"/>
            </w:rPr>
          </w:pPr>
          <w:hyperlink w:anchor="_Toc213420957" w:history="1">
            <w:r w:rsidRPr="00784FF2">
              <w:rPr>
                <w:rStyle w:val="Hyperlink"/>
                <w:noProof/>
                <w:color w:val="000000" w:themeColor="text1"/>
                <w:sz w:val="24"/>
                <w:szCs w:val="24"/>
                <w:lang w:val="en-GB"/>
              </w:rPr>
              <w:t>2.2 Selected Methodology and Justification</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_Toc213420957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6</w:t>
            </w:r>
            <w:r w:rsidRPr="00784FF2">
              <w:rPr>
                <w:noProof/>
                <w:webHidden/>
                <w:color w:val="000000" w:themeColor="text1"/>
                <w:sz w:val="24"/>
                <w:szCs w:val="24"/>
              </w:rPr>
              <w:fldChar w:fldCharType="end"/>
            </w:r>
          </w:hyperlink>
        </w:p>
        <w:p w14:paraId="1F6CFF38" w14:textId="77777777" w:rsidR="009F024D" w:rsidRPr="00784FF2" w:rsidRDefault="009F024D" w:rsidP="009F024D">
          <w:pPr>
            <w:pStyle w:val="TOC1"/>
            <w:tabs>
              <w:tab w:val="right" w:leader="dot" w:pos="9350"/>
            </w:tabs>
            <w:spacing w:line="360" w:lineRule="auto"/>
            <w:jc w:val="both"/>
            <w:rPr>
              <w:noProof/>
              <w:color w:val="000000" w:themeColor="text1"/>
              <w:sz w:val="24"/>
              <w:szCs w:val="24"/>
            </w:rPr>
          </w:pPr>
          <w:hyperlink w:anchor="_Toc213420958" w:history="1">
            <w:r w:rsidRPr="00784FF2">
              <w:rPr>
                <w:rStyle w:val="Hyperlink"/>
                <w:noProof/>
                <w:color w:val="000000" w:themeColor="text1"/>
                <w:sz w:val="24"/>
                <w:szCs w:val="24"/>
                <w:lang w:val="en-GB"/>
              </w:rPr>
              <w:t>Task 3: Data Collection</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_Toc213420958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6</w:t>
            </w:r>
            <w:r w:rsidRPr="00784FF2">
              <w:rPr>
                <w:noProof/>
                <w:webHidden/>
                <w:color w:val="000000" w:themeColor="text1"/>
                <w:sz w:val="24"/>
                <w:szCs w:val="24"/>
              </w:rPr>
              <w:fldChar w:fldCharType="end"/>
            </w:r>
          </w:hyperlink>
        </w:p>
        <w:p w14:paraId="3387CF80" w14:textId="77777777" w:rsidR="009F024D" w:rsidRPr="00784FF2" w:rsidRDefault="009F024D" w:rsidP="009F024D">
          <w:pPr>
            <w:pStyle w:val="TOC2"/>
            <w:tabs>
              <w:tab w:val="right" w:leader="dot" w:pos="9350"/>
            </w:tabs>
            <w:spacing w:line="360" w:lineRule="auto"/>
            <w:jc w:val="both"/>
            <w:rPr>
              <w:noProof/>
              <w:color w:val="000000" w:themeColor="text1"/>
              <w:sz w:val="24"/>
              <w:szCs w:val="24"/>
            </w:rPr>
          </w:pPr>
          <w:hyperlink w:anchor="_Toc213420959" w:history="1">
            <w:r w:rsidRPr="00784FF2">
              <w:rPr>
                <w:rStyle w:val="Hyperlink"/>
                <w:noProof/>
                <w:color w:val="000000" w:themeColor="text1"/>
                <w:sz w:val="24"/>
                <w:szCs w:val="24"/>
                <w:lang w:val="en-GB"/>
              </w:rPr>
              <w:t>3.1 Overview of Primary and Secondary Data Collection Methods</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_Toc213420959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6</w:t>
            </w:r>
            <w:r w:rsidRPr="00784FF2">
              <w:rPr>
                <w:noProof/>
                <w:webHidden/>
                <w:color w:val="000000" w:themeColor="text1"/>
                <w:sz w:val="24"/>
                <w:szCs w:val="24"/>
              </w:rPr>
              <w:fldChar w:fldCharType="end"/>
            </w:r>
          </w:hyperlink>
        </w:p>
        <w:p w14:paraId="7C303843" w14:textId="77777777" w:rsidR="009F024D" w:rsidRPr="00784FF2" w:rsidRDefault="009F024D" w:rsidP="009F024D">
          <w:pPr>
            <w:pStyle w:val="TOC2"/>
            <w:tabs>
              <w:tab w:val="right" w:leader="dot" w:pos="9350"/>
            </w:tabs>
            <w:spacing w:line="360" w:lineRule="auto"/>
            <w:jc w:val="both"/>
            <w:rPr>
              <w:noProof/>
              <w:color w:val="000000" w:themeColor="text1"/>
              <w:sz w:val="24"/>
              <w:szCs w:val="24"/>
            </w:rPr>
          </w:pPr>
          <w:hyperlink w:anchor="_Toc213420960" w:history="1">
            <w:r w:rsidRPr="00784FF2">
              <w:rPr>
                <w:rStyle w:val="Hyperlink"/>
                <w:noProof/>
                <w:color w:val="000000" w:themeColor="text1"/>
                <w:sz w:val="24"/>
                <w:szCs w:val="24"/>
                <w:lang w:val="en-GB"/>
              </w:rPr>
              <w:t>3.2 Chosen Data Collection Methods and Justification</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_Toc213420960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7</w:t>
            </w:r>
            <w:r w:rsidRPr="00784FF2">
              <w:rPr>
                <w:noProof/>
                <w:webHidden/>
                <w:color w:val="000000" w:themeColor="text1"/>
                <w:sz w:val="24"/>
                <w:szCs w:val="24"/>
              </w:rPr>
              <w:fldChar w:fldCharType="end"/>
            </w:r>
          </w:hyperlink>
        </w:p>
        <w:p w14:paraId="60EB6F94" w14:textId="77777777" w:rsidR="009F024D" w:rsidRPr="00784FF2" w:rsidRDefault="009F024D" w:rsidP="009F024D">
          <w:pPr>
            <w:pStyle w:val="TOC1"/>
            <w:tabs>
              <w:tab w:val="right" w:leader="dot" w:pos="9350"/>
            </w:tabs>
            <w:spacing w:line="360" w:lineRule="auto"/>
            <w:jc w:val="both"/>
            <w:rPr>
              <w:noProof/>
              <w:color w:val="000000" w:themeColor="text1"/>
              <w:sz w:val="24"/>
              <w:szCs w:val="24"/>
            </w:rPr>
          </w:pPr>
          <w:hyperlink w:anchor="_Toc213420961" w:history="1">
            <w:r w:rsidRPr="00784FF2">
              <w:rPr>
                <w:rStyle w:val="Hyperlink"/>
                <w:noProof/>
                <w:color w:val="000000" w:themeColor="text1"/>
                <w:sz w:val="24"/>
                <w:szCs w:val="24"/>
                <w:lang w:val="en-GB"/>
              </w:rPr>
              <w:t>Conclusion</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_Toc213420961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7</w:t>
            </w:r>
            <w:r w:rsidRPr="00784FF2">
              <w:rPr>
                <w:noProof/>
                <w:webHidden/>
                <w:color w:val="000000" w:themeColor="text1"/>
                <w:sz w:val="24"/>
                <w:szCs w:val="24"/>
              </w:rPr>
              <w:fldChar w:fldCharType="end"/>
            </w:r>
          </w:hyperlink>
        </w:p>
        <w:p w14:paraId="432469BE" w14:textId="77777777" w:rsidR="009F024D" w:rsidRPr="00784FF2" w:rsidRDefault="009F024D" w:rsidP="009F024D">
          <w:pPr>
            <w:pStyle w:val="TOC1"/>
            <w:tabs>
              <w:tab w:val="right" w:leader="dot" w:pos="9350"/>
            </w:tabs>
            <w:spacing w:line="360" w:lineRule="auto"/>
            <w:jc w:val="both"/>
            <w:rPr>
              <w:noProof/>
              <w:color w:val="000000" w:themeColor="text1"/>
              <w:sz w:val="24"/>
              <w:szCs w:val="24"/>
            </w:rPr>
          </w:pPr>
          <w:hyperlink w:anchor="_Toc213420962" w:history="1">
            <w:r w:rsidRPr="00784FF2">
              <w:rPr>
                <w:rStyle w:val="Hyperlink"/>
                <w:noProof/>
                <w:color w:val="000000" w:themeColor="text1"/>
                <w:sz w:val="24"/>
                <w:szCs w:val="24"/>
                <w:lang w:val="en-GB"/>
              </w:rPr>
              <w:t>Reference List</w:t>
            </w:r>
            <w:r w:rsidRPr="00784FF2">
              <w:rPr>
                <w:noProof/>
                <w:webHidden/>
                <w:color w:val="000000" w:themeColor="text1"/>
                <w:sz w:val="24"/>
                <w:szCs w:val="24"/>
              </w:rPr>
              <w:tab/>
            </w:r>
            <w:r w:rsidRPr="00784FF2">
              <w:rPr>
                <w:noProof/>
                <w:webHidden/>
                <w:color w:val="000000" w:themeColor="text1"/>
                <w:sz w:val="24"/>
                <w:szCs w:val="24"/>
              </w:rPr>
              <w:fldChar w:fldCharType="begin"/>
            </w:r>
            <w:r w:rsidRPr="00784FF2">
              <w:rPr>
                <w:noProof/>
                <w:webHidden/>
                <w:color w:val="000000" w:themeColor="text1"/>
                <w:sz w:val="24"/>
                <w:szCs w:val="24"/>
              </w:rPr>
              <w:instrText xml:space="preserve"> PAGEREF _Toc213420962 \h </w:instrText>
            </w:r>
            <w:r w:rsidRPr="00784FF2">
              <w:rPr>
                <w:noProof/>
                <w:webHidden/>
                <w:color w:val="000000" w:themeColor="text1"/>
                <w:sz w:val="24"/>
                <w:szCs w:val="24"/>
              </w:rPr>
            </w:r>
            <w:r w:rsidRPr="00784FF2">
              <w:rPr>
                <w:noProof/>
                <w:webHidden/>
                <w:color w:val="000000" w:themeColor="text1"/>
                <w:sz w:val="24"/>
                <w:szCs w:val="24"/>
              </w:rPr>
              <w:fldChar w:fldCharType="separate"/>
            </w:r>
            <w:r w:rsidRPr="00784FF2">
              <w:rPr>
                <w:noProof/>
                <w:webHidden/>
                <w:color w:val="000000" w:themeColor="text1"/>
                <w:sz w:val="24"/>
                <w:szCs w:val="24"/>
              </w:rPr>
              <w:t>8</w:t>
            </w:r>
            <w:r w:rsidRPr="00784FF2">
              <w:rPr>
                <w:noProof/>
                <w:webHidden/>
                <w:color w:val="000000" w:themeColor="text1"/>
                <w:sz w:val="24"/>
                <w:szCs w:val="24"/>
              </w:rPr>
              <w:fldChar w:fldCharType="end"/>
            </w:r>
          </w:hyperlink>
        </w:p>
        <w:p w14:paraId="66F963DB" w14:textId="77777777" w:rsidR="009F024D" w:rsidRPr="00784FF2" w:rsidRDefault="009F024D" w:rsidP="009F024D">
          <w:pPr>
            <w:spacing w:line="360" w:lineRule="auto"/>
            <w:jc w:val="both"/>
          </w:pPr>
          <w:r w:rsidRPr="00784FF2">
            <w:rPr>
              <w:b/>
              <w:bCs/>
              <w:noProof/>
              <w:color w:val="000000" w:themeColor="text1"/>
              <w:sz w:val="24"/>
              <w:szCs w:val="24"/>
            </w:rPr>
            <w:fldChar w:fldCharType="end"/>
          </w:r>
        </w:p>
      </w:sdtContent>
    </w:sdt>
    <w:p w14:paraId="0878AD7E" w14:textId="77777777" w:rsidR="00AA6ED1" w:rsidRPr="00784FF2" w:rsidRDefault="009F024D" w:rsidP="00A900BD">
      <w:pPr>
        <w:spacing w:line="360" w:lineRule="auto"/>
        <w:jc w:val="center"/>
        <w:rPr>
          <w:rFonts w:eastAsia="Times New Roman"/>
          <w:bCs/>
          <w:sz w:val="32"/>
          <w:szCs w:val="32"/>
          <w:lang w:val="en-GB"/>
        </w:rPr>
      </w:pPr>
      <w:r w:rsidRPr="00784FF2">
        <w:rPr>
          <w:lang w:val="en-GB"/>
        </w:rPr>
        <w:br w:type="page"/>
      </w:r>
    </w:p>
    <w:p w14:paraId="18A46197" w14:textId="77777777" w:rsidR="00AA6ED1" w:rsidRPr="00784FF2" w:rsidRDefault="009F024D" w:rsidP="009F024D">
      <w:pPr>
        <w:pStyle w:val="Heading1"/>
        <w:rPr>
          <w:lang w:val="en-GB"/>
        </w:rPr>
      </w:pPr>
      <w:bookmarkStart w:id="0" w:name="_Toc213420948"/>
      <w:r w:rsidRPr="00784FF2">
        <w:rPr>
          <w:lang w:val="en-GB"/>
        </w:rPr>
        <w:t>Introduction</w:t>
      </w:r>
      <w:bookmarkEnd w:id="0"/>
    </w:p>
    <w:p w14:paraId="754094C6" w14:textId="77777777" w:rsidR="00AA6ED1" w:rsidRPr="00784FF2" w:rsidRDefault="009F024D">
      <w:pPr>
        <w:spacing w:line="360" w:lineRule="auto"/>
        <w:jc w:val="both"/>
        <w:rPr>
          <w:rFonts w:eastAsia="Times New Roman"/>
          <w:szCs w:val="24"/>
          <w:lang w:val="en-GB"/>
        </w:rPr>
      </w:pPr>
      <w:r w:rsidRPr="00784FF2">
        <w:rPr>
          <w:rFonts w:eastAsia="Times New Roman"/>
          <w:szCs w:val="24"/>
          <w:lang w:val="en-GB"/>
        </w:rPr>
        <w:t>In the UK, adult mental health issues amount to a major disabling cause and the number of adults with a diagnosable mental health condition has been estimated to be about one in every four adults each year. It is a report on the impact of adult mental health problems on patient recovery curves and quantifiable clinical outcomes in acute and community settings, using Guy's Hospital as a case study. It attempts to examine prevalence, service pressures, including long waiting times, and their relationship with recovery, and to prescribe evidence-based interventions to positively impact results.</w:t>
      </w:r>
    </w:p>
    <w:p w14:paraId="4998759A" w14:textId="77777777" w:rsidR="00AA6ED1" w:rsidRPr="00784FF2" w:rsidRDefault="009F024D" w:rsidP="009F024D">
      <w:pPr>
        <w:pStyle w:val="Heading1"/>
        <w:rPr>
          <w:lang w:val="en-GB"/>
        </w:rPr>
      </w:pPr>
      <w:bookmarkStart w:id="1" w:name="_Toc213420949"/>
      <w:r w:rsidRPr="00784FF2">
        <w:rPr>
          <w:lang w:val="en-GB"/>
        </w:rPr>
        <w:t>Task 1: Research Topic Identification</w:t>
      </w:r>
      <w:bookmarkEnd w:id="1"/>
    </w:p>
    <w:p w14:paraId="78E47094" w14:textId="77777777" w:rsidR="00AA6ED1" w:rsidRPr="00784FF2" w:rsidRDefault="009F024D" w:rsidP="009F024D">
      <w:pPr>
        <w:pStyle w:val="Heading2"/>
        <w:rPr>
          <w:lang w:val="en-GB"/>
        </w:rPr>
      </w:pPr>
      <w:bookmarkStart w:id="2" w:name="_Toc213420950"/>
      <w:r w:rsidRPr="00784FF2">
        <w:rPr>
          <w:lang w:val="en-GB"/>
        </w:rPr>
        <w:t>1.1 Identification of the Issue</w:t>
      </w:r>
      <w:bookmarkEnd w:id="2"/>
    </w:p>
    <w:p w14:paraId="6EBFE396" w14:textId="77777777" w:rsidR="00AA6ED1" w:rsidRPr="00784FF2" w:rsidRDefault="009F024D">
      <w:pPr>
        <w:spacing w:line="360" w:lineRule="auto"/>
        <w:jc w:val="both"/>
        <w:rPr>
          <w:rFonts w:eastAsia="Times New Roman"/>
          <w:szCs w:val="24"/>
          <w:lang w:val="en-GB"/>
        </w:rPr>
      </w:pPr>
      <w:r w:rsidRPr="00784FF2">
        <w:rPr>
          <w:rFonts w:eastAsia="Times New Roman"/>
          <w:szCs w:val="24"/>
          <w:lang w:val="en-GB"/>
        </w:rPr>
        <w:t>Surging demand, long waiting times and dwindling inpatient beds are causing increased mental health challenges to adults in the UK that are jeopardising timely care and recovery. Recent investigations indicate that there are millions on mental health waiting lists and increasing median wait times in adult services, but mental health beds have decreased significantly since 2014, further adding pressure on A&amp;E delays to the crisis (</w:t>
      </w:r>
      <w:r w:rsidRPr="00784FF2">
        <w:rPr>
          <w:rFonts w:eastAsia="Times New Roman"/>
          <w:color w:val="222222"/>
          <w:szCs w:val="24"/>
          <w:lang w:val="en-GB"/>
        </w:rPr>
        <w:t xml:space="preserve">Gruber </w:t>
      </w:r>
      <w:r w:rsidRPr="00784FF2">
        <w:rPr>
          <w:rFonts w:eastAsia="Times New Roman"/>
          <w:i/>
          <w:color w:val="222222"/>
          <w:szCs w:val="24"/>
          <w:lang w:val="en-GB"/>
        </w:rPr>
        <w:t>et al</w:t>
      </w:r>
      <w:r w:rsidRPr="00784FF2">
        <w:rPr>
          <w:rFonts w:eastAsia="Times New Roman"/>
          <w:color w:val="222222"/>
          <w:szCs w:val="24"/>
          <w:lang w:val="en-GB"/>
        </w:rPr>
        <w:t>., 2022</w:t>
      </w:r>
      <w:r w:rsidRPr="00784FF2">
        <w:rPr>
          <w:rFonts w:eastAsia="Times New Roman"/>
          <w:szCs w:val="24"/>
          <w:lang w:val="en-GB"/>
        </w:rPr>
        <w:t>). The combination of these access pressures and a reduction in the number of staff working and the targets of certain mental-health measures creates the threat of diminished clinical outcomes and sluggish patient recovery when physically comorbid patients are involved (NHS England, 2023). Exploring these systemic barriers in the Guy Hospital will help to understand how they have impacted patient recovery and service performance.</w:t>
      </w:r>
    </w:p>
    <w:p w14:paraId="528ADB37" w14:textId="77777777" w:rsidR="00AA6ED1" w:rsidRPr="00784FF2" w:rsidRDefault="009F024D" w:rsidP="009F024D">
      <w:pPr>
        <w:pStyle w:val="Heading2"/>
        <w:rPr>
          <w:lang w:val="en-GB"/>
        </w:rPr>
      </w:pPr>
      <w:bookmarkStart w:id="3" w:name="_Toc213420951"/>
      <w:r w:rsidRPr="00784FF2">
        <w:rPr>
          <w:lang w:val="en-GB"/>
        </w:rPr>
        <w:t>1.2 The Issue Affects Whom</w:t>
      </w:r>
      <w:bookmarkEnd w:id="3"/>
    </w:p>
    <w:p w14:paraId="3408B236" w14:textId="77777777" w:rsidR="00AA6ED1" w:rsidRPr="00784FF2" w:rsidRDefault="009F024D">
      <w:pPr>
        <w:spacing w:line="360" w:lineRule="auto"/>
        <w:jc w:val="both"/>
        <w:rPr>
          <w:rFonts w:eastAsia="Times New Roman"/>
          <w:szCs w:val="24"/>
          <w:lang w:val="en-GB"/>
        </w:rPr>
      </w:pPr>
      <w:r w:rsidRPr="00784FF2">
        <w:rPr>
          <w:rFonts w:eastAsia="Times New Roman"/>
          <w:szCs w:val="24"/>
          <w:lang w:val="en-GB"/>
        </w:rPr>
        <w:t>AdultThe adult mental health in England is typified by a high prevalence and access pressures. One out of four adults has a diagnosable condition every year, and the referral and demand have increased dramatically (NHS England, 2023). Long waits studies indicate individuals have up to eight times the risk of waiting longer than 18 months to receive mental-health services, in addition to the significant drop in bed occupancy and the number of staff on duty, increasing A&amp;E and ambulance wait times (</w:t>
      </w:r>
      <w:r w:rsidRPr="00784FF2">
        <w:rPr>
          <w:rFonts w:eastAsia="Times New Roman"/>
          <w:color w:val="222222"/>
          <w:szCs w:val="24"/>
          <w:lang w:val="en-GB"/>
        </w:rPr>
        <w:t xml:space="preserve">Dalton-Locke </w:t>
      </w:r>
      <w:r w:rsidRPr="00784FF2">
        <w:rPr>
          <w:rFonts w:eastAsia="Times New Roman"/>
          <w:i/>
          <w:color w:val="222222"/>
          <w:szCs w:val="24"/>
          <w:lang w:val="en-GB"/>
        </w:rPr>
        <w:t>et al</w:t>
      </w:r>
      <w:r w:rsidRPr="00784FF2">
        <w:rPr>
          <w:rFonts w:eastAsia="Times New Roman"/>
          <w:color w:val="222222"/>
          <w:szCs w:val="24"/>
          <w:lang w:val="en-GB"/>
        </w:rPr>
        <w:t>., 2021</w:t>
      </w:r>
      <w:r w:rsidRPr="00784FF2">
        <w:rPr>
          <w:rFonts w:eastAsia="Times New Roman"/>
          <w:szCs w:val="24"/>
          <w:lang w:val="en-GB"/>
        </w:rPr>
        <w:t>). The problem impacts on patients, families, mental-health staff, emergency services and provider organisations like Guy's Hospital, UK, even those patients with comorbid physical illness.</w:t>
      </w:r>
    </w:p>
    <w:p w14:paraId="4CA9844E" w14:textId="77777777" w:rsidR="00AA6ED1" w:rsidRPr="00784FF2" w:rsidRDefault="009F024D" w:rsidP="009F024D">
      <w:pPr>
        <w:pStyle w:val="Heading2"/>
        <w:rPr>
          <w:lang w:val="en-GB"/>
        </w:rPr>
      </w:pPr>
      <w:bookmarkStart w:id="4" w:name="_Toc213420952"/>
      <w:r w:rsidRPr="00784FF2">
        <w:rPr>
          <w:lang w:val="en-GB"/>
        </w:rPr>
        <w:t>1.3 Justification for the Research Topic</w:t>
      </w:r>
      <w:bookmarkEnd w:id="4"/>
    </w:p>
    <w:p w14:paraId="1E457124" w14:textId="77777777" w:rsidR="00AA6ED1" w:rsidRPr="00784FF2" w:rsidRDefault="009F024D">
      <w:pPr>
        <w:spacing w:line="360" w:lineRule="auto"/>
        <w:jc w:val="both"/>
        <w:rPr>
          <w:rFonts w:eastAsia="Times New Roman"/>
          <w:szCs w:val="24"/>
          <w:lang w:val="en-GB"/>
        </w:rPr>
      </w:pPr>
      <w:r w:rsidRPr="00784FF2">
        <w:rPr>
          <w:rFonts w:eastAsia="Times New Roman"/>
          <w:szCs w:val="24"/>
          <w:lang w:val="en-GB"/>
        </w:rPr>
        <w:t>This study is necessary due to the high prevalence of adult mental health issues, estimated to be approximately 1 in every 4 adults having a diagnosable problem every year and the growing need for services (</w:t>
      </w:r>
      <w:r w:rsidRPr="00784FF2">
        <w:rPr>
          <w:rFonts w:eastAsia="Times New Roman"/>
          <w:color w:val="222222"/>
          <w:szCs w:val="24"/>
          <w:lang w:val="en-GB"/>
        </w:rPr>
        <w:t xml:space="preserve">Reynolds 3rd </w:t>
      </w:r>
      <w:r w:rsidRPr="00784FF2">
        <w:rPr>
          <w:rFonts w:eastAsia="Times New Roman"/>
          <w:i/>
          <w:color w:val="222222"/>
          <w:szCs w:val="24"/>
          <w:lang w:val="en-GB"/>
        </w:rPr>
        <w:t>et al</w:t>
      </w:r>
      <w:r w:rsidRPr="00784FF2">
        <w:rPr>
          <w:rFonts w:eastAsia="Times New Roman"/>
          <w:color w:val="222222"/>
          <w:szCs w:val="24"/>
          <w:lang w:val="en-GB"/>
        </w:rPr>
        <w:t>., 2022</w:t>
      </w:r>
      <w:r w:rsidRPr="00784FF2">
        <w:rPr>
          <w:rFonts w:eastAsia="Times New Roman"/>
          <w:szCs w:val="24"/>
          <w:lang w:val="en-GB"/>
        </w:rPr>
        <w:t>). Thousands of people are waiting in years-long queues to be treated for more than 18 months, and charity reports indicate that failure to gain access can lengthen the disease and add to the expense. The number of mental-health beds has significantly reduced, and this has been one of the factors that causes patients in crisis to wait at the A&amp;E and ambulance (</w:t>
      </w:r>
      <w:r w:rsidRPr="00784FF2">
        <w:rPr>
          <w:rFonts w:eastAsia="Times New Roman"/>
          <w:color w:val="222222"/>
          <w:szCs w:val="24"/>
          <w:lang w:val="en-GB"/>
        </w:rPr>
        <w:t xml:space="preserve">Miskovic-Wheatley </w:t>
      </w:r>
      <w:r w:rsidRPr="00784FF2">
        <w:rPr>
          <w:rFonts w:eastAsia="Times New Roman"/>
          <w:i/>
          <w:color w:val="222222"/>
          <w:szCs w:val="24"/>
          <w:lang w:val="en-GB"/>
        </w:rPr>
        <w:t>et al</w:t>
      </w:r>
      <w:r w:rsidRPr="00784FF2">
        <w:rPr>
          <w:rFonts w:eastAsia="Times New Roman"/>
          <w:color w:val="222222"/>
          <w:szCs w:val="24"/>
          <w:lang w:val="en-GB"/>
        </w:rPr>
        <w:t>., 2023</w:t>
      </w:r>
      <w:r w:rsidRPr="00784FF2">
        <w:rPr>
          <w:rFonts w:eastAsia="Times New Roman"/>
          <w:szCs w:val="24"/>
          <w:lang w:val="en-GB"/>
        </w:rPr>
        <w:t>). Treatment delays are associated with poor clinical outcomes, and thus, the analysis of operational pressures in Guy's Hospital will reveal what needs to be done to enhance recovery and service delivery.</w:t>
      </w:r>
    </w:p>
    <w:p w14:paraId="69122C85" w14:textId="77777777" w:rsidR="00AA6ED1" w:rsidRPr="00784FF2" w:rsidRDefault="009F024D" w:rsidP="009F024D">
      <w:pPr>
        <w:pStyle w:val="Heading2"/>
        <w:rPr>
          <w:lang w:val="en-GB"/>
        </w:rPr>
      </w:pPr>
      <w:bookmarkStart w:id="5" w:name="_Toc213420953"/>
      <w:r w:rsidRPr="00784FF2">
        <w:rPr>
          <w:lang w:val="en-GB"/>
        </w:rPr>
        <w:t>1.4 Discussion of the three relevant information sources in support of the Research Topic</w:t>
      </w:r>
      <w:bookmarkEnd w:id="5"/>
    </w:p>
    <w:p w14:paraId="7942DE3A" w14:textId="77777777" w:rsidR="00AA6ED1" w:rsidRPr="00784FF2" w:rsidRDefault="009F024D">
      <w:pPr>
        <w:numPr>
          <w:ilvl w:val="0"/>
          <w:numId w:val="1"/>
        </w:numPr>
        <w:spacing w:line="360" w:lineRule="auto"/>
        <w:jc w:val="both"/>
        <w:rPr>
          <w:rFonts w:eastAsia="Times New Roman"/>
          <w:b/>
          <w:i/>
          <w:szCs w:val="24"/>
          <w:lang w:val="en-GB"/>
        </w:rPr>
      </w:pPr>
      <w:r w:rsidRPr="00784FF2">
        <w:rPr>
          <w:rFonts w:eastAsia="Times New Roman"/>
          <w:b/>
          <w:i/>
          <w:szCs w:val="24"/>
          <w:lang w:val="en-GB"/>
        </w:rPr>
        <w:t>Information Source 1: Office for National Statistics (ONS, 2024)</w:t>
      </w:r>
    </w:p>
    <w:p w14:paraId="15545733" w14:textId="77777777" w:rsidR="00AA6ED1" w:rsidRPr="00784FF2" w:rsidRDefault="009F024D">
      <w:pPr>
        <w:spacing w:line="360" w:lineRule="auto"/>
        <w:ind w:left="720"/>
        <w:jc w:val="both"/>
        <w:rPr>
          <w:rFonts w:eastAsia="Times New Roman"/>
          <w:b/>
          <w:i/>
          <w:szCs w:val="24"/>
          <w:lang w:val="en-GB"/>
        </w:rPr>
      </w:pPr>
      <w:r w:rsidRPr="00784FF2">
        <w:rPr>
          <w:rFonts w:eastAsia="Times New Roman"/>
          <w:b/>
          <w:i/>
          <w:szCs w:val="24"/>
          <w:lang w:val="en-GB"/>
        </w:rPr>
        <w:t>Adult Psychiatric Morbidity Survey</w:t>
      </w:r>
      <w:r w:rsidRPr="00784FF2">
        <w:rPr>
          <w:rFonts w:eastAsia="Times New Roman"/>
          <w:szCs w:val="24"/>
          <w:lang w:val="en-GB"/>
        </w:rPr>
        <w:t xml:space="preserve"> (APMS), a survey released by the </w:t>
      </w:r>
      <w:r w:rsidRPr="00784FF2">
        <w:rPr>
          <w:rFonts w:eastAsia="Times New Roman"/>
          <w:b/>
          <w:i/>
          <w:szCs w:val="24"/>
          <w:lang w:val="en-GB"/>
        </w:rPr>
        <w:t>Office for National Statistics</w:t>
      </w:r>
      <w:r w:rsidRPr="00784FF2">
        <w:rPr>
          <w:rFonts w:eastAsia="Times New Roman"/>
          <w:szCs w:val="24"/>
          <w:lang w:val="en-GB"/>
        </w:rPr>
        <w:t xml:space="preserve"> (ONS), offers detailed national data on prevalence levels, risk factors, and socio-demographic patterns related to adult mental health conditions in England (</w:t>
      </w:r>
      <w:r w:rsidRPr="00784FF2">
        <w:rPr>
          <w:rFonts w:eastAsia="Times New Roman"/>
          <w:color w:val="222222"/>
          <w:szCs w:val="24"/>
          <w:lang w:val="en-GB"/>
        </w:rPr>
        <w:t xml:space="preserve">Yan </w:t>
      </w:r>
      <w:r w:rsidRPr="00784FF2">
        <w:rPr>
          <w:rFonts w:eastAsia="Times New Roman"/>
          <w:i/>
          <w:color w:val="222222"/>
          <w:szCs w:val="24"/>
          <w:lang w:val="en-GB"/>
        </w:rPr>
        <w:t>et al</w:t>
      </w:r>
      <w:r w:rsidRPr="00784FF2">
        <w:rPr>
          <w:rFonts w:eastAsia="Times New Roman"/>
          <w:color w:val="222222"/>
          <w:szCs w:val="24"/>
          <w:lang w:val="en-GB"/>
        </w:rPr>
        <w:t>, 2022</w:t>
      </w:r>
      <w:r w:rsidRPr="00784FF2">
        <w:rPr>
          <w:rFonts w:eastAsia="Times New Roman"/>
          <w:szCs w:val="24"/>
          <w:lang w:val="en-GB"/>
        </w:rPr>
        <w:t xml:space="preserve">). The latest results suggest that every year, about every fourth adult is diagnosed with some mental health issue, and the rate of anxiety and depression increases due to economic and social pressures (Chukwuma </w:t>
      </w:r>
      <w:r w:rsidRPr="00784FF2">
        <w:rPr>
          <w:rFonts w:eastAsia="Times New Roman"/>
          <w:i/>
          <w:szCs w:val="24"/>
          <w:lang w:val="en-GB"/>
        </w:rPr>
        <w:t>et al</w:t>
      </w:r>
      <w:r w:rsidRPr="00784FF2">
        <w:rPr>
          <w:rFonts w:eastAsia="Times New Roman"/>
          <w:szCs w:val="24"/>
          <w:lang w:val="en-GB"/>
        </w:rPr>
        <w:t>., 2024). It is chosen due to its methodological strength, comparability in the long term, and relevance to the UK healthcare system policy, which constitutes the statistical foundation of the examination of the impact of mental health problems on patient recovery and outcomes at Guy's Hospital.</w:t>
      </w:r>
    </w:p>
    <w:p w14:paraId="5FA20A61" w14:textId="77777777" w:rsidR="00AA6ED1" w:rsidRPr="00784FF2" w:rsidRDefault="009F024D">
      <w:pPr>
        <w:numPr>
          <w:ilvl w:val="0"/>
          <w:numId w:val="1"/>
        </w:numPr>
        <w:spacing w:line="360" w:lineRule="auto"/>
        <w:jc w:val="both"/>
        <w:rPr>
          <w:rFonts w:eastAsia="Times New Roman"/>
          <w:b/>
          <w:i/>
          <w:szCs w:val="24"/>
          <w:lang w:val="en-GB"/>
        </w:rPr>
      </w:pPr>
      <w:r w:rsidRPr="00784FF2">
        <w:rPr>
          <w:rFonts w:eastAsia="Times New Roman"/>
          <w:b/>
          <w:i/>
          <w:szCs w:val="24"/>
          <w:lang w:val="en-GB"/>
        </w:rPr>
        <w:t>Information Source 2: NHS England (2023)</w:t>
      </w:r>
    </w:p>
    <w:p w14:paraId="667516AF" w14:textId="77777777" w:rsidR="00AA6ED1" w:rsidRPr="00784FF2" w:rsidRDefault="009F024D">
      <w:pPr>
        <w:spacing w:line="360" w:lineRule="auto"/>
        <w:ind w:left="720"/>
        <w:jc w:val="both"/>
        <w:rPr>
          <w:rFonts w:eastAsia="Times New Roman"/>
          <w:b/>
          <w:i/>
          <w:szCs w:val="24"/>
          <w:lang w:val="en-GB"/>
        </w:rPr>
      </w:pPr>
      <w:r w:rsidRPr="00784FF2">
        <w:rPr>
          <w:rFonts w:eastAsia="Times New Roman"/>
          <w:szCs w:val="24"/>
          <w:lang w:val="en-GB"/>
        </w:rPr>
        <w:t>The mental health datasets of NHS England, such as the NHS Talking Therapies, previously, IAPT and community mental health service statistics, offer essential information on the availability of the service, waiting time, and outcome of treatment accessed nationwide (</w:t>
      </w:r>
      <w:r w:rsidRPr="00784FF2">
        <w:rPr>
          <w:rFonts w:eastAsia="Times New Roman"/>
          <w:color w:val="222222"/>
          <w:szCs w:val="24"/>
          <w:lang w:val="en-GB"/>
        </w:rPr>
        <w:t xml:space="preserve">Deng </w:t>
      </w:r>
      <w:r w:rsidRPr="00784FF2">
        <w:rPr>
          <w:rFonts w:eastAsia="Times New Roman"/>
          <w:i/>
          <w:color w:val="222222"/>
          <w:szCs w:val="24"/>
          <w:lang w:val="en-GB"/>
        </w:rPr>
        <w:t>et al</w:t>
      </w:r>
      <w:r w:rsidRPr="00784FF2">
        <w:rPr>
          <w:rFonts w:eastAsia="Times New Roman"/>
          <w:color w:val="222222"/>
          <w:szCs w:val="24"/>
          <w:lang w:val="en-GB"/>
        </w:rPr>
        <w:t>., 2022</w:t>
      </w:r>
      <w:r w:rsidRPr="00784FF2">
        <w:rPr>
          <w:rFonts w:eastAsia="Times New Roman"/>
          <w:szCs w:val="24"/>
          <w:lang w:val="en-GB"/>
        </w:rPr>
        <w:t>). Recent reports show that there are great capacity pressures, patients wait more than 18 months to be attended to, and there are performance gaps on critical access standards (</w:t>
      </w:r>
      <w:r w:rsidRPr="00784FF2">
        <w:rPr>
          <w:rFonts w:eastAsia="Times New Roman"/>
          <w:color w:val="222222"/>
          <w:szCs w:val="24"/>
          <w:lang w:val="en-GB"/>
        </w:rPr>
        <w:t>Alhuwaydi, 2024</w:t>
      </w:r>
      <w:r w:rsidRPr="00784FF2">
        <w:rPr>
          <w:rFonts w:eastAsia="Times New Roman"/>
          <w:szCs w:val="24"/>
          <w:lang w:val="en-GB"/>
        </w:rPr>
        <w:t>). The source has been chosen due to its official and constantly updated data that covers the reality of operation in NHS mental health services, which is a direct correspondence to the research purpose, which is to connect service pressures to patient recovery (</w:t>
      </w:r>
      <w:r w:rsidRPr="00784FF2">
        <w:rPr>
          <w:rFonts w:eastAsia="Times New Roman"/>
          <w:color w:val="222222"/>
          <w:szCs w:val="24"/>
          <w:lang w:val="en-GB"/>
        </w:rPr>
        <w:t xml:space="preserve">Zidaru </w:t>
      </w:r>
      <w:r w:rsidRPr="00784FF2">
        <w:rPr>
          <w:rFonts w:eastAsia="Times New Roman"/>
          <w:i/>
          <w:color w:val="222222"/>
          <w:szCs w:val="24"/>
          <w:lang w:val="en-GB"/>
        </w:rPr>
        <w:t>et al</w:t>
      </w:r>
      <w:r w:rsidRPr="00784FF2">
        <w:rPr>
          <w:rFonts w:eastAsia="Times New Roman"/>
          <w:color w:val="222222"/>
          <w:szCs w:val="24"/>
          <w:lang w:val="en-GB"/>
        </w:rPr>
        <w:t>., 2021</w:t>
      </w:r>
      <w:r w:rsidRPr="00784FF2">
        <w:rPr>
          <w:rFonts w:eastAsia="Times New Roman"/>
          <w:szCs w:val="24"/>
          <w:lang w:val="en-GB"/>
        </w:rPr>
        <w:t>).</w:t>
      </w:r>
    </w:p>
    <w:p w14:paraId="34F4238C" w14:textId="77777777" w:rsidR="00AA6ED1" w:rsidRPr="00784FF2" w:rsidRDefault="009F024D">
      <w:pPr>
        <w:numPr>
          <w:ilvl w:val="0"/>
          <w:numId w:val="1"/>
        </w:numPr>
        <w:spacing w:line="360" w:lineRule="auto"/>
        <w:jc w:val="both"/>
        <w:rPr>
          <w:rFonts w:eastAsia="Times New Roman"/>
          <w:b/>
          <w:i/>
          <w:szCs w:val="24"/>
          <w:lang w:val="en-GB"/>
        </w:rPr>
      </w:pPr>
      <w:r w:rsidRPr="00784FF2">
        <w:rPr>
          <w:rFonts w:eastAsia="Times New Roman"/>
          <w:b/>
          <w:i/>
          <w:szCs w:val="24"/>
          <w:lang w:val="en-GB"/>
        </w:rPr>
        <w:t>Information Source 3: NHS Foundation Trust (2023/24)</w:t>
      </w:r>
    </w:p>
    <w:p w14:paraId="150481E3" w14:textId="77777777" w:rsidR="00AA6ED1" w:rsidRPr="00784FF2" w:rsidRDefault="009F024D">
      <w:pPr>
        <w:spacing w:line="360" w:lineRule="auto"/>
        <w:ind w:left="720"/>
        <w:jc w:val="both"/>
        <w:rPr>
          <w:rFonts w:eastAsia="Times New Roman"/>
          <w:szCs w:val="24"/>
          <w:lang w:val="en-GB"/>
        </w:rPr>
      </w:pPr>
      <w:r w:rsidRPr="00784FF2">
        <w:rPr>
          <w:rFonts w:eastAsia="Times New Roman"/>
          <w:szCs w:val="24"/>
          <w:lang w:val="en-GB"/>
        </w:rPr>
        <w:t xml:space="preserve">The </w:t>
      </w:r>
      <w:r w:rsidRPr="00784FF2">
        <w:rPr>
          <w:rFonts w:eastAsia="Times New Roman"/>
          <w:i/>
          <w:szCs w:val="24"/>
          <w:lang w:val="en-GB"/>
        </w:rPr>
        <w:t xml:space="preserve">Annual Report </w:t>
      </w:r>
      <w:r w:rsidRPr="00784FF2">
        <w:rPr>
          <w:rFonts w:eastAsia="Times New Roman"/>
          <w:szCs w:val="24"/>
          <w:lang w:val="en-GB"/>
        </w:rPr>
        <w:t>and</w:t>
      </w:r>
      <w:r w:rsidRPr="00784FF2">
        <w:rPr>
          <w:rFonts w:eastAsia="Times New Roman"/>
          <w:i/>
          <w:szCs w:val="24"/>
          <w:lang w:val="en-GB"/>
        </w:rPr>
        <w:t xml:space="preserve"> Quality Accounts</w:t>
      </w:r>
      <w:r w:rsidRPr="00784FF2">
        <w:rPr>
          <w:rFonts w:eastAsia="Times New Roman"/>
          <w:szCs w:val="24"/>
          <w:lang w:val="en-GB"/>
        </w:rPr>
        <w:t xml:space="preserve"> of the </w:t>
      </w:r>
      <w:r w:rsidRPr="00784FF2">
        <w:rPr>
          <w:rFonts w:eastAsia="Times New Roman"/>
          <w:b/>
          <w:i/>
          <w:szCs w:val="24"/>
          <w:lang w:val="en-GB"/>
        </w:rPr>
        <w:t>NHS Foundation Trust</w:t>
      </w:r>
      <w:r w:rsidRPr="00784FF2">
        <w:rPr>
          <w:rFonts w:eastAsia="Times New Roman"/>
          <w:szCs w:val="24"/>
          <w:lang w:val="en-GB"/>
        </w:rPr>
        <w:t xml:space="preserve"> is an organisational-level report on performance, staffing, service developments, and patient experience in the Trust. Such reports point to the continuing shortage of workforce, high demands in the field of mental health, and continuous efforts to enhance patient outcomes and waiting times (</w:t>
      </w:r>
      <w:r w:rsidRPr="00784FF2">
        <w:rPr>
          <w:rFonts w:eastAsia="Times New Roman"/>
          <w:color w:val="222222"/>
          <w:szCs w:val="24"/>
          <w:lang w:val="en-GB"/>
        </w:rPr>
        <w:t xml:space="preserve">Nguyen </w:t>
      </w:r>
      <w:r w:rsidRPr="00784FF2">
        <w:rPr>
          <w:rFonts w:eastAsia="Times New Roman"/>
          <w:i/>
          <w:color w:val="222222"/>
          <w:szCs w:val="24"/>
          <w:lang w:val="en-GB"/>
        </w:rPr>
        <w:t>et al</w:t>
      </w:r>
      <w:r w:rsidRPr="00784FF2">
        <w:rPr>
          <w:rFonts w:eastAsia="Times New Roman"/>
          <w:color w:val="222222"/>
          <w:szCs w:val="24"/>
          <w:lang w:val="en-GB"/>
        </w:rPr>
        <w:t>., 2023</w:t>
      </w:r>
      <w:r w:rsidRPr="00784FF2">
        <w:rPr>
          <w:rFonts w:eastAsia="Times New Roman"/>
          <w:szCs w:val="24"/>
          <w:lang w:val="en-GB"/>
        </w:rPr>
        <w:t>). The source is especially applicable as it offers localised evidence of the research setting, demonstrating how national challenges are represented in Guy's Hospital (ONS, 2024). It is chosen due to its institution-specific data that provides detailed data that can be analysed as a case study that will relate the organisational practices and pressures to the clinical and recovery outcomes of adult mental health care (</w:t>
      </w:r>
      <w:r w:rsidRPr="00784FF2">
        <w:rPr>
          <w:rFonts w:eastAsia="Times New Roman"/>
          <w:color w:val="222222"/>
          <w:szCs w:val="24"/>
          <w:lang w:val="en-GB"/>
        </w:rPr>
        <w:t xml:space="preserve">Ahad </w:t>
      </w:r>
      <w:r w:rsidRPr="00784FF2">
        <w:rPr>
          <w:rFonts w:eastAsia="Times New Roman"/>
          <w:i/>
          <w:color w:val="222222"/>
          <w:szCs w:val="24"/>
          <w:lang w:val="en-GB"/>
        </w:rPr>
        <w:t>et al</w:t>
      </w:r>
      <w:r w:rsidRPr="00784FF2">
        <w:rPr>
          <w:rFonts w:eastAsia="Times New Roman"/>
          <w:color w:val="222222"/>
          <w:szCs w:val="24"/>
          <w:lang w:val="en-GB"/>
        </w:rPr>
        <w:t>., 2023</w:t>
      </w:r>
      <w:r w:rsidRPr="00784FF2">
        <w:rPr>
          <w:rFonts w:eastAsia="Times New Roman"/>
          <w:szCs w:val="24"/>
          <w:lang w:val="en-GB"/>
        </w:rPr>
        <w:t>).</w:t>
      </w:r>
    </w:p>
    <w:p w14:paraId="68F794A4" w14:textId="77777777" w:rsidR="00AA6ED1" w:rsidRPr="00784FF2" w:rsidRDefault="009F024D" w:rsidP="009F024D">
      <w:pPr>
        <w:pStyle w:val="Heading2"/>
        <w:rPr>
          <w:lang w:val="en-GB"/>
        </w:rPr>
      </w:pPr>
      <w:bookmarkStart w:id="6" w:name="_Toc213420954"/>
      <w:r w:rsidRPr="00784FF2">
        <w:rPr>
          <w:lang w:val="en-GB"/>
        </w:rPr>
        <w:t>1.5 Summary of Literature Insights</w:t>
      </w:r>
      <w:bookmarkEnd w:id="6"/>
    </w:p>
    <w:p w14:paraId="7D0E33BD" w14:textId="77777777" w:rsidR="00AA6ED1" w:rsidRPr="00784FF2" w:rsidRDefault="009F024D">
      <w:pPr>
        <w:spacing w:line="360" w:lineRule="auto"/>
        <w:jc w:val="both"/>
        <w:rPr>
          <w:rFonts w:eastAsia="Times New Roman"/>
          <w:szCs w:val="24"/>
          <w:lang w:val="en-GB"/>
        </w:rPr>
      </w:pPr>
      <w:r w:rsidRPr="00784FF2">
        <w:rPr>
          <w:rFonts w:eastAsia="Times New Roman"/>
          <w:szCs w:val="24"/>
          <w:lang w:val="en-GB"/>
        </w:rPr>
        <w:t>In summarising the literature, it depicts that the prevalence of adult mental health conditions is high and increasing in England, which is a good epidemiological background to base outcome-oriented research. Delayed care and worse clinical trajectories are time and again associated with systemic access pressures, long waiting times to community treatment, declining numbers of mental-health beds and shortfalls in the workforce. Local Trust reporting at Guy gives evidence of how these national pressures impact operationally, warranting a case-study approach to the association of system factors and patient recovery and outcomes.</w:t>
      </w:r>
    </w:p>
    <w:p w14:paraId="24E3C389" w14:textId="77777777" w:rsidR="00AA6ED1" w:rsidRPr="00784FF2" w:rsidRDefault="009F024D" w:rsidP="009F024D">
      <w:pPr>
        <w:pStyle w:val="Heading1"/>
        <w:rPr>
          <w:lang w:val="en-GB"/>
        </w:rPr>
      </w:pPr>
      <w:bookmarkStart w:id="7" w:name="_Toc213420955"/>
      <w:r w:rsidRPr="00784FF2">
        <w:rPr>
          <w:lang w:val="en-GB"/>
        </w:rPr>
        <w:t>Task 2: Research Methodologies</w:t>
      </w:r>
      <w:bookmarkEnd w:id="7"/>
    </w:p>
    <w:p w14:paraId="50D12B92" w14:textId="77777777" w:rsidR="00AA6ED1" w:rsidRPr="00784FF2" w:rsidRDefault="009F024D" w:rsidP="009F024D">
      <w:pPr>
        <w:pStyle w:val="Heading2"/>
        <w:rPr>
          <w:lang w:val="en-GB"/>
        </w:rPr>
      </w:pPr>
      <w:bookmarkStart w:id="8" w:name="_Toc213420956"/>
      <w:r w:rsidRPr="00784FF2">
        <w:rPr>
          <w:lang w:val="en-GB"/>
        </w:rPr>
        <w:t>2.1 Overview of Quantitative and Qualitative Approaches</w:t>
      </w:r>
      <w:bookmarkEnd w:id="8"/>
    </w:p>
    <w:p w14:paraId="038160DA" w14:textId="77777777" w:rsidR="00AA6ED1" w:rsidRPr="00784FF2" w:rsidRDefault="009F024D">
      <w:pPr>
        <w:spacing w:line="360" w:lineRule="auto"/>
        <w:jc w:val="both"/>
        <w:rPr>
          <w:rFonts w:eastAsia="Times New Roman"/>
          <w:szCs w:val="24"/>
          <w:lang w:val="en-GB"/>
        </w:rPr>
      </w:pPr>
      <w:r w:rsidRPr="00784FF2">
        <w:rPr>
          <w:rFonts w:eastAsia="Times New Roman"/>
          <w:szCs w:val="24"/>
          <w:lang w:val="en-GB"/>
        </w:rPr>
        <w:t>Quantitative research focuses on numerical data, analysis and testing of hypotheses. This method involves the use of structured tools like surveys, administrative data and audit data to obtain generalisable, objective data concerning relationships among variables (</w:t>
      </w:r>
      <w:r w:rsidRPr="00784FF2">
        <w:rPr>
          <w:rFonts w:eastAsia="Times New Roman"/>
          <w:color w:val="222222"/>
          <w:szCs w:val="24"/>
          <w:lang w:val="en-GB"/>
        </w:rPr>
        <w:t xml:space="preserve">Hurley </w:t>
      </w:r>
      <w:r w:rsidRPr="00784FF2">
        <w:rPr>
          <w:rFonts w:eastAsia="Times New Roman"/>
          <w:i/>
          <w:color w:val="222222"/>
          <w:szCs w:val="24"/>
          <w:lang w:val="en-GB"/>
        </w:rPr>
        <w:t>et al</w:t>
      </w:r>
      <w:r w:rsidRPr="00784FF2">
        <w:rPr>
          <w:rFonts w:eastAsia="Times New Roman"/>
          <w:color w:val="222222"/>
          <w:szCs w:val="24"/>
          <w:lang w:val="en-GB"/>
        </w:rPr>
        <w:t>., 2022</w:t>
      </w:r>
      <w:r w:rsidRPr="00784FF2">
        <w:rPr>
          <w:rFonts w:eastAsia="Times New Roman"/>
          <w:szCs w:val="24"/>
          <w:lang w:val="en-GB"/>
        </w:rPr>
        <w:t xml:space="preserve">). In qualitative research, depth of insight is given pertinence by interviews, focus groups and thematic analysis disclosing meanings, experiences and contextual complexity which cannot be measured by numbers alone (Gilleen </w:t>
      </w:r>
      <w:r w:rsidRPr="00784FF2">
        <w:rPr>
          <w:rFonts w:eastAsia="Times New Roman"/>
          <w:i/>
          <w:szCs w:val="24"/>
          <w:lang w:val="en-GB"/>
        </w:rPr>
        <w:t>et al</w:t>
      </w:r>
      <w:r w:rsidRPr="00784FF2">
        <w:rPr>
          <w:rFonts w:eastAsia="Times New Roman"/>
          <w:szCs w:val="24"/>
          <w:lang w:val="en-GB"/>
        </w:rPr>
        <w:t>., 2021). Their main differences include the fact that quantitative work tests and measures larger samples to investigate the breadth and causality, and qualitative work examines lived experience and explanatory richness with smaller samples purposively chosen.</w:t>
      </w:r>
    </w:p>
    <w:p w14:paraId="156D3263" w14:textId="77777777" w:rsidR="00AA6ED1" w:rsidRPr="00784FF2" w:rsidRDefault="009F024D" w:rsidP="009F024D">
      <w:pPr>
        <w:pStyle w:val="Heading2"/>
        <w:rPr>
          <w:lang w:val="en-GB"/>
        </w:rPr>
      </w:pPr>
      <w:bookmarkStart w:id="9" w:name="_Toc213420957"/>
      <w:r w:rsidRPr="00784FF2">
        <w:rPr>
          <w:lang w:val="en-GB"/>
        </w:rPr>
        <w:t>2.2 Selected Methodology and Justification</w:t>
      </w:r>
      <w:bookmarkEnd w:id="9"/>
    </w:p>
    <w:p w14:paraId="1932B35E" w14:textId="77777777" w:rsidR="00AA6ED1" w:rsidRPr="00784FF2" w:rsidRDefault="009F024D">
      <w:pPr>
        <w:spacing w:line="360" w:lineRule="auto"/>
        <w:jc w:val="both"/>
        <w:rPr>
          <w:rFonts w:eastAsia="Times New Roman"/>
          <w:szCs w:val="24"/>
          <w:lang w:val="en-GB"/>
        </w:rPr>
      </w:pPr>
      <w:r w:rsidRPr="00784FF2">
        <w:rPr>
          <w:rFonts w:eastAsia="Times New Roman"/>
          <w:szCs w:val="24"/>
          <w:lang w:val="en-GB"/>
        </w:rPr>
        <w:t xml:space="preserve">The study will take a </w:t>
      </w:r>
      <w:r w:rsidRPr="00784FF2">
        <w:rPr>
          <w:rFonts w:eastAsia="Times New Roman"/>
          <w:b/>
          <w:i/>
          <w:szCs w:val="24"/>
          <w:lang w:val="en-GB"/>
        </w:rPr>
        <w:t>Quantitative Research Approach</w:t>
      </w:r>
      <w:r w:rsidRPr="00784FF2">
        <w:rPr>
          <w:rFonts w:eastAsia="Times New Roman"/>
          <w:szCs w:val="24"/>
          <w:lang w:val="en-GB"/>
        </w:rPr>
        <w:t>, in which the Primary Data will be utilised to estimate the relationship between adult mental health issues and patient recovery rates in Guy's Hospital. The quantitative approach is suitable due to the possibility of gathering objective, quantifiable data that will be able to demonstrate statistical relations between variables like treatment access times, length of hospital stay, readmission rates, and self-reported recovery scores. Furthermore, the systematic comparison of the aspects associated with mental health and clinical outcomes is facilitated with the assistance of quantitative data collection through the use of patient surveys, electronic health records, and hospital performance measures (</w:t>
      </w:r>
      <w:r w:rsidRPr="00784FF2">
        <w:rPr>
          <w:rFonts w:eastAsia="Times New Roman"/>
          <w:color w:val="222222"/>
          <w:szCs w:val="24"/>
          <w:lang w:val="en-GB"/>
        </w:rPr>
        <w:t xml:space="preserve">Dalton-Locke </w:t>
      </w:r>
      <w:r w:rsidRPr="00784FF2">
        <w:rPr>
          <w:rFonts w:eastAsia="Times New Roman"/>
          <w:i/>
          <w:color w:val="222222"/>
          <w:szCs w:val="24"/>
          <w:lang w:val="en-GB"/>
        </w:rPr>
        <w:t>et al</w:t>
      </w:r>
      <w:r w:rsidRPr="00784FF2">
        <w:rPr>
          <w:rFonts w:eastAsia="Times New Roman"/>
          <w:color w:val="222222"/>
          <w:szCs w:val="24"/>
          <w:lang w:val="en-GB"/>
        </w:rPr>
        <w:t>., 2021</w:t>
      </w:r>
      <w:r w:rsidRPr="00784FF2">
        <w:rPr>
          <w:rFonts w:eastAsia="Times New Roman"/>
          <w:szCs w:val="24"/>
          <w:lang w:val="en-GB"/>
        </w:rPr>
        <w:t>). The method will offer precision in the estimation of the extent to which delays, shortage in staff, and comorbidities have on the recovery rates. The study can provide actionable data to enhance mental health care delivery and patient outcomes by using patient and service data, which is subjected to statistical analysis to derive actionable data (</w:t>
      </w:r>
      <w:r w:rsidRPr="00784FF2">
        <w:rPr>
          <w:rFonts w:eastAsia="Times New Roman"/>
          <w:color w:val="222222"/>
          <w:szCs w:val="24"/>
          <w:lang w:val="en-GB"/>
        </w:rPr>
        <w:t xml:space="preserve">Miskovic-Wheatley </w:t>
      </w:r>
      <w:r w:rsidRPr="00784FF2">
        <w:rPr>
          <w:rFonts w:eastAsia="Times New Roman"/>
          <w:i/>
          <w:color w:val="222222"/>
          <w:szCs w:val="24"/>
          <w:lang w:val="en-GB"/>
        </w:rPr>
        <w:t>et al</w:t>
      </w:r>
      <w:r w:rsidRPr="00784FF2">
        <w:rPr>
          <w:rFonts w:eastAsia="Times New Roman"/>
          <w:color w:val="222222"/>
          <w:szCs w:val="24"/>
          <w:lang w:val="en-GB"/>
        </w:rPr>
        <w:t>., 2023</w:t>
      </w:r>
      <w:r w:rsidRPr="00784FF2">
        <w:rPr>
          <w:rFonts w:eastAsia="Times New Roman"/>
          <w:szCs w:val="24"/>
          <w:lang w:val="en-GB"/>
        </w:rPr>
        <w:t>). Therefore, quantitative design will be suitable, as it will add empirical validity and policy-related suggestions to the UK healthcare industry, especially to Guy's Hospital.</w:t>
      </w:r>
    </w:p>
    <w:p w14:paraId="4917E7DA" w14:textId="77777777" w:rsidR="00AA6ED1" w:rsidRPr="00784FF2" w:rsidRDefault="009F024D" w:rsidP="009F024D">
      <w:pPr>
        <w:pStyle w:val="Heading1"/>
        <w:rPr>
          <w:lang w:val="en-GB"/>
        </w:rPr>
      </w:pPr>
      <w:bookmarkStart w:id="10" w:name="_Toc213420958"/>
      <w:r w:rsidRPr="00784FF2">
        <w:rPr>
          <w:lang w:val="en-GB"/>
        </w:rPr>
        <w:t>Task 3: Data Collection</w:t>
      </w:r>
      <w:bookmarkEnd w:id="10"/>
    </w:p>
    <w:p w14:paraId="352673B5" w14:textId="77777777" w:rsidR="00AA6ED1" w:rsidRPr="00784FF2" w:rsidRDefault="009F024D" w:rsidP="009F024D">
      <w:pPr>
        <w:pStyle w:val="Heading2"/>
        <w:rPr>
          <w:lang w:val="en-GB"/>
        </w:rPr>
      </w:pPr>
      <w:bookmarkStart w:id="11" w:name="_Toc213420959"/>
      <w:r w:rsidRPr="00784FF2">
        <w:rPr>
          <w:lang w:val="en-GB"/>
        </w:rPr>
        <w:t>3.1 Overview of Primary and Secondary Data Collection Methods</w:t>
      </w:r>
      <w:bookmarkEnd w:id="11"/>
    </w:p>
    <w:p w14:paraId="1F31B49B" w14:textId="77777777" w:rsidR="00AA6ED1" w:rsidRPr="00784FF2" w:rsidRDefault="009F024D">
      <w:pPr>
        <w:spacing w:line="360" w:lineRule="auto"/>
        <w:jc w:val="both"/>
        <w:rPr>
          <w:rFonts w:eastAsia="Times New Roman"/>
          <w:szCs w:val="24"/>
          <w:lang w:val="en-GB"/>
        </w:rPr>
      </w:pPr>
      <w:r w:rsidRPr="00784FF2">
        <w:rPr>
          <w:rFonts w:eastAsia="Times New Roman"/>
          <w:szCs w:val="24"/>
          <w:lang w:val="en-GB"/>
        </w:rPr>
        <w:t xml:space="preserve">Primary data collection refers to the collection of new, original information collected through the participants or sources so as to answer the given research objectives. It may also be in the form of surveys, interviews, experiments, and researcher-designed and conducted observational studies. This would make the data relevant, accurate, and in line with the research question. Secondary data collection, on the contrary, depends on the already available information like government reports, journals and institutional data sets collected in other contexts (Søvold </w:t>
      </w:r>
      <w:r w:rsidRPr="00784FF2">
        <w:rPr>
          <w:rFonts w:eastAsia="Times New Roman"/>
          <w:i/>
          <w:szCs w:val="24"/>
          <w:lang w:val="en-GB"/>
        </w:rPr>
        <w:t>et al</w:t>
      </w:r>
      <w:r w:rsidRPr="00784FF2">
        <w:rPr>
          <w:rFonts w:eastAsia="Times New Roman"/>
          <w:szCs w:val="24"/>
          <w:lang w:val="en-GB"/>
        </w:rPr>
        <w:t>., 2021). Although secondary data offers breadth and context, it might not be comprehensive in describing the contemporary situation and the exact variables of interest.</w:t>
      </w:r>
    </w:p>
    <w:p w14:paraId="50EA6D95" w14:textId="77777777" w:rsidR="00AA6ED1" w:rsidRPr="00784FF2" w:rsidRDefault="009F024D" w:rsidP="009F024D">
      <w:pPr>
        <w:pStyle w:val="Heading2"/>
        <w:rPr>
          <w:lang w:val="en-GB"/>
        </w:rPr>
      </w:pPr>
      <w:bookmarkStart w:id="12" w:name="_Toc213420960"/>
      <w:r w:rsidRPr="00784FF2">
        <w:rPr>
          <w:lang w:val="en-GB"/>
        </w:rPr>
        <w:t>3.2 Chosen Data Collection Methods and Justification</w:t>
      </w:r>
      <w:bookmarkEnd w:id="12"/>
    </w:p>
    <w:p w14:paraId="4C7ACDB6" w14:textId="77777777" w:rsidR="00AA6ED1" w:rsidRPr="00784FF2" w:rsidRDefault="009F024D">
      <w:pPr>
        <w:spacing w:line="360" w:lineRule="auto"/>
        <w:jc w:val="both"/>
        <w:rPr>
          <w:rFonts w:eastAsia="Times New Roman"/>
          <w:szCs w:val="24"/>
          <w:lang w:val="en-GB"/>
        </w:rPr>
      </w:pPr>
      <w:r w:rsidRPr="00784FF2">
        <w:rPr>
          <w:rFonts w:eastAsia="Times New Roman"/>
          <w:szCs w:val="24"/>
          <w:lang w:val="en-GB"/>
        </w:rPr>
        <w:t>The proposed study will use Primary Data Collection as a research technique to obtain first-hand quantitative data on the topic directly among patients and professionals working at Guy’s Hospital. Quantifiable data regarding the patient recovery statistics, perceived quality of care, access to treatment and satisfaction levels could be acquired through the structured questionnaires and surveys (</w:t>
      </w:r>
      <w:r w:rsidRPr="00784FF2">
        <w:rPr>
          <w:rFonts w:eastAsia="Times New Roman"/>
          <w:color w:val="222222"/>
          <w:szCs w:val="24"/>
          <w:lang w:val="en-GB"/>
        </w:rPr>
        <w:t xml:space="preserve">Chukwuma </w:t>
      </w:r>
      <w:r w:rsidRPr="00784FF2">
        <w:rPr>
          <w:rFonts w:eastAsia="Times New Roman"/>
          <w:i/>
          <w:color w:val="222222"/>
          <w:szCs w:val="24"/>
          <w:lang w:val="en-GB"/>
        </w:rPr>
        <w:t>et al</w:t>
      </w:r>
      <w:r w:rsidRPr="00784FF2">
        <w:rPr>
          <w:rFonts w:eastAsia="Times New Roman"/>
          <w:color w:val="222222"/>
          <w:szCs w:val="24"/>
          <w:lang w:val="en-GB"/>
        </w:rPr>
        <w:t>., 2024</w:t>
      </w:r>
      <w:r w:rsidRPr="00784FF2">
        <w:rPr>
          <w:rFonts w:eastAsia="Times New Roman"/>
          <w:szCs w:val="24"/>
          <w:lang w:val="en-GB"/>
        </w:rPr>
        <w:t xml:space="preserve">). Primary data are of great importance where the relationships between variables like duration of treatment, severity of mental health and recovery time are to be found, and secondary data may not provide details about such relationships. The emphasis on empirically based data gathering of the patients and practitioners of Guy's Hospital makes the findings institutionally concrete (Deng </w:t>
      </w:r>
      <w:r w:rsidRPr="00784FF2">
        <w:rPr>
          <w:rFonts w:eastAsia="Times New Roman"/>
          <w:i/>
          <w:szCs w:val="24"/>
          <w:lang w:val="en-GB"/>
        </w:rPr>
        <w:t>et al</w:t>
      </w:r>
      <w:r w:rsidRPr="00784FF2">
        <w:rPr>
          <w:rFonts w:eastAsia="Times New Roman"/>
          <w:szCs w:val="24"/>
          <w:lang w:val="en-GB"/>
        </w:rPr>
        <w:t>., 2022). Thus, the use of primary data is justified by the research purpose of exploring the role of adult mental health issues in patient recovery patterns and clinical outcomes in the UK healthcare industry and developing evidence-based suggestions related to the improvement of services.</w:t>
      </w:r>
    </w:p>
    <w:p w14:paraId="1E329E21" w14:textId="77777777" w:rsidR="00AA6ED1" w:rsidRPr="00784FF2" w:rsidRDefault="009F024D" w:rsidP="009F024D">
      <w:pPr>
        <w:pStyle w:val="Heading1"/>
        <w:rPr>
          <w:lang w:val="en-GB"/>
        </w:rPr>
      </w:pPr>
      <w:bookmarkStart w:id="13" w:name="_Toc213420961"/>
      <w:r w:rsidRPr="00784FF2">
        <w:rPr>
          <w:lang w:val="en-GB"/>
        </w:rPr>
        <w:t>Conclusion</w:t>
      </w:r>
      <w:bookmarkEnd w:id="13"/>
    </w:p>
    <w:p w14:paraId="16E917C1" w14:textId="77777777" w:rsidR="00AA6ED1" w:rsidRPr="00784FF2" w:rsidRDefault="009F024D">
      <w:pPr>
        <w:spacing w:line="360" w:lineRule="auto"/>
        <w:jc w:val="both"/>
        <w:rPr>
          <w:rFonts w:eastAsia="Times New Roman"/>
          <w:szCs w:val="24"/>
          <w:lang w:val="en-GB"/>
        </w:rPr>
      </w:pPr>
      <w:r w:rsidRPr="00784FF2">
        <w:rPr>
          <w:rFonts w:eastAsia="Times New Roman"/>
          <w:szCs w:val="24"/>
          <w:lang w:val="en-GB"/>
        </w:rPr>
        <w:t>It is to be concluded that the problem of adult mental health in the UK is a severe concern that affects patient recovery and clinical outcomes. Increasing prevalence, scarce resources, and long waitlines have increased the pressure in health care institutions like Guy's Hospital. The literature indicates close connections between access to care, workforce shortages, and low recovery efficiency. Through the application of a quantitative primary research design, this research intends to come up with empirical information on the influence of these factors on recovery rates and the overall well-being of the patient. The results will be used to inform evidence-based policies of enhancing mental health service provision and clinical outcomes within the UK healthcare sector.</w:t>
      </w:r>
    </w:p>
    <w:p w14:paraId="074110B2" w14:textId="77777777" w:rsidR="00AA6ED1" w:rsidRPr="00784FF2" w:rsidRDefault="009F024D">
      <w:pPr>
        <w:spacing w:line="360" w:lineRule="auto"/>
        <w:jc w:val="both"/>
        <w:rPr>
          <w:rFonts w:eastAsia="Times New Roman"/>
          <w:b/>
          <w:sz w:val="24"/>
          <w:szCs w:val="24"/>
          <w:lang w:val="en-GB"/>
        </w:rPr>
      </w:pPr>
      <w:r w:rsidRPr="00784FF2">
        <w:rPr>
          <w:lang w:val="en-GB"/>
        </w:rPr>
        <w:br w:type="page"/>
      </w:r>
    </w:p>
    <w:p w14:paraId="662A3E60" w14:textId="77777777" w:rsidR="00AA6ED1" w:rsidRPr="00784FF2" w:rsidRDefault="009F024D" w:rsidP="009F024D">
      <w:pPr>
        <w:pStyle w:val="Heading1"/>
        <w:rPr>
          <w:lang w:val="en-GB"/>
        </w:rPr>
      </w:pPr>
      <w:bookmarkStart w:id="14" w:name="_Toc213420962"/>
      <w:r w:rsidRPr="00784FF2">
        <w:rPr>
          <w:lang w:val="en-GB"/>
        </w:rPr>
        <w:t>Reference List</w:t>
      </w:r>
      <w:bookmarkEnd w:id="14"/>
    </w:p>
    <w:p w14:paraId="7DA7CE2D"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Ahad, A.A., Sanchez-Gonzalez, M. and Junquera, P. (2023). Understanding and addressing mental health stigma across cultures for improving psychiatric care: A narrative review. </w:t>
      </w:r>
      <w:r w:rsidRPr="00784FF2">
        <w:rPr>
          <w:rFonts w:eastAsia="Times New Roman"/>
          <w:i/>
          <w:szCs w:val="24"/>
          <w:lang w:val="en-GB"/>
        </w:rPr>
        <w:t>Cureus</w:t>
      </w:r>
      <w:r w:rsidRPr="00784FF2">
        <w:rPr>
          <w:rFonts w:eastAsia="Times New Roman"/>
          <w:szCs w:val="24"/>
          <w:lang w:val="en-GB"/>
        </w:rPr>
        <w:t xml:space="preserve">, </w:t>
      </w:r>
      <w:r w:rsidRPr="00784FF2">
        <w:rPr>
          <w:rFonts w:eastAsia="Times New Roman"/>
          <w:i/>
          <w:szCs w:val="24"/>
          <w:lang w:val="en-GB"/>
        </w:rPr>
        <w:t>15</w:t>
      </w:r>
      <w:r w:rsidRPr="00784FF2">
        <w:rPr>
          <w:rFonts w:eastAsia="Times New Roman"/>
          <w:szCs w:val="24"/>
          <w:lang w:val="en-GB"/>
        </w:rPr>
        <w:t>(5), pp.13-38.  Available at: https://www.nature.com/articles/s41746-024-01182-w [Accessed On: 7 Nov. 2025]</w:t>
      </w:r>
    </w:p>
    <w:p w14:paraId="299D845E"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Alhuwaydi, A.M. (2024). Exploring the role of artificial intelligence in mental healthcare: current trends and future directions–a narrative review for a comprehensive insight. </w:t>
      </w:r>
      <w:r w:rsidRPr="00784FF2">
        <w:rPr>
          <w:rFonts w:eastAsia="Times New Roman"/>
          <w:i/>
          <w:szCs w:val="24"/>
          <w:lang w:val="en-GB"/>
        </w:rPr>
        <w:t>Risk management and healthcare policy</w:t>
      </w:r>
      <w:r w:rsidRPr="00784FF2">
        <w:rPr>
          <w:rFonts w:eastAsia="Times New Roman"/>
          <w:szCs w:val="24"/>
          <w:lang w:val="en-GB"/>
        </w:rPr>
        <w:t>, pp.1339-1348.  Available at: https://www.thelancet.com/journals/lanpsy/article/PIIS2215-0366(23)00429-7/fulltext [Accessed On: 7 Nov. 2025]</w:t>
      </w:r>
    </w:p>
    <w:p w14:paraId="1AEBD2E8"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Chukwuma, O.V., Ezeani, E.I., Fatoye, E.O., Benjamin, J., Okobi, O.E., Nwume, C.G. and Egberuare, E.N. (2024). A systematic review of the effect of stigmatisation on psychiatric illness outcomes. </w:t>
      </w:r>
      <w:r w:rsidRPr="00784FF2">
        <w:rPr>
          <w:rFonts w:eastAsia="Times New Roman"/>
          <w:i/>
          <w:szCs w:val="24"/>
          <w:lang w:val="en-GB"/>
        </w:rPr>
        <w:t>Cureus</w:t>
      </w:r>
      <w:r w:rsidRPr="00784FF2">
        <w:rPr>
          <w:rFonts w:eastAsia="Times New Roman"/>
          <w:szCs w:val="24"/>
          <w:lang w:val="en-GB"/>
        </w:rPr>
        <w:t xml:space="preserve">, </w:t>
      </w:r>
      <w:r w:rsidRPr="00784FF2">
        <w:rPr>
          <w:rFonts w:eastAsia="Times New Roman"/>
          <w:i/>
          <w:szCs w:val="24"/>
          <w:lang w:val="en-GB"/>
        </w:rPr>
        <w:t>16</w:t>
      </w:r>
      <w:r w:rsidRPr="00784FF2">
        <w:rPr>
          <w:rFonts w:eastAsia="Times New Roman"/>
          <w:szCs w:val="24"/>
          <w:lang w:val="en-GB"/>
        </w:rPr>
        <w:t>(6), pp.62642.  Available at: https://assets.cureus.com/uploads/review_article/pdf/255768/20240619-14600-a5883e.pdf [Accessed On: 7 Nov. 2025]</w:t>
      </w:r>
    </w:p>
    <w:p w14:paraId="6406D011"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Dalton-Locke, C., Marston, L., McPherson, P. and Killaspy, H. (2021). The effectiveness of mental health rehabilitation services: a systematic review and narrative synthesis. </w:t>
      </w:r>
      <w:r w:rsidRPr="00784FF2">
        <w:rPr>
          <w:rFonts w:eastAsia="Times New Roman"/>
          <w:i/>
          <w:szCs w:val="24"/>
          <w:lang w:val="en-GB"/>
        </w:rPr>
        <w:t>Frontiers in Psychiatry</w:t>
      </w:r>
      <w:r w:rsidRPr="00784FF2">
        <w:rPr>
          <w:rFonts w:eastAsia="Times New Roman"/>
          <w:szCs w:val="24"/>
          <w:lang w:val="en-GB"/>
        </w:rPr>
        <w:t xml:space="preserve">, </w:t>
      </w:r>
      <w:r w:rsidRPr="00784FF2">
        <w:rPr>
          <w:rFonts w:eastAsia="Times New Roman"/>
          <w:i/>
          <w:szCs w:val="24"/>
          <w:lang w:val="en-GB"/>
        </w:rPr>
        <w:t>11</w:t>
      </w:r>
      <w:r w:rsidRPr="00784FF2">
        <w:rPr>
          <w:rFonts w:eastAsia="Times New Roman"/>
          <w:szCs w:val="24"/>
          <w:lang w:val="en-GB"/>
        </w:rPr>
        <w:t>, pp.607-933.  Available at: https://www.frontiersin.org/articles/10.3389/fpsyt.2020.607933/full [Accessed On: 7 Nov. 2025]</w:t>
      </w:r>
    </w:p>
    <w:p w14:paraId="74690872"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Deng, M., Zhai, S., Ouyang, X., Liu, Z. and Ross, B. (2022). Factors influencing medication adherence among patients with severe mental disorders from the perspective of mental health professionals. </w:t>
      </w:r>
      <w:r w:rsidRPr="00784FF2">
        <w:rPr>
          <w:rFonts w:eastAsia="Times New Roman"/>
          <w:i/>
          <w:szCs w:val="24"/>
          <w:lang w:val="en-GB"/>
        </w:rPr>
        <w:t>BMC Psychiatry</w:t>
      </w:r>
      <w:r w:rsidRPr="00784FF2">
        <w:rPr>
          <w:rFonts w:eastAsia="Times New Roman"/>
          <w:szCs w:val="24"/>
          <w:lang w:val="en-GB"/>
        </w:rPr>
        <w:t xml:space="preserve">, </w:t>
      </w:r>
      <w:r w:rsidRPr="00784FF2">
        <w:rPr>
          <w:rFonts w:eastAsia="Times New Roman"/>
          <w:i/>
          <w:szCs w:val="24"/>
          <w:lang w:val="en-GB"/>
        </w:rPr>
        <w:t>22</w:t>
      </w:r>
      <w:r w:rsidRPr="00784FF2">
        <w:rPr>
          <w:rFonts w:eastAsia="Times New Roman"/>
          <w:szCs w:val="24"/>
          <w:lang w:val="en-GB"/>
        </w:rPr>
        <w:t>(1), pp.22.  Available at: https://link.springer.com/article/10.1186/s12888-021-03681-6 [Accessed On: 7 Nov. 2025]</w:t>
      </w:r>
    </w:p>
    <w:p w14:paraId="7C75E94F" w14:textId="77777777" w:rsidR="00624ACA" w:rsidRPr="00784FF2" w:rsidRDefault="009F024D" w:rsidP="00624ACA">
      <w:pPr>
        <w:spacing w:line="360" w:lineRule="auto"/>
        <w:jc w:val="both"/>
        <w:rPr>
          <w:rFonts w:eastAsia="Times New Roman"/>
          <w:szCs w:val="24"/>
          <w:lang w:val="en-GB"/>
        </w:rPr>
      </w:pPr>
      <w:r w:rsidRPr="00784FF2">
        <w:rPr>
          <w:rFonts w:eastAsia="Times New Roman"/>
          <w:szCs w:val="24"/>
          <w:lang w:val="en-GB"/>
        </w:rPr>
        <w:t xml:space="preserve">Gilleen, J., Santaolalla, A., Valdearenas, L., Salice, C. and Fusté, M. (2021). Impact of the COVID-19 pandemic on the mental health and well-being of UK healthcare workers. </w:t>
      </w:r>
      <w:r w:rsidRPr="00784FF2">
        <w:rPr>
          <w:rFonts w:eastAsia="Times New Roman"/>
          <w:i/>
          <w:szCs w:val="24"/>
          <w:lang w:val="en-GB"/>
        </w:rPr>
        <w:t>BJPsych open</w:t>
      </w:r>
      <w:r w:rsidRPr="00784FF2">
        <w:rPr>
          <w:rFonts w:eastAsia="Times New Roman"/>
          <w:szCs w:val="24"/>
          <w:lang w:val="en-GB"/>
        </w:rPr>
        <w:t xml:space="preserve">, </w:t>
      </w:r>
      <w:r w:rsidRPr="00784FF2">
        <w:rPr>
          <w:rFonts w:eastAsia="Times New Roman"/>
          <w:i/>
          <w:szCs w:val="24"/>
          <w:lang w:val="en-GB"/>
        </w:rPr>
        <w:t>7</w:t>
      </w:r>
      <w:r w:rsidRPr="00784FF2">
        <w:rPr>
          <w:rFonts w:eastAsia="Times New Roman"/>
          <w:szCs w:val="24"/>
          <w:lang w:val="en-GB"/>
        </w:rPr>
        <w:t>(3), pp.88.  Available at: https://www.cambridge.org/core/journals/bjpsych-open/article/ [Accessed on: 7 Nov. 2025]</w:t>
      </w:r>
    </w:p>
    <w:p w14:paraId="52846B1E"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Gruber, J., Lordan, G., Pilling, S., Propper, C. and Saunders, R. (2022). The impact of mental health support for the chronically ill on hospital utilisation: Evidence from the UK. </w:t>
      </w:r>
      <w:r w:rsidRPr="00784FF2">
        <w:rPr>
          <w:rFonts w:eastAsia="Times New Roman"/>
          <w:i/>
          <w:szCs w:val="24"/>
          <w:lang w:val="en-GB"/>
        </w:rPr>
        <w:t>Social Science &amp; Medicine</w:t>
      </w:r>
      <w:r w:rsidRPr="00784FF2">
        <w:rPr>
          <w:rFonts w:eastAsia="Times New Roman"/>
          <w:szCs w:val="24"/>
          <w:lang w:val="en-GB"/>
        </w:rPr>
        <w:t xml:space="preserve">, </w:t>
      </w:r>
      <w:r w:rsidRPr="00784FF2">
        <w:rPr>
          <w:rFonts w:eastAsia="Times New Roman"/>
          <w:i/>
          <w:szCs w:val="24"/>
          <w:lang w:val="en-GB"/>
        </w:rPr>
        <w:t>294</w:t>
      </w:r>
      <w:r w:rsidRPr="00784FF2">
        <w:rPr>
          <w:rFonts w:eastAsia="Times New Roman"/>
          <w:szCs w:val="24"/>
          <w:lang w:val="en-GB"/>
        </w:rPr>
        <w:t>, pp.114-675.  Available at: https://www.sciencedirect.com/science/article/pii/S0277953621010078 [Accessed On: 7 Nov. 2025]</w:t>
      </w:r>
    </w:p>
    <w:p w14:paraId="3D0E3BA2"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Hurley, J., Lakeman, R., Linsley, P., Ramsay, M. and McKenna-Lawson, S. (2022). Utilising the mental health nursing workforce: A scoping review of mental health nursing clinical roles and identities. </w:t>
      </w:r>
      <w:r w:rsidRPr="00784FF2">
        <w:rPr>
          <w:rFonts w:eastAsia="Times New Roman"/>
          <w:i/>
          <w:szCs w:val="24"/>
          <w:lang w:val="en-GB"/>
        </w:rPr>
        <w:t>International journal of mental health nursing</w:t>
      </w:r>
      <w:r w:rsidRPr="00784FF2">
        <w:rPr>
          <w:rFonts w:eastAsia="Times New Roman"/>
          <w:szCs w:val="24"/>
          <w:lang w:val="en-GB"/>
        </w:rPr>
        <w:t xml:space="preserve">, </w:t>
      </w:r>
      <w:r w:rsidRPr="00784FF2">
        <w:rPr>
          <w:rFonts w:eastAsia="Times New Roman"/>
          <w:i/>
          <w:szCs w:val="24"/>
          <w:lang w:val="en-GB"/>
        </w:rPr>
        <w:t>31</w:t>
      </w:r>
      <w:r w:rsidRPr="00784FF2">
        <w:rPr>
          <w:rFonts w:eastAsia="Times New Roman"/>
          <w:szCs w:val="24"/>
          <w:lang w:val="en-GB"/>
        </w:rPr>
        <w:t>(4), pp.796-822.  Available at: https://onlinelibrary.wiley.com/doi/abs/10.1111/inm.12983 [Accessed On: 7 Nov. 2025]</w:t>
      </w:r>
    </w:p>
    <w:p w14:paraId="6612989B"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Miskovic-Wheatley, J., Bryant, E., Ong, S.H., Vatter, S., Le, A., Touyz, S. and Maguire, S. (2023). Eating disorder outcomes: findings from a rapid review of over a decade of research. </w:t>
      </w:r>
      <w:r w:rsidRPr="00784FF2">
        <w:rPr>
          <w:rFonts w:eastAsia="Times New Roman"/>
          <w:i/>
          <w:szCs w:val="24"/>
          <w:lang w:val="en-GB"/>
        </w:rPr>
        <w:t>Journal of Eating Disorders</w:t>
      </w:r>
      <w:r w:rsidRPr="00784FF2">
        <w:rPr>
          <w:rFonts w:eastAsia="Times New Roman"/>
          <w:szCs w:val="24"/>
          <w:lang w:val="en-GB"/>
        </w:rPr>
        <w:t xml:space="preserve">, </w:t>
      </w:r>
      <w:r w:rsidRPr="00784FF2">
        <w:rPr>
          <w:rFonts w:eastAsia="Times New Roman"/>
          <w:i/>
          <w:szCs w:val="24"/>
          <w:lang w:val="en-GB"/>
        </w:rPr>
        <w:t>11</w:t>
      </w:r>
      <w:r w:rsidRPr="00784FF2">
        <w:rPr>
          <w:rFonts w:eastAsia="Times New Roman"/>
          <w:szCs w:val="24"/>
          <w:lang w:val="en-GB"/>
        </w:rPr>
        <w:t>(1), pp.85.  Available at: https://link.springer.com/article/10.1186/s40337-023-00801-3 [Accessed On: 7 Nov. 2025]</w:t>
      </w:r>
    </w:p>
    <w:p w14:paraId="72755B95"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Nguyen, P.Y., Astell-Burt, T., Rahimi-Ardabili, H. and Feng, X. (2023). Effect of nature prescriptions on cardiometabolic and mental health, and physical activity: a systematic review. </w:t>
      </w:r>
      <w:r w:rsidRPr="00784FF2">
        <w:rPr>
          <w:rFonts w:eastAsia="Times New Roman"/>
          <w:i/>
          <w:szCs w:val="24"/>
          <w:lang w:val="en-GB"/>
        </w:rPr>
        <w:t>The Lancet Planetary Health</w:t>
      </w:r>
      <w:r w:rsidRPr="00784FF2">
        <w:rPr>
          <w:rFonts w:eastAsia="Times New Roman"/>
          <w:szCs w:val="24"/>
          <w:lang w:val="en-GB"/>
        </w:rPr>
        <w:t xml:space="preserve">, </w:t>
      </w:r>
      <w:r w:rsidRPr="00784FF2">
        <w:rPr>
          <w:rFonts w:eastAsia="Times New Roman"/>
          <w:i/>
          <w:szCs w:val="24"/>
          <w:lang w:val="en-GB"/>
        </w:rPr>
        <w:t>7</w:t>
      </w:r>
      <w:r w:rsidRPr="00784FF2">
        <w:rPr>
          <w:rFonts w:eastAsia="Times New Roman"/>
          <w:szCs w:val="24"/>
          <w:lang w:val="en-GB"/>
        </w:rPr>
        <w:t>(4), pp.313-328.  Available at: https://www.thelancet.com/journals/lanplh/article/piis2542-5196(23)00025-6/fulltext [Accessed On: 7 Nov. 2025]</w:t>
      </w:r>
    </w:p>
    <w:p w14:paraId="1B4744D7"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szCs w:val="24"/>
          <w:lang w:val="en-GB"/>
        </w:rPr>
        <w:t>NHS England (2023). NHS England. [online] England.nhs.uk. Available at: https://www.england.nhs.uk/. [Accessed On: 7 Nov. 2025]</w:t>
      </w:r>
    </w:p>
    <w:p w14:paraId="18289A30" w14:textId="77777777" w:rsidR="00624ACA" w:rsidRPr="00784FF2" w:rsidRDefault="009F024D" w:rsidP="00624ACA">
      <w:pPr>
        <w:spacing w:after="240" w:line="360" w:lineRule="auto"/>
        <w:jc w:val="both"/>
        <w:rPr>
          <w:rFonts w:eastAsia="Times New Roman"/>
          <w:szCs w:val="24"/>
          <w:lang w:val="en-GB"/>
        </w:rPr>
      </w:pPr>
      <w:r w:rsidRPr="00784FF2">
        <w:rPr>
          <w:rFonts w:eastAsia="Times New Roman"/>
          <w:szCs w:val="24"/>
          <w:lang w:val="en-GB"/>
        </w:rPr>
        <w:t xml:space="preserve">ONS (2024). </w:t>
      </w:r>
      <w:r w:rsidRPr="00784FF2">
        <w:rPr>
          <w:rFonts w:eastAsia="Times New Roman"/>
          <w:i/>
          <w:szCs w:val="24"/>
          <w:lang w:val="en-GB"/>
        </w:rPr>
        <w:t>Office for National Statistics</w:t>
      </w:r>
      <w:r w:rsidRPr="00784FF2">
        <w:rPr>
          <w:rFonts w:eastAsia="Times New Roman"/>
          <w:szCs w:val="24"/>
          <w:lang w:val="en-GB"/>
        </w:rPr>
        <w:t>. [online] Ons.gov.uk. Available at: https://www.ons.gov.uk/. [Accessed on: 7 Nov. 2025]</w:t>
      </w:r>
    </w:p>
    <w:p w14:paraId="68AFF21C"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Reynolds, 3rd, C.F., Jeste, D.V., Sachdev, P.S. and Blazer, D.G. (2022). Mental health care for older adults: recent advances and new directions in clinical practice and research. </w:t>
      </w:r>
      <w:r w:rsidRPr="00784FF2">
        <w:rPr>
          <w:rFonts w:eastAsia="Times New Roman"/>
          <w:i/>
          <w:szCs w:val="24"/>
          <w:lang w:val="en-GB"/>
        </w:rPr>
        <w:t>World Psychiatry</w:t>
      </w:r>
      <w:r w:rsidRPr="00784FF2">
        <w:rPr>
          <w:rFonts w:eastAsia="Times New Roman"/>
          <w:szCs w:val="24"/>
          <w:lang w:val="en-GB"/>
        </w:rPr>
        <w:t xml:space="preserve">, </w:t>
      </w:r>
      <w:r w:rsidRPr="00784FF2">
        <w:rPr>
          <w:rFonts w:eastAsia="Times New Roman"/>
          <w:i/>
          <w:szCs w:val="24"/>
          <w:lang w:val="en-GB"/>
        </w:rPr>
        <w:t>21</w:t>
      </w:r>
      <w:r w:rsidRPr="00784FF2">
        <w:rPr>
          <w:rFonts w:eastAsia="Times New Roman"/>
          <w:szCs w:val="24"/>
          <w:lang w:val="en-GB"/>
        </w:rPr>
        <w:t>(3), pp.336-363.  Available at: https://pmc.ncbi.nlm.nih.gov/articles/PMC10806564/ [Accessed On: 7 Nov. 2025]</w:t>
      </w:r>
    </w:p>
    <w:p w14:paraId="40E811BC"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szCs w:val="24"/>
          <w:lang w:val="en-GB"/>
        </w:rPr>
        <w:t xml:space="preserve">Søvold, L.E., Naslund, J.A., Kousoulis, A.A., Saxena, S., Qoronfleh, M.W., Grobler, C. and Münter, L. (2021). Prioritising the mental health and well-being of healthcare workers: an urgent global public health priority. </w:t>
      </w:r>
      <w:r w:rsidRPr="00784FF2">
        <w:rPr>
          <w:rFonts w:eastAsia="Times New Roman"/>
          <w:i/>
          <w:szCs w:val="24"/>
          <w:lang w:val="en-GB"/>
        </w:rPr>
        <w:t>Frontiers in public health</w:t>
      </w:r>
      <w:r w:rsidRPr="00784FF2">
        <w:rPr>
          <w:rFonts w:eastAsia="Times New Roman"/>
          <w:szCs w:val="24"/>
          <w:lang w:val="en-GB"/>
        </w:rPr>
        <w:t xml:space="preserve">, </w:t>
      </w:r>
      <w:r w:rsidRPr="00784FF2">
        <w:rPr>
          <w:rFonts w:eastAsia="Times New Roman"/>
          <w:i/>
          <w:szCs w:val="24"/>
          <w:lang w:val="en-GB"/>
        </w:rPr>
        <w:t>9</w:t>
      </w:r>
      <w:r w:rsidRPr="00784FF2">
        <w:rPr>
          <w:rFonts w:eastAsia="Times New Roman"/>
          <w:szCs w:val="24"/>
          <w:lang w:val="en-GB"/>
        </w:rPr>
        <w:t>, pp.679397.  Available at: https://www.frontiersin.org/journals/public-health/articles/10.3389/fpubh.2021.679397/full [Accessed on: 7 Nov. 2025]</w:t>
      </w:r>
    </w:p>
    <w:p w14:paraId="21FD32EA"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 xml:space="preserve">Yan, A.F., Chen, Z., Wang, Y., Campbell, J.A., Xue, Q.L., Williams, M.Y., Weinhardt, L.S. and Egede, L.E. (2022). Effectiveness of social needs screening and interventions in clinical settings on utilisation, cost, and clinical outcomes: a systematic review. </w:t>
      </w:r>
      <w:r w:rsidRPr="00784FF2">
        <w:rPr>
          <w:rFonts w:eastAsia="Times New Roman"/>
          <w:i/>
          <w:szCs w:val="24"/>
          <w:lang w:val="en-GB"/>
        </w:rPr>
        <w:t>Health equity</w:t>
      </w:r>
      <w:r w:rsidRPr="00784FF2">
        <w:rPr>
          <w:rFonts w:eastAsia="Times New Roman"/>
          <w:szCs w:val="24"/>
          <w:lang w:val="en-GB"/>
        </w:rPr>
        <w:t xml:space="preserve">, </w:t>
      </w:r>
      <w:r w:rsidRPr="00784FF2">
        <w:rPr>
          <w:rFonts w:eastAsia="Times New Roman"/>
          <w:i/>
          <w:szCs w:val="24"/>
          <w:lang w:val="en-GB"/>
        </w:rPr>
        <w:t>6</w:t>
      </w:r>
      <w:r w:rsidRPr="00784FF2">
        <w:rPr>
          <w:rFonts w:eastAsia="Times New Roman"/>
          <w:szCs w:val="24"/>
          <w:lang w:val="en-GB"/>
        </w:rPr>
        <w:t>(1), pp.454-475.  Available at: https://www.liebertpub.com/doi/abs/10.1089/heq.2022.0010 [Accessed On: 7 Nov. 2025]</w:t>
      </w:r>
    </w:p>
    <w:p w14:paraId="0996F7C7" w14:textId="77777777" w:rsidR="00624ACA" w:rsidRPr="00784FF2" w:rsidRDefault="009F024D" w:rsidP="00624ACA">
      <w:pPr>
        <w:spacing w:before="240" w:after="240" w:line="360" w:lineRule="auto"/>
        <w:jc w:val="both"/>
        <w:rPr>
          <w:rFonts w:eastAsia="Times New Roman"/>
          <w:szCs w:val="24"/>
          <w:lang w:val="en-GB"/>
        </w:rPr>
      </w:pPr>
      <w:r w:rsidRPr="00784FF2">
        <w:rPr>
          <w:rFonts w:eastAsia="Times New Roman"/>
          <w:color w:val="222222"/>
          <w:szCs w:val="24"/>
          <w:lang w:val="en-GB"/>
        </w:rPr>
        <w:t>Zidaru, T., Morrow, E.M. and Stockley, R. (2021). Ensuring patient and public involvement in the transition to AI</w:t>
      </w:r>
      <w:r w:rsidRPr="00784FF2">
        <w:rPr>
          <w:rFonts w:ascii="Cambria Math" w:eastAsia="Times New Roman" w:hAnsi="Cambria Math" w:cs="Cambria Math"/>
          <w:color w:val="222222"/>
          <w:szCs w:val="24"/>
          <w:lang w:val="en-GB"/>
        </w:rPr>
        <w:t>‐</w:t>
      </w:r>
      <w:r w:rsidRPr="00784FF2">
        <w:rPr>
          <w:rFonts w:eastAsia="Times New Roman"/>
          <w:color w:val="222222"/>
          <w:szCs w:val="24"/>
          <w:lang w:val="en-GB"/>
        </w:rPr>
        <w:t xml:space="preserve">assisted mental health care: A systematic scoping review and agenda for design justice. </w:t>
      </w:r>
      <w:r w:rsidRPr="00784FF2">
        <w:rPr>
          <w:rFonts w:eastAsia="Times New Roman"/>
          <w:i/>
          <w:szCs w:val="24"/>
          <w:lang w:val="en-GB"/>
        </w:rPr>
        <w:t>Health Expectations</w:t>
      </w:r>
      <w:r w:rsidRPr="00784FF2">
        <w:rPr>
          <w:rFonts w:eastAsia="Times New Roman"/>
          <w:szCs w:val="24"/>
          <w:lang w:val="en-GB"/>
        </w:rPr>
        <w:t xml:space="preserve">, </w:t>
      </w:r>
      <w:r w:rsidRPr="00784FF2">
        <w:rPr>
          <w:rFonts w:eastAsia="Times New Roman"/>
          <w:i/>
          <w:szCs w:val="24"/>
          <w:lang w:val="en-GB"/>
        </w:rPr>
        <w:t>24</w:t>
      </w:r>
      <w:r w:rsidRPr="00784FF2">
        <w:rPr>
          <w:rFonts w:eastAsia="Times New Roman"/>
          <w:szCs w:val="24"/>
          <w:lang w:val="en-GB"/>
        </w:rPr>
        <w:t>(4), pp.1072-1124.  Available at: https://onlinelibrary.wiley.com/doi/abs/10.1111/hex.13299 [Accessed On: 7 Nov. 2025]</w:t>
      </w:r>
    </w:p>
    <w:sectPr w:rsidR="00624ACA" w:rsidRPr="00784FF2" w:rsidSect="00171637">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4D7ED" w14:textId="77777777" w:rsidR="00951CB8" w:rsidRDefault="00951CB8" w:rsidP="00171637">
      <w:pPr>
        <w:spacing w:line="240" w:lineRule="auto"/>
      </w:pPr>
      <w:r>
        <w:separator/>
      </w:r>
    </w:p>
  </w:endnote>
  <w:endnote w:type="continuationSeparator" w:id="0">
    <w:p w14:paraId="517A332B" w14:textId="77777777" w:rsidR="00951CB8" w:rsidRDefault="00951CB8" w:rsidP="001716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7AC4E23-52F5-4C8C-8CCE-A897507F9363}"/>
  </w:font>
  <w:font w:name="Cambria Math">
    <w:panose1 w:val="02040503050406030204"/>
    <w:charset w:val="00"/>
    <w:family w:val="roman"/>
    <w:pitch w:val="variable"/>
    <w:sig w:usb0="E00006FF" w:usb1="420024FF" w:usb2="02000000" w:usb3="00000000" w:csb0="0000019F" w:csb1="00000000"/>
    <w:embedRegular r:id="rId2" w:fontKey="{C3112ACB-BE58-4442-BE08-C2D4CA611C38}"/>
  </w:font>
  <w:font w:name="Cambria">
    <w:panose1 w:val="02040503050406030204"/>
    <w:charset w:val="00"/>
    <w:family w:val="roman"/>
    <w:pitch w:val="variable"/>
    <w:sig w:usb0="E00006FF" w:usb1="420024FF" w:usb2="02000000" w:usb3="00000000" w:csb0="0000019F" w:csb1="00000000"/>
    <w:embedRegular r:id="rId3" w:fontKey="{02B02606-8516-4892-A195-2D0813CBADB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6374763"/>
      <w:docPartObj>
        <w:docPartGallery w:val="Page Numbers (Bottom of Page)"/>
        <w:docPartUnique/>
      </w:docPartObj>
    </w:sdtPr>
    <w:sdtContent>
      <w:sdt>
        <w:sdtPr>
          <w:rPr>
            <w:sz w:val="20"/>
            <w:szCs w:val="24"/>
          </w:rPr>
          <w:id w:val="-1769616900"/>
          <w:docPartObj>
            <w:docPartGallery w:val="Page Numbers (Top of Page)"/>
            <w:docPartUnique/>
          </w:docPartObj>
        </w:sdtPr>
        <w:sdtEndPr>
          <w:rPr>
            <w:sz w:val="22"/>
            <w:szCs w:val="22"/>
          </w:rPr>
        </w:sdtEndPr>
        <w:sdtContent>
          <w:p w14:paraId="50958CBE" w14:textId="77777777" w:rsidR="00171637" w:rsidRDefault="00171637">
            <w:pPr>
              <w:pStyle w:val="Footer"/>
              <w:jc w:val="right"/>
            </w:pPr>
            <w:r w:rsidRPr="00171637">
              <w:rPr>
                <w:sz w:val="20"/>
                <w:szCs w:val="24"/>
              </w:rPr>
              <w:t xml:space="preserve">Page </w:t>
            </w:r>
            <w:r w:rsidRPr="00171637">
              <w:rPr>
                <w:b/>
                <w:bCs/>
                <w:sz w:val="20"/>
                <w:szCs w:val="24"/>
              </w:rPr>
              <w:fldChar w:fldCharType="begin"/>
            </w:r>
            <w:r w:rsidRPr="00171637">
              <w:rPr>
                <w:b/>
                <w:bCs/>
                <w:sz w:val="20"/>
                <w:szCs w:val="24"/>
              </w:rPr>
              <w:instrText xml:space="preserve"> PAGE </w:instrText>
            </w:r>
            <w:r w:rsidRPr="00171637">
              <w:rPr>
                <w:b/>
                <w:bCs/>
                <w:sz w:val="20"/>
                <w:szCs w:val="24"/>
              </w:rPr>
              <w:fldChar w:fldCharType="separate"/>
            </w:r>
            <w:r>
              <w:rPr>
                <w:b/>
                <w:bCs/>
                <w:noProof/>
                <w:sz w:val="20"/>
                <w:szCs w:val="24"/>
              </w:rPr>
              <w:t>3</w:t>
            </w:r>
            <w:r w:rsidRPr="00171637">
              <w:rPr>
                <w:b/>
                <w:bCs/>
                <w:sz w:val="20"/>
                <w:szCs w:val="24"/>
              </w:rPr>
              <w:fldChar w:fldCharType="end"/>
            </w:r>
            <w:r w:rsidRPr="00171637">
              <w:rPr>
                <w:sz w:val="20"/>
                <w:szCs w:val="24"/>
              </w:rPr>
              <w:t xml:space="preserve"> of </w:t>
            </w:r>
            <w:r w:rsidRPr="00171637">
              <w:rPr>
                <w:b/>
                <w:bCs/>
                <w:sz w:val="20"/>
                <w:szCs w:val="24"/>
              </w:rPr>
              <w:fldChar w:fldCharType="begin"/>
            </w:r>
            <w:r w:rsidRPr="00171637">
              <w:rPr>
                <w:b/>
                <w:bCs/>
                <w:sz w:val="20"/>
                <w:szCs w:val="24"/>
              </w:rPr>
              <w:instrText xml:space="preserve"> NUMPAGES  </w:instrText>
            </w:r>
            <w:r w:rsidRPr="00171637">
              <w:rPr>
                <w:b/>
                <w:bCs/>
                <w:sz w:val="20"/>
                <w:szCs w:val="24"/>
              </w:rPr>
              <w:fldChar w:fldCharType="separate"/>
            </w:r>
            <w:r>
              <w:rPr>
                <w:b/>
                <w:bCs/>
                <w:noProof/>
                <w:sz w:val="20"/>
                <w:szCs w:val="24"/>
              </w:rPr>
              <w:t>10</w:t>
            </w:r>
            <w:r w:rsidRPr="00171637">
              <w:rPr>
                <w:b/>
                <w:bCs/>
                <w:sz w:val="20"/>
                <w:szCs w:val="24"/>
              </w:rPr>
              <w:fldChar w:fldCharType="end"/>
            </w:r>
          </w:p>
        </w:sdtContent>
      </w:sdt>
    </w:sdtContent>
  </w:sdt>
  <w:p w14:paraId="144544BF" w14:textId="77777777" w:rsidR="00171637" w:rsidRDefault="00171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C281D" w14:textId="77777777" w:rsidR="00951CB8" w:rsidRDefault="00951CB8" w:rsidP="00171637">
      <w:pPr>
        <w:spacing w:line="240" w:lineRule="auto"/>
      </w:pPr>
      <w:r>
        <w:separator/>
      </w:r>
    </w:p>
  </w:footnote>
  <w:footnote w:type="continuationSeparator" w:id="0">
    <w:p w14:paraId="6FC24533" w14:textId="77777777" w:rsidR="00951CB8" w:rsidRDefault="00951CB8" w:rsidP="001716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A30AA"/>
    <w:multiLevelType w:val="multilevel"/>
    <w:tmpl w:val="5ABEA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6024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ED1"/>
    <w:rsid w:val="00171637"/>
    <w:rsid w:val="005E45F2"/>
    <w:rsid w:val="00624ACA"/>
    <w:rsid w:val="00784FF2"/>
    <w:rsid w:val="00951CB8"/>
    <w:rsid w:val="009F024D"/>
    <w:rsid w:val="00A900BD"/>
    <w:rsid w:val="00AA6ED1"/>
    <w:rsid w:val="00D3663E"/>
    <w:rsid w:val="00E71205"/>
    <w:rsid w:val="00FE06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4023E0"/>
  <w15:docId w15:val="{F9F4EB85-2FBB-4FFB-9F51-D2E442BE4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9F024D"/>
    <w:pPr>
      <w:keepNext/>
      <w:keepLines/>
      <w:spacing w:before="400" w:after="120" w:line="480" w:lineRule="auto"/>
      <w:jc w:val="both"/>
      <w:outlineLvl w:val="0"/>
    </w:pPr>
    <w:rPr>
      <w:b/>
      <w:color w:val="000000" w:themeColor="text1"/>
      <w:sz w:val="28"/>
      <w:szCs w:val="40"/>
    </w:rPr>
  </w:style>
  <w:style w:type="paragraph" w:styleId="Heading2">
    <w:name w:val="heading 2"/>
    <w:basedOn w:val="Normal"/>
    <w:next w:val="Normal"/>
    <w:qFormat/>
    <w:rsid w:val="009F024D"/>
    <w:pPr>
      <w:keepNext/>
      <w:keepLines/>
      <w:spacing w:before="360" w:after="120" w:line="360" w:lineRule="auto"/>
      <w:jc w:val="both"/>
      <w:outlineLvl w:val="1"/>
    </w:pPr>
    <w:rPr>
      <w:b/>
      <w:i/>
      <w:color w:val="000000" w:themeColor="text1"/>
      <w:sz w:val="26"/>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9F024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F024D"/>
    <w:pPr>
      <w:spacing w:after="100"/>
    </w:pPr>
  </w:style>
  <w:style w:type="paragraph" w:styleId="TOC2">
    <w:name w:val="toc 2"/>
    <w:basedOn w:val="Normal"/>
    <w:next w:val="Normal"/>
    <w:autoRedefine/>
    <w:uiPriority w:val="39"/>
    <w:unhideWhenUsed/>
    <w:rsid w:val="009F024D"/>
    <w:pPr>
      <w:spacing w:after="100"/>
      <w:ind w:left="220"/>
    </w:pPr>
  </w:style>
  <w:style w:type="character" w:styleId="Hyperlink">
    <w:name w:val="Hyperlink"/>
    <w:basedOn w:val="DefaultParagraphFont"/>
    <w:uiPriority w:val="99"/>
    <w:unhideWhenUsed/>
    <w:rsid w:val="009F024D"/>
    <w:rPr>
      <w:color w:val="0000FF" w:themeColor="hyperlink"/>
      <w:u w:val="single"/>
    </w:rPr>
  </w:style>
  <w:style w:type="paragraph" w:styleId="Header">
    <w:name w:val="header"/>
    <w:basedOn w:val="Normal"/>
    <w:link w:val="HeaderChar"/>
    <w:uiPriority w:val="99"/>
    <w:unhideWhenUsed/>
    <w:rsid w:val="00171637"/>
    <w:pPr>
      <w:tabs>
        <w:tab w:val="center" w:pos="4513"/>
        <w:tab w:val="right" w:pos="9026"/>
      </w:tabs>
      <w:spacing w:line="240" w:lineRule="auto"/>
    </w:pPr>
  </w:style>
  <w:style w:type="character" w:customStyle="1" w:styleId="HeaderChar">
    <w:name w:val="Header Char"/>
    <w:basedOn w:val="DefaultParagraphFont"/>
    <w:link w:val="Header"/>
    <w:uiPriority w:val="99"/>
    <w:rsid w:val="00171637"/>
  </w:style>
  <w:style w:type="paragraph" w:styleId="Footer">
    <w:name w:val="footer"/>
    <w:basedOn w:val="Normal"/>
    <w:link w:val="FooterChar"/>
    <w:uiPriority w:val="99"/>
    <w:unhideWhenUsed/>
    <w:rsid w:val="00171637"/>
    <w:pPr>
      <w:tabs>
        <w:tab w:val="center" w:pos="4513"/>
        <w:tab w:val="right" w:pos="9026"/>
      </w:tabs>
      <w:spacing w:line="240" w:lineRule="auto"/>
    </w:pPr>
  </w:style>
  <w:style w:type="character" w:customStyle="1" w:styleId="FooterChar">
    <w:name w:val="Footer Char"/>
    <w:basedOn w:val="DefaultParagraphFont"/>
    <w:link w:val="Footer"/>
    <w:uiPriority w:val="99"/>
    <w:rsid w:val="001716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341BF-AE52-4487-A583-5F5907E3E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2468</Words>
  <Characters>15074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Ipsita Dutta</cp:lastModifiedBy>
  <cp:revision>11</cp:revision>
  <dcterms:created xsi:type="dcterms:W3CDTF">2025-11-07T09:12:00Z</dcterms:created>
  <dcterms:modified xsi:type="dcterms:W3CDTF">2025-11-07T11:26:00Z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da3b40c7-2bba-40ae-8894-65ab7c1388bb</vt:lpwstr>
  </property>
</Properties>
</file>