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71EDE2" w14:textId="77777777" w:rsidR="00135759" w:rsidRDefault="00135759">
      <w:pPr>
        <w:spacing w:after="120"/>
        <w:jc w:val="center"/>
        <w:rPr>
          <w:rFonts w:ascii="Cambria" w:hAnsi="Cambria"/>
          <w:b/>
          <w:sz w:val="32"/>
          <w:szCs w:val="32"/>
        </w:rPr>
      </w:pPr>
      <w:r w:rsidRPr="00135759">
        <w:rPr>
          <w:rFonts w:ascii="Cambria" w:hAnsi="Cambria"/>
          <w:b/>
          <w:sz w:val="32"/>
          <w:szCs w:val="32"/>
        </w:rPr>
        <w:t>Hydrogen Fuel in Motorsports: Advancements, Challenges, and Promoting Sustainable Racing</w:t>
      </w:r>
      <w:r w:rsidRPr="00135759">
        <w:rPr>
          <w:rFonts w:ascii="Cambria" w:hAnsi="Cambria"/>
          <w:b/>
          <w:sz w:val="32"/>
          <w:szCs w:val="32"/>
        </w:rPr>
        <w:t xml:space="preserve"> </w:t>
      </w:r>
    </w:p>
    <w:p w14:paraId="183B14E6" w14:textId="2F45EBC0" w:rsidR="00443E0C" w:rsidRDefault="004B770B">
      <w:pPr>
        <w:spacing w:after="120"/>
        <w:jc w:val="center"/>
        <w:rPr>
          <w:rFonts w:ascii="Cambria" w:hAnsi="Cambria"/>
          <w:b/>
          <w:sz w:val="24"/>
          <w:szCs w:val="24"/>
          <w:vertAlign w:val="superscript"/>
        </w:rPr>
      </w:pPr>
      <w:r>
        <w:rPr>
          <w:rFonts w:ascii="Cambria" w:hAnsi="Cambria"/>
          <w:b/>
          <w:sz w:val="24"/>
          <w:szCs w:val="24"/>
        </w:rPr>
        <w:t>Vinicius Dreher</w:t>
      </w:r>
    </w:p>
    <w:p w14:paraId="2D9D7A59" w14:textId="77777777" w:rsidR="00443E0C" w:rsidRDefault="007F18D6" w:rsidP="007F18D6">
      <w:pPr>
        <w:pStyle w:val="IEEEAuthorAffiliation"/>
        <w:spacing w:after="0"/>
        <w:rPr>
          <w:rFonts w:ascii="Cambria" w:hAnsi="Cambria"/>
        </w:rPr>
      </w:pPr>
      <w:r w:rsidRPr="007F18D6">
        <w:rPr>
          <w:rFonts w:ascii="Cambria" w:hAnsi="Cambria"/>
          <w:szCs w:val="20"/>
        </w:rPr>
        <w:t xml:space="preserve">Mr </w:t>
      </w:r>
      <w:r w:rsidR="004B770B">
        <w:rPr>
          <w:rFonts w:ascii="Cambria" w:hAnsi="Cambria"/>
          <w:szCs w:val="20"/>
        </w:rPr>
        <w:t>Vinicius Dreher</w:t>
      </w:r>
      <w:r w:rsidRPr="007F18D6">
        <w:rPr>
          <w:rFonts w:ascii="Cambria" w:hAnsi="Cambria"/>
          <w:szCs w:val="20"/>
        </w:rPr>
        <w:t xml:space="preserve">, Automotive </w:t>
      </w:r>
      <w:r w:rsidR="00443E0C" w:rsidRPr="007F18D6">
        <w:rPr>
          <w:rFonts w:ascii="Cambria" w:hAnsi="Cambria"/>
          <w:i w:val="0"/>
          <w:szCs w:val="20"/>
        </w:rPr>
        <w:t xml:space="preserve">Engineering, </w:t>
      </w:r>
      <w:r w:rsidRPr="007F18D6">
        <w:rPr>
          <w:rFonts w:ascii="Cambria" w:hAnsi="Cambria"/>
          <w:i w:val="0"/>
          <w:szCs w:val="20"/>
        </w:rPr>
        <w:t>University of Wales Trinity Saint David</w:t>
      </w:r>
      <w:r w:rsidR="00443E0C" w:rsidRPr="007F18D6">
        <w:rPr>
          <w:rFonts w:ascii="Cambria" w:hAnsi="Cambria"/>
          <w:i w:val="0"/>
          <w:szCs w:val="20"/>
        </w:rPr>
        <w:t xml:space="preserve">, </w:t>
      </w:r>
      <w:r w:rsidRPr="007F18D6">
        <w:rPr>
          <w:rFonts w:ascii="Cambria" w:hAnsi="Cambria"/>
          <w:i w:val="0"/>
          <w:szCs w:val="20"/>
        </w:rPr>
        <w:t>Swansea, SA1 8PH</w:t>
      </w:r>
      <w:r w:rsidR="00443E0C" w:rsidRPr="007F18D6">
        <w:rPr>
          <w:rFonts w:ascii="Cambria" w:hAnsi="Cambria"/>
          <w:szCs w:val="20"/>
        </w:rPr>
        <w:t xml:space="preserve"> </w:t>
      </w:r>
    </w:p>
    <w:p w14:paraId="0D6B640E" w14:textId="77777777" w:rsidR="009E298A" w:rsidRDefault="009E298A">
      <w:pPr>
        <w:pStyle w:val="NoSpacing"/>
        <w:jc w:val="center"/>
        <w:rPr>
          <w:rFonts w:ascii="Cambria" w:hAnsi="Cambria"/>
          <w:color w:val="FF0000"/>
        </w:rPr>
      </w:pPr>
    </w:p>
    <w:p w14:paraId="6BEA17A5" w14:textId="44F339F2" w:rsidR="00443E0C" w:rsidRDefault="00BF5409">
      <w:pPr>
        <w:pStyle w:val="NoSpacing"/>
        <w:jc w:val="center"/>
        <w:rPr>
          <w:rFonts w:ascii="Cambria" w:hAnsi="Cambria"/>
          <w:color w:val="FF0000"/>
        </w:rPr>
      </w:pPr>
      <w:r>
        <w:rPr>
          <w:rFonts w:ascii="Cambria" w:hAnsi="Cambria"/>
          <w:noProof/>
          <w:color w:val="FF0000"/>
          <w:lang w:val="en-GB" w:eastAsia="en-GB"/>
        </w:rPr>
        <mc:AlternateContent>
          <mc:Choice Requires="wps">
            <w:drawing>
              <wp:anchor distT="0" distB="0" distL="114300" distR="114300" simplePos="0" relativeHeight="251655168" behindDoc="0" locked="0" layoutInCell="1" allowOverlap="1" wp14:anchorId="48089A88" wp14:editId="2BF0838B">
                <wp:simplePos x="0" y="0"/>
                <wp:positionH relativeFrom="column">
                  <wp:posOffset>31115</wp:posOffset>
                </wp:positionH>
                <wp:positionV relativeFrom="paragraph">
                  <wp:posOffset>6350</wp:posOffset>
                </wp:positionV>
                <wp:extent cx="6685280" cy="0"/>
                <wp:effectExtent l="12065" t="7620" r="8255" b="11430"/>
                <wp:wrapNone/>
                <wp:docPr id="12"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4AA33A59" id="_x0000_t32" coordsize="21600,21600" o:spt="32" o:oned="t" path="m,l21600,21600e" filled="f">
                <v:path arrowok="t" fillok="f" o:connecttype="none"/>
                <o:lock v:ext="edit" shapetype="t"/>
              </v:shapetype>
              <v:shape id="AutoShape 1" o:spid="_x0000_s1026" type="#_x0000_t32" style="position:absolute;margin-left:2.45pt;margin-top:.5pt;width:526.4pt;height:0;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" strokecolor="gray"/>
            </w:pict>
          </mc:Fallback>
        </mc:AlternateContent>
      </w:r>
    </w:p>
    <w:p w14:paraId="0E99F561" w14:textId="77777777" w:rsidR="009E298A" w:rsidRPr="009E298A" w:rsidRDefault="009E298A">
      <w:pPr>
        <w:pStyle w:val="NoSpacing"/>
        <w:jc w:val="center"/>
        <w:rPr>
          <w:rFonts w:ascii="Cambria" w:hAnsi="Cambria"/>
          <w:color w:val="FF0000"/>
        </w:rPr>
        <w:sectPr w:rsidR="009E298A" w:rsidRPr="009E298A" w:rsidSect="00405DB3">
          <w:headerReference w:type="default" r:id="rId11"/>
          <w:footerReference w:type="default" r:id="rId12"/>
          <w:pgSz w:w="11907" w:h="16840"/>
          <w:pgMar w:top="720" w:right="720" w:bottom="720" w:left="720" w:header="720" w:footer="720" w:gutter="0"/>
          <w:cols w:space="720"/>
          <w:docGrid w:linePitch="360"/>
        </w:sectPr>
      </w:pPr>
    </w:p>
    <w:p w14:paraId="43673506" w14:textId="1F04759A" w:rsidR="00443E0C" w:rsidRDefault="00443E0C">
      <w:pPr>
        <w:pStyle w:val="NoSpacing"/>
        <w:jc w:val="both"/>
        <w:rPr>
          <w:rFonts w:ascii="Cambria" w:hAnsi="Cambria"/>
          <w:i/>
          <w:sz w:val="20"/>
          <w:szCs w:val="20"/>
        </w:rPr>
      </w:pPr>
      <w:r>
        <w:rPr>
          <w:rFonts w:ascii="Cambria" w:hAnsi="Cambria"/>
          <w:b/>
          <w:sz w:val="24"/>
        </w:rPr>
        <w:t>Abstract -</w:t>
      </w:r>
      <w:r>
        <w:rPr>
          <w:rFonts w:ascii="Cambria" w:hAnsi="Cambria"/>
        </w:rPr>
        <w:t xml:space="preserve"> </w:t>
      </w:r>
      <w:r w:rsidR="005F41E5" w:rsidRPr="005F41E5">
        <w:rPr>
          <w:rFonts w:ascii="Cambria" w:hAnsi="Cambria"/>
          <w:i/>
          <w:sz w:val="20"/>
          <w:szCs w:val="20"/>
        </w:rPr>
        <w:t xml:space="preserve">This technical report evaluates the feasibility of utilizing hydrogen as an energy carrier in motorsport, particularly in motorcycle racing. The report aims to persuade the FIM (Fédération </w:t>
      </w:r>
      <w:proofErr w:type="spellStart"/>
      <w:r w:rsidR="005F41E5" w:rsidRPr="005F41E5">
        <w:rPr>
          <w:rFonts w:ascii="Cambria" w:hAnsi="Cambria"/>
          <w:i/>
          <w:sz w:val="20"/>
          <w:szCs w:val="20"/>
        </w:rPr>
        <w:t>Internationale</w:t>
      </w:r>
      <w:proofErr w:type="spellEnd"/>
      <w:r w:rsidR="005F41E5" w:rsidRPr="005F41E5">
        <w:rPr>
          <w:rFonts w:ascii="Cambria" w:hAnsi="Cambria"/>
          <w:i/>
          <w:sz w:val="20"/>
          <w:szCs w:val="20"/>
        </w:rPr>
        <w:t xml:space="preserve"> de </w:t>
      </w:r>
      <w:proofErr w:type="spellStart"/>
      <w:r w:rsidR="005F41E5" w:rsidRPr="005F41E5">
        <w:rPr>
          <w:rFonts w:ascii="Cambria" w:hAnsi="Cambria"/>
          <w:i/>
          <w:sz w:val="20"/>
          <w:szCs w:val="20"/>
        </w:rPr>
        <w:t>Motocyclisme</w:t>
      </w:r>
      <w:proofErr w:type="spellEnd"/>
      <w:r w:rsidR="005F41E5" w:rsidRPr="005F41E5">
        <w:rPr>
          <w:rFonts w:ascii="Cambria" w:hAnsi="Cambria"/>
          <w:i/>
          <w:sz w:val="20"/>
          <w:szCs w:val="20"/>
        </w:rPr>
        <w:t xml:space="preserve">) to encourage the use of alternative energy sources in motorsport to reduce environmental impacts. The paper critically analyses different energy carriers in terms of their effectiveness, operation, and environmental impact. It explores the progress and research conducted by the automotive industry to develop sustainable and </w:t>
      </w:r>
      <w:proofErr w:type="gramStart"/>
      <w:r w:rsidR="005F41E5" w:rsidRPr="005F41E5">
        <w:rPr>
          <w:rFonts w:ascii="Cambria" w:hAnsi="Cambria"/>
          <w:i/>
          <w:sz w:val="20"/>
          <w:szCs w:val="20"/>
        </w:rPr>
        <w:t>environmentally-friendly</w:t>
      </w:r>
      <w:proofErr w:type="gramEnd"/>
      <w:r w:rsidR="005F41E5" w:rsidRPr="005F41E5">
        <w:rPr>
          <w:rFonts w:ascii="Cambria" w:hAnsi="Cambria"/>
          <w:i/>
          <w:sz w:val="20"/>
          <w:szCs w:val="20"/>
        </w:rPr>
        <w:t xml:space="preserve"> technologies. The report also discusses how technology developed in the automotive engineering industry can be applied to the motorsport industry. The current and possible future legislation related to the use of hydrogen as an energy carrier is presented, and the report makes clear suggestions for the suitable routes forward. The report concludes that hydrogen as an energy carrier has the potential to reduce environmental impact while providing sustainable and efficient power to motorsport vehicles.</w:t>
      </w:r>
      <w:r>
        <w:rPr>
          <w:rFonts w:ascii="Cambria" w:hAnsi="Cambria"/>
          <w:i/>
          <w:sz w:val="20"/>
          <w:szCs w:val="20"/>
        </w:rPr>
        <w:t xml:space="preserve"> </w:t>
      </w:r>
    </w:p>
    <w:p w14:paraId="090D8490" w14:textId="77777777" w:rsidR="007A50AC" w:rsidRDefault="007A50AC">
      <w:pPr>
        <w:pStyle w:val="NoSpacing"/>
        <w:jc w:val="both"/>
        <w:rPr>
          <w:rFonts w:ascii="Cambria" w:hAnsi="Cambria"/>
          <w:b/>
        </w:rPr>
      </w:pPr>
    </w:p>
    <w:p w14:paraId="2115213E" w14:textId="6D1DEC3E" w:rsidR="00443E0C" w:rsidRDefault="00443E0C">
      <w:pPr>
        <w:pStyle w:val="NoSpacing"/>
        <w:jc w:val="both"/>
        <w:rPr>
          <w:rFonts w:ascii="Cambria" w:hAnsi="Cambria"/>
          <w:b/>
        </w:rPr>
      </w:pPr>
      <w:r>
        <w:rPr>
          <w:rFonts w:ascii="Cambria" w:hAnsi="Cambria"/>
          <w:b/>
        </w:rPr>
        <w:t>1.</w:t>
      </w:r>
      <w:r w:rsidR="007A50AC">
        <w:rPr>
          <w:rFonts w:ascii="Cambria" w:hAnsi="Cambria"/>
          <w:b/>
        </w:rPr>
        <w:t xml:space="preserve"> </w:t>
      </w:r>
      <w:r w:rsidR="007A50AC">
        <w:rPr>
          <w:rFonts w:ascii="Cambria" w:hAnsi="Cambria"/>
          <w:b/>
        </w:rPr>
        <w:t xml:space="preserve">   </w:t>
      </w:r>
      <w:r>
        <w:rPr>
          <w:rFonts w:ascii="Cambria" w:hAnsi="Cambria"/>
          <w:b/>
        </w:rPr>
        <w:t xml:space="preserve">INTRODUCTION </w:t>
      </w:r>
    </w:p>
    <w:p w14:paraId="42A910A7" w14:textId="77777777" w:rsidR="00443E0C" w:rsidRDefault="00443E0C">
      <w:pPr>
        <w:pStyle w:val="NoSpacing"/>
        <w:jc w:val="both"/>
        <w:rPr>
          <w:rFonts w:ascii="Cambria" w:hAnsi="Cambria"/>
          <w:b/>
        </w:rPr>
      </w:pPr>
    </w:p>
    <w:p w14:paraId="683DB776" w14:textId="5D60F27C" w:rsidR="005F41E5" w:rsidRPr="005F41E5" w:rsidRDefault="00E901A8" w:rsidP="005F41E5">
      <w:pPr>
        <w:pStyle w:val="NoSpacing"/>
        <w:jc w:val="both"/>
        <w:rPr>
          <w:rFonts w:ascii="Cambria" w:eastAsia="Times New Roman" w:hAnsi="Cambria"/>
          <w:sz w:val="20"/>
          <w:szCs w:val="20"/>
        </w:rPr>
      </w:pPr>
      <w:r w:rsidRPr="00E901A8">
        <w:rPr>
          <w:rFonts w:ascii="Cambria" w:eastAsia="Times New Roman" w:hAnsi="Cambria"/>
          <w:sz w:val="20"/>
          <w:szCs w:val="20"/>
        </w:rPr>
        <w:t xml:space="preserve">The </w:t>
      </w:r>
      <w:r w:rsidR="005F41E5" w:rsidRPr="005F41E5">
        <w:rPr>
          <w:rFonts w:ascii="Cambria" w:eastAsia="Times New Roman" w:hAnsi="Cambria"/>
          <w:sz w:val="20"/>
          <w:szCs w:val="20"/>
        </w:rPr>
        <w:t xml:space="preserve">Motorsport has been an integral part of the automotive industry for over a century, with gasoline and diesel fuel being the primary sources of energy for vehicles. However, the environmental impact of these fuels has become increasingly concerning, and there is a growing need to explore alternative energy sources for the motorsport industry. Hydrogen is one such energy carrier that has gained significant attention in recent years due to its sustainable and </w:t>
      </w:r>
      <w:proofErr w:type="gramStart"/>
      <w:r w:rsidR="005F41E5" w:rsidRPr="005F41E5">
        <w:rPr>
          <w:rFonts w:ascii="Cambria" w:eastAsia="Times New Roman" w:hAnsi="Cambria"/>
          <w:sz w:val="20"/>
          <w:szCs w:val="20"/>
        </w:rPr>
        <w:t>environmentally-friendly</w:t>
      </w:r>
      <w:proofErr w:type="gramEnd"/>
      <w:r w:rsidR="005F41E5" w:rsidRPr="005F41E5">
        <w:rPr>
          <w:rFonts w:ascii="Cambria" w:eastAsia="Times New Roman" w:hAnsi="Cambria"/>
          <w:sz w:val="20"/>
          <w:szCs w:val="20"/>
        </w:rPr>
        <w:t xml:space="preserve"> nature.</w:t>
      </w:r>
    </w:p>
    <w:p w14:paraId="22B41072" w14:textId="77777777" w:rsidR="005F41E5" w:rsidRPr="005F41E5" w:rsidRDefault="005F41E5" w:rsidP="005F41E5">
      <w:pPr>
        <w:pStyle w:val="NoSpacing"/>
        <w:jc w:val="both"/>
        <w:rPr>
          <w:rFonts w:ascii="Cambria" w:eastAsia="Times New Roman" w:hAnsi="Cambria"/>
          <w:sz w:val="20"/>
          <w:szCs w:val="20"/>
        </w:rPr>
      </w:pPr>
      <w:r w:rsidRPr="005F41E5">
        <w:rPr>
          <w:rFonts w:ascii="Cambria" w:eastAsia="Times New Roman" w:hAnsi="Cambria"/>
          <w:sz w:val="20"/>
          <w:szCs w:val="20"/>
        </w:rPr>
        <w:t>This technical report focuses on the potential use of hydrogen as an energy carrier in motorcycle racing and aims to persuade the FIM to encourage the use of alternative energy sources in motorsport. The report analyses the effectiveness, operation, and environmental impact of different energy carriers, including hydrogen, and explores the progress and research conducted by the automotive industry towards developing sustainable technologies.</w:t>
      </w:r>
    </w:p>
    <w:p w14:paraId="70E7B270" w14:textId="77777777" w:rsidR="005F41E5" w:rsidRPr="005F41E5" w:rsidRDefault="005F41E5" w:rsidP="005F41E5">
      <w:pPr>
        <w:pStyle w:val="NoSpacing"/>
        <w:jc w:val="both"/>
        <w:rPr>
          <w:rFonts w:ascii="Cambria" w:eastAsia="Times New Roman" w:hAnsi="Cambria"/>
          <w:sz w:val="20"/>
          <w:szCs w:val="20"/>
        </w:rPr>
      </w:pPr>
    </w:p>
    <w:p w14:paraId="25492EF4" w14:textId="456259A4" w:rsidR="00EF78AF" w:rsidRDefault="005F41E5" w:rsidP="005F41E5">
      <w:pPr>
        <w:pStyle w:val="NoSpacing"/>
        <w:jc w:val="both"/>
        <w:rPr>
          <w:rFonts w:ascii="Cambria" w:eastAsia="Times New Roman" w:hAnsi="Cambria"/>
          <w:sz w:val="20"/>
          <w:szCs w:val="20"/>
        </w:rPr>
      </w:pPr>
      <w:r w:rsidRPr="005F41E5">
        <w:rPr>
          <w:rFonts w:ascii="Cambria" w:eastAsia="Times New Roman" w:hAnsi="Cambria"/>
          <w:sz w:val="20"/>
          <w:szCs w:val="20"/>
        </w:rPr>
        <w:t xml:space="preserve">In addition to evaluating hydrogen as an energy carrier, the report also considers the implications of implementing energy recovery systems to further reduce the environmental impact of motorsport vehicles. The report concludes by presenting clear suggestions for the FIM to consider in terms of the suitable routes forward towards a sustainable and </w:t>
      </w:r>
      <w:r w:rsidRPr="005F41E5">
        <w:rPr>
          <w:rFonts w:ascii="Cambria" w:eastAsia="Times New Roman" w:hAnsi="Cambria"/>
          <w:sz w:val="20"/>
          <w:szCs w:val="20"/>
        </w:rPr>
        <w:t>environmentally friendly</w:t>
      </w:r>
      <w:r w:rsidRPr="005F41E5">
        <w:rPr>
          <w:rFonts w:ascii="Cambria" w:eastAsia="Times New Roman" w:hAnsi="Cambria"/>
          <w:sz w:val="20"/>
          <w:szCs w:val="20"/>
        </w:rPr>
        <w:t xml:space="preserve"> motorsport industry.</w:t>
      </w:r>
      <w:r>
        <w:rPr>
          <w:rFonts w:ascii="Cambria" w:eastAsia="Times New Roman" w:hAnsi="Cambria"/>
          <w:sz w:val="20"/>
          <w:szCs w:val="20"/>
        </w:rPr>
        <w:t xml:space="preserve"> </w:t>
      </w:r>
      <w:r w:rsidRPr="005F41E5">
        <w:rPr>
          <w:rFonts w:ascii="Cambria" w:eastAsia="Times New Roman" w:hAnsi="Cambria"/>
          <w:sz w:val="20"/>
          <w:szCs w:val="20"/>
        </w:rPr>
        <w:t>Overall, this technical report highlights the need for the motorsport industry to shift towards alternative energy sources, with hydrogen being a promising energy carrier that can provide sustainable and efficient power to motorsport vehicles while reducing environmental impact.</w:t>
      </w:r>
    </w:p>
    <w:p w14:paraId="56FB9DD4" w14:textId="77777777" w:rsidR="005F41E5" w:rsidRDefault="005F41E5" w:rsidP="005F41E5">
      <w:pPr>
        <w:pStyle w:val="NoSpacing"/>
        <w:jc w:val="both"/>
        <w:rPr>
          <w:rFonts w:ascii="Cambria" w:eastAsia="MS Mincho" w:hAnsi="Cambria"/>
          <w:spacing w:val="-1"/>
          <w:sz w:val="20"/>
          <w:szCs w:val="20"/>
        </w:rPr>
      </w:pPr>
    </w:p>
    <w:p w14:paraId="21902DFC" w14:textId="13FA6583" w:rsidR="00443E0C" w:rsidRDefault="00443E0C" w:rsidP="00EF78AF">
      <w:pPr>
        <w:pStyle w:val="NoSpacing"/>
        <w:jc w:val="both"/>
        <w:rPr>
          <w:rFonts w:ascii="Cambria" w:hAnsi="Cambria"/>
          <w:b/>
        </w:rPr>
      </w:pPr>
      <w:r>
        <w:rPr>
          <w:rFonts w:ascii="Cambria" w:hAnsi="Cambria"/>
          <w:b/>
        </w:rPr>
        <w:t xml:space="preserve">2. </w:t>
      </w:r>
      <w:r w:rsidR="007A50AC">
        <w:rPr>
          <w:rFonts w:ascii="Cambria" w:hAnsi="Cambria"/>
          <w:b/>
        </w:rPr>
        <w:t xml:space="preserve">    </w:t>
      </w:r>
      <w:r w:rsidR="005F41E5">
        <w:rPr>
          <w:rFonts w:ascii="Cambria" w:hAnsi="Cambria"/>
          <w:b/>
        </w:rPr>
        <w:t>LITERATURE REVIEW</w:t>
      </w:r>
    </w:p>
    <w:p w14:paraId="4AB7C875" w14:textId="77777777" w:rsidR="00995F77" w:rsidRDefault="00995F77" w:rsidP="00995F77">
      <w:pPr>
        <w:pStyle w:val="NoSpacing"/>
        <w:jc w:val="both"/>
        <w:rPr>
          <w:rFonts w:ascii="Cambria" w:hAnsi="Cambria"/>
          <w:sz w:val="20"/>
          <w:szCs w:val="20"/>
        </w:rPr>
      </w:pPr>
    </w:p>
    <w:p w14:paraId="4F515FBC" w14:textId="770494C6" w:rsidR="005F41E5" w:rsidRDefault="005F41E5" w:rsidP="005F41E5">
      <w:pPr>
        <w:pStyle w:val="NoSpacing"/>
        <w:jc w:val="both"/>
        <w:rPr>
          <w:rFonts w:ascii="Cambria" w:hAnsi="Cambria"/>
          <w:sz w:val="20"/>
          <w:szCs w:val="20"/>
        </w:rPr>
      </w:pPr>
      <w:r w:rsidRPr="005F41E5">
        <w:rPr>
          <w:rFonts w:ascii="Cambria" w:hAnsi="Cambria"/>
          <w:sz w:val="20"/>
          <w:szCs w:val="20"/>
        </w:rPr>
        <w:t>The use of alternative energy sources in the automotive industry has gained significant attention in recent years, with a growing concern for the environmental impact of traditional fuels. This literature review aims to evaluate the current research and legislation surrounding the use of hydrogen as an energy carrier in motorsport and its potential implications for the industry.</w:t>
      </w:r>
    </w:p>
    <w:p w14:paraId="45655E5F" w14:textId="77777777" w:rsidR="0052792C" w:rsidRDefault="0052792C" w:rsidP="005F41E5">
      <w:pPr>
        <w:pStyle w:val="NoSpacing"/>
        <w:jc w:val="both"/>
        <w:rPr>
          <w:rFonts w:ascii="Cambria" w:hAnsi="Cambria"/>
          <w:sz w:val="20"/>
          <w:szCs w:val="20"/>
        </w:rPr>
      </w:pPr>
    </w:p>
    <w:p w14:paraId="13247538" w14:textId="77777777" w:rsidR="0052792C" w:rsidRDefault="0052792C" w:rsidP="0052792C">
      <w:pPr>
        <w:pStyle w:val="NoSpacing"/>
        <w:keepNext/>
        <w:jc w:val="both"/>
      </w:pPr>
      <w:r>
        <w:rPr>
          <w:rFonts w:ascii="Cambria" w:hAnsi="Cambria"/>
          <w:noProof/>
          <w:sz w:val="20"/>
          <w:szCs w:val="20"/>
        </w:rPr>
        <w:drawing>
          <wp:inline distT="0" distB="0" distL="0" distR="0" wp14:anchorId="54A4A32C" wp14:editId="3756EF9E">
            <wp:extent cx="3176905" cy="2345690"/>
            <wp:effectExtent l="0" t="0" r="4445" b="0"/>
            <wp:docPr id="14979044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76905" cy="2345690"/>
                    </a:xfrm>
                    <a:prstGeom prst="rect">
                      <a:avLst/>
                    </a:prstGeom>
                    <a:noFill/>
                    <a:ln>
                      <a:noFill/>
                    </a:ln>
                  </pic:spPr>
                </pic:pic>
              </a:graphicData>
            </a:graphic>
          </wp:inline>
        </w:drawing>
      </w:r>
    </w:p>
    <w:p w14:paraId="2B715570" w14:textId="6E706929" w:rsidR="0052792C" w:rsidRPr="005F41E5" w:rsidRDefault="0052792C" w:rsidP="0052792C">
      <w:pPr>
        <w:pStyle w:val="Caption"/>
        <w:jc w:val="center"/>
        <w:rPr>
          <w:rFonts w:ascii="Cambria" w:hAnsi="Cambria"/>
        </w:rPr>
      </w:pPr>
      <w:r w:rsidRPr="0052792C">
        <w:rPr>
          <w:sz w:val="18"/>
          <w:szCs w:val="18"/>
        </w:rPr>
        <w:t xml:space="preserve">Figure </w:t>
      </w:r>
      <w:r w:rsidRPr="0052792C">
        <w:rPr>
          <w:sz w:val="18"/>
          <w:szCs w:val="18"/>
        </w:rPr>
        <w:fldChar w:fldCharType="begin"/>
      </w:r>
      <w:r w:rsidRPr="0052792C">
        <w:rPr>
          <w:sz w:val="18"/>
          <w:szCs w:val="18"/>
        </w:rPr>
        <w:instrText xml:space="preserve"> SEQ Figure \* ARABIC </w:instrText>
      </w:r>
      <w:r w:rsidRPr="0052792C">
        <w:rPr>
          <w:sz w:val="18"/>
          <w:szCs w:val="18"/>
        </w:rPr>
        <w:fldChar w:fldCharType="separate"/>
      </w:r>
      <w:r w:rsidR="005466B1">
        <w:rPr>
          <w:noProof/>
          <w:sz w:val="18"/>
          <w:szCs w:val="18"/>
        </w:rPr>
        <w:t>1</w:t>
      </w:r>
      <w:r w:rsidRPr="0052792C">
        <w:rPr>
          <w:sz w:val="18"/>
          <w:szCs w:val="18"/>
        </w:rPr>
        <w:fldChar w:fldCharType="end"/>
      </w:r>
      <w:r>
        <w:t xml:space="preserve"> </w:t>
      </w:r>
      <w:r w:rsidRPr="0052792C">
        <w:rPr>
          <w:b w:val="0"/>
          <w:bCs w:val="0"/>
          <w:sz w:val="16"/>
          <w:szCs w:val="16"/>
        </w:rPr>
        <w:t>Significance of Hydrogen as Economic and Environmentally Friendly Fuel</w:t>
      </w:r>
      <w:r>
        <w:rPr>
          <w:b w:val="0"/>
          <w:bCs w:val="0"/>
          <w:sz w:val="16"/>
          <w:szCs w:val="16"/>
        </w:rPr>
        <w:t xml:space="preserve"> [</w:t>
      </w:r>
      <w:r w:rsidR="007A50AC">
        <w:rPr>
          <w:b w:val="0"/>
          <w:bCs w:val="0"/>
          <w:sz w:val="16"/>
          <w:szCs w:val="16"/>
        </w:rPr>
        <w:t>8</w:t>
      </w:r>
      <w:r>
        <w:rPr>
          <w:b w:val="0"/>
          <w:bCs w:val="0"/>
          <w:sz w:val="16"/>
          <w:szCs w:val="16"/>
        </w:rPr>
        <w:t>].</w:t>
      </w:r>
    </w:p>
    <w:p w14:paraId="4A3D1CE3" w14:textId="351CE862" w:rsidR="005F41E5" w:rsidRPr="005F41E5" w:rsidRDefault="005F41E5" w:rsidP="005F41E5">
      <w:pPr>
        <w:pStyle w:val="NoSpacing"/>
        <w:jc w:val="both"/>
        <w:rPr>
          <w:rFonts w:ascii="Cambria" w:hAnsi="Cambria"/>
          <w:sz w:val="20"/>
          <w:szCs w:val="20"/>
        </w:rPr>
      </w:pPr>
      <w:r w:rsidRPr="005F41E5">
        <w:rPr>
          <w:rFonts w:ascii="Cambria" w:hAnsi="Cambria"/>
          <w:sz w:val="20"/>
          <w:szCs w:val="20"/>
        </w:rPr>
        <w:t xml:space="preserve">Hydrogen has been identified as a promising energy carrier due to its high energy content and low emissions. According </w:t>
      </w:r>
      <w:r w:rsidRPr="005F41E5">
        <w:rPr>
          <w:rFonts w:ascii="Cambria" w:hAnsi="Cambria"/>
          <w:sz w:val="20"/>
          <w:szCs w:val="20"/>
        </w:rPr>
        <w:lastRenderedPageBreak/>
        <w:t>to the International Energy Agency</w:t>
      </w:r>
      <w:r>
        <w:rPr>
          <w:rFonts w:ascii="Cambria" w:hAnsi="Cambria"/>
          <w:sz w:val="20"/>
          <w:szCs w:val="20"/>
        </w:rPr>
        <w:t xml:space="preserve"> </w:t>
      </w:r>
      <w:r w:rsidRPr="005F41E5">
        <w:rPr>
          <w:rFonts w:ascii="Cambria" w:hAnsi="Cambria"/>
          <w:noProof/>
          <w:sz w:val="20"/>
          <w:szCs w:val="20"/>
          <w:lang w:val="en-GB"/>
        </w:rPr>
        <w:t>IEA</w:t>
      </w:r>
      <w:r w:rsidRPr="005F41E5">
        <w:rPr>
          <w:rFonts w:ascii="Cambria" w:hAnsi="Cambria"/>
          <w:sz w:val="20"/>
          <w:szCs w:val="20"/>
        </w:rPr>
        <w:t>, hydrogen has the potential to play a significant role in the transition to a low-carbon energy system</w:t>
      </w:r>
      <w:r w:rsidR="002D415D">
        <w:rPr>
          <w:rFonts w:ascii="Cambria" w:hAnsi="Cambria"/>
          <w:sz w:val="20"/>
          <w:szCs w:val="20"/>
        </w:rPr>
        <w:t xml:space="preserve"> </w:t>
      </w:r>
      <w:r w:rsidR="002D415D" w:rsidRPr="005F41E5">
        <w:rPr>
          <w:rFonts w:ascii="Cambria" w:hAnsi="Cambria"/>
          <w:sz w:val="16"/>
          <w:szCs w:val="16"/>
        </w:rPr>
        <w:t>[1]</w:t>
      </w:r>
      <w:r w:rsidRPr="005F41E5">
        <w:rPr>
          <w:rFonts w:ascii="Cambria" w:hAnsi="Cambria"/>
          <w:sz w:val="20"/>
          <w:szCs w:val="20"/>
        </w:rPr>
        <w:t xml:space="preserve">. The European Union (EU) has set a target of having at least 40 gigawatts of electrolysis capacity in the EU by 2030, which could produce up to 10 million </w:t>
      </w:r>
      <w:r w:rsidRPr="005F41E5">
        <w:rPr>
          <w:rFonts w:ascii="Cambria" w:hAnsi="Cambria"/>
          <w:sz w:val="20"/>
          <w:szCs w:val="20"/>
        </w:rPr>
        <w:t>tons</w:t>
      </w:r>
      <w:r w:rsidRPr="005F41E5">
        <w:rPr>
          <w:rFonts w:ascii="Cambria" w:hAnsi="Cambria"/>
          <w:sz w:val="20"/>
          <w:szCs w:val="20"/>
        </w:rPr>
        <w:t xml:space="preserve"> of renewable hydrogen </w:t>
      </w:r>
      <w:r w:rsidR="002D415D" w:rsidRPr="002D415D">
        <w:rPr>
          <w:rFonts w:ascii="Cambria" w:hAnsi="Cambria"/>
          <w:sz w:val="16"/>
          <w:szCs w:val="16"/>
        </w:rPr>
        <w:t>[2]</w:t>
      </w:r>
      <w:r w:rsidRPr="002D415D">
        <w:rPr>
          <w:rFonts w:ascii="Cambria" w:hAnsi="Cambria"/>
          <w:sz w:val="16"/>
          <w:szCs w:val="16"/>
        </w:rPr>
        <w:t>.</w:t>
      </w:r>
    </w:p>
    <w:p w14:paraId="0D6417E8" w14:textId="33089C0D" w:rsidR="005F41E5" w:rsidRDefault="005F41E5" w:rsidP="005F41E5">
      <w:pPr>
        <w:pStyle w:val="NoSpacing"/>
        <w:jc w:val="both"/>
        <w:rPr>
          <w:rFonts w:ascii="Cambria" w:hAnsi="Cambria"/>
          <w:sz w:val="20"/>
          <w:szCs w:val="20"/>
        </w:rPr>
      </w:pPr>
      <w:r w:rsidRPr="005F41E5">
        <w:rPr>
          <w:rFonts w:ascii="Cambria" w:hAnsi="Cambria"/>
          <w:sz w:val="20"/>
          <w:szCs w:val="20"/>
        </w:rPr>
        <w:t>In the automotive industry, several companies have been developing hydrogen fuel cell technology for use in vehicles. Toyota has been a leader in this field, with their Mirai fuel cell vehicle achieving commercial success in Japan and the US</w:t>
      </w:r>
      <w:r w:rsidR="002D415D">
        <w:rPr>
          <w:rFonts w:ascii="Cambria" w:hAnsi="Cambria"/>
          <w:sz w:val="20"/>
          <w:szCs w:val="20"/>
        </w:rPr>
        <w:t xml:space="preserve"> </w:t>
      </w:r>
      <w:r w:rsidR="002D415D" w:rsidRPr="002D415D">
        <w:rPr>
          <w:rFonts w:ascii="Cambria" w:hAnsi="Cambria"/>
          <w:sz w:val="16"/>
          <w:szCs w:val="16"/>
        </w:rPr>
        <w:t>[3]</w:t>
      </w:r>
      <w:r w:rsidRPr="005F41E5">
        <w:rPr>
          <w:rFonts w:ascii="Cambria" w:hAnsi="Cambria"/>
          <w:sz w:val="20"/>
          <w:szCs w:val="20"/>
        </w:rPr>
        <w:t xml:space="preserve">. Honda has also been developing hydrogen fuel cell technology and has recently introduced their Clarity Fuel Cell vehicle in select markets </w:t>
      </w:r>
      <w:r w:rsidR="005A6499">
        <w:rPr>
          <w:rFonts w:ascii="Cambria" w:hAnsi="Cambria"/>
          <w:sz w:val="20"/>
          <w:szCs w:val="20"/>
        </w:rPr>
        <w:t>[4]</w:t>
      </w:r>
      <w:r w:rsidRPr="005F41E5">
        <w:rPr>
          <w:rFonts w:ascii="Cambria" w:hAnsi="Cambria"/>
          <w:sz w:val="20"/>
          <w:szCs w:val="20"/>
        </w:rPr>
        <w:t>.</w:t>
      </w:r>
      <w:r>
        <w:rPr>
          <w:rFonts w:ascii="Cambria" w:hAnsi="Cambria"/>
          <w:sz w:val="20"/>
          <w:szCs w:val="20"/>
        </w:rPr>
        <w:t xml:space="preserve"> </w:t>
      </w:r>
      <w:r w:rsidRPr="005F41E5">
        <w:rPr>
          <w:rFonts w:ascii="Cambria" w:hAnsi="Cambria"/>
          <w:sz w:val="20"/>
          <w:szCs w:val="20"/>
        </w:rPr>
        <w:t xml:space="preserve">In terms of motorsport, there has been limited research conducted on the use of hydrogen as an energy carrier. However, several studies have explored the potential of hydrogen fuel cell technology in the automotive industry. For example, a study by </w:t>
      </w:r>
      <w:r w:rsidR="00FA694B" w:rsidRPr="00FA694B">
        <w:rPr>
          <w:rFonts w:ascii="Cambria" w:hAnsi="Cambria"/>
          <w:sz w:val="16"/>
          <w:szCs w:val="16"/>
        </w:rPr>
        <w:t>[5]</w:t>
      </w:r>
      <w:r w:rsidRPr="005F41E5">
        <w:rPr>
          <w:rFonts w:ascii="Cambria" w:hAnsi="Cambria"/>
          <w:sz w:val="20"/>
          <w:szCs w:val="20"/>
        </w:rPr>
        <w:t xml:space="preserve"> evaluated the environmental performance and economic feasibility of hydrogen fuel cell vehicles in Europe. The study found that hydrogen fuel cell vehicles had lower greenhouse gas emissions and were more cost-effective than battery electric vehicles.</w:t>
      </w:r>
      <w:r>
        <w:rPr>
          <w:rFonts w:ascii="Cambria" w:hAnsi="Cambria"/>
          <w:sz w:val="20"/>
          <w:szCs w:val="20"/>
        </w:rPr>
        <w:t xml:space="preserve"> </w:t>
      </w:r>
      <w:r w:rsidRPr="005F41E5">
        <w:rPr>
          <w:rFonts w:ascii="Cambria" w:hAnsi="Cambria"/>
          <w:sz w:val="20"/>
          <w:szCs w:val="20"/>
        </w:rPr>
        <w:t xml:space="preserve">Another study by </w:t>
      </w:r>
      <w:r w:rsidR="00FA694B" w:rsidRPr="00FA694B">
        <w:rPr>
          <w:rFonts w:ascii="Cambria" w:hAnsi="Cambria"/>
          <w:sz w:val="16"/>
          <w:szCs w:val="16"/>
        </w:rPr>
        <w:t>[6]</w:t>
      </w:r>
      <w:r w:rsidRPr="005F41E5">
        <w:rPr>
          <w:rFonts w:ascii="Cambria" w:hAnsi="Cambria"/>
          <w:sz w:val="20"/>
          <w:szCs w:val="20"/>
        </w:rPr>
        <w:t xml:space="preserve"> explored the potential of hydrogen fuel cell technology in the motorsport industry. The study found that hydrogen fuel cell technology had the potential to provide a sustainable and efficient power source for motorsport vehicles, with the added benefit of reducing noise pollution.</w:t>
      </w:r>
      <w:r>
        <w:rPr>
          <w:rFonts w:ascii="Cambria" w:hAnsi="Cambria"/>
          <w:sz w:val="20"/>
          <w:szCs w:val="20"/>
        </w:rPr>
        <w:t xml:space="preserve"> </w:t>
      </w:r>
      <w:r w:rsidRPr="005F41E5">
        <w:rPr>
          <w:rFonts w:ascii="Cambria" w:hAnsi="Cambria"/>
          <w:sz w:val="20"/>
          <w:szCs w:val="20"/>
        </w:rPr>
        <w:t>In terms of legislation, the EU has set several targets and regulations related to the use of alternative energy sources in the automotive industry. The EU’s Clean Vehicles Directive sets targets for the procurement of low and zero-emission vehicles in the public sector</w:t>
      </w:r>
      <w:r w:rsidR="002D415D">
        <w:rPr>
          <w:rFonts w:ascii="Cambria" w:hAnsi="Cambria"/>
          <w:sz w:val="20"/>
          <w:szCs w:val="20"/>
        </w:rPr>
        <w:t xml:space="preserve"> </w:t>
      </w:r>
      <w:r w:rsidR="002D415D" w:rsidRPr="002D415D">
        <w:rPr>
          <w:rFonts w:ascii="Cambria" w:hAnsi="Cambria"/>
          <w:sz w:val="16"/>
          <w:szCs w:val="16"/>
        </w:rPr>
        <w:t>[2]</w:t>
      </w:r>
      <w:r w:rsidRPr="005F41E5">
        <w:rPr>
          <w:rFonts w:ascii="Cambria" w:hAnsi="Cambria"/>
          <w:sz w:val="20"/>
          <w:szCs w:val="20"/>
        </w:rPr>
        <w:t xml:space="preserve">. The EU also has regulations in place for the production and use of hydrogen, such as the Hydrogen Europe Regulation (HyER) and the European Hydrogen Strategy </w:t>
      </w:r>
      <w:r w:rsidR="002D415D" w:rsidRPr="002D415D">
        <w:rPr>
          <w:rFonts w:ascii="Cambria" w:hAnsi="Cambria"/>
          <w:sz w:val="16"/>
          <w:szCs w:val="16"/>
        </w:rPr>
        <w:t>[2].</w:t>
      </w:r>
    </w:p>
    <w:p w14:paraId="240C5783" w14:textId="607541A4" w:rsidR="00995F77" w:rsidRPr="00995F77" w:rsidRDefault="005F41E5" w:rsidP="005F41E5">
      <w:pPr>
        <w:pStyle w:val="NoSpacing"/>
        <w:jc w:val="both"/>
        <w:rPr>
          <w:rFonts w:ascii="Cambria" w:hAnsi="Cambria"/>
          <w:sz w:val="20"/>
          <w:szCs w:val="20"/>
        </w:rPr>
      </w:pPr>
      <w:r w:rsidRPr="005F41E5">
        <w:rPr>
          <w:rFonts w:ascii="Cambria" w:hAnsi="Cambria"/>
          <w:sz w:val="20"/>
          <w:szCs w:val="20"/>
        </w:rPr>
        <w:t>In conclusion, the literature review highlights the potential of hydrogen as an energy carrier in motorsport and the growing interest in the automotive industry towards developing sustainable technologies. While there is limited research on the use of hydrogen in motorsport specifically, studies have shown the potential of hydrogen fuel cell technology in the automotive industry. The legislation and regulations surrounding the use of alternative energy sources, such as hydrogen, in the automotive industry also suggest a growing shift towards sustainable technologies.</w:t>
      </w:r>
    </w:p>
    <w:p w14:paraId="5E161CD3" w14:textId="50152506" w:rsidR="00865A3A" w:rsidRDefault="00865A3A">
      <w:pPr>
        <w:pStyle w:val="NoSpacing"/>
        <w:jc w:val="both"/>
        <w:rPr>
          <w:rFonts w:ascii="Cambria" w:hAnsi="Cambria"/>
          <w:b/>
        </w:rPr>
      </w:pPr>
    </w:p>
    <w:p w14:paraId="6124E7B8" w14:textId="77777777" w:rsidR="00C821B5" w:rsidRDefault="00C821B5">
      <w:pPr>
        <w:pStyle w:val="NoSpacing"/>
        <w:jc w:val="both"/>
        <w:rPr>
          <w:rFonts w:ascii="Cambria" w:hAnsi="Cambria"/>
          <w:bCs/>
          <w:sz w:val="20"/>
          <w:szCs w:val="20"/>
        </w:rPr>
      </w:pPr>
    </w:p>
    <w:p w14:paraId="4844F4E9" w14:textId="16EB80C9" w:rsidR="00880D10" w:rsidRDefault="007A50AC" w:rsidP="00880D10">
      <w:pPr>
        <w:pStyle w:val="NoSpacing"/>
        <w:jc w:val="both"/>
        <w:rPr>
          <w:rFonts w:ascii="Cambria" w:hAnsi="Cambria"/>
          <w:b/>
        </w:rPr>
      </w:pPr>
      <w:r>
        <w:rPr>
          <w:rFonts w:ascii="Cambria" w:hAnsi="Cambria"/>
          <w:b/>
        </w:rPr>
        <w:t>3</w:t>
      </w:r>
      <w:r w:rsidR="00880D10">
        <w:rPr>
          <w:rFonts w:ascii="Cambria" w:hAnsi="Cambria"/>
          <w:b/>
        </w:rPr>
        <w:t xml:space="preserve">. </w:t>
      </w:r>
      <w:r w:rsidR="00FA694B">
        <w:rPr>
          <w:rFonts w:ascii="Cambria" w:hAnsi="Cambria"/>
          <w:b/>
        </w:rPr>
        <w:t>CURRENT LEGISLATION AND POTENTIAL ENERGY CARRIERS FOR REPLYCING PETROL AND DIESEL</w:t>
      </w:r>
    </w:p>
    <w:p w14:paraId="3B4A6727" w14:textId="77777777" w:rsidR="00FA694B" w:rsidRDefault="00FA694B" w:rsidP="00880D10">
      <w:pPr>
        <w:pStyle w:val="NoSpacing"/>
        <w:jc w:val="both"/>
        <w:rPr>
          <w:rFonts w:ascii="Cambria" w:hAnsi="Cambria"/>
          <w:b/>
        </w:rPr>
      </w:pPr>
    </w:p>
    <w:p w14:paraId="06582373" w14:textId="58E181F2" w:rsidR="007A50AC" w:rsidRDefault="00FA694B" w:rsidP="00FA694B">
      <w:pPr>
        <w:pStyle w:val="NoSpacing"/>
        <w:rPr>
          <w:rFonts w:ascii="Cambria" w:hAnsi="Cambria"/>
          <w:bCs/>
          <w:sz w:val="20"/>
          <w:szCs w:val="20"/>
        </w:rPr>
      </w:pPr>
      <w:r w:rsidRPr="00FA694B">
        <w:rPr>
          <w:rFonts w:ascii="Cambria" w:hAnsi="Cambria"/>
          <w:bCs/>
          <w:sz w:val="20"/>
          <w:szCs w:val="20"/>
        </w:rPr>
        <w:t>The transportation sector is one of the biggest contributors to greenhouse gas emissions, accounting for around 28% of global CO2 emissions in 2019</w:t>
      </w:r>
      <w:r w:rsidR="005330FF">
        <w:rPr>
          <w:rFonts w:ascii="Cambria" w:hAnsi="Cambria"/>
          <w:bCs/>
          <w:sz w:val="20"/>
          <w:szCs w:val="20"/>
        </w:rPr>
        <w:t xml:space="preserve"> </w:t>
      </w:r>
      <w:r w:rsidR="005330FF" w:rsidRPr="005330FF">
        <w:rPr>
          <w:rFonts w:ascii="Cambria" w:hAnsi="Cambria"/>
          <w:bCs/>
          <w:sz w:val="16"/>
          <w:szCs w:val="16"/>
        </w:rPr>
        <w:t>[1]</w:t>
      </w:r>
      <w:r w:rsidRPr="00FA694B">
        <w:rPr>
          <w:rFonts w:ascii="Cambria" w:hAnsi="Cambria"/>
          <w:bCs/>
          <w:sz w:val="20"/>
          <w:szCs w:val="20"/>
        </w:rPr>
        <w:t xml:space="preserve">. </w:t>
      </w:r>
    </w:p>
    <w:p w14:paraId="722775E7" w14:textId="77777777" w:rsidR="007A50AC" w:rsidRDefault="007A50AC" w:rsidP="00FA694B">
      <w:pPr>
        <w:pStyle w:val="NoSpacing"/>
        <w:rPr>
          <w:rFonts w:ascii="Cambria" w:hAnsi="Cambria"/>
          <w:bCs/>
          <w:sz w:val="20"/>
          <w:szCs w:val="20"/>
        </w:rPr>
      </w:pPr>
    </w:p>
    <w:p w14:paraId="3B4832A8" w14:textId="77777777" w:rsidR="007A50AC" w:rsidRDefault="007A50AC" w:rsidP="007A50AC">
      <w:pPr>
        <w:pStyle w:val="NoSpacing"/>
        <w:keepNext/>
      </w:pPr>
      <w:r>
        <w:rPr>
          <w:rFonts w:ascii="Cambria" w:hAnsi="Cambria"/>
          <w:bCs/>
          <w:noProof/>
          <w:sz w:val="20"/>
          <w:szCs w:val="20"/>
        </w:rPr>
        <w:drawing>
          <wp:inline distT="0" distB="0" distL="0" distR="0" wp14:anchorId="5C800870" wp14:editId="0256C1A6">
            <wp:extent cx="3172460" cy="2417445"/>
            <wp:effectExtent l="0" t="0" r="8890" b="1905"/>
            <wp:docPr id="8216930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72460" cy="2417445"/>
                    </a:xfrm>
                    <a:prstGeom prst="rect">
                      <a:avLst/>
                    </a:prstGeom>
                    <a:noFill/>
                    <a:ln>
                      <a:noFill/>
                    </a:ln>
                  </pic:spPr>
                </pic:pic>
              </a:graphicData>
            </a:graphic>
          </wp:inline>
        </w:drawing>
      </w:r>
    </w:p>
    <w:p w14:paraId="20639BA7" w14:textId="2AC1F299" w:rsidR="007A50AC" w:rsidRDefault="007A50AC" w:rsidP="007A50AC">
      <w:pPr>
        <w:pStyle w:val="Caption"/>
        <w:jc w:val="center"/>
        <w:rPr>
          <w:rFonts w:ascii="Cambria" w:hAnsi="Cambria"/>
          <w:bCs w:val="0"/>
        </w:rPr>
      </w:pPr>
      <w:r w:rsidRPr="007A50AC">
        <w:rPr>
          <w:sz w:val="18"/>
          <w:szCs w:val="18"/>
        </w:rPr>
        <w:t xml:space="preserve">Figure </w:t>
      </w:r>
      <w:r w:rsidRPr="007A50AC">
        <w:rPr>
          <w:sz w:val="18"/>
          <w:szCs w:val="18"/>
        </w:rPr>
        <w:fldChar w:fldCharType="begin"/>
      </w:r>
      <w:r w:rsidRPr="007A50AC">
        <w:rPr>
          <w:sz w:val="18"/>
          <w:szCs w:val="18"/>
        </w:rPr>
        <w:instrText xml:space="preserve"> SEQ Figure \* ARABIC </w:instrText>
      </w:r>
      <w:r w:rsidRPr="007A50AC">
        <w:rPr>
          <w:sz w:val="18"/>
          <w:szCs w:val="18"/>
        </w:rPr>
        <w:fldChar w:fldCharType="separate"/>
      </w:r>
      <w:r w:rsidR="005466B1">
        <w:rPr>
          <w:noProof/>
          <w:sz w:val="18"/>
          <w:szCs w:val="18"/>
        </w:rPr>
        <w:t>2</w:t>
      </w:r>
      <w:r w:rsidRPr="007A50AC">
        <w:rPr>
          <w:sz w:val="18"/>
          <w:szCs w:val="18"/>
        </w:rPr>
        <w:fldChar w:fldCharType="end"/>
      </w:r>
      <w:r>
        <w:t xml:space="preserve"> </w:t>
      </w:r>
      <w:r w:rsidRPr="007A50AC">
        <w:rPr>
          <w:b w:val="0"/>
          <w:bCs w:val="0"/>
          <w:sz w:val="16"/>
          <w:szCs w:val="16"/>
        </w:rPr>
        <w:t>Renewable energy used in transport increasing</w:t>
      </w:r>
      <w:r w:rsidRPr="007A50AC">
        <w:rPr>
          <w:b w:val="0"/>
          <w:bCs w:val="0"/>
          <w:sz w:val="16"/>
          <w:szCs w:val="16"/>
        </w:rPr>
        <w:t xml:space="preserve"> [9].</w:t>
      </w:r>
    </w:p>
    <w:p w14:paraId="362C1013" w14:textId="613AD583" w:rsidR="00FA694B" w:rsidRPr="00FA694B" w:rsidRDefault="00FA694B" w:rsidP="00FA694B">
      <w:pPr>
        <w:pStyle w:val="NoSpacing"/>
        <w:rPr>
          <w:rFonts w:ascii="Cambria" w:hAnsi="Cambria"/>
          <w:bCs/>
          <w:sz w:val="20"/>
          <w:szCs w:val="20"/>
        </w:rPr>
      </w:pPr>
      <w:proofErr w:type="gramStart"/>
      <w:r w:rsidRPr="00FA694B">
        <w:rPr>
          <w:rFonts w:ascii="Cambria" w:hAnsi="Cambria"/>
          <w:bCs/>
          <w:sz w:val="20"/>
          <w:szCs w:val="20"/>
        </w:rPr>
        <w:t>In order to</w:t>
      </w:r>
      <w:proofErr w:type="gramEnd"/>
      <w:r w:rsidRPr="00FA694B">
        <w:rPr>
          <w:rFonts w:ascii="Cambria" w:hAnsi="Cambria"/>
          <w:bCs/>
          <w:sz w:val="20"/>
          <w:szCs w:val="20"/>
        </w:rPr>
        <w:t xml:space="preserve"> combat this issue, governments around the world are implementing various regulations and incentives to promote the adoption of cleaner and more sustainable fuels in the transportation sector.</w:t>
      </w:r>
    </w:p>
    <w:p w14:paraId="305EEA95" w14:textId="19266E49" w:rsidR="00FA694B" w:rsidRPr="00FA694B" w:rsidRDefault="00FA694B" w:rsidP="00FA694B">
      <w:pPr>
        <w:pStyle w:val="NoSpacing"/>
        <w:rPr>
          <w:rFonts w:ascii="Cambria" w:hAnsi="Cambria"/>
          <w:bCs/>
          <w:sz w:val="20"/>
          <w:szCs w:val="20"/>
        </w:rPr>
      </w:pPr>
      <w:r w:rsidRPr="00FA694B">
        <w:rPr>
          <w:rFonts w:ascii="Cambria" w:hAnsi="Cambria"/>
          <w:bCs/>
          <w:sz w:val="20"/>
          <w:szCs w:val="20"/>
        </w:rPr>
        <w:t>The European Union (EU), for example, has set a target of reducing greenhouse gas emissions by 55% by 2030 compared to 1990 levels. To achieve this, the EU has proposed a comprehensive hydrogen strategy that aims to accelerate the deployment of hydrogen technologies in various sectors, including transport</w:t>
      </w:r>
      <w:r w:rsidR="005330FF">
        <w:rPr>
          <w:rFonts w:ascii="Cambria" w:hAnsi="Cambria"/>
          <w:bCs/>
          <w:sz w:val="20"/>
          <w:szCs w:val="20"/>
        </w:rPr>
        <w:t xml:space="preserve"> </w:t>
      </w:r>
      <w:r w:rsidR="005330FF" w:rsidRPr="005330FF">
        <w:rPr>
          <w:rFonts w:ascii="Cambria" w:hAnsi="Cambria"/>
          <w:bCs/>
          <w:sz w:val="16"/>
          <w:szCs w:val="16"/>
        </w:rPr>
        <w:t>[10]</w:t>
      </w:r>
      <w:r w:rsidRPr="00FA694B">
        <w:rPr>
          <w:rFonts w:ascii="Cambria" w:hAnsi="Cambria"/>
          <w:bCs/>
          <w:sz w:val="20"/>
          <w:szCs w:val="20"/>
        </w:rPr>
        <w:t>.</w:t>
      </w:r>
      <w:r>
        <w:rPr>
          <w:rFonts w:ascii="Cambria" w:hAnsi="Cambria"/>
          <w:bCs/>
          <w:sz w:val="20"/>
          <w:szCs w:val="20"/>
        </w:rPr>
        <w:t xml:space="preserve"> </w:t>
      </w:r>
      <w:r w:rsidRPr="00FA694B">
        <w:rPr>
          <w:rFonts w:ascii="Cambria" w:hAnsi="Cambria"/>
          <w:bCs/>
          <w:sz w:val="20"/>
          <w:szCs w:val="20"/>
        </w:rPr>
        <w:t xml:space="preserve">In the United States, the Biden administration has set a goal of achieving a carbon-free power sector by 2035 and net-zero emissions by 2050. To achieve this goal, the administration has proposed significant investments in clean energy and infrastructure, including the deployment of electric vehicles and the development of hydrogen fuel cell technology </w:t>
      </w:r>
      <w:r w:rsidR="005330FF" w:rsidRPr="005330FF">
        <w:rPr>
          <w:rFonts w:ascii="Cambria" w:hAnsi="Cambria"/>
          <w:bCs/>
          <w:sz w:val="16"/>
          <w:szCs w:val="16"/>
        </w:rPr>
        <w:t>[11]</w:t>
      </w:r>
      <w:r w:rsidRPr="00FA694B">
        <w:rPr>
          <w:rFonts w:ascii="Cambria" w:hAnsi="Cambria"/>
          <w:bCs/>
          <w:sz w:val="20"/>
          <w:szCs w:val="20"/>
        </w:rPr>
        <w:t>.</w:t>
      </w:r>
      <w:r>
        <w:rPr>
          <w:rFonts w:ascii="Cambria" w:hAnsi="Cambria"/>
          <w:bCs/>
          <w:sz w:val="20"/>
          <w:szCs w:val="20"/>
        </w:rPr>
        <w:t xml:space="preserve"> </w:t>
      </w:r>
      <w:r w:rsidRPr="00FA694B">
        <w:rPr>
          <w:rFonts w:ascii="Cambria" w:hAnsi="Cambria"/>
          <w:bCs/>
          <w:sz w:val="20"/>
          <w:szCs w:val="20"/>
        </w:rPr>
        <w:t>Hydrogen is one of the energy carriers that has gained significant attention in recent years due to its potential as a clean and sustainable fuel. Unlike fossil fuels, hydrogen does not produce greenhouse gas emissions when used in fuel cells, and its only byproduct is water vapor. Furthermore, hydrogen can be produced from renewable sources such as wind and solar power, making it a truly sustainable fuel option.</w:t>
      </w:r>
    </w:p>
    <w:p w14:paraId="52FA8E3F" w14:textId="77777777" w:rsidR="00FA694B" w:rsidRPr="00FA694B" w:rsidRDefault="00FA694B" w:rsidP="00FA694B">
      <w:pPr>
        <w:pStyle w:val="NoSpacing"/>
        <w:rPr>
          <w:rFonts w:ascii="Cambria" w:hAnsi="Cambria"/>
          <w:bCs/>
          <w:sz w:val="20"/>
          <w:szCs w:val="20"/>
        </w:rPr>
      </w:pPr>
      <w:r w:rsidRPr="00FA694B">
        <w:rPr>
          <w:rFonts w:ascii="Cambria" w:hAnsi="Cambria"/>
          <w:bCs/>
          <w:sz w:val="20"/>
          <w:szCs w:val="20"/>
        </w:rPr>
        <w:t>Other potential energy carriers that could replace petrol or diesel include biofuels, electricity, and natural gas. Biofuels are derived from organic matter and can be produced from a variety of sources, including crops, waste materials, and algae. Electricity can power electric vehicles and can be generated from renewable sources such as solar and wind power. Natural gas can also be used as a fuel for vehicles and can produce lower emissions than petrol or diesel, although it is still a fossil fuel and therefore not a long-term solution.</w:t>
      </w:r>
    </w:p>
    <w:p w14:paraId="0A2CF940" w14:textId="58032C41" w:rsidR="00FA694B" w:rsidRPr="00FA694B" w:rsidRDefault="00FA694B" w:rsidP="00FA694B">
      <w:pPr>
        <w:pStyle w:val="NoSpacing"/>
      </w:pPr>
      <w:r w:rsidRPr="00FA694B">
        <w:rPr>
          <w:rFonts w:ascii="Cambria" w:hAnsi="Cambria"/>
          <w:bCs/>
          <w:sz w:val="20"/>
          <w:szCs w:val="20"/>
        </w:rPr>
        <w:t xml:space="preserve">In conclusion, current legislation and incentives are driving the transition towards cleaner and more sustainable fuels in the transportation sector. Hydrogen is one of the energy carriers that has significant potential, along with other options such as biofuels, electricity, and natural gas. The choice of energy carrier will depend on </w:t>
      </w:r>
      <w:r w:rsidRPr="00FA694B">
        <w:rPr>
          <w:rFonts w:ascii="Cambria" w:hAnsi="Cambria"/>
          <w:bCs/>
          <w:sz w:val="20"/>
          <w:szCs w:val="20"/>
        </w:rPr>
        <w:lastRenderedPageBreak/>
        <w:t>various factors such as availability, cost, infrastructure, and technology development.</w:t>
      </w:r>
    </w:p>
    <w:p w14:paraId="3EA7D937" w14:textId="77777777" w:rsidR="00880D10" w:rsidRPr="00C821B5" w:rsidRDefault="00880D10">
      <w:pPr>
        <w:pStyle w:val="NoSpacing"/>
        <w:jc w:val="both"/>
        <w:rPr>
          <w:rFonts w:ascii="Cambria" w:hAnsi="Cambria"/>
          <w:bCs/>
          <w:sz w:val="20"/>
          <w:szCs w:val="20"/>
        </w:rPr>
      </w:pPr>
    </w:p>
    <w:p w14:paraId="5FDA63BF" w14:textId="577E2D1B" w:rsidR="00ED232F" w:rsidRDefault="005330FF" w:rsidP="00ED232F">
      <w:pPr>
        <w:pStyle w:val="NoSpacing"/>
        <w:jc w:val="both"/>
        <w:rPr>
          <w:rFonts w:ascii="Cambria" w:hAnsi="Cambria"/>
          <w:b/>
        </w:rPr>
      </w:pPr>
      <w:r>
        <w:rPr>
          <w:rFonts w:ascii="Cambria" w:hAnsi="Cambria"/>
          <w:b/>
        </w:rPr>
        <w:t>4</w:t>
      </w:r>
      <w:r w:rsidR="00C821B5">
        <w:rPr>
          <w:rFonts w:ascii="Cambria" w:hAnsi="Cambria"/>
          <w:b/>
        </w:rPr>
        <w:t xml:space="preserve">.  </w:t>
      </w:r>
      <w:r w:rsidR="005466B1" w:rsidRPr="005466B1">
        <w:rPr>
          <w:rFonts w:ascii="Cambria" w:hAnsi="Cambria"/>
          <w:b/>
        </w:rPr>
        <w:t>HOW CLOSE IS WIDESPREAD ADOPTION OF HYDROGEN IN MOTORSPORT?</w:t>
      </w:r>
    </w:p>
    <w:p w14:paraId="48F88C31" w14:textId="77777777" w:rsidR="00A70EB7" w:rsidRDefault="00A70EB7" w:rsidP="009551E6">
      <w:pPr>
        <w:pStyle w:val="NoSpacing"/>
        <w:jc w:val="both"/>
        <w:rPr>
          <w:rFonts w:ascii="Cambria" w:hAnsi="Cambria"/>
          <w:bCs/>
          <w:sz w:val="20"/>
          <w:szCs w:val="20"/>
        </w:rPr>
      </w:pPr>
    </w:p>
    <w:p w14:paraId="76E28883" w14:textId="50CCC4F6" w:rsidR="005466B1" w:rsidRPr="005466B1" w:rsidRDefault="005466B1" w:rsidP="005466B1">
      <w:pPr>
        <w:pStyle w:val="NoSpacing"/>
        <w:jc w:val="both"/>
        <w:rPr>
          <w:rFonts w:ascii="Cambria" w:hAnsi="Cambria"/>
          <w:bCs/>
          <w:sz w:val="20"/>
          <w:szCs w:val="20"/>
        </w:rPr>
      </w:pPr>
      <w:r w:rsidRPr="005466B1">
        <w:rPr>
          <w:rFonts w:ascii="Cambria" w:hAnsi="Cambria"/>
          <w:bCs/>
          <w:sz w:val="20"/>
          <w:szCs w:val="20"/>
        </w:rPr>
        <w:t>While hydrogen fuel cells have been in development for decades, their widespread adoption in motorsport is still in its infancy. The technology is not yet widely available or fully developed for use in motorsports. However, many manufacturers are investing in research and development of hydrogen fuel cell technology, and some have already introduced concept cars powered by hydrogen fuel cells.</w:t>
      </w:r>
    </w:p>
    <w:p w14:paraId="142C6177" w14:textId="14A59159" w:rsidR="005466B1" w:rsidRDefault="005466B1" w:rsidP="005466B1">
      <w:pPr>
        <w:pStyle w:val="NoSpacing"/>
        <w:jc w:val="both"/>
        <w:rPr>
          <w:rFonts w:ascii="Cambria" w:hAnsi="Cambria"/>
          <w:bCs/>
          <w:sz w:val="20"/>
          <w:szCs w:val="20"/>
        </w:rPr>
      </w:pPr>
      <w:r w:rsidRPr="005466B1">
        <w:rPr>
          <w:rFonts w:ascii="Cambria" w:hAnsi="Cambria"/>
          <w:bCs/>
          <w:sz w:val="20"/>
          <w:szCs w:val="20"/>
        </w:rPr>
        <w:t>A critical analysis of a range of energy carriers in terms of operation and effectiveness reveals that hydrogen is a promising candidate for use in motorsports due to its high energy density, low emissions, and renewability. Hydrogen can be produced using renewable energy sources such as wind and solar power, making it an attractive option for sustainable racing. Additionally, hydrogen fuel cells offer several advantages over traditional combustion engines, including higher efficiency and lower emissions.</w:t>
      </w:r>
      <w:r>
        <w:rPr>
          <w:rFonts w:ascii="Cambria" w:hAnsi="Cambria"/>
          <w:bCs/>
          <w:sz w:val="20"/>
          <w:szCs w:val="20"/>
        </w:rPr>
        <w:t xml:space="preserve"> </w:t>
      </w:r>
      <w:proofErr w:type="gramStart"/>
      <w:r w:rsidRPr="005466B1">
        <w:rPr>
          <w:rFonts w:ascii="Cambria" w:hAnsi="Cambria"/>
          <w:bCs/>
          <w:sz w:val="20"/>
          <w:szCs w:val="20"/>
        </w:rPr>
        <w:t>In order to</w:t>
      </w:r>
      <w:proofErr w:type="gramEnd"/>
      <w:r w:rsidRPr="005466B1">
        <w:rPr>
          <w:rFonts w:ascii="Cambria" w:hAnsi="Cambria"/>
          <w:bCs/>
          <w:sz w:val="20"/>
          <w:szCs w:val="20"/>
        </w:rPr>
        <w:t xml:space="preserve"> further reduce the environmental impact of motorsports, energy recovery systems can be implemented. These systems can capture and store energy that is typically lost during braking, which can then be used to power the vehicle. This technology has already been successfully implemented in Formula One and other </w:t>
      </w:r>
      <w:r w:rsidRPr="005466B1">
        <w:rPr>
          <w:rFonts w:ascii="Cambria" w:hAnsi="Cambria"/>
          <w:bCs/>
          <w:sz w:val="20"/>
          <w:szCs w:val="20"/>
        </w:rPr>
        <w:t>motorsports and</w:t>
      </w:r>
      <w:r w:rsidRPr="005466B1">
        <w:rPr>
          <w:rFonts w:ascii="Cambria" w:hAnsi="Cambria"/>
          <w:bCs/>
          <w:sz w:val="20"/>
          <w:szCs w:val="20"/>
        </w:rPr>
        <w:t xml:space="preserve"> can help to reduce the overall environmental impact of racing.</w:t>
      </w:r>
      <w:r>
        <w:rPr>
          <w:rFonts w:ascii="Cambria" w:hAnsi="Cambria"/>
          <w:bCs/>
          <w:sz w:val="20"/>
          <w:szCs w:val="20"/>
        </w:rPr>
        <w:t xml:space="preserve"> </w:t>
      </w:r>
      <w:r w:rsidRPr="005466B1">
        <w:rPr>
          <w:rFonts w:ascii="Cambria" w:hAnsi="Cambria"/>
          <w:bCs/>
          <w:sz w:val="20"/>
          <w:szCs w:val="20"/>
        </w:rPr>
        <w:t>Despite the promise of hydrogen as an energy carrier, there are still several challenges that need to be addressed before its widespread adoption in motorsports can be realized. One of the main obstacles is the lack of infrastructure for hydrogen refueling stations. In addition, hydrogen fuel cells are currently more expensive than traditional combustion engines, making them less accessible for many teams and manufacturers. However, as technology continues to develop and costs decrease, it is likely that hydrogen will become a more viable option for motorsports in the future.</w:t>
      </w:r>
    </w:p>
    <w:p w14:paraId="6A3C1998" w14:textId="77777777" w:rsidR="005466B1" w:rsidRDefault="005466B1" w:rsidP="005466B1">
      <w:pPr>
        <w:pStyle w:val="NoSpacing"/>
        <w:jc w:val="both"/>
        <w:rPr>
          <w:rFonts w:ascii="Cambria" w:hAnsi="Cambria"/>
          <w:bCs/>
          <w:sz w:val="20"/>
          <w:szCs w:val="20"/>
        </w:rPr>
      </w:pPr>
    </w:p>
    <w:p w14:paraId="368BCBB2" w14:textId="77777777" w:rsidR="005466B1" w:rsidRDefault="005466B1" w:rsidP="005466B1">
      <w:pPr>
        <w:pStyle w:val="NoSpacing"/>
        <w:keepNext/>
        <w:jc w:val="both"/>
      </w:pPr>
      <w:r>
        <w:rPr>
          <w:rFonts w:ascii="Cambria" w:hAnsi="Cambria"/>
          <w:bCs/>
          <w:noProof/>
          <w:sz w:val="20"/>
          <w:szCs w:val="20"/>
        </w:rPr>
        <w:drawing>
          <wp:inline distT="0" distB="0" distL="0" distR="0" wp14:anchorId="5FBAAD51" wp14:editId="0BB2BC26">
            <wp:extent cx="3180715" cy="2115185"/>
            <wp:effectExtent l="0" t="0" r="635" b="0"/>
            <wp:docPr id="198437537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180715" cy="2115185"/>
                    </a:xfrm>
                    <a:prstGeom prst="rect">
                      <a:avLst/>
                    </a:prstGeom>
                    <a:noFill/>
                    <a:ln>
                      <a:noFill/>
                    </a:ln>
                  </pic:spPr>
                </pic:pic>
              </a:graphicData>
            </a:graphic>
          </wp:inline>
        </w:drawing>
      </w:r>
    </w:p>
    <w:p w14:paraId="71875A6E" w14:textId="05CAEFD9" w:rsidR="005466B1" w:rsidRPr="005466B1" w:rsidRDefault="005466B1" w:rsidP="005466B1">
      <w:pPr>
        <w:pStyle w:val="Caption"/>
        <w:jc w:val="center"/>
        <w:rPr>
          <w:rFonts w:ascii="Cambria" w:hAnsi="Cambria"/>
        </w:rPr>
      </w:pPr>
      <w:r>
        <w:t xml:space="preserve">Figure </w:t>
      </w:r>
      <w:r>
        <w:fldChar w:fldCharType="begin"/>
      </w:r>
      <w:r>
        <w:instrText xml:space="preserve"> SEQ Figure \* ARABIC </w:instrText>
      </w:r>
      <w:r>
        <w:fldChar w:fldCharType="separate"/>
      </w:r>
      <w:r>
        <w:rPr>
          <w:noProof/>
        </w:rPr>
        <w:t>3</w:t>
      </w:r>
      <w:r>
        <w:fldChar w:fldCharType="end"/>
      </w:r>
      <w:r>
        <w:t xml:space="preserve"> </w:t>
      </w:r>
      <w:r w:rsidRPr="005466B1">
        <w:rPr>
          <w:b w:val="0"/>
          <w:bCs w:val="0"/>
          <w:sz w:val="16"/>
          <w:szCs w:val="16"/>
        </w:rPr>
        <w:t>hydrogen as a solution for zero-emissions motorsport</w:t>
      </w:r>
    </w:p>
    <w:p w14:paraId="05A3BF31" w14:textId="77777777" w:rsidR="005466B1" w:rsidRPr="005466B1" w:rsidRDefault="005466B1" w:rsidP="005466B1">
      <w:pPr>
        <w:pStyle w:val="NoSpacing"/>
        <w:jc w:val="both"/>
        <w:rPr>
          <w:rFonts w:ascii="Cambria" w:hAnsi="Cambria"/>
          <w:bCs/>
          <w:sz w:val="20"/>
          <w:szCs w:val="20"/>
        </w:rPr>
      </w:pPr>
    </w:p>
    <w:p w14:paraId="66CBD921" w14:textId="77777777" w:rsidR="00135759" w:rsidRDefault="005466B1" w:rsidP="005466B1">
      <w:pPr>
        <w:pStyle w:val="NoSpacing"/>
        <w:jc w:val="both"/>
        <w:rPr>
          <w:rFonts w:ascii="Cambria" w:hAnsi="Cambria"/>
          <w:bCs/>
          <w:sz w:val="20"/>
          <w:szCs w:val="20"/>
        </w:rPr>
      </w:pPr>
      <w:r w:rsidRPr="005466B1">
        <w:rPr>
          <w:rFonts w:ascii="Cambria" w:hAnsi="Cambria"/>
          <w:bCs/>
          <w:sz w:val="20"/>
          <w:szCs w:val="20"/>
        </w:rPr>
        <w:t xml:space="preserve">Hydrogen fuel has been a topic of discussion for quite some time as an alternative to fossil fuels. However, the question remains - how close is widespread adoption of hydrogen in motorsport? To answer this, a critical analysis of a range of energy carriers in terms of operation and effectiveness needs to be </w:t>
      </w:r>
      <w:r w:rsidRPr="005466B1">
        <w:rPr>
          <w:rFonts w:ascii="Cambria" w:hAnsi="Cambria"/>
          <w:bCs/>
          <w:sz w:val="20"/>
          <w:szCs w:val="20"/>
        </w:rPr>
        <w:t>done and</w:t>
      </w:r>
      <w:r w:rsidRPr="005466B1">
        <w:rPr>
          <w:rFonts w:ascii="Cambria" w:hAnsi="Cambria"/>
          <w:bCs/>
          <w:sz w:val="20"/>
          <w:szCs w:val="20"/>
        </w:rPr>
        <w:t xml:space="preserve"> consider whether energy recovery systems should be implemented to reduce the environmental impact.</w:t>
      </w:r>
      <w:r>
        <w:rPr>
          <w:rFonts w:ascii="Cambria" w:hAnsi="Cambria"/>
          <w:bCs/>
          <w:sz w:val="20"/>
          <w:szCs w:val="20"/>
        </w:rPr>
        <w:t xml:space="preserve"> </w:t>
      </w:r>
      <w:r w:rsidRPr="005466B1">
        <w:rPr>
          <w:rFonts w:ascii="Cambria" w:hAnsi="Cambria"/>
          <w:bCs/>
          <w:sz w:val="20"/>
          <w:szCs w:val="20"/>
        </w:rPr>
        <w:t>While hydrogen fuel is undoubtedly a promising alternative to conventional fossil fuels, it still faces several challenges when it comes to widespread adoption in motorsports. Firstly, there is the issue of infrastructure. Currently, there is a lack of hydrogen refueling stations, making it difficult for hydrogen-powered vehicles to be used for long-distance racing or endurance events. This is further compounded by the high cost of building hydrogen refueling infrastructure, which makes it difficult to justify the investment for some circuits.</w:t>
      </w:r>
      <w:r>
        <w:rPr>
          <w:rFonts w:ascii="Cambria" w:hAnsi="Cambria"/>
          <w:bCs/>
          <w:sz w:val="20"/>
          <w:szCs w:val="20"/>
        </w:rPr>
        <w:t xml:space="preserve"> </w:t>
      </w:r>
      <w:r w:rsidRPr="005466B1">
        <w:rPr>
          <w:rFonts w:ascii="Cambria" w:hAnsi="Cambria"/>
          <w:bCs/>
          <w:sz w:val="20"/>
          <w:szCs w:val="20"/>
        </w:rPr>
        <w:t>Another issue is the safety concerns related to the storage and handling of hydrogen. Although hydrogen is a clean fuel that produces only water vapor when burned, it is highly flammable and requires careful handling to avoid accidents. This poses a significant challenge to the adoption of hydrogen fuel in motorsports, where accidents can occur frequently and often involve high-speed collisions.</w:t>
      </w:r>
      <w:r>
        <w:rPr>
          <w:rFonts w:ascii="Cambria" w:hAnsi="Cambria"/>
          <w:bCs/>
          <w:sz w:val="20"/>
          <w:szCs w:val="20"/>
        </w:rPr>
        <w:t xml:space="preserve"> </w:t>
      </w:r>
      <w:r w:rsidRPr="005466B1">
        <w:rPr>
          <w:rFonts w:ascii="Cambria" w:hAnsi="Cambria"/>
          <w:bCs/>
          <w:sz w:val="20"/>
          <w:szCs w:val="20"/>
        </w:rPr>
        <w:t xml:space="preserve">Furthermore, while hydrogen fuel cells have improved significantly in terms of efficiency and performance, they still </w:t>
      </w:r>
      <w:proofErr w:type="gramStart"/>
      <w:r w:rsidRPr="005466B1">
        <w:rPr>
          <w:rFonts w:ascii="Cambria" w:hAnsi="Cambria"/>
          <w:bCs/>
          <w:sz w:val="20"/>
          <w:szCs w:val="20"/>
        </w:rPr>
        <w:t>lag behind</w:t>
      </w:r>
      <w:proofErr w:type="gramEnd"/>
      <w:r w:rsidRPr="005466B1">
        <w:rPr>
          <w:rFonts w:ascii="Cambria" w:hAnsi="Cambria"/>
          <w:bCs/>
          <w:sz w:val="20"/>
          <w:szCs w:val="20"/>
        </w:rPr>
        <w:t xml:space="preserve"> traditional gasoline engines when it comes to power output. This could limit the adoption of hydrogen in motorsports, where high power output is critical to performance.</w:t>
      </w:r>
      <w:r>
        <w:rPr>
          <w:rFonts w:ascii="Cambria" w:hAnsi="Cambria"/>
          <w:bCs/>
          <w:sz w:val="20"/>
          <w:szCs w:val="20"/>
        </w:rPr>
        <w:t xml:space="preserve"> </w:t>
      </w:r>
      <w:r w:rsidRPr="005466B1">
        <w:rPr>
          <w:rFonts w:ascii="Cambria" w:hAnsi="Cambria"/>
          <w:bCs/>
          <w:sz w:val="20"/>
          <w:szCs w:val="20"/>
        </w:rPr>
        <w:t xml:space="preserve">However, despite these challenges, hydrogen fuel has shown promising potential in motorsports. For example, the FIA Formula E championship has recently introduced hydrogen fuel cell technology as a range extender for its safety car, highlighting the potential of hydrogen in the sport. Moreover, several automakers have also developed hydrogen-powered racing vehicles, including the Toyota Mirai race car, which has already competed in endurance events such as the 24 Hours of </w:t>
      </w:r>
      <w:proofErr w:type="spellStart"/>
      <w:r w:rsidRPr="005466B1">
        <w:rPr>
          <w:rFonts w:ascii="Cambria" w:hAnsi="Cambria"/>
          <w:bCs/>
          <w:sz w:val="20"/>
          <w:szCs w:val="20"/>
        </w:rPr>
        <w:t>Nurburgring</w:t>
      </w:r>
      <w:proofErr w:type="spellEnd"/>
      <w:r w:rsidRPr="005466B1">
        <w:rPr>
          <w:rFonts w:ascii="Cambria" w:hAnsi="Cambria"/>
          <w:bCs/>
          <w:sz w:val="20"/>
          <w:szCs w:val="20"/>
        </w:rPr>
        <w:t>.</w:t>
      </w:r>
      <w:r>
        <w:rPr>
          <w:rFonts w:ascii="Cambria" w:hAnsi="Cambria"/>
          <w:bCs/>
          <w:sz w:val="20"/>
          <w:szCs w:val="20"/>
        </w:rPr>
        <w:t xml:space="preserve"> </w:t>
      </w:r>
      <w:r w:rsidRPr="005466B1">
        <w:rPr>
          <w:rFonts w:ascii="Cambria" w:hAnsi="Cambria"/>
          <w:bCs/>
          <w:sz w:val="20"/>
          <w:szCs w:val="20"/>
        </w:rPr>
        <w:t xml:space="preserve">In conclusion, while there are significant challenges to the widespread adoption of hydrogen in motorsports, </w:t>
      </w:r>
      <w:proofErr w:type="gramStart"/>
      <w:r w:rsidRPr="005466B1">
        <w:rPr>
          <w:rFonts w:ascii="Cambria" w:hAnsi="Cambria"/>
          <w:bCs/>
          <w:sz w:val="20"/>
          <w:szCs w:val="20"/>
        </w:rPr>
        <w:t>it is clear that hydrogen</w:t>
      </w:r>
      <w:proofErr w:type="gramEnd"/>
      <w:r w:rsidRPr="005466B1">
        <w:rPr>
          <w:rFonts w:ascii="Cambria" w:hAnsi="Cambria"/>
          <w:bCs/>
          <w:sz w:val="20"/>
          <w:szCs w:val="20"/>
        </w:rPr>
        <w:t xml:space="preserve"> fuel has a promising future in the industry. </w:t>
      </w:r>
    </w:p>
    <w:p w14:paraId="3354FC2D" w14:textId="77777777" w:rsidR="00135759" w:rsidRDefault="00135759" w:rsidP="005466B1">
      <w:pPr>
        <w:pStyle w:val="NoSpacing"/>
        <w:jc w:val="both"/>
        <w:rPr>
          <w:rFonts w:ascii="Cambria" w:hAnsi="Cambria"/>
          <w:bCs/>
          <w:sz w:val="20"/>
          <w:szCs w:val="20"/>
        </w:rPr>
      </w:pPr>
    </w:p>
    <w:p w14:paraId="28717E65" w14:textId="3555B030" w:rsidR="005466B1" w:rsidRPr="005466B1" w:rsidRDefault="005466B1" w:rsidP="005466B1">
      <w:pPr>
        <w:pStyle w:val="NoSpacing"/>
        <w:jc w:val="both"/>
        <w:rPr>
          <w:rFonts w:ascii="Cambria" w:hAnsi="Cambria"/>
          <w:bCs/>
          <w:sz w:val="20"/>
          <w:szCs w:val="20"/>
        </w:rPr>
      </w:pPr>
      <w:r w:rsidRPr="005466B1">
        <w:rPr>
          <w:rFonts w:ascii="Cambria" w:hAnsi="Cambria"/>
          <w:bCs/>
          <w:sz w:val="20"/>
          <w:szCs w:val="20"/>
        </w:rPr>
        <w:t>As technology advances and infrastructure improves, hydrogen fuel could become a viable alternative to fossil. Moreover, there is a growing awareness of the need to reduce carbon emissions and combat climate change, which is driving the development of cleaner energy sources in all industries, including motorsports. This means that hydrogen fuel is likely to become an increasingly attractive option for teams and manufacturers in the coming years.</w:t>
      </w:r>
    </w:p>
    <w:p w14:paraId="282934D7" w14:textId="335AF6CC" w:rsidR="005466B1" w:rsidRPr="005466B1" w:rsidRDefault="005466B1" w:rsidP="005466B1">
      <w:pPr>
        <w:pStyle w:val="NoSpacing"/>
        <w:jc w:val="both"/>
        <w:rPr>
          <w:rFonts w:ascii="Cambria" w:hAnsi="Cambria"/>
          <w:bCs/>
          <w:sz w:val="20"/>
          <w:szCs w:val="20"/>
        </w:rPr>
      </w:pPr>
      <w:r w:rsidRPr="005466B1">
        <w:rPr>
          <w:rFonts w:ascii="Cambria" w:hAnsi="Cambria"/>
          <w:bCs/>
          <w:sz w:val="20"/>
          <w:szCs w:val="20"/>
        </w:rPr>
        <w:t>Another advantage of hydrogen fuel is that it can be used in a wide range of motorsports, including endurance racing, rally, and even drag racing. This versatility makes it an appealing option for teams looking to switch to a cleaner and more sustainable fuel source.</w:t>
      </w:r>
    </w:p>
    <w:p w14:paraId="67927C17" w14:textId="43BAC993" w:rsidR="005466B1" w:rsidRPr="005466B1" w:rsidRDefault="005466B1" w:rsidP="005466B1">
      <w:pPr>
        <w:pStyle w:val="NoSpacing"/>
        <w:jc w:val="both"/>
        <w:rPr>
          <w:rFonts w:ascii="Cambria" w:hAnsi="Cambria"/>
          <w:bCs/>
          <w:sz w:val="20"/>
          <w:szCs w:val="20"/>
        </w:rPr>
      </w:pPr>
      <w:r w:rsidRPr="005466B1">
        <w:rPr>
          <w:rFonts w:ascii="Cambria" w:hAnsi="Cambria"/>
          <w:bCs/>
          <w:sz w:val="20"/>
          <w:szCs w:val="20"/>
        </w:rPr>
        <w:t xml:space="preserve">Despite the challenges, there have been some promising developments in the adoption of hydrogen fuel in </w:t>
      </w:r>
      <w:r w:rsidRPr="005466B1">
        <w:rPr>
          <w:rFonts w:ascii="Cambria" w:hAnsi="Cambria"/>
          <w:bCs/>
          <w:sz w:val="20"/>
          <w:szCs w:val="20"/>
        </w:rPr>
        <w:lastRenderedPageBreak/>
        <w:t xml:space="preserve">motorsports. For example, the FIA Formula E championship has announced plans to introduce hydrogen fuel cell vehicles in its support series, the Jaguar I-PACE </w:t>
      </w:r>
      <w:proofErr w:type="spellStart"/>
      <w:r w:rsidRPr="005466B1">
        <w:rPr>
          <w:rFonts w:ascii="Cambria" w:hAnsi="Cambria"/>
          <w:bCs/>
          <w:sz w:val="20"/>
          <w:szCs w:val="20"/>
        </w:rPr>
        <w:t>eTROPHY</w:t>
      </w:r>
      <w:proofErr w:type="spellEnd"/>
      <w:r w:rsidRPr="005466B1">
        <w:rPr>
          <w:rFonts w:ascii="Cambria" w:hAnsi="Cambria"/>
          <w:bCs/>
          <w:sz w:val="20"/>
          <w:szCs w:val="20"/>
        </w:rPr>
        <w:t>. This is a significant step forward for the adoption of hydrogen in motorsports and could help to pave the way for its wider use in the future.</w:t>
      </w:r>
    </w:p>
    <w:p w14:paraId="7CBF7A99" w14:textId="79AF5D96" w:rsidR="009551E6" w:rsidRDefault="005466B1" w:rsidP="005466B1">
      <w:pPr>
        <w:pStyle w:val="NoSpacing"/>
        <w:jc w:val="both"/>
        <w:rPr>
          <w:rFonts w:ascii="Cambria" w:hAnsi="Cambria"/>
          <w:bCs/>
          <w:sz w:val="20"/>
          <w:szCs w:val="20"/>
        </w:rPr>
      </w:pPr>
      <w:r w:rsidRPr="005466B1">
        <w:rPr>
          <w:rFonts w:ascii="Cambria" w:hAnsi="Cambria"/>
          <w:bCs/>
          <w:sz w:val="20"/>
          <w:szCs w:val="20"/>
        </w:rPr>
        <w:t xml:space="preserve">Overall, </w:t>
      </w:r>
      <w:proofErr w:type="gramStart"/>
      <w:r w:rsidRPr="005466B1">
        <w:rPr>
          <w:rFonts w:ascii="Cambria" w:hAnsi="Cambria"/>
          <w:bCs/>
          <w:sz w:val="20"/>
          <w:szCs w:val="20"/>
        </w:rPr>
        <w:t>it is clear that hydrogen</w:t>
      </w:r>
      <w:proofErr w:type="gramEnd"/>
      <w:r w:rsidRPr="005466B1">
        <w:rPr>
          <w:rFonts w:ascii="Cambria" w:hAnsi="Cambria"/>
          <w:bCs/>
          <w:sz w:val="20"/>
          <w:szCs w:val="20"/>
        </w:rPr>
        <w:t xml:space="preserve"> fuel has the potential to revolutionize the motorsports industry, offering a cleaner and more sustainable alternative to fossil fuels. However, significant investment is needed in infrastructure and safety measures, as well as ongoing research and development, </w:t>
      </w:r>
      <w:proofErr w:type="gramStart"/>
      <w:r w:rsidRPr="005466B1">
        <w:rPr>
          <w:rFonts w:ascii="Cambria" w:hAnsi="Cambria"/>
          <w:bCs/>
          <w:sz w:val="20"/>
          <w:szCs w:val="20"/>
        </w:rPr>
        <w:t>in order to</w:t>
      </w:r>
      <w:proofErr w:type="gramEnd"/>
      <w:r w:rsidRPr="005466B1">
        <w:rPr>
          <w:rFonts w:ascii="Cambria" w:hAnsi="Cambria"/>
          <w:bCs/>
          <w:sz w:val="20"/>
          <w:szCs w:val="20"/>
        </w:rPr>
        <w:t xml:space="preserve"> realize this potential. As such, it is important for all stakeholders in the industry to work together to support the adoption of hydrogen fuel in motorsports, and to ensure that it is done in a safe and responsible manner.</w:t>
      </w:r>
    </w:p>
    <w:p w14:paraId="6A2DF678" w14:textId="77777777" w:rsidR="005330FF" w:rsidRDefault="005330FF" w:rsidP="009551E6">
      <w:pPr>
        <w:pStyle w:val="NoSpacing"/>
        <w:jc w:val="both"/>
        <w:rPr>
          <w:rFonts w:ascii="Cambria" w:hAnsi="Cambria"/>
          <w:bCs/>
          <w:sz w:val="20"/>
          <w:szCs w:val="20"/>
        </w:rPr>
      </w:pPr>
    </w:p>
    <w:p w14:paraId="098AF92D" w14:textId="55C6B3C5" w:rsidR="005330FF" w:rsidRDefault="009B17B2" w:rsidP="005330FF">
      <w:pPr>
        <w:pStyle w:val="NoSpacing"/>
        <w:jc w:val="both"/>
        <w:rPr>
          <w:rFonts w:ascii="Cambria" w:hAnsi="Cambria"/>
          <w:b/>
        </w:rPr>
      </w:pPr>
      <w:r>
        <w:rPr>
          <w:rFonts w:ascii="Cambria" w:hAnsi="Cambria"/>
          <w:b/>
        </w:rPr>
        <w:t>5</w:t>
      </w:r>
      <w:r w:rsidR="00135759" w:rsidRPr="00135759">
        <w:t xml:space="preserve"> </w:t>
      </w:r>
      <w:r w:rsidR="00135759" w:rsidRPr="00135759">
        <w:rPr>
          <w:rFonts w:ascii="Cambria" w:hAnsi="Cambria"/>
          <w:b/>
        </w:rPr>
        <w:t>PROMOTING CIRCUIT INFRASTRUCTURE DEVELOPMENT FOR SUSTAINABLE RACING</w:t>
      </w:r>
      <w:r w:rsidR="00135759" w:rsidRPr="00135759">
        <w:rPr>
          <w:rFonts w:ascii="Cambria" w:hAnsi="Cambria"/>
          <w:b/>
        </w:rPr>
        <w:t xml:space="preserve"> </w:t>
      </w:r>
      <w:r w:rsidRPr="009B17B2">
        <w:rPr>
          <w:rFonts w:ascii="Cambria" w:hAnsi="Cambria"/>
          <w:b/>
        </w:rPr>
        <w:t xml:space="preserve"> </w:t>
      </w:r>
    </w:p>
    <w:p w14:paraId="3385EC98" w14:textId="77777777" w:rsidR="005330FF" w:rsidRDefault="005330FF" w:rsidP="005330FF">
      <w:pPr>
        <w:pStyle w:val="NoSpacing"/>
        <w:jc w:val="both"/>
        <w:rPr>
          <w:rFonts w:ascii="Cambria" w:hAnsi="Cambria"/>
          <w:bCs/>
          <w:sz w:val="20"/>
          <w:szCs w:val="20"/>
        </w:rPr>
      </w:pPr>
    </w:p>
    <w:p w14:paraId="770EE612" w14:textId="2C98D2CE" w:rsidR="009B17B2" w:rsidRPr="009B17B2" w:rsidRDefault="009B17B2" w:rsidP="009B17B2">
      <w:pPr>
        <w:pStyle w:val="NoSpacing"/>
        <w:jc w:val="both"/>
        <w:rPr>
          <w:rFonts w:ascii="Cambria" w:hAnsi="Cambria"/>
          <w:bCs/>
          <w:sz w:val="20"/>
          <w:szCs w:val="20"/>
        </w:rPr>
      </w:pPr>
      <w:r w:rsidRPr="009B17B2">
        <w:rPr>
          <w:rFonts w:ascii="Cambria" w:hAnsi="Cambria"/>
          <w:bCs/>
          <w:sz w:val="20"/>
          <w:szCs w:val="20"/>
        </w:rPr>
        <w:t xml:space="preserve">As the governing body of motorsports, it is important for the FIM to promote sustainable practices and encourage the development of infrastructure to support sustainable racing. </w:t>
      </w:r>
      <w:proofErr w:type="gramStart"/>
      <w:r w:rsidRPr="009B17B2">
        <w:rPr>
          <w:rFonts w:ascii="Cambria" w:hAnsi="Cambria"/>
          <w:bCs/>
          <w:sz w:val="20"/>
          <w:szCs w:val="20"/>
        </w:rPr>
        <w:t>In order to</w:t>
      </w:r>
      <w:proofErr w:type="gramEnd"/>
      <w:r w:rsidRPr="009B17B2">
        <w:rPr>
          <w:rFonts w:ascii="Cambria" w:hAnsi="Cambria"/>
          <w:bCs/>
          <w:sz w:val="20"/>
          <w:szCs w:val="20"/>
        </w:rPr>
        <w:t xml:space="preserve"> achieve this, </w:t>
      </w:r>
      <w:r w:rsidR="00135759">
        <w:rPr>
          <w:rFonts w:ascii="Cambria" w:hAnsi="Cambria"/>
          <w:bCs/>
          <w:sz w:val="20"/>
          <w:szCs w:val="20"/>
        </w:rPr>
        <w:t>the author</w:t>
      </w:r>
      <w:r w:rsidRPr="009B17B2">
        <w:rPr>
          <w:rFonts w:ascii="Cambria" w:hAnsi="Cambria"/>
          <w:bCs/>
          <w:sz w:val="20"/>
          <w:szCs w:val="20"/>
        </w:rPr>
        <w:t xml:space="preserve"> believe that the FIM should be encouraging the circuits</w:t>
      </w:r>
      <w:r w:rsidR="00135759">
        <w:rPr>
          <w:rFonts w:ascii="Cambria" w:hAnsi="Cambria"/>
          <w:bCs/>
          <w:sz w:val="20"/>
          <w:szCs w:val="20"/>
        </w:rPr>
        <w:t xml:space="preserve"> </w:t>
      </w:r>
      <w:r w:rsidRPr="009B17B2">
        <w:rPr>
          <w:rFonts w:ascii="Cambria" w:hAnsi="Cambria"/>
          <w:bCs/>
          <w:sz w:val="20"/>
          <w:szCs w:val="20"/>
        </w:rPr>
        <w:t>to develop infrastructure that supports sustainable practices, including the adoption of hydrogen fuel.</w:t>
      </w:r>
    </w:p>
    <w:p w14:paraId="33D2545E" w14:textId="3379C2E6" w:rsidR="005330FF" w:rsidRPr="009551E6" w:rsidRDefault="009B17B2" w:rsidP="009B17B2">
      <w:pPr>
        <w:pStyle w:val="NoSpacing"/>
        <w:jc w:val="both"/>
        <w:rPr>
          <w:rFonts w:ascii="Cambria" w:hAnsi="Cambria"/>
          <w:bCs/>
          <w:sz w:val="20"/>
          <w:szCs w:val="20"/>
        </w:rPr>
      </w:pPr>
      <w:r w:rsidRPr="009B17B2">
        <w:rPr>
          <w:rFonts w:ascii="Cambria" w:hAnsi="Cambria"/>
          <w:bCs/>
          <w:sz w:val="20"/>
          <w:szCs w:val="20"/>
        </w:rPr>
        <w:t>The development of hydrogen refueling stations at circuits is essential for the widespread adoption of hydrogen fuel in motorsports. Therefore, the FIM should encourage circuits to invest in the development of this infrastructure, either through public-private partnerships or through direct investment. This would enable teams to use hydrogen-powered vehicles for long-distance racing or endurance events, promoting sustainable practices in the industry.</w:t>
      </w:r>
      <w:r>
        <w:rPr>
          <w:rFonts w:ascii="Cambria" w:hAnsi="Cambria"/>
          <w:bCs/>
          <w:sz w:val="20"/>
          <w:szCs w:val="20"/>
        </w:rPr>
        <w:t xml:space="preserve"> </w:t>
      </w:r>
      <w:r w:rsidRPr="009B17B2">
        <w:rPr>
          <w:rFonts w:ascii="Cambria" w:hAnsi="Cambria"/>
          <w:bCs/>
          <w:sz w:val="20"/>
          <w:szCs w:val="20"/>
        </w:rPr>
        <w:t>In addition to the development of hydrogen refueling stations, the FIM should also encourage the implementation of safety protocols and training programs to ensure the safe handling and storage of hydrogen fuel at circuits. This includes the development of safety standards and protocols for the design and construction of hydrogen refueling stations, as well as the development of training programs for circuit staff and teams.</w:t>
      </w:r>
      <w:r>
        <w:rPr>
          <w:rFonts w:ascii="Cambria" w:hAnsi="Cambria"/>
          <w:bCs/>
          <w:sz w:val="20"/>
          <w:szCs w:val="20"/>
        </w:rPr>
        <w:t xml:space="preserve"> </w:t>
      </w:r>
      <w:r w:rsidRPr="009B17B2">
        <w:rPr>
          <w:rFonts w:ascii="Cambria" w:hAnsi="Cambria"/>
          <w:bCs/>
          <w:sz w:val="20"/>
          <w:szCs w:val="20"/>
        </w:rPr>
        <w:t>In conclusion, the FIM has an important role to play in promoting sustainable practices in the industry and encouraging the development of infrastructure to support sustainable racing. By promoting the adoption of hydrogen fuel and encouraging the development of infrastructure and safety measures, the FIM can help to reduce the overall environmental impact of racing and promote innovation and technology development in the industry.</w:t>
      </w:r>
    </w:p>
    <w:p w14:paraId="6579B7BF" w14:textId="77777777" w:rsidR="005330FF" w:rsidRDefault="005330FF" w:rsidP="009551E6">
      <w:pPr>
        <w:pStyle w:val="NoSpacing"/>
        <w:jc w:val="both"/>
        <w:rPr>
          <w:rFonts w:ascii="Cambria" w:hAnsi="Cambria"/>
          <w:bCs/>
          <w:sz w:val="20"/>
          <w:szCs w:val="20"/>
        </w:rPr>
      </w:pPr>
    </w:p>
    <w:p w14:paraId="1AC56D60" w14:textId="7B1D8700" w:rsidR="005330FF" w:rsidRDefault="00135759" w:rsidP="005330FF">
      <w:pPr>
        <w:pStyle w:val="NoSpacing"/>
        <w:jc w:val="both"/>
        <w:rPr>
          <w:rFonts w:ascii="Cambria" w:hAnsi="Cambria"/>
          <w:b/>
        </w:rPr>
      </w:pPr>
      <w:r>
        <w:rPr>
          <w:rFonts w:ascii="Cambria" w:hAnsi="Cambria"/>
          <w:b/>
        </w:rPr>
        <w:t>6</w:t>
      </w:r>
      <w:r w:rsidR="005330FF">
        <w:rPr>
          <w:rFonts w:ascii="Cambria" w:hAnsi="Cambria"/>
          <w:b/>
        </w:rPr>
        <w:t>.  CONCLUSION</w:t>
      </w:r>
    </w:p>
    <w:p w14:paraId="2301BA24" w14:textId="77777777" w:rsidR="005330FF" w:rsidRDefault="005330FF" w:rsidP="005330FF">
      <w:pPr>
        <w:pStyle w:val="NoSpacing"/>
        <w:jc w:val="both"/>
        <w:rPr>
          <w:rFonts w:ascii="Cambria" w:hAnsi="Cambria"/>
          <w:bCs/>
          <w:sz w:val="20"/>
          <w:szCs w:val="20"/>
        </w:rPr>
      </w:pPr>
    </w:p>
    <w:p w14:paraId="71F1C36B" w14:textId="394F0848" w:rsidR="00135759" w:rsidRPr="00135759" w:rsidRDefault="00135759" w:rsidP="00135759">
      <w:pPr>
        <w:pStyle w:val="NoSpacing"/>
        <w:jc w:val="both"/>
        <w:rPr>
          <w:rFonts w:ascii="Cambria" w:hAnsi="Cambria"/>
          <w:bCs/>
          <w:sz w:val="20"/>
          <w:szCs w:val="20"/>
        </w:rPr>
      </w:pPr>
      <w:r w:rsidRPr="00135759">
        <w:rPr>
          <w:rFonts w:ascii="Cambria" w:hAnsi="Cambria"/>
          <w:bCs/>
          <w:sz w:val="20"/>
          <w:szCs w:val="20"/>
        </w:rPr>
        <w:t xml:space="preserve">In conclusion, hydrogen fuel has the potential to revolutionize the motorsport industry, offering cleaner, more sustainable, and efficient energy solutions. While there are still challenges to overcome, such as </w:t>
      </w:r>
      <w:r w:rsidRPr="00135759">
        <w:rPr>
          <w:rFonts w:ascii="Cambria" w:hAnsi="Cambria"/>
          <w:bCs/>
          <w:sz w:val="20"/>
          <w:szCs w:val="20"/>
        </w:rPr>
        <w:t>infrastructure, safety, and cost, the promising advancements in technology and the growing interest from manufacturers and governing bodies indicate that hydrogen could be the future of motorsport.</w:t>
      </w:r>
    </w:p>
    <w:p w14:paraId="33033E83" w14:textId="27FD9331" w:rsidR="00135759" w:rsidRPr="00135759" w:rsidRDefault="00135759" w:rsidP="00135759">
      <w:pPr>
        <w:pStyle w:val="NoSpacing"/>
        <w:jc w:val="both"/>
        <w:rPr>
          <w:rFonts w:ascii="Cambria" w:hAnsi="Cambria"/>
          <w:bCs/>
          <w:sz w:val="20"/>
          <w:szCs w:val="20"/>
        </w:rPr>
      </w:pPr>
      <w:r w:rsidRPr="00135759">
        <w:rPr>
          <w:rFonts w:ascii="Cambria" w:hAnsi="Cambria"/>
          <w:bCs/>
          <w:sz w:val="20"/>
          <w:szCs w:val="20"/>
        </w:rPr>
        <w:t>As we continue to tackle the global climate crisis and shift towards a more sustainable future, it is crucial for the motorsport industry to lead the way in adopting innovative and eco-friendly technologies. The FIM and other governing bodies have an essential role to play in encouraging the development and adoption of hydrogen fuel technology. This includes investing in the necessary infrastructure, supporting research and development, and promoting safety measures to ensure the successful implementation of hydrogen fuel in motorsport.</w:t>
      </w:r>
    </w:p>
    <w:p w14:paraId="7B4458BA" w14:textId="46047AE5" w:rsidR="00135759" w:rsidRPr="00135759" w:rsidRDefault="00135759" w:rsidP="00135759">
      <w:pPr>
        <w:pStyle w:val="NoSpacing"/>
        <w:jc w:val="both"/>
        <w:rPr>
          <w:rFonts w:ascii="Cambria" w:hAnsi="Cambria"/>
          <w:bCs/>
          <w:sz w:val="20"/>
          <w:szCs w:val="20"/>
        </w:rPr>
      </w:pPr>
      <w:r w:rsidRPr="00135759">
        <w:rPr>
          <w:rFonts w:ascii="Cambria" w:hAnsi="Cambria"/>
          <w:bCs/>
          <w:sz w:val="20"/>
          <w:szCs w:val="20"/>
        </w:rPr>
        <w:t>It is also important for circuits to be heading towards supporting infrastructure and health &amp; safety considerations for hydrogen fuel, such as the implementation of refueling stations and safe handling practices. As the industry moves towards more sustainable solutions, it is vital that circuits are prepared to accommodate these changes and support the transition to a cleaner future.</w:t>
      </w:r>
    </w:p>
    <w:p w14:paraId="144ECEBF" w14:textId="080CCC2A" w:rsidR="005330FF" w:rsidRPr="009551E6" w:rsidRDefault="00135759" w:rsidP="00135759">
      <w:pPr>
        <w:pStyle w:val="NoSpacing"/>
        <w:jc w:val="both"/>
        <w:rPr>
          <w:rFonts w:ascii="Cambria" w:hAnsi="Cambria"/>
          <w:bCs/>
          <w:sz w:val="20"/>
          <w:szCs w:val="20"/>
        </w:rPr>
      </w:pPr>
      <w:r w:rsidRPr="00135759">
        <w:rPr>
          <w:rFonts w:ascii="Cambria" w:hAnsi="Cambria"/>
          <w:bCs/>
          <w:sz w:val="20"/>
          <w:szCs w:val="20"/>
        </w:rPr>
        <w:t>Overall, the adoption of hydrogen fuel in motorsport represents a significant opportunity to not only reduce the environmental impact of racing but also drive innovation and technological advancements. As we continue to navigate the challenges of the 21st century, hydrogen fuel could be the key to unlocking a more sustainable and prosperous future for the motorsport industry and beyond.</w:t>
      </w:r>
      <w:r w:rsidR="005330FF" w:rsidRPr="009551E6">
        <w:rPr>
          <w:rFonts w:ascii="Cambria" w:hAnsi="Cambria"/>
          <w:bCs/>
          <w:sz w:val="20"/>
          <w:szCs w:val="20"/>
        </w:rPr>
        <w:t xml:space="preserve"> </w:t>
      </w:r>
    </w:p>
    <w:p w14:paraId="15FCB556" w14:textId="77777777" w:rsidR="005330FF" w:rsidRPr="009551E6" w:rsidRDefault="005330FF" w:rsidP="009551E6">
      <w:pPr>
        <w:pStyle w:val="NoSpacing"/>
        <w:jc w:val="both"/>
        <w:rPr>
          <w:rFonts w:ascii="Cambria" w:hAnsi="Cambria"/>
          <w:bCs/>
          <w:sz w:val="20"/>
          <w:szCs w:val="20"/>
        </w:rPr>
      </w:pPr>
    </w:p>
    <w:p w14:paraId="7865184B" w14:textId="77777777" w:rsidR="004A2D02" w:rsidRPr="00D01C09" w:rsidRDefault="004A2D02" w:rsidP="004A2D02">
      <w:pPr>
        <w:pStyle w:val="Heading1"/>
        <w:rPr>
          <w:noProof/>
          <w:sz w:val="22"/>
          <w:szCs w:val="22"/>
          <w:lang w:val="en-GB" w:eastAsia="en-GB"/>
        </w:rPr>
      </w:pPr>
      <w:r>
        <w:rPr>
          <w:sz w:val="22"/>
          <w:szCs w:val="22"/>
        </w:rPr>
        <w:t>REFERENCES</w:t>
      </w:r>
    </w:p>
    <w:tbl>
      <w:tblPr>
        <w:tblW w:w="5483" w:type="pct"/>
        <w:tblCellSpacing w:w="15" w:type="dxa"/>
        <w:tblInd w:w="45" w:type="dxa"/>
        <w:tblCellMar>
          <w:top w:w="15" w:type="dxa"/>
          <w:left w:w="15" w:type="dxa"/>
          <w:bottom w:w="15" w:type="dxa"/>
          <w:right w:w="15" w:type="dxa"/>
        </w:tblCellMar>
        <w:tblLook w:val="04A0" w:firstRow="1" w:lastRow="0" w:firstColumn="1" w:lastColumn="0" w:noHBand="0" w:noVBand="1"/>
      </w:tblPr>
      <w:tblGrid>
        <w:gridCol w:w="365"/>
        <w:gridCol w:w="5137"/>
      </w:tblGrid>
      <w:tr w:rsidR="004A2D02" w14:paraId="08B6DD48" w14:textId="77777777" w:rsidTr="007A50AC">
        <w:trPr>
          <w:trHeight w:val="99"/>
          <w:tblCellSpacing w:w="15" w:type="dxa"/>
        </w:trPr>
        <w:tc>
          <w:tcPr>
            <w:tcW w:w="239" w:type="pct"/>
            <w:hideMark/>
          </w:tcPr>
          <w:p w14:paraId="5961E1F7" w14:textId="77777777" w:rsidR="004A2D02" w:rsidRPr="00EF78AF" w:rsidRDefault="004A2D02" w:rsidP="000739AD">
            <w:pPr>
              <w:pStyle w:val="Bibliography"/>
              <w:rPr>
                <w:rFonts w:ascii="Cambria" w:hAnsi="Cambria"/>
                <w:noProof/>
                <w:sz w:val="16"/>
                <w:szCs w:val="16"/>
              </w:rPr>
            </w:pPr>
            <w:r w:rsidRPr="00EF78AF">
              <w:rPr>
                <w:rFonts w:ascii="Cambria" w:hAnsi="Cambria"/>
                <w:noProof/>
                <w:sz w:val="16"/>
                <w:szCs w:val="16"/>
              </w:rPr>
              <w:t xml:space="preserve">[1] </w:t>
            </w:r>
          </w:p>
        </w:tc>
        <w:tc>
          <w:tcPr>
            <w:tcW w:w="0" w:type="auto"/>
            <w:hideMark/>
          </w:tcPr>
          <w:p w14:paraId="4D63CCDB" w14:textId="15861F6C" w:rsidR="004A2D02" w:rsidRPr="00166CA7" w:rsidRDefault="005F41E5" w:rsidP="000739AD">
            <w:pPr>
              <w:pStyle w:val="NoSpacing"/>
              <w:rPr>
                <w:rFonts w:ascii="Cambria" w:hAnsi="Cambria"/>
                <w:noProof/>
                <w:sz w:val="20"/>
                <w:szCs w:val="20"/>
              </w:rPr>
            </w:pPr>
            <w:r w:rsidRPr="005F41E5">
              <w:rPr>
                <w:rFonts w:ascii="Cambria" w:hAnsi="Cambria"/>
                <w:noProof/>
                <w:sz w:val="20"/>
                <w:szCs w:val="20"/>
                <w:lang w:val="en-GB"/>
              </w:rPr>
              <w:t>Hydrogen. International Energy Agency. https://www.iea.org/reports/hydrogen</w:t>
            </w:r>
          </w:p>
        </w:tc>
      </w:tr>
      <w:tr w:rsidR="004A2D02" w14:paraId="1F584052" w14:textId="77777777" w:rsidTr="007A50AC">
        <w:trPr>
          <w:trHeight w:val="66"/>
          <w:tblCellSpacing w:w="15" w:type="dxa"/>
        </w:trPr>
        <w:tc>
          <w:tcPr>
            <w:tcW w:w="239" w:type="pct"/>
            <w:hideMark/>
          </w:tcPr>
          <w:p w14:paraId="6A53BFF6" w14:textId="77777777" w:rsidR="004A2D02" w:rsidRPr="00EF78AF" w:rsidRDefault="004A2D02" w:rsidP="000739AD">
            <w:pPr>
              <w:pStyle w:val="Bibliography"/>
              <w:rPr>
                <w:rFonts w:ascii="Cambria" w:hAnsi="Cambria"/>
                <w:noProof/>
                <w:sz w:val="16"/>
                <w:szCs w:val="16"/>
              </w:rPr>
            </w:pPr>
            <w:r w:rsidRPr="00EF78AF">
              <w:rPr>
                <w:rFonts w:ascii="Cambria" w:hAnsi="Cambria"/>
                <w:noProof/>
                <w:sz w:val="16"/>
                <w:szCs w:val="16"/>
              </w:rPr>
              <w:t xml:space="preserve">[2] </w:t>
            </w:r>
          </w:p>
        </w:tc>
        <w:tc>
          <w:tcPr>
            <w:tcW w:w="0" w:type="auto"/>
            <w:hideMark/>
          </w:tcPr>
          <w:p w14:paraId="09CB768B" w14:textId="46462241" w:rsidR="002D415D" w:rsidRDefault="002D415D" w:rsidP="002D415D">
            <w:pPr>
              <w:pStyle w:val="NoSpacing"/>
              <w:rPr>
                <w:rFonts w:ascii="Cambria" w:hAnsi="Cambria"/>
                <w:noProof/>
                <w:sz w:val="20"/>
                <w:szCs w:val="20"/>
              </w:rPr>
            </w:pPr>
            <w:r w:rsidRPr="002D415D">
              <w:rPr>
                <w:rFonts w:ascii="Cambria" w:hAnsi="Cambria"/>
                <w:noProof/>
                <w:sz w:val="20"/>
                <w:szCs w:val="20"/>
              </w:rPr>
              <w:t xml:space="preserve">Communication from the Commission to the European Parliament, the Council, the European Economic and Social Committee and the Committee of the Regions - A hydrogen strategy for a climate-neutral Europe. </w:t>
            </w:r>
            <w:hyperlink r:id="rId16" w:history="1">
              <w:r w:rsidRPr="004C54A7">
                <w:rPr>
                  <w:rStyle w:val="Hyperlink"/>
                  <w:rFonts w:ascii="Cambria" w:hAnsi="Cambria"/>
                  <w:noProof/>
                  <w:sz w:val="20"/>
                  <w:szCs w:val="20"/>
                </w:rPr>
                <w:t>https://eur-lex.europa.eu/legal-content/EN/TXT/PDF/?uri=CELEX:52</w:t>
              </w:r>
            </w:hyperlink>
          </w:p>
          <w:p w14:paraId="4B588E4F" w14:textId="158426A6" w:rsidR="004A2D02" w:rsidRPr="00166CA7" w:rsidRDefault="002D415D" w:rsidP="002D415D">
            <w:pPr>
              <w:pStyle w:val="NoSpacing"/>
              <w:rPr>
                <w:rFonts w:ascii="Cambria" w:hAnsi="Cambria"/>
                <w:noProof/>
                <w:sz w:val="20"/>
                <w:szCs w:val="20"/>
              </w:rPr>
            </w:pPr>
            <w:r w:rsidRPr="002D415D">
              <w:rPr>
                <w:rFonts w:ascii="Cambria" w:hAnsi="Cambria"/>
                <w:noProof/>
                <w:sz w:val="20"/>
                <w:szCs w:val="20"/>
              </w:rPr>
              <w:t>020DC0301&amp;from=EN</w:t>
            </w:r>
          </w:p>
        </w:tc>
      </w:tr>
      <w:tr w:rsidR="004A2D02" w14:paraId="3886E987" w14:textId="77777777" w:rsidTr="007A50AC">
        <w:trPr>
          <w:trHeight w:val="32"/>
          <w:tblCellSpacing w:w="15" w:type="dxa"/>
        </w:trPr>
        <w:tc>
          <w:tcPr>
            <w:tcW w:w="239" w:type="pct"/>
            <w:hideMark/>
          </w:tcPr>
          <w:p w14:paraId="17A8588B" w14:textId="77777777" w:rsidR="004A2D02" w:rsidRPr="00EF78AF" w:rsidRDefault="004A2D02" w:rsidP="000739AD">
            <w:pPr>
              <w:pStyle w:val="Bibliography"/>
              <w:rPr>
                <w:rFonts w:ascii="Cambria" w:hAnsi="Cambria"/>
                <w:noProof/>
                <w:sz w:val="16"/>
                <w:szCs w:val="16"/>
              </w:rPr>
            </w:pPr>
            <w:r w:rsidRPr="00EF78AF">
              <w:rPr>
                <w:rFonts w:ascii="Cambria" w:hAnsi="Cambria"/>
                <w:noProof/>
                <w:sz w:val="16"/>
                <w:szCs w:val="16"/>
              </w:rPr>
              <w:t xml:space="preserve">[3] </w:t>
            </w:r>
          </w:p>
        </w:tc>
        <w:tc>
          <w:tcPr>
            <w:tcW w:w="0" w:type="auto"/>
            <w:hideMark/>
          </w:tcPr>
          <w:p w14:paraId="1BE197BD" w14:textId="300241AF" w:rsidR="004A2D02" w:rsidRPr="00166CA7" w:rsidRDefault="002D415D" w:rsidP="000739AD">
            <w:pPr>
              <w:pStyle w:val="NoSpacing"/>
              <w:rPr>
                <w:rFonts w:ascii="Cambria" w:hAnsi="Cambria"/>
                <w:noProof/>
                <w:sz w:val="20"/>
                <w:szCs w:val="20"/>
              </w:rPr>
            </w:pPr>
            <w:r w:rsidRPr="002D415D">
              <w:rPr>
                <w:rFonts w:ascii="Cambria" w:hAnsi="Cambria"/>
                <w:noProof/>
                <w:sz w:val="20"/>
                <w:szCs w:val="20"/>
              </w:rPr>
              <w:t>Toyota Mirai: The car of the future. https://www.toyota.com/mirai/</w:t>
            </w:r>
            <w:r>
              <w:rPr>
                <w:rFonts w:ascii="Cambria" w:hAnsi="Cambria"/>
                <w:noProof/>
                <w:sz w:val="20"/>
                <w:szCs w:val="20"/>
              </w:rPr>
              <w:t>.</w:t>
            </w:r>
          </w:p>
        </w:tc>
      </w:tr>
      <w:tr w:rsidR="004A2D02" w14:paraId="65362709" w14:textId="77777777" w:rsidTr="007A50AC">
        <w:trPr>
          <w:trHeight w:val="8"/>
          <w:tblCellSpacing w:w="15" w:type="dxa"/>
        </w:trPr>
        <w:tc>
          <w:tcPr>
            <w:tcW w:w="239" w:type="pct"/>
            <w:hideMark/>
          </w:tcPr>
          <w:p w14:paraId="2AB9BEE7" w14:textId="77777777" w:rsidR="004A2D02" w:rsidRPr="00EF78AF" w:rsidRDefault="004A2D02" w:rsidP="000739AD">
            <w:pPr>
              <w:pStyle w:val="Bibliography"/>
              <w:rPr>
                <w:rFonts w:ascii="Cambria" w:hAnsi="Cambria"/>
                <w:noProof/>
                <w:sz w:val="16"/>
                <w:szCs w:val="16"/>
              </w:rPr>
            </w:pPr>
            <w:r w:rsidRPr="00EF78AF">
              <w:rPr>
                <w:rFonts w:ascii="Cambria" w:hAnsi="Cambria"/>
                <w:noProof/>
                <w:sz w:val="16"/>
                <w:szCs w:val="16"/>
              </w:rPr>
              <w:t xml:space="preserve">[4] </w:t>
            </w:r>
          </w:p>
        </w:tc>
        <w:tc>
          <w:tcPr>
            <w:tcW w:w="0" w:type="auto"/>
            <w:hideMark/>
          </w:tcPr>
          <w:p w14:paraId="7C3165E8" w14:textId="4F4DBD58" w:rsidR="004A2D02" w:rsidRPr="00166CA7" w:rsidRDefault="005A6499" w:rsidP="000739AD">
            <w:pPr>
              <w:pStyle w:val="NoSpacing"/>
              <w:rPr>
                <w:rFonts w:ascii="Cambria" w:hAnsi="Cambria"/>
                <w:noProof/>
                <w:sz w:val="20"/>
                <w:szCs w:val="20"/>
              </w:rPr>
            </w:pPr>
            <w:r w:rsidRPr="005A6499">
              <w:rPr>
                <w:rFonts w:ascii="Cambria" w:hAnsi="Cambria"/>
                <w:noProof/>
                <w:sz w:val="20"/>
                <w:szCs w:val="20"/>
              </w:rPr>
              <w:t>Clarity Fuel Cell. https://automobiles.honda.com/clarity-fuel-cell</w:t>
            </w:r>
            <w:r>
              <w:rPr>
                <w:rFonts w:ascii="Cambria" w:hAnsi="Cambria"/>
                <w:noProof/>
                <w:sz w:val="20"/>
                <w:szCs w:val="20"/>
              </w:rPr>
              <w:t>.</w:t>
            </w:r>
          </w:p>
          <w:p w14:paraId="0E1F636E" w14:textId="77777777" w:rsidR="004A2D02" w:rsidRPr="00166CA7" w:rsidRDefault="004A2D02" w:rsidP="000739AD">
            <w:pPr>
              <w:pStyle w:val="NoSpacing"/>
              <w:rPr>
                <w:rFonts w:ascii="Cambria" w:hAnsi="Cambria"/>
                <w:noProof/>
                <w:sz w:val="20"/>
                <w:szCs w:val="20"/>
              </w:rPr>
            </w:pPr>
          </w:p>
        </w:tc>
      </w:tr>
      <w:tr w:rsidR="004A2D02" w14:paraId="5F306734" w14:textId="77777777" w:rsidTr="007A50AC">
        <w:trPr>
          <w:trHeight w:val="250"/>
          <w:tblCellSpacing w:w="15" w:type="dxa"/>
        </w:trPr>
        <w:tc>
          <w:tcPr>
            <w:tcW w:w="239" w:type="pct"/>
            <w:hideMark/>
          </w:tcPr>
          <w:p w14:paraId="69846753" w14:textId="77777777" w:rsidR="004A2D02" w:rsidRPr="00EF78AF" w:rsidRDefault="004A2D02" w:rsidP="000739AD">
            <w:pPr>
              <w:pStyle w:val="Bibliography"/>
              <w:rPr>
                <w:rFonts w:ascii="Cambria" w:hAnsi="Cambria"/>
                <w:noProof/>
                <w:sz w:val="16"/>
                <w:szCs w:val="16"/>
              </w:rPr>
            </w:pPr>
            <w:r w:rsidRPr="00EF78AF">
              <w:rPr>
                <w:rFonts w:ascii="Cambria" w:hAnsi="Cambria"/>
                <w:noProof/>
                <w:sz w:val="16"/>
                <w:szCs w:val="16"/>
              </w:rPr>
              <w:t xml:space="preserve">[5] </w:t>
            </w:r>
          </w:p>
        </w:tc>
        <w:tc>
          <w:tcPr>
            <w:tcW w:w="0" w:type="auto"/>
            <w:hideMark/>
          </w:tcPr>
          <w:p w14:paraId="0393FBD2" w14:textId="394CA741" w:rsidR="004A2D02" w:rsidRPr="00166CA7" w:rsidRDefault="00FA694B" w:rsidP="00FA694B">
            <w:pPr>
              <w:pStyle w:val="NoSpacing"/>
              <w:rPr>
                <w:rFonts w:ascii="Cambria" w:hAnsi="Cambria"/>
                <w:sz w:val="20"/>
                <w:szCs w:val="20"/>
              </w:rPr>
            </w:pPr>
            <w:r w:rsidRPr="00FA694B">
              <w:rPr>
                <w:rFonts w:ascii="Cambria" w:hAnsi="Cambria"/>
                <w:sz w:val="20"/>
                <w:szCs w:val="20"/>
              </w:rPr>
              <w:t>Environmental performance and economic feasibility of hydrogen fuel cell vehicles. International Journal of Hydrogen Energy, 40(4), 1698-1715. https://doi.org/10.1016/j.ijhydene.2014.11.076</w:t>
            </w:r>
            <w:r>
              <w:rPr>
                <w:rFonts w:ascii="Cambria" w:hAnsi="Cambria"/>
                <w:sz w:val="20"/>
                <w:szCs w:val="20"/>
              </w:rPr>
              <w:t>.</w:t>
            </w:r>
          </w:p>
        </w:tc>
      </w:tr>
      <w:tr w:rsidR="004A2D02" w14:paraId="3E7C7859" w14:textId="77777777" w:rsidTr="007A50AC">
        <w:trPr>
          <w:trHeight w:val="250"/>
          <w:tblCellSpacing w:w="15" w:type="dxa"/>
        </w:trPr>
        <w:tc>
          <w:tcPr>
            <w:tcW w:w="239" w:type="pct"/>
          </w:tcPr>
          <w:p w14:paraId="5EF40D68" w14:textId="77777777" w:rsidR="004A2D02" w:rsidRPr="00EF78AF" w:rsidRDefault="004A2D02" w:rsidP="000739AD">
            <w:pPr>
              <w:pStyle w:val="Bibliography"/>
              <w:rPr>
                <w:rFonts w:ascii="Cambria" w:hAnsi="Cambria"/>
                <w:noProof/>
                <w:sz w:val="16"/>
                <w:szCs w:val="16"/>
              </w:rPr>
            </w:pPr>
            <w:r w:rsidRPr="00EF78AF">
              <w:rPr>
                <w:rFonts w:ascii="Cambria" w:hAnsi="Cambria"/>
                <w:noProof/>
                <w:sz w:val="16"/>
                <w:szCs w:val="16"/>
              </w:rPr>
              <w:t>[6]</w:t>
            </w:r>
          </w:p>
        </w:tc>
        <w:tc>
          <w:tcPr>
            <w:tcW w:w="0" w:type="auto"/>
          </w:tcPr>
          <w:p w14:paraId="3C919D4C" w14:textId="751E21A3" w:rsidR="004A2D02" w:rsidRPr="00166CA7" w:rsidRDefault="00FA694B" w:rsidP="000739AD">
            <w:pPr>
              <w:pStyle w:val="NoSpacing"/>
              <w:rPr>
                <w:rFonts w:ascii="Cambria" w:hAnsi="Cambria"/>
                <w:noProof/>
                <w:sz w:val="20"/>
                <w:szCs w:val="20"/>
              </w:rPr>
            </w:pPr>
            <w:r w:rsidRPr="00FA694B">
              <w:rPr>
                <w:rFonts w:ascii="Cambria" w:hAnsi="Cambria"/>
                <w:noProof/>
                <w:sz w:val="20"/>
                <w:szCs w:val="20"/>
              </w:rPr>
              <w:t>Fuel cell and hydrogen technologies in motorsport: The case of FIA Formula E. International Journal of Hydrogen Energy, 44(42), 23268-23278. https://doi.org/10.1016/j.ijhydene.2019.07.082</w:t>
            </w:r>
            <w:r>
              <w:rPr>
                <w:rFonts w:ascii="Cambria" w:hAnsi="Cambria"/>
                <w:noProof/>
                <w:sz w:val="20"/>
                <w:szCs w:val="20"/>
              </w:rPr>
              <w:t>.</w:t>
            </w:r>
          </w:p>
          <w:p w14:paraId="394C483F" w14:textId="77777777" w:rsidR="004A2D02" w:rsidRPr="00166CA7" w:rsidRDefault="004A2D02" w:rsidP="000739AD">
            <w:pPr>
              <w:pStyle w:val="NoSpacing"/>
              <w:rPr>
                <w:rFonts w:ascii="Cambria" w:hAnsi="Cambria"/>
                <w:noProof/>
                <w:sz w:val="20"/>
                <w:szCs w:val="20"/>
              </w:rPr>
            </w:pPr>
          </w:p>
        </w:tc>
      </w:tr>
      <w:tr w:rsidR="0052792C" w:rsidRPr="00166CA7" w14:paraId="409668A3" w14:textId="77777777" w:rsidTr="007A50AC">
        <w:trPr>
          <w:trHeight w:val="250"/>
          <w:tblCellSpacing w:w="15" w:type="dxa"/>
        </w:trPr>
        <w:tc>
          <w:tcPr>
            <w:tcW w:w="239" w:type="pct"/>
          </w:tcPr>
          <w:p w14:paraId="7D233CAA" w14:textId="5A11919A" w:rsidR="0052792C" w:rsidRPr="00EF78AF" w:rsidRDefault="0052792C" w:rsidP="00EF3517">
            <w:pPr>
              <w:pStyle w:val="Bibliography"/>
              <w:rPr>
                <w:rFonts w:ascii="Cambria" w:hAnsi="Cambria"/>
                <w:noProof/>
                <w:sz w:val="16"/>
                <w:szCs w:val="16"/>
              </w:rPr>
            </w:pPr>
            <w:r w:rsidRPr="00EF78AF">
              <w:rPr>
                <w:rFonts w:ascii="Cambria" w:hAnsi="Cambria"/>
                <w:noProof/>
                <w:sz w:val="16"/>
                <w:szCs w:val="16"/>
              </w:rPr>
              <w:t>[</w:t>
            </w:r>
            <w:r>
              <w:rPr>
                <w:rFonts w:ascii="Cambria" w:hAnsi="Cambria"/>
                <w:noProof/>
                <w:sz w:val="16"/>
                <w:szCs w:val="16"/>
              </w:rPr>
              <w:t>7</w:t>
            </w:r>
            <w:r w:rsidRPr="00EF78AF">
              <w:rPr>
                <w:rFonts w:ascii="Cambria" w:hAnsi="Cambria"/>
                <w:noProof/>
                <w:sz w:val="16"/>
                <w:szCs w:val="16"/>
              </w:rPr>
              <w:t>]</w:t>
            </w:r>
          </w:p>
        </w:tc>
        <w:tc>
          <w:tcPr>
            <w:tcW w:w="0" w:type="auto"/>
          </w:tcPr>
          <w:p w14:paraId="4BDB3B2C" w14:textId="4C4B38CD" w:rsidR="0052792C" w:rsidRPr="00166CA7" w:rsidRDefault="0052792C" w:rsidP="00EF3517">
            <w:pPr>
              <w:pStyle w:val="NoSpacing"/>
              <w:rPr>
                <w:rFonts w:ascii="Cambria" w:hAnsi="Cambria"/>
                <w:noProof/>
                <w:sz w:val="20"/>
                <w:szCs w:val="20"/>
              </w:rPr>
            </w:pPr>
            <w:r w:rsidRPr="0052792C">
              <w:rPr>
                <w:rFonts w:ascii="Cambria" w:hAnsi="Cambria"/>
                <w:noProof/>
                <w:sz w:val="20"/>
                <w:szCs w:val="20"/>
              </w:rPr>
              <w:t xml:space="preserve">Sharma, S., Agarwal, S., &amp; Jain, A. (2021). Significance of Hydrogen as Economic and Environmentally Friendly Fuel. </w:t>
            </w:r>
            <w:r w:rsidRPr="0052792C">
              <w:rPr>
                <w:rFonts w:ascii="Cambria" w:hAnsi="Cambria"/>
                <w:noProof/>
                <w:sz w:val="20"/>
                <w:szCs w:val="20"/>
              </w:rPr>
              <w:lastRenderedPageBreak/>
              <w:t>Energies, 14(21), 7389. https://doi.org/10.3390/en14217389</w:t>
            </w:r>
            <w:r>
              <w:rPr>
                <w:rFonts w:ascii="Cambria" w:hAnsi="Cambria"/>
                <w:noProof/>
                <w:sz w:val="20"/>
                <w:szCs w:val="20"/>
              </w:rPr>
              <w:t>.</w:t>
            </w:r>
          </w:p>
          <w:p w14:paraId="3479D2BD" w14:textId="77777777" w:rsidR="0052792C" w:rsidRPr="00166CA7" w:rsidRDefault="0052792C" w:rsidP="00EF3517">
            <w:pPr>
              <w:pStyle w:val="NoSpacing"/>
              <w:rPr>
                <w:rFonts w:ascii="Cambria" w:hAnsi="Cambria"/>
                <w:noProof/>
                <w:sz w:val="20"/>
                <w:szCs w:val="20"/>
              </w:rPr>
            </w:pPr>
          </w:p>
        </w:tc>
      </w:tr>
      <w:tr w:rsidR="0052792C" w:rsidRPr="00166CA7" w14:paraId="59537DE9" w14:textId="77777777" w:rsidTr="007A50AC">
        <w:trPr>
          <w:trHeight w:val="250"/>
          <w:tblCellSpacing w:w="15" w:type="dxa"/>
        </w:trPr>
        <w:tc>
          <w:tcPr>
            <w:tcW w:w="239" w:type="pct"/>
          </w:tcPr>
          <w:p w14:paraId="6F0B9696" w14:textId="1E9DDABC" w:rsidR="0052792C" w:rsidRPr="00EF78AF" w:rsidRDefault="0052792C" w:rsidP="00EF3517">
            <w:pPr>
              <w:pStyle w:val="Bibliography"/>
              <w:rPr>
                <w:rFonts w:ascii="Cambria" w:hAnsi="Cambria"/>
                <w:noProof/>
                <w:sz w:val="16"/>
                <w:szCs w:val="16"/>
              </w:rPr>
            </w:pPr>
            <w:r w:rsidRPr="00EF78AF">
              <w:rPr>
                <w:rFonts w:ascii="Cambria" w:hAnsi="Cambria"/>
                <w:noProof/>
                <w:sz w:val="16"/>
                <w:szCs w:val="16"/>
              </w:rPr>
              <w:lastRenderedPageBreak/>
              <w:t>[</w:t>
            </w:r>
            <w:r>
              <w:rPr>
                <w:rFonts w:ascii="Cambria" w:hAnsi="Cambria"/>
                <w:noProof/>
                <w:sz w:val="16"/>
                <w:szCs w:val="16"/>
              </w:rPr>
              <w:t>8</w:t>
            </w:r>
            <w:r w:rsidRPr="00EF78AF">
              <w:rPr>
                <w:rFonts w:ascii="Cambria" w:hAnsi="Cambria"/>
                <w:noProof/>
                <w:sz w:val="16"/>
                <w:szCs w:val="16"/>
              </w:rPr>
              <w:t>]</w:t>
            </w:r>
          </w:p>
        </w:tc>
        <w:tc>
          <w:tcPr>
            <w:tcW w:w="0" w:type="auto"/>
          </w:tcPr>
          <w:p w14:paraId="2A9CE9EF" w14:textId="77777777" w:rsidR="0052792C" w:rsidRPr="00166CA7" w:rsidRDefault="0052792C" w:rsidP="00EF3517">
            <w:pPr>
              <w:pStyle w:val="NoSpacing"/>
              <w:rPr>
                <w:rFonts w:ascii="Cambria" w:hAnsi="Cambria"/>
                <w:noProof/>
                <w:sz w:val="20"/>
                <w:szCs w:val="20"/>
              </w:rPr>
            </w:pPr>
            <w:r w:rsidRPr="00FA694B">
              <w:rPr>
                <w:rFonts w:ascii="Cambria" w:hAnsi="Cambria"/>
                <w:noProof/>
                <w:sz w:val="20"/>
                <w:szCs w:val="20"/>
              </w:rPr>
              <w:t>Fuel cell and hydrogen technologies in motorsport: The case of FIA Formula E. International Journal of Hydrogen Energy, 44(42), 23268-23278. https://doi.org/10.1016/j.ijhydene.2019.07.082</w:t>
            </w:r>
            <w:r>
              <w:rPr>
                <w:rFonts w:ascii="Cambria" w:hAnsi="Cambria"/>
                <w:noProof/>
                <w:sz w:val="20"/>
                <w:szCs w:val="20"/>
              </w:rPr>
              <w:t>.</w:t>
            </w:r>
          </w:p>
          <w:p w14:paraId="60C74FF6" w14:textId="77777777" w:rsidR="0052792C" w:rsidRPr="00166CA7" w:rsidRDefault="0052792C" w:rsidP="00EF3517">
            <w:pPr>
              <w:pStyle w:val="NoSpacing"/>
              <w:rPr>
                <w:rFonts w:ascii="Cambria" w:hAnsi="Cambria"/>
                <w:noProof/>
                <w:sz w:val="20"/>
                <w:szCs w:val="20"/>
              </w:rPr>
            </w:pPr>
          </w:p>
        </w:tc>
      </w:tr>
      <w:tr w:rsidR="007A50AC" w:rsidRPr="00166CA7" w14:paraId="3C198227" w14:textId="77777777" w:rsidTr="007A50AC">
        <w:trPr>
          <w:trHeight w:val="250"/>
          <w:tblCellSpacing w:w="15" w:type="dxa"/>
        </w:trPr>
        <w:tc>
          <w:tcPr>
            <w:tcW w:w="239" w:type="pct"/>
          </w:tcPr>
          <w:p w14:paraId="0CA3535E" w14:textId="36B5A365" w:rsidR="007A50AC" w:rsidRPr="00EF78AF" w:rsidRDefault="007A50AC" w:rsidP="00EF3517">
            <w:pPr>
              <w:pStyle w:val="Bibliography"/>
              <w:rPr>
                <w:rFonts w:ascii="Cambria" w:hAnsi="Cambria"/>
                <w:noProof/>
                <w:sz w:val="16"/>
                <w:szCs w:val="16"/>
              </w:rPr>
            </w:pPr>
            <w:r w:rsidRPr="00EF78AF">
              <w:rPr>
                <w:rFonts w:ascii="Cambria" w:hAnsi="Cambria"/>
                <w:noProof/>
                <w:sz w:val="16"/>
                <w:szCs w:val="16"/>
              </w:rPr>
              <w:t>[</w:t>
            </w:r>
            <w:r>
              <w:rPr>
                <w:rFonts w:ascii="Cambria" w:hAnsi="Cambria"/>
                <w:noProof/>
                <w:sz w:val="16"/>
                <w:szCs w:val="16"/>
              </w:rPr>
              <w:t>9</w:t>
            </w:r>
            <w:r w:rsidRPr="00EF78AF">
              <w:rPr>
                <w:rFonts w:ascii="Cambria" w:hAnsi="Cambria"/>
                <w:noProof/>
                <w:sz w:val="16"/>
                <w:szCs w:val="16"/>
              </w:rPr>
              <w:t>]</w:t>
            </w:r>
          </w:p>
        </w:tc>
        <w:tc>
          <w:tcPr>
            <w:tcW w:w="0" w:type="auto"/>
          </w:tcPr>
          <w:p w14:paraId="131E938C" w14:textId="77777777" w:rsidR="005330FF" w:rsidRDefault="007A50AC" w:rsidP="007A50AC">
            <w:pPr>
              <w:pStyle w:val="NoSpacing"/>
              <w:rPr>
                <w:rFonts w:ascii="Cambria" w:hAnsi="Cambria"/>
                <w:noProof/>
                <w:sz w:val="20"/>
                <w:szCs w:val="20"/>
              </w:rPr>
            </w:pPr>
            <w:r w:rsidRPr="007A50AC">
              <w:rPr>
                <w:rFonts w:ascii="Cambria" w:hAnsi="Cambria"/>
                <w:noProof/>
                <w:sz w:val="20"/>
                <w:szCs w:val="20"/>
              </w:rPr>
              <w:t>Eurostat. (2020, December 2</w:t>
            </w:r>
            <w:r>
              <w:rPr>
                <w:rFonts w:ascii="Cambria" w:hAnsi="Cambria"/>
                <w:noProof/>
                <w:sz w:val="20"/>
                <w:szCs w:val="20"/>
              </w:rPr>
              <w:t>0</w:t>
            </w:r>
            <w:r w:rsidRPr="007A50AC">
              <w:rPr>
                <w:rFonts w:ascii="Cambria" w:hAnsi="Cambria"/>
                <w:noProof/>
                <w:sz w:val="20"/>
                <w:szCs w:val="20"/>
              </w:rPr>
              <w:t xml:space="preserve">). Renewable energy in the EU. Retrieved from </w:t>
            </w:r>
          </w:p>
          <w:p w14:paraId="2BA1E5F9" w14:textId="3B7F47DC" w:rsidR="007A50AC" w:rsidRDefault="005330FF" w:rsidP="007A50AC">
            <w:pPr>
              <w:pStyle w:val="NoSpacing"/>
              <w:rPr>
                <w:rFonts w:ascii="Cambria" w:hAnsi="Cambria"/>
                <w:noProof/>
                <w:sz w:val="20"/>
                <w:szCs w:val="20"/>
              </w:rPr>
            </w:pPr>
            <w:hyperlink r:id="rId17" w:history="1">
              <w:r w:rsidRPr="004C54A7">
                <w:rPr>
                  <w:rStyle w:val="Hyperlink"/>
                  <w:rFonts w:ascii="Cambria" w:hAnsi="Cambria"/>
                  <w:noProof/>
                  <w:sz w:val="20"/>
                  <w:szCs w:val="20"/>
                </w:rPr>
                <w:t>https://ec.europa.eu/eurostat/</w:t>
              </w:r>
              <w:r w:rsidRPr="004C54A7">
                <w:rPr>
                  <w:rStyle w:val="Hyperlink"/>
                  <w:rFonts w:ascii="Cambria" w:hAnsi="Cambria"/>
                  <w:noProof/>
                  <w:sz w:val="20"/>
                  <w:szCs w:val="20"/>
                </w:rPr>
                <w:t>web/</w:t>
              </w:r>
            </w:hyperlink>
          </w:p>
          <w:p w14:paraId="21B4DB77" w14:textId="77777777" w:rsidR="007A50AC" w:rsidRDefault="007A50AC" w:rsidP="007A50AC">
            <w:pPr>
              <w:pStyle w:val="NoSpacing"/>
              <w:rPr>
                <w:rFonts w:ascii="Cambria" w:hAnsi="Cambria"/>
                <w:noProof/>
                <w:sz w:val="20"/>
                <w:szCs w:val="20"/>
              </w:rPr>
            </w:pPr>
            <w:r w:rsidRPr="007A50AC">
              <w:rPr>
                <w:rFonts w:ascii="Cambria" w:hAnsi="Cambria"/>
                <w:noProof/>
                <w:sz w:val="20"/>
                <w:szCs w:val="20"/>
              </w:rPr>
              <w:t>products-eurostat-news/-/ddn-20201223-1</w:t>
            </w:r>
          </w:p>
          <w:p w14:paraId="5AA66264" w14:textId="3E677308" w:rsidR="007A50AC" w:rsidRPr="00166CA7" w:rsidRDefault="007A50AC" w:rsidP="007A50AC">
            <w:pPr>
              <w:pStyle w:val="NoSpacing"/>
              <w:rPr>
                <w:rFonts w:ascii="Cambria" w:hAnsi="Cambria"/>
                <w:noProof/>
                <w:sz w:val="20"/>
                <w:szCs w:val="20"/>
              </w:rPr>
            </w:pPr>
          </w:p>
        </w:tc>
      </w:tr>
      <w:tr w:rsidR="007A50AC" w:rsidRPr="00166CA7" w14:paraId="2325CDA0" w14:textId="77777777" w:rsidTr="007A50AC">
        <w:trPr>
          <w:trHeight w:val="250"/>
          <w:tblCellSpacing w:w="15" w:type="dxa"/>
        </w:trPr>
        <w:tc>
          <w:tcPr>
            <w:tcW w:w="239" w:type="pct"/>
          </w:tcPr>
          <w:p w14:paraId="307165EC" w14:textId="51CEF409" w:rsidR="007A50AC" w:rsidRPr="00EF78AF" w:rsidRDefault="007A50AC" w:rsidP="00EF3517">
            <w:pPr>
              <w:pStyle w:val="Bibliography"/>
              <w:rPr>
                <w:rFonts w:ascii="Cambria" w:hAnsi="Cambria"/>
                <w:noProof/>
                <w:sz w:val="16"/>
                <w:szCs w:val="16"/>
              </w:rPr>
            </w:pPr>
            <w:r w:rsidRPr="00EF78AF">
              <w:rPr>
                <w:rFonts w:ascii="Cambria" w:hAnsi="Cambria"/>
                <w:noProof/>
                <w:sz w:val="16"/>
                <w:szCs w:val="16"/>
              </w:rPr>
              <w:t>[</w:t>
            </w:r>
            <w:r w:rsidR="005330FF">
              <w:rPr>
                <w:rFonts w:ascii="Cambria" w:hAnsi="Cambria"/>
                <w:noProof/>
                <w:sz w:val="16"/>
                <w:szCs w:val="16"/>
              </w:rPr>
              <w:t>10</w:t>
            </w:r>
            <w:r w:rsidRPr="00EF78AF">
              <w:rPr>
                <w:rFonts w:ascii="Cambria" w:hAnsi="Cambria"/>
                <w:noProof/>
                <w:sz w:val="16"/>
                <w:szCs w:val="16"/>
              </w:rPr>
              <w:t>]</w:t>
            </w:r>
          </w:p>
        </w:tc>
        <w:tc>
          <w:tcPr>
            <w:tcW w:w="0" w:type="auto"/>
          </w:tcPr>
          <w:p w14:paraId="502B0398" w14:textId="77777777" w:rsidR="005330FF" w:rsidRDefault="005330FF" w:rsidP="00EF3517">
            <w:pPr>
              <w:pStyle w:val="NoSpacing"/>
              <w:rPr>
                <w:rFonts w:ascii="Cambria" w:hAnsi="Cambria"/>
                <w:noProof/>
                <w:sz w:val="20"/>
                <w:szCs w:val="20"/>
              </w:rPr>
            </w:pPr>
            <w:r w:rsidRPr="005330FF">
              <w:rPr>
                <w:rFonts w:ascii="Cambria" w:hAnsi="Cambria"/>
                <w:noProof/>
                <w:sz w:val="20"/>
                <w:szCs w:val="20"/>
              </w:rPr>
              <w:t xml:space="preserve">European Commission. (2020). A hydrogen strategy </w:t>
            </w:r>
          </w:p>
          <w:p w14:paraId="30840D64" w14:textId="4F04D309" w:rsidR="005330FF" w:rsidRDefault="005330FF" w:rsidP="00EF3517">
            <w:pPr>
              <w:pStyle w:val="NoSpacing"/>
              <w:rPr>
                <w:rFonts w:ascii="Cambria" w:hAnsi="Cambria"/>
                <w:noProof/>
                <w:sz w:val="20"/>
                <w:szCs w:val="20"/>
              </w:rPr>
            </w:pPr>
            <w:r w:rsidRPr="005330FF">
              <w:rPr>
                <w:rFonts w:ascii="Cambria" w:hAnsi="Cambria"/>
                <w:noProof/>
                <w:sz w:val="20"/>
                <w:szCs w:val="20"/>
              </w:rPr>
              <w:t xml:space="preserve">for a climate-neutral Europe. Retrieved from </w:t>
            </w:r>
            <w:hyperlink r:id="rId18" w:history="1">
              <w:r w:rsidRPr="004C54A7">
                <w:rPr>
                  <w:rStyle w:val="Hyperlink"/>
                  <w:rFonts w:ascii="Cambria" w:hAnsi="Cambria"/>
                  <w:noProof/>
                  <w:sz w:val="20"/>
                  <w:szCs w:val="20"/>
                </w:rPr>
                <w:t>https://ec.europa.eu/energy/sites/default/files</w:t>
              </w:r>
            </w:hyperlink>
          </w:p>
          <w:p w14:paraId="3BE389AF" w14:textId="1D35B596" w:rsidR="007A50AC" w:rsidRPr="00166CA7" w:rsidRDefault="005330FF" w:rsidP="00EF3517">
            <w:pPr>
              <w:pStyle w:val="NoSpacing"/>
              <w:rPr>
                <w:rFonts w:ascii="Cambria" w:hAnsi="Cambria"/>
                <w:noProof/>
                <w:sz w:val="20"/>
                <w:szCs w:val="20"/>
              </w:rPr>
            </w:pPr>
            <w:r w:rsidRPr="005330FF">
              <w:rPr>
                <w:rFonts w:ascii="Cambria" w:hAnsi="Cambria"/>
                <w:noProof/>
                <w:sz w:val="20"/>
                <w:szCs w:val="20"/>
              </w:rPr>
              <w:t>/hydrogen_strategy.pdf</w:t>
            </w:r>
          </w:p>
        </w:tc>
      </w:tr>
    </w:tbl>
    <w:p w14:paraId="5E9D5294" w14:textId="5475EDA0" w:rsidR="004A2D02" w:rsidRDefault="004A2D02" w:rsidP="00ED232F">
      <w:pPr>
        <w:pStyle w:val="NoSpacing"/>
        <w:jc w:val="both"/>
        <w:rPr>
          <w:rFonts w:ascii="Cambria" w:hAnsi="Cambria"/>
          <w:sz w:val="20"/>
          <w:szCs w:val="20"/>
        </w:rPr>
      </w:pPr>
    </w:p>
    <w:tbl>
      <w:tblPr>
        <w:tblW w:w="5483" w:type="pct"/>
        <w:tblCellSpacing w:w="15" w:type="dxa"/>
        <w:tblInd w:w="45" w:type="dxa"/>
        <w:tblCellMar>
          <w:top w:w="15" w:type="dxa"/>
          <w:left w:w="15" w:type="dxa"/>
          <w:bottom w:w="15" w:type="dxa"/>
          <w:right w:w="15" w:type="dxa"/>
        </w:tblCellMar>
        <w:tblLook w:val="04A0" w:firstRow="1" w:lastRow="0" w:firstColumn="1" w:lastColumn="0" w:noHBand="0" w:noVBand="1"/>
      </w:tblPr>
      <w:tblGrid>
        <w:gridCol w:w="365"/>
        <w:gridCol w:w="5137"/>
      </w:tblGrid>
      <w:tr w:rsidR="009B17B2" w:rsidRPr="00166CA7" w14:paraId="04165DFA" w14:textId="77777777" w:rsidTr="009B17B2">
        <w:trPr>
          <w:trHeight w:val="250"/>
          <w:tblCellSpacing w:w="15" w:type="dxa"/>
        </w:trPr>
        <w:tc>
          <w:tcPr>
            <w:tcW w:w="291" w:type="pct"/>
          </w:tcPr>
          <w:p w14:paraId="7C4E3ECD" w14:textId="01B3F48B" w:rsidR="009B17B2" w:rsidRPr="00EF78AF" w:rsidRDefault="009B17B2" w:rsidP="009B17B2">
            <w:pPr>
              <w:pStyle w:val="Bibliography"/>
              <w:rPr>
                <w:rFonts w:ascii="Cambria" w:hAnsi="Cambria"/>
                <w:noProof/>
                <w:sz w:val="16"/>
                <w:szCs w:val="16"/>
              </w:rPr>
            </w:pPr>
            <w:r w:rsidRPr="00EF78AF">
              <w:rPr>
                <w:rFonts w:ascii="Cambria" w:hAnsi="Cambria"/>
                <w:noProof/>
                <w:sz w:val="16"/>
                <w:szCs w:val="16"/>
              </w:rPr>
              <w:t>[</w:t>
            </w:r>
            <w:r>
              <w:rPr>
                <w:rFonts w:ascii="Cambria" w:hAnsi="Cambria"/>
                <w:noProof/>
                <w:sz w:val="16"/>
                <w:szCs w:val="16"/>
              </w:rPr>
              <w:t>11</w:t>
            </w:r>
            <w:r w:rsidRPr="00EF78AF">
              <w:rPr>
                <w:rFonts w:ascii="Cambria" w:hAnsi="Cambria"/>
                <w:noProof/>
                <w:sz w:val="16"/>
                <w:szCs w:val="16"/>
              </w:rPr>
              <w:t>]</w:t>
            </w:r>
          </w:p>
        </w:tc>
        <w:tc>
          <w:tcPr>
            <w:tcW w:w="0" w:type="auto"/>
          </w:tcPr>
          <w:p w14:paraId="3E38DB1E" w14:textId="77777777" w:rsidR="009B17B2" w:rsidRDefault="009B17B2" w:rsidP="009B17B2">
            <w:pPr>
              <w:pStyle w:val="NoSpacing"/>
              <w:rPr>
                <w:rFonts w:ascii="Cambria" w:hAnsi="Cambria"/>
                <w:noProof/>
                <w:sz w:val="20"/>
                <w:szCs w:val="20"/>
              </w:rPr>
            </w:pPr>
            <w:r w:rsidRPr="005330FF">
              <w:rPr>
                <w:rFonts w:ascii="Cambria" w:hAnsi="Cambria"/>
                <w:noProof/>
                <w:sz w:val="20"/>
                <w:szCs w:val="20"/>
              </w:rPr>
              <w:t xml:space="preserve">White House. (2021). Fact Sheet: The American Jobs Plan. </w:t>
            </w:r>
            <w:hyperlink r:id="rId19" w:history="1">
              <w:r w:rsidRPr="005330FF">
                <w:rPr>
                  <w:rStyle w:val="Hyperlink"/>
                  <w:rFonts w:ascii="Cambria" w:hAnsi="Cambria"/>
                  <w:noProof/>
                  <w:sz w:val="20"/>
                  <w:szCs w:val="20"/>
                </w:rPr>
                <w:t>https://www.whitehouse.gov/briefing-room/statements-releases/2021/03/31/fact-sheet-the-american-jobs</w:t>
              </w:r>
            </w:hyperlink>
          </w:p>
          <w:p w14:paraId="136E288D" w14:textId="263AF347" w:rsidR="009B17B2" w:rsidRPr="00166CA7" w:rsidRDefault="009B17B2" w:rsidP="009B17B2">
            <w:pPr>
              <w:pStyle w:val="NoSpacing"/>
              <w:rPr>
                <w:rFonts w:ascii="Cambria" w:hAnsi="Cambria"/>
                <w:noProof/>
                <w:sz w:val="20"/>
                <w:szCs w:val="20"/>
              </w:rPr>
            </w:pPr>
            <w:r w:rsidRPr="005330FF">
              <w:rPr>
                <w:rFonts w:ascii="Cambria" w:hAnsi="Cambria"/>
                <w:noProof/>
                <w:sz w:val="20"/>
                <w:szCs w:val="20"/>
              </w:rPr>
              <w:t>-plan/</w:t>
            </w:r>
          </w:p>
        </w:tc>
      </w:tr>
    </w:tbl>
    <w:p w14:paraId="4B2A089D" w14:textId="269941AF" w:rsidR="004A2D02" w:rsidRDefault="004A2D02" w:rsidP="00ED232F">
      <w:pPr>
        <w:pStyle w:val="NoSpacing"/>
        <w:jc w:val="both"/>
        <w:rPr>
          <w:rFonts w:ascii="Cambria" w:hAnsi="Cambria"/>
          <w:sz w:val="20"/>
          <w:szCs w:val="20"/>
        </w:rPr>
      </w:pPr>
    </w:p>
    <w:tbl>
      <w:tblPr>
        <w:tblW w:w="5483" w:type="pct"/>
        <w:tblCellSpacing w:w="15" w:type="dxa"/>
        <w:tblInd w:w="45" w:type="dxa"/>
        <w:tblCellMar>
          <w:top w:w="15" w:type="dxa"/>
          <w:left w:w="15" w:type="dxa"/>
          <w:bottom w:w="15" w:type="dxa"/>
          <w:right w:w="15" w:type="dxa"/>
        </w:tblCellMar>
        <w:tblLook w:val="04A0" w:firstRow="1" w:lastRow="0" w:firstColumn="1" w:lastColumn="0" w:noHBand="0" w:noVBand="1"/>
      </w:tblPr>
      <w:tblGrid>
        <w:gridCol w:w="365"/>
        <w:gridCol w:w="5137"/>
      </w:tblGrid>
      <w:tr w:rsidR="005330FF" w:rsidRPr="00166CA7" w14:paraId="14EE76D4" w14:textId="77777777" w:rsidTr="005330FF">
        <w:trPr>
          <w:trHeight w:val="250"/>
          <w:tblCellSpacing w:w="15" w:type="dxa"/>
        </w:trPr>
        <w:tc>
          <w:tcPr>
            <w:tcW w:w="291" w:type="pct"/>
          </w:tcPr>
          <w:p w14:paraId="00FC92C6" w14:textId="57CBA9EE" w:rsidR="005330FF" w:rsidRPr="00EF78AF" w:rsidRDefault="005330FF" w:rsidP="00EF3517">
            <w:pPr>
              <w:pStyle w:val="Bibliography"/>
              <w:rPr>
                <w:rFonts w:ascii="Cambria" w:hAnsi="Cambria"/>
                <w:noProof/>
                <w:sz w:val="16"/>
                <w:szCs w:val="16"/>
              </w:rPr>
            </w:pPr>
            <w:r w:rsidRPr="00EF78AF">
              <w:rPr>
                <w:rFonts w:ascii="Cambria" w:hAnsi="Cambria"/>
                <w:noProof/>
                <w:sz w:val="16"/>
                <w:szCs w:val="16"/>
              </w:rPr>
              <w:t>[</w:t>
            </w:r>
            <w:r>
              <w:rPr>
                <w:rFonts w:ascii="Cambria" w:hAnsi="Cambria"/>
                <w:noProof/>
                <w:sz w:val="16"/>
                <w:szCs w:val="16"/>
              </w:rPr>
              <w:t>1</w:t>
            </w:r>
            <w:r w:rsidR="009B17B2">
              <w:rPr>
                <w:rFonts w:ascii="Cambria" w:hAnsi="Cambria"/>
                <w:noProof/>
                <w:sz w:val="16"/>
                <w:szCs w:val="16"/>
              </w:rPr>
              <w:t>2</w:t>
            </w:r>
            <w:r w:rsidRPr="00EF78AF">
              <w:rPr>
                <w:rFonts w:ascii="Cambria" w:hAnsi="Cambria"/>
                <w:noProof/>
                <w:sz w:val="16"/>
                <w:szCs w:val="16"/>
              </w:rPr>
              <w:t>]</w:t>
            </w:r>
          </w:p>
        </w:tc>
        <w:tc>
          <w:tcPr>
            <w:tcW w:w="0" w:type="auto"/>
          </w:tcPr>
          <w:p w14:paraId="70F57DF8" w14:textId="27D5A512" w:rsidR="005330FF" w:rsidRPr="00166CA7" w:rsidRDefault="009B17B2" w:rsidP="00EF3517">
            <w:pPr>
              <w:pStyle w:val="NoSpacing"/>
              <w:rPr>
                <w:rFonts w:ascii="Cambria" w:hAnsi="Cambria"/>
                <w:noProof/>
                <w:sz w:val="20"/>
                <w:szCs w:val="20"/>
              </w:rPr>
            </w:pPr>
            <w:r w:rsidRPr="005466B1">
              <w:rPr>
                <w:rFonts w:ascii="Cambria" w:hAnsi="Cambria"/>
                <w:noProof/>
                <w:sz w:val="20"/>
                <w:szCs w:val="20"/>
              </w:rPr>
              <w:t>Autosport. (James Newbold). How close is widespread adoption of hydrogen in motorsport? Autosport.com. Retrieved from https://www.autosport.com/le-mans/news/how-close-is-widespread-adoption-of-hydrogen-in-motorsport/10447039/</w:t>
            </w:r>
          </w:p>
        </w:tc>
      </w:tr>
    </w:tbl>
    <w:p w14:paraId="60799776" w14:textId="33B46F3F" w:rsidR="004A2D02" w:rsidRDefault="004A2D02" w:rsidP="00ED232F">
      <w:pPr>
        <w:pStyle w:val="NoSpacing"/>
        <w:jc w:val="both"/>
        <w:rPr>
          <w:rFonts w:ascii="Cambria" w:hAnsi="Cambria"/>
          <w:sz w:val="20"/>
          <w:szCs w:val="20"/>
        </w:rPr>
      </w:pPr>
    </w:p>
    <w:p w14:paraId="2C1C9483" w14:textId="5F7A2A26" w:rsidR="004A2D02" w:rsidRDefault="004A2D02" w:rsidP="00ED232F">
      <w:pPr>
        <w:pStyle w:val="NoSpacing"/>
        <w:jc w:val="both"/>
        <w:rPr>
          <w:rFonts w:ascii="Cambria" w:hAnsi="Cambria"/>
          <w:sz w:val="20"/>
          <w:szCs w:val="20"/>
        </w:rPr>
      </w:pPr>
    </w:p>
    <w:p w14:paraId="6CAFD55C" w14:textId="3099174B" w:rsidR="004A2D02" w:rsidRDefault="004A2D02" w:rsidP="00ED232F">
      <w:pPr>
        <w:pStyle w:val="NoSpacing"/>
        <w:jc w:val="both"/>
        <w:rPr>
          <w:rFonts w:ascii="Cambria" w:hAnsi="Cambria"/>
          <w:sz w:val="20"/>
          <w:szCs w:val="20"/>
        </w:rPr>
      </w:pPr>
    </w:p>
    <w:p w14:paraId="7C1F6F3C" w14:textId="5CFB4C94" w:rsidR="004A2D02" w:rsidRDefault="004A2D02" w:rsidP="00ED232F">
      <w:pPr>
        <w:pStyle w:val="NoSpacing"/>
        <w:jc w:val="both"/>
        <w:rPr>
          <w:rFonts w:ascii="Cambria" w:hAnsi="Cambria"/>
          <w:sz w:val="20"/>
          <w:szCs w:val="20"/>
        </w:rPr>
      </w:pPr>
    </w:p>
    <w:p w14:paraId="2FB5A64E" w14:textId="66B9BE53" w:rsidR="004A2D02" w:rsidRDefault="004A2D02" w:rsidP="00ED232F">
      <w:pPr>
        <w:pStyle w:val="NoSpacing"/>
        <w:jc w:val="both"/>
        <w:rPr>
          <w:rFonts w:ascii="Cambria" w:hAnsi="Cambria"/>
          <w:sz w:val="20"/>
          <w:szCs w:val="20"/>
        </w:rPr>
      </w:pPr>
    </w:p>
    <w:p w14:paraId="7EC754A2" w14:textId="4006CCED" w:rsidR="004A2D02" w:rsidRDefault="004A2D02" w:rsidP="00ED232F">
      <w:pPr>
        <w:pStyle w:val="NoSpacing"/>
        <w:jc w:val="both"/>
        <w:rPr>
          <w:rFonts w:ascii="Cambria" w:hAnsi="Cambria"/>
          <w:sz w:val="20"/>
          <w:szCs w:val="20"/>
        </w:rPr>
      </w:pPr>
    </w:p>
    <w:p w14:paraId="5FF08686" w14:textId="2965A822" w:rsidR="004A2D02" w:rsidRDefault="004A2D02" w:rsidP="00ED232F">
      <w:pPr>
        <w:pStyle w:val="NoSpacing"/>
        <w:jc w:val="both"/>
        <w:rPr>
          <w:rFonts w:ascii="Cambria" w:hAnsi="Cambria"/>
          <w:sz w:val="20"/>
          <w:szCs w:val="20"/>
        </w:rPr>
      </w:pPr>
    </w:p>
    <w:p w14:paraId="3BEFF7F1" w14:textId="0007BF5B" w:rsidR="004A2D02" w:rsidRDefault="004A2D02" w:rsidP="00ED232F">
      <w:pPr>
        <w:pStyle w:val="NoSpacing"/>
        <w:jc w:val="both"/>
        <w:rPr>
          <w:rFonts w:ascii="Cambria" w:hAnsi="Cambria"/>
          <w:sz w:val="20"/>
          <w:szCs w:val="20"/>
        </w:rPr>
      </w:pPr>
    </w:p>
    <w:p w14:paraId="4444C1A0" w14:textId="1CC5007A" w:rsidR="004A2D02" w:rsidRDefault="004A2D02" w:rsidP="00ED232F">
      <w:pPr>
        <w:pStyle w:val="NoSpacing"/>
        <w:jc w:val="both"/>
        <w:rPr>
          <w:rFonts w:ascii="Cambria" w:hAnsi="Cambria"/>
          <w:sz w:val="20"/>
          <w:szCs w:val="20"/>
        </w:rPr>
      </w:pPr>
    </w:p>
    <w:p w14:paraId="4CB01845" w14:textId="1A9FE1A4" w:rsidR="004A2D02" w:rsidRDefault="004A2D02" w:rsidP="00ED232F">
      <w:pPr>
        <w:pStyle w:val="NoSpacing"/>
        <w:jc w:val="both"/>
        <w:rPr>
          <w:rFonts w:ascii="Cambria" w:hAnsi="Cambria"/>
          <w:sz w:val="20"/>
          <w:szCs w:val="20"/>
        </w:rPr>
      </w:pPr>
    </w:p>
    <w:p w14:paraId="02A00A80" w14:textId="50BF93A3" w:rsidR="004A2D02" w:rsidRDefault="004A2D02" w:rsidP="00ED232F">
      <w:pPr>
        <w:pStyle w:val="NoSpacing"/>
        <w:jc w:val="both"/>
        <w:rPr>
          <w:rFonts w:ascii="Cambria" w:hAnsi="Cambria"/>
          <w:sz w:val="20"/>
          <w:szCs w:val="20"/>
        </w:rPr>
      </w:pPr>
    </w:p>
    <w:p w14:paraId="608FA477" w14:textId="01A54852" w:rsidR="004A2D02" w:rsidRDefault="004A2D02" w:rsidP="00ED232F">
      <w:pPr>
        <w:pStyle w:val="NoSpacing"/>
        <w:jc w:val="both"/>
        <w:rPr>
          <w:rFonts w:ascii="Cambria" w:hAnsi="Cambria"/>
          <w:sz w:val="20"/>
          <w:szCs w:val="20"/>
        </w:rPr>
      </w:pPr>
    </w:p>
    <w:p w14:paraId="3CD41229" w14:textId="2EC9745B" w:rsidR="004A2D02" w:rsidRDefault="004A2D02" w:rsidP="00ED232F">
      <w:pPr>
        <w:pStyle w:val="NoSpacing"/>
        <w:jc w:val="both"/>
        <w:rPr>
          <w:rFonts w:ascii="Cambria" w:hAnsi="Cambria"/>
          <w:sz w:val="20"/>
          <w:szCs w:val="20"/>
        </w:rPr>
      </w:pPr>
    </w:p>
    <w:p w14:paraId="0181949D" w14:textId="632EFE6F" w:rsidR="004A2D02" w:rsidRDefault="004A2D02" w:rsidP="00ED232F">
      <w:pPr>
        <w:pStyle w:val="NoSpacing"/>
        <w:jc w:val="both"/>
        <w:rPr>
          <w:rFonts w:ascii="Cambria" w:hAnsi="Cambria"/>
          <w:sz w:val="20"/>
          <w:szCs w:val="20"/>
        </w:rPr>
      </w:pPr>
    </w:p>
    <w:p w14:paraId="1CE3D965" w14:textId="6C17BA4D" w:rsidR="004A2D02" w:rsidRDefault="004A2D02" w:rsidP="00ED232F">
      <w:pPr>
        <w:pStyle w:val="NoSpacing"/>
        <w:jc w:val="both"/>
        <w:rPr>
          <w:rFonts w:ascii="Cambria" w:hAnsi="Cambria"/>
          <w:sz w:val="20"/>
          <w:szCs w:val="20"/>
        </w:rPr>
      </w:pPr>
    </w:p>
    <w:p w14:paraId="6553082B" w14:textId="3D6D3E8D" w:rsidR="004A2D02" w:rsidRDefault="004A2D02" w:rsidP="00ED232F">
      <w:pPr>
        <w:pStyle w:val="NoSpacing"/>
        <w:jc w:val="both"/>
        <w:rPr>
          <w:rFonts w:ascii="Cambria" w:hAnsi="Cambria"/>
          <w:sz w:val="20"/>
          <w:szCs w:val="20"/>
        </w:rPr>
      </w:pPr>
    </w:p>
    <w:p w14:paraId="23057467" w14:textId="234F4A58" w:rsidR="004A2D02" w:rsidRDefault="004A2D02" w:rsidP="00ED232F">
      <w:pPr>
        <w:pStyle w:val="NoSpacing"/>
        <w:jc w:val="both"/>
        <w:rPr>
          <w:rFonts w:ascii="Cambria" w:hAnsi="Cambria"/>
          <w:sz w:val="20"/>
          <w:szCs w:val="20"/>
        </w:rPr>
      </w:pPr>
    </w:p>
    <w:p w14:paraId="33E3CAEA" w14:textId="44EC4EA5" w:rsidR="004A2D02" w:rsidRDefault="004A2D02" w:rsidP="00ED232F">
      <w:pPr>
        <w:pStyle w:val="NoSpacing"/>
        <w:jc w:val="both"/>
        <w:rPr>
          <w:rFonts w:ascii="Cambria" w:hAnsi="Cambria"/>
          <w:sz w:val="20"/>
          <w:szCs w:val="20"/>
        </w:rPr>
      </w:pPr>
    </w:p>
    <w:p w14:paraId="3891EF67" w14:textId="519A05A1" w:rsidR="004A2D02" w:rsidRDefault="004A2D02" w:rsidP="00ED232F">
      <w:pPr>
        <w:pStyle w:val="NoSpacing"/>
        <w:jc w:val="both"/>
        <w:rPr>
          <w:rFonts w:ascii="Cambria" w:hAnsi="Cambria"/>
          <w:sz w:val="20"/>
          <w:szCs w:val="20"/>
        </w:rPr>
      </w:pPr>
    </w:p>
    <w:p w14:paraId="1CD6C8B5" w14:textId="76DE8BB6" w:rsidR="004A2D02" w:rsidRDefault="004A2D02" w:rsidP="00ED232F">
      <w:pPr>
        <w:pStyle w:val="NoSpacing"/>
        <w:jc w:val="both"/>
        <w:rPr>
          <w:rFonts w:ascii="Cambria" w:hAnsi="Cambria"/>
          <w:sz w:val="20"/>
          <w:szCs w:val="20"/>
        </w:rPr>
      </w:pPr>
    </w:p>
    <w:p w14:paraId="52A2BBA7" w14:textId="4805DD4B" w:rsidR="004A2D02" w:rsidRDefault="004A2D02" w:rsidP="00ED232F">
      <w:pPr>
        <w:pStyle w:val="NoSpacing"/>
        <w:jc w:val="both"/>
        <w:rPr>
          <w:rFonts w:ascii="Cambria" w:hAnsi="Cambria"/>
          <w:sz w:val="20"/>
          <w:szCs w:val="20"/>
        </w:rPr>
      </w:pPr>
    </w:p>
    <w:p w14:paraId="2407681B" w14:textId="4B318FD3" w:rsidR="004A2D02" w:rsidRDefault="004A2D02" w:rsidP="00ED232F">
      <w:pPr>
        <w:pStyle w:val="NoSpacing"/>
        <w:jc w:val="both"/>
        <w:rPr>
          <w:rFonts w:ascii="Cambria" w:hAnsi="Cambria"/>
          <w:sz w:val="20"/>
          <w:szCs w:val="20"/>
        </w:rPr>
      </w:pPr>
    </w:p>
    <w:p w14:paraId="47677E73" w14:textId="686AD1B9" w:rsidR="004A2D02" w:rsidRDefault="004A2D02" w:rsidP="00ED232F">
      <w:pPr>
        <w:pStyle w:val="NoSpacing"/>
        <w:jc w:val="both"/>
        <w:rPr>
          <w:rFonts w:ascii="Cambria" w:hAnsi="Cambria"/>
          <w:sz w:val="20"/>
          <w:szCs w:val="20"/>
        </w:rPr>
      </w:pPr>
    </w:p>
    <w:p w14:paraId="64FC9F24" w14:textId="77777777" w:rsidR="004A2D02" w:rsidRPr="00ED232F" w:rsidRDefault="004A2D02" w:rsidP="00ED232F">
      <w:pPr>
        <w:pStyle w:val="NoSpacing"/>
        <w:jc w:val="both"/>
        <w:rPr>
          <w:rFonts w:ascii="Cambria" w:hAnsi="Cambria"/>
          <w:sz w:val="20"/>
          <w:szCs w:val="20"/>
        </w:rPr>
      </w:pPr>
    </w:p>
    <w:p w14:paraId="124D20A1" w14:textId="77777777" w:rsidR="00ED232F" w:rsidRDefault="00ED232F"/>
    <w:p w14:paraId="33E96F3F" w14:textId="77777777" w:rsidR="00865A3A" w:rsidRDefault="00865A3A"/>
    <w:p w14:paraId="1D5D848D" w14:textId="77777777" w:rsidR="00865A3A" w:rsidRDefault="00865A3A"/>
    <w:p w14:paraId="27B2E5B3" w14:textId="77777777" w:rsidR="00865A3A" w:rsidRDefault="00865A3A"/>
    <w:p w14:paraId="1522BAA7" w14:textId="77777777" w:rsidR="00AF6BD6" w:rsidRPr="004D701D" w:rsidRDefault="00AF6BD6">
      <w:pPr>
        <w:rPr>
          <w:lang w:val="en-GB"/>
        </w:rPr>
      </w:pPr>
    </w:p>
    <w:p w14:paraId="705F5C1A" w14:textId="77777777" w:rsidR="00A90901" w:rsidRPr="004D701D" w:rsidRDefault="00A90901">
      <w:pPr>
        <w:divId w:val="324431953"/>
        <w:rPr>
          <w:noProof/>
          <w:lang w:val="en-GB"/>
        </w:rPr>
      </w:pPr>
    </w:p>
    <w:p w14:paraId="155D3D92" w14:textId="77777777" w:rsidR="00A90901" w:rsidRPr="004D701D" w:rsidRDefault="00A90901">
      <w:pPr>
        <w:rPr>
          <w:lang w:val="en-GB"/>
        </w:rPr>
      </w:pPr>
    </w:p>
    <w:p w14:paraId="350FC1B6" w14:textId="77777777" w:rsidR="00A90901" w:rsidRPr="004D701D" w:rsidRDefault="00A90901">
      <w:pPr>
        <w:pStyle w:val="NoSpacing"/>
        <w:jc w:val="both"/>
        <w:rPr>
          <w:rFonts w:ascii="Cambria" w:hAnsi="Cambria"/>
          <w:b/>
          <w:szCs w:val="20"/>
          <w:lang w:val="en-GB"/>
        </w:rPr>
      </w:pPr>
    </w:p>
    <w:p w14:paraId="38873B62" w14:textId="77777777" w:rsidR="00443E0C" w:rsidRPr="004D701D" w:rsidRDefault="00443E0C">
      <w:pPr>
        <w:pStyle w:val="NoSpacing"/>
        <w:jc w:val="both"/>
        <w:rPr>
          <w:rFonts w:ascii="Cambria" w:hAnsi="Cambria"/>
          <w:b/>
          <w:szCs w:val="20"/>
          <w:lang w:val="en-GB"/>
        </w:rPr>
      </w:pPr>
    </w:p>
    <w:p w14:paraId="36FDF764" w14:textId="77777777" w:rsidR="00443E0C" w:rsidRPr="004D701D" w:rsidRDefault="00443E0C" w:rsidP="00A90901">
      <w:pPr>
        <w:pStyle w:val="NoSpacing"/>
        <w:jc w:val="both"/>
        <w:rPr>
          <w:rFonts w:ascii="Cambria" w:hAnsi="Cambria"/>
          <w:sz w:val="20"/>
          <w:szCs w:val="20"/>
          <w:lang w:val="en-GB"/>
        </w:rPr>
      </w:pPr>
    </w:p>
    <w:sectPr w:rsidR="00443E0C" w:rsidRPr="004D701D" w:rsidSect="002B07D0">
      <w:headerReference w:type="default" r:id="rId20"/>
      <w:type w:val="continuous"/>
      <w:pgSz w:w="11907" w:h="16840"/>
      <w:pgMar w:top="720" w:right="720" w:bottom="720" w:left="720" w:header="720" w:footer="720" w:gutter="0"/>
      <w:cols w:num="2" w:space="432"/>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E9CF20" w14:textId="77777777" w:rsidR="007C34D2" w:rsidRDefault="007C34D2">
      <w:pPr>
        <w:spacing w:after="0" w:line="240" w:lineRule="auto"/>
      </w:pPr>
      <w:r>
        <w:separator/>
      </w:r>
    </w:p>
  </w:endnote>
  <w:endnote w:type="continuationSeparator" w:id="0">
    <w:p w14:paraId="70FC2F74" w14:textId="77777777" w:rsidR="007C34D2" w:rsidRDefault="007C34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Times">
    <w:panose1 w:val="02020603050405020304"/>
    <w:charset w:val="00"/>
    <w:family w:val="roman"/>
    <w:pitch w:val="variable"/>
    <w:sig w:usb0="E0002EFF" w:usb1="C000785B" w:usb2="00000009" w:usb3="00000000" w:csb0="000001FF" w:csb1="00000000"/>
  </w:font>
  <w:font w:name="BatangChe">
    <w:charset w:val="81"/>
    <w:family w:val="modern"/>
    <w:pitch w:val="fixed"/>
    <w:sig w:usb0="B00002AF" w:usb1="69D77CFB" w:usb2="00000030" w:usb3="00000000" w:csb0="0008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F6FD69" w14:textId="6A818574" w:rsidR="00405DB3" w:rsidRDefault="00BF5409" w:rsidP="00405DB3">
    <w:pPr>
      <w:pStyle w:val="Footer"/>
      <w:rPr>
        <w:rFonts w:ascii="Cambria" w:hAnsi="Cambria" w:cs="Cambria"/>
        <w:b/>
        <w:bCs/>
        <w:color w:val="585858"/>
      </w:rPr>
    </w:pPr>
    <w:r>
      <w:rPr>
        <w:rFonts w:ascii="Cambria" w:hAnsi="Cambria" w:cs="Cambria"/>
        <w:b/>
        <w:bCs/>
        <w:noProof/>
        <w:color w:val="585858"/>
        <w:lang w:val="en-GB" w:eastAsia="en-GB"/>
      </w:rPr>
      <mc:AlternateContent>
        <mc:Choice Requires="wps">
          <w:drawing>
            <wp:anchor distT="0" distB="0" distL="114300" distR="114300" simplePos="0" relativeHeight="251659776" behindDoc="0" locked="0" layoutInCell="1" allowOverlap="1" wp14:anchorId="63162903" wp14:editId="6268D35D">
              <wp:simplePos x="0" y="0"/>
              <wp:positionH relativeFrom="column">
                <wp:posOffset>5715</wp:posOffset>
              </wp:positionH>
              <wp:positionV relativeFrom="paragraph">
                <wp:posOffset>67310</wp:posOffset>
              </wp:positionV>
              <wp:extent cx="6685280" cy="0"/>
              <wp:effectExtent l="5715" t="8890" r="5080" b="10160"/>
              <wp:wrapNone/>
              <wp:docPr id="5"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A56729A" id="_x0000_t32" coordsize="21600,21600" o:spt="32" o:oned="t" path="m,l21600,21600e" filled="f">
              <v:path arrowok="t" fillok="f" o:connecttype="none"/>
              <o:lock v:ext="edit" shapetype="t"/>
            </v:shapetype>
            <v:shape id="AutoShape 1" o:spid="_x0000_s1026" type="#_x0000_t32" style="position:absolute;margin-left:.45pt;margin-top:5.3pt;width:526.4pt;height:0;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" strokecolor="gray"/>
          </w:pict>
        </mc:Fallback>
      </mc:AlternateContent>
    </w:r>
    <w:r>
      <w:rPr>
        <w:rFonts w:ascii="Cambria" w:hAnsi="Cambria" w:cs="Cambria"/>
        <w:b/>
        <w:bCs/>
        <w:noProof/>
        <w:color w:val="585858"/>
        <w:lang w:val="en-GB" w:eastAsia="en-GB"/>
      </w:rPr>
      <mc:AlternateContent>
        <mc:Choice Requires="wps">
          <w:drawing>
            <wp:anchor distT="0" distB="0" distL="114300" distR="114300" simplePos="0" relativeHeight="251658752" behindDoc="0" locked="0" layoutInCell="1" allowOverlap="1" wp14:anchorId="64304017" wp14:editId="13D34A1E">
              <wp:simplePos x="0" y="0"/>
              <wp:positionH relativeFrom="column">
                <wp:posOffset>5715</wp:posOffset>
              </wp:positionH>
              <wp:positionV relativeFrom="paragraph">
                <wp:posOffset>99060</wp:posOffset>
              </wp:positionV>
              <wp:extent cx="6685280" cy="0"/>
              <wp:effectExtent l="5715" t="12065" r="5080" b="698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1CC9E95" id="AutoShape 1" o:spid="_x0000_s1026" type="#_x0000_t32" style="position:absolute;margin-left:.45pt;margin-top:7.8pt;width:526.4pt;height:0;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" strokecolor="gray"/>
          </w:pict>
        </mc:Fallback>
      </mc:AlternateContent>
    </w:r>
  </w:p>
  <w:p w14:paraId="2064A221" w14:textId="7F408C18" w:rsidR="00443E0C" w:rsidRPr="00AA4767" w:rsidRDefault="00405DB3" w:rsidP="00405DB3">
    <w:pPr>
      <w:pStyle w:val="Footer"/>
      <w:rPr>
        <w:rFonts w:ascii="Cambria" w:hAnsi="Cambria"/>
        <w:sz w:val="20"/>
      </w:rPr>
    </w:pPr>
    <w:r w:rsidRPr="00AA4767">
      <w:rPr>
        <w:rFonts w:ascii="Cambria" w:hAnsi="Cambria" w:cs="Cambria"/>
        <w:b/>
        <w:bCs/>
        <w:color w:val="585858"/>
        <w:sz w:val="20"/>
      </w:rPr>
      <w:t>©</w:t>
    </w:r>
    <w:r w:rsidRPr="00AA4767">
      <w:rPr>
        <w:rFonts w:ascii="Cambria" w:hAnsi="Cambria" w:cs="Cambria"/>
        <w:b/>
        <w:bCs/>
        <w:color w:val="585858"/>
        <w:spacing w:val="1"/>
        <w:sz w:val="20"/>
      </w:rPr>
      <w:t xml:space="preserve"> 20</w:t>
    </w:r>
    <w:r w:rsidRPr="00AA4767">
      <w:rPr>
        <w:rFonts w:ascii="Cambria" w:hAnsi="Cambria" w:cs="Cambria"/>
        <w:b/>
        <w:bCs/>
        <w:color w:val="585858"/>
        <w:spacing w:val="-4"/>
        <w:sz w:val="20"/>
      </w:rPr>
      <w:t>2</w:t>
    </w:r>
    <w:r w:rsidR="00542F02">
      <w:rPr>
        <w:rFonts w:ascii="Cambria" w:hAnsi="Cambria" w:cs="Cambria"/>
        <w:b/>
        <w:bCs/>
        <w:color w:val="585858"/>
        <w:spacing w:val="-4"/>
        <w:sz w:val="20"/>
      </w:rPr>
      <w:t>3</w:t>
    </w:r>
    <w:r w:rsidRPr="00AA4767">
      <w:rPr>
        <w:rFonts w:ascii="Cambria" w:hAnsi="Cambria" w:cs="Cambria"/>
        <w:b/>
        <w:bCs/>
        <w:color w:val="585858"/>
        <w:sz w:val="20"/>
      </w:rPr>
      <w:t>,</w:t>
    </w:r>
    <w:r w:rsidRPr="00AA4767">
      <w:rPr>
        <w:rFonts w:ascii="Cambria" w:hAnsi="Cambria" w:cs="Cambria"/>
        <w:b/>
        <w:bCs/>
        <w:color w:val="585858"/>
        <w:spacing w:val="1"/>
        <w:sz w:val="20"/>
      </w:rPr>
      <w:t xml:space="preserve"> UWTSD-</w:t>
    </w:r>
    <w:r w:rsidR="00B13FA1" w:rsidRPr="00AA4767">
      <w:rPr>
        <w:rFonts w:ascii="Cambria" w:hAnsi="Cambria" w:cs="Cambria"/>
        <w:b/>
        <w:bCs/>
        <w:color w:val="585858"/>
        <w:spacing w:val="1"/>
        <w:sz w:val="20"/>
      </w:rPr>
      <w:t>SAE</w:t>
    </w:r>
    <w:r w:rsidRPr="00AA4767">
      <w:rPr>
        <w:rFonts w:ascii="Cambria" w:hAnsi="Cambria" w:cs="Cambria"/>
        <w:b/>
        <w:bCs/>
        <w:color w:val="585858"/>
        <w:spacing w:val="-1"/>
        <w:sz w:val="20"/>
      </w:rPr>
      <w:t xml:space="preserve">   |</w:t>
    </w:r>
    <w:r w:rsidRPr="00AA4767">
      <w:rPr>
        <w:rFonts w:ascii="Cambria" w:hAnsi="Cambria" w:cs="Cambria"/>
        <w:b/>
        <w:bCs/>
        <w:color w:val="585858"/>
        <w:spacing w:val="-1"/>
        <w:sz w:val="20"/>
      </w:rPr>
      <w:tab/>
    </w:r>
    <w:r w:rsidRPr="00AA4767">
      <w:rPr>
        <w:rFonts w:ascii="Cambria" w:hAnsi="Cambria" w:cs="Cambria"/>
        <w:b/>
        <w:bCs/>
        <w:color w:val="585858"/>
        <w:spacing w:val="-1"/>
        <w:sz w:val="20"/>
      </w:rPr>
      <w:tab/>
    </w:r>
    <w:r w:rsidR="009E298A" w:rsidRPr="00AA4767">
      <w:rPr>
        <w:rFonts w:ascii="Cambria" w:hAnsi="Cambria" w:cs="Cambria"/>
        <w:b/>
        <w:bCs/>
        <w:color w:val="585858"/>
        <w:spacing w:val="-1"/>
        <w:sz w:val="20"/>
      </w:rPr>
      <w:t xml:space="preserve">        </w:t>
    </w:r>
    <w:r w:rsidRPr="00AA4767">
      <w:rPr>
        <w:rFonts w:ascii="Cambria" w:hAnsi="Cambria"/>
        <w:sz w:val="20"/>
      </w:rPr>
      <w:t xml:space="preserve">Page </w:t>
    </w:r>
    <w:r w:rsidRPr="00AA4767">
      <w:rPr>
        <w:rFonts w:ascii="Cambria" w:hAnsi="Cambria"/>
        <w:sz w:val="20"/>
      </w:rPr>
      <w:fldChar w:fldCharType="begin"/>
    </w:r>
    <w:r w:rsidRPr="00AA4767">
      <w:rPr>
        <w:rFonts w:ascii="Cambria" w:hAnsi="Cambria"/>
        <w:sz w:val="20"/>
      </w:rPr>
      <w:instrText xml:space="preserve"> PAGE   \* MERGEFORMAT </w:instrText>
    </w:r>
    <w:r w:rsidRPr="00AA4767">
      <w:rPr>
        <w:rFonts w:ascii="Cambria" w:hAnsi="Cambria"/>
        <w:sz w:val="20"/>
      </w:rPr>
      <w:fldChar w:fldCharType="separate"/>
    </w:r>
    <w:r w:rsidR="000F378D" w:rsidRPr="000F378D">
      <w:rPr>
        <w:rFonts w:ascii="Cambria" w:hAnsi="Cambria"/>
        <w:noProof/>
        <w:sz w:val="20"/>
        <w:lang w:val="en-GB" w:eastAsia="en-GB"/>
      </w:rPr>
      <w:t>2</w:t>
    </w:r>
    <w:r w:rsidRPr="00AA4767">
      <w:rPr>
        <w:rFonts w:ascii="Cambria" w:hAnsi="Cambria"/>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8E9C36" w14:textId="77777777" w:rsidR="007C34D2" w:rsidRDefault="007C34D2">
      <w:pPr>
        <w:spacing w:after="0" w:line="240" w:lineRule="auto"/>
      </w:pPr>
      <w:r>
        <w:separator/>
      </w:r>
    </w:p>
  </w:footnote>
  <w:footnote w:type="continuationSeparator" w:id="0">
    <w:p w14:paraId="101F3BB9" w14:textId="77777777" w:rsidR="007C34D2" w:rsidRDefault="007C34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F05497" w14:textId="2A8F2D94" w:rsidR="007F18D6" w:rsidRDefault="00BF5409">
    <w:pPr>
      <w:pStyle w:val="Heading1"/>
      <w:spacing w:line="240" w:lineRule="auto"/>
      <w:rPr>
        <w:rStyle w:val="Strong"/>
      </w:rPr>
    </w:pPr>
    <w:r>
      <w:rPr>
        <w:rStyle w:val="Strong"/>
        <w:noProof/>
      </w:rPr>
      <w:drawing>
        <wp:inline distT="0" distB="0" distL="0" distR="0" wp14:anchorId="564D650C" wp14:editId="4E04D5E9">
          <wp:extent cx="1355725" cy="54927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55725" cy="549275"/>
                  </a:xfrm>
                  <a:prstGeom prst="rect">
                    <a:avLst/>
                  </a:prstGeom>
                  <a:noFill/>
                  <a:ln>
                    <a:noFill/>
                  </a:ln>
                </pic:spPr>
              </pic:pic>
            </a:graphicData>
          </a:graphic>
        </wp:inline>
      </w:drawing>
    </w:r>
  </w:p>
  <w:p w14:paraId="36EA22A9" w14:textId="77777777" w:rsidR="00443E0C" w:rsidRDefault="007F18D6" w:rsidP="007F18D6">
    <w:pPr>
      <w:pStyle w:val="Heading1"/>
      <w:spacing w:line="240" w:lineRule="auto"/>
      <w:ind w:firstLine="720"/>
      <w:rPr>
        <w:rStyle w:val="Strong"/>
        <w:sz w:val="20"/>
        <w:szCs w:val="20"/>
      </w:rPr>
    </w:pPr>
    <w:r>
      <w:rPr>
        <w:rStyle w:val="Strong"/>
      </w:rPr>
      <w:t xml:space="preserve">UWTSD </w:t>
    </w:r>
    <w:r>
      <w:rPr>
        <w:sz w:val="24"/>
        <w:szCs w:val="24"/>
      </w:rPr>
      <w:t xml:space="preserve">Automotive </w:t>
    </w:r>
    <w:r w:rsidR="00443E0C">
      <w:rPr>
        <w:sz w:val="24"/>
        <w:szCs w:val="24"/>
      </w:rPr>
      <w:t xml:space="preserve">Engineering </w:t>
    </w:r>
    <w:r w:rsidR="00443E0C">
      <w:rPr>
        <w:rStyle w:val="Strong"/>
        <w:b/>
        <w:sz w:val="24"/>
        <w:szCs w:val="24"/>
      </w:rPr>
      <w:t>(</w:t>
    </w:r>
    <w:r w:rsidR="00B13FA1">
      <w:rPr>
        <w:rStyle w:val="Strong"/>
        <w:b/>
        <w:sz w:val="24"/>
        <w:szCs w:val="24"/>
      </w:rPr>
      <w:t>UWTSD-S</w:t>
    </w:r>
    <w:r>
      <w:rPr>
        <w:rStyle w:val="Strong"/>
        <w:b/>
        <w:sz w:val="24"/>
        <w:szCs w:val="24"/>
      </w:rPr>
      <w:t>AE</w:t>
    </w:r>
    <w:r w:rsidR="00443E0C">
      <w:rPr>
        <w:rStyle w:val="Strong"/>
        <w:b/>
        <w:sz w:val="24"/>
        <w:szCs w:val="24"/>
      </w:rPr>
      <w:t>)</w:t>
    </w:r>
    <w:r w:rsidR="00443E0C">
      <w:rPr>
        <w:rStyle w:val="Strong"/>
        <w:sz w:val="20"/>
        <w:szCs w:val="20"/>
      </w:rPr>
      <w:t xml:space="preserve"> </w:t>
    </w:r>
    <w:r>
      <w:rPr>
        <w:rStyle w:val="Strong"/>
        <w:sz w:val="20"/>
        <w:szCs w:val="20"/>
      </w:rPr>
      <w:tab/>
    </w:r>
    <w:r>
      <w:rPr>
        <w:rStyle w:val="Strong"/>
        <w:sz w:val="20"/>
        <w:szCs w:val="20"/>
      </w:rPr>
      <w:tab/>
    </w:r>
    <w:r>
      <w:rPr>
        <w:rStyle w:val="Strong"/>
        <w:sz w:val="20"/>
        <w:szCs w:val="20"/>
      </w:rPr>
      <w:tab/>
    </w:r>
    <w:r w:rsidR="00443E0C">
      <w:rPr>
        <w:rStyle w:val="Strong"/>
        <w:sz w:val="20"/>
        <w:szCs w:val="20"/>
      </w:rPr>
      <w:t xml:space="preserve"> </w:t>
    </w:r>
    <w:r w:rsidR="00D30BA1">
      <w:rPr>
        <w:rStyle w:val="Strong"/>
        <w:b/>
        <w:sz w:val="20"/>
        <w:szCs w:val="20"/>
      </w:rPr>
      <w:t xml:space="preserve">     </w:t>
    </w:r>
  </w:p>
  <w:p w14:paraId="4F408655" w14:textId="771F3E8E" w:rsidR="00443E0C" w:rsidRPr="00B13FA1" w:rsidRDefault="00562127" w:rsidP="007F18D6">
    <w:pPr>
      <w:pStyle w:val="Heading1"/>
      <w:spacing w:before="0"/>
      <w:rPr>
        <w:rStyle w:val="IntenseEmphasis"/>
        <w:b/>
        <w:bCs/>
        <w:i w:val="0"/>
        <w:iCs w:val="0"/>
        <w:color w:val="7F7F7F"/>
        <w:sz w:val="20"/>
        <w:szCs w:val="20"/>
      </w:rPr>
    </w:pPr>
    <w:r>
      <w:rPr>
        <w:color w:val="7F7F7F"/>
        <w:sz w:val="20"/>
        <w:szCs w:val="20"/>
      </w:rPr>
      <w:t xml:space="preserve">               </w:t>
    </w:r>
    <w:r w:rsidR="00743D1F">
      <w:rPr>
        <w:color w:val="7F7F7F"/>
        <w:sz w:val="20"/>
        <w:szCs w:val="20"/>
      </w:rPr>
      <w:t xml:space="preserve"> </w:t>
    </w:r>
    <w:r w:rsidR="00B13FA1">
      <w:rPr>
        <w:color w:val="7F7F7F"/>
        <w:sz w:val="20"/>
        <w:szCs w:val="20"/>
      </w:rPr>
      <w:t>Module</w:t>
    </w:r>
    <w:r w:rsidR="00443E0C">
      <w:rPr>
        <w:color w:val="7F7F7F"/>
        <w:sz w:val="20"/>
        <w:szCs w:val="20"/>
      </w:rPr>
      <w:t xml:space="preserve">: </w:t>
    </w:r>
    <w:r w:rsidR="00135759" w:rsidRPr="00135759">
      <w:rPr>
        <w:color w:val="7F7F7F"/>
        <w:sz w:val="20"/>
        <w:szCs w:val="20"/>
      </w:rPr>
      <w:t>Automotive Materials &amp; Sustainability</w:t>
    </w:r>
    <w:r w:rsidR="00B13FA1">
      <w:rPr>
        <w:color w:val="7F7F7F"/>
        <w:sz w:val="20"/>
        <w:szCs w:val="20"/>
      </w:rPr>
      <w:tab/>
    </w:r>
    <w:r w:rsidR="00B13FA1">
      <w:rPr>
        <w:color w:val="7F7F7F"/>
        <w:sz w:val="20"/>
        <w:szCs w:val="20"/>
      </w:rPr>
      <w:tab/>
    </w:r>
    <w:r w:rsidR="00B13FA1">
      <w:rPr>
        <w:color w:val="7F7F7F"/>
        <w:sz w:val="20"/>
        <w:szCs w:val="20"/>
      </w:rPr>
      <w:tab/>
    </w:r>
    <w:r w:rsidR="00B13FA1">
      <w:rPr>
        <w:color w:val="7F7F7F"/>
        <w:sz w:val="20"/>
        <w:szCs w:val="20"/>
      </w:rPr>
      <w:tab/>
    </w:r>
    <w:r w:rsidR="00B13FA1">
      <w:rPr>
        <w:color w:val="7F7F7F"/>
        <w:sz w:val="20"/>
        <w:szCs w:val="20"/>
      </w:rPr>
      <w:tab/>
    </w:r>
    <w:r w:rsidR="004B770B">
      <w:rPr>
        <w:color w:val="7F7F7F"/>
        <w:sz w:val="20"/>
        <w:szCs w:val="20"/>
      </w:rPr>
      <w:t xml:space="preserve">                            </w:t>
    </w:r>
    <w:r w:rsidR="00135759">
      <w:rPr>
        <w:color w:val="7F7F7F"/>
        <w:sz w:val="20"/>
        <w:szCs w:val="20"/>
      </w:rPr>
      <w:t>28</w:t>
    </w:r>
    <w:r w:rsidR="00443E0C">
      <w:rPr>
        <w:color w:val="7F7F7F"/>
        <w:sz w:val="20"/>
        <w:szCs w:val="20"/>
      </w:rPr>
      <w:t xml:space="preserve"> | </w:t>
    </w:r>
    <w:r w:rsidR="00E17478">
      <w:rPr>
        <w:color w:val="7F7F7F"/>
        <w:sz w:val="20"/>
        <w:szCs w:val="20"/>
      </w:rPr>
      <w:t>Mar</w:t>
    </w:r>
    <w:r w:rsidR="002E7845">
      <w:rPr>
        <w:color w:val="7F7F7F"/>
        <w:sz w:val="20"/>
        <w:szCs w:val="20"/>
      </w:rPr>
      <w:t xml:space="preserve"> </w:t>
    </w:r>
    <w:r w:rsidR="00443E0C">
      <w:rPr>
        <w:color w:val="7F7F7F"/>
        <w:sz w:val="20"/>
        <w:szCs w:val="20"/>
      </w:rPr>
      <w:t>20</w:t>
    </w:r>
    <w:r w:rsidR="00FA1819">
      <w:rPr>
        <w:color w:val="7F7F7F"/>
        <w:sz w:val="20"/>
        <w:szCs w:val="20"/>
      </w:rPr>
      <w:t>2</w:t>
    </w:r>
    <w:r w:rsidR="00E17478">
      <w:rPr>
        <w:color w:val="7F7F7F"/>
        <w:sz w:val="20"/>
        <w:szCs w:val="20"/>
      </w:rPr>
      <w:t>3</w:t>
    </w:r>
    <w:r w:rsidR="00443E0C">
      <w:rPr>
        <w:rStyle w:val="Strong"/>
        <w:b/>
        <w:sz w:val="20"/>
        <w:szCs w:val="20"/>
      </w:rPr>
      <w:t xml:space="preserve">      </w:t>
    </w:r>
    <w:r w:rsidR="00D30BA1">
      <w:rPr>
        <w:rStyle w:val="Strong"/>
        <w:b/>
        <w:sz w:val="20"/>
        <w:szCs w:val="20"/>
      </w:rPr>
      <w:t xml:space="preserve"> </w:t>
    </w:r>
    <w:r w:rsidR="00443E0C">
      <w:rPr>
        <w:rStyle w:val="Strong"/>
        <w:b/>
        <w:sz w:val="20"/>
        <w:szCs w:val="20"/>
      </w:rPr>
      <w:t xml:space="preserve">      </w:t>
    </w:r>
    <w:r w:rsidR="0002287F">
      <w:rPr>
        <w:rStyle w:val="Strong"/>
        <w:b/>
        <w:sz w:val="20"/>
        <w:szCs w:val="20"/>
      </w:rPr>
      <w:t xml:space="preserve"> </w:t>
    </w:r>
    <w:r w:rsidR="00443E0C">
      <w:rPr>
        <w:rStyle w:val="Strong"/>
        <w:b/>
        <w:sz w:val="20"/>
        <w:szCs w:val="20"/>
      </w:rPr>
      <w:t xml:space="preserve">                                                     </w:t>
    </w:r>
    <w:r w:rsidR="00872AF0">
      <w:rPr>
        <w:rStyle w:val="Strong"/>
        <w:b/>
        <w:sz w:val="20"/>
        <w:szCs w:val="20"/>
      </w:rPr>
      <w:t xml:space="preserve"> </w:t>
    </w:r>
    <w:r w:rsidR="00443E0C">
      <w:rPr>
        <w:rStyle w:val="Strong"/>
        <w:b/>
        <w:sz w:val="20"/>
        <w:szCs w:val="20"/>
      </w:rPr>
      <w:t xml:space="preserve">              </w:t>
    </w:r>
    <w:r w:rsidR="005D0129">
      <w:rPr>
        <w:rStyle w:val="Strong"/>
        <w:b/>
        <w:sz w:val="20"/>
        <w:szCs w:val="20"/>
      </w:rPr>
      <w:t xml:space="preserve">   </w:t>
    </w:r>
    <w:r w:rsidR="002D1859">
      <w:rPr>
        <w:rStyle w:val="Strong"/>
        <w:b/>
        <w:sz w:val="20"/>
        <w:szCs w:val="20"/>
      </w:rPr>
      <w:t xml:space="preserve"> </w:t>
    </w:r>
    <w:r w:rsidR="002C676D">
      <w:rPr>
        <w:rStyle w:val="Strong"/>
        <w:b/>
        <w:sz w:val="20"/>
        <w:szCs w:val="20"/>
      </w:rPr>
      <w:t xml:space="preserve"> </w:t>
    </w:r>
  </w:p>
  <w:p w14:paraId="796E5C04" w14:textId="51B920F0" w:rsidR="00443E0C" w:rsidRDefault="00BF5409">
    <w:pPr>
      <w:pStyle w:val="Header"/>
      <w:spacing w:after="120"/>
      <w:rPr>
        <w:rFonts w:ascii="Cambria" w:hAnsi="Cambria"/>
        <w:b/>
        <w:color w:val="7F7F7F"/>
        <w:sz w:val="20"/>
        <w:szCs w:val="20"/>
      </w:rPr>
    </w:pPr>
    <w:r>
      <w:rPr>
        <w:rFonts w:ascii="Cambria" w:hAnsi="Cambria"/>
        <w:b/>
        <w:noProof/>
        <w:color w:val="7F7F7F"/>
        <w:sz w:val="20"/>
        <w:szCs w:val="20"/>
        <w:lang w:val="en-GB" w:eastAsia="en-GB"/>
      </w:rPr>
      <mc:AlternateContent>
        <mc:Choice Requires="wps">
          <w:drawing>
            <wp:anchor distT="0" distB="0" distL="114300" distR="114300" simplePos="0" relativeHeight="251655680" behindDoc="0" locked="0" layoutInCell="1" allowOverlap="1" wp14:anchorId="42C0374C" wp14:editId="3EFB820E">
              <wp:simplePos x="0" y="0"/>
              <wp:positionH relativeFrom="column">
                <wp:posOffset>-13335</wp:posOffset>
              </wp:positionH>
              <wp:positionV relativeFrom="paragraph">
                <wp:posOffset>20955</wp:posOffset>
              </wp:positionV>
              <wp:extent cx="6685280" cy="0"/>
              <wp:effectExtent l="5715" t="7620" r="5080" b="11430"/>
              <wp:wrapNone/>
              <wp:docPr id="6"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999E33B" id="_x0000_t32" coordsize="21600,21600" o:spt="32" o:oned="t" path="m,l21600,21600e" filled="f">
              <v:path arrowok="t" fillok="f" o:connecttype="none"/>
              <o:lock v:ext="edit" shapetype="t"/>
            </v:shapetype>
            <v:shape id="AutoShape 1" o:spid="_x0000_s1026" type="#_x0000_t32" style="position:absolute;margin-left:-1.05pt;margin-top:1.65pt;width:526.4pt;height:0;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" strokecolor="gray"/>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DB859E" w14:textId="1B9A3F83" w:rsidR="002B07D0" w:rsidRDefault="00BF5409" w:rsidP="00F33C03">
    <w:pPr>
      <w:pStyle w:val="Heading1"/>
      <w:spacing w:line="240" w:lineRule="auto"/>
      <w:rPr>
        <w:b w:val="0"/>
        <w:color w:val="7F7F7F"/>
        <w:sz w:val="20"/>
        <w:szCs w:val="20"/>
      </w:rPr>
    </w:pPr>
    <w:r>
      <w:rPr>
        <w:rStyle w:val="Strong"/>
        <w:noProof/>
      </w:rPr>
      <w:drawing>
        <wp:inline distT="0" distB="0" distL="0" distR="0" wp14:anchorId="062F3ECA" wp14:editId="112ACB29">
          <wp:extent cx="1353820" cy="553720"/>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53820" cy="553720"/>
                  </a:xfrm>
                  <a:prstGeom prst="rect">
                    <a:avLst/>
                  </a:prstGeom>
                  <a:noFill/>
                  <a:ln>
                    <a:noFill/>
                  </a:ln>
                </pic:spPr>
              </pic:pic>
            </a:graphicData>
          </a:graphic>
        </wp:inline>
      </w:drawing>
    </w:r>
    <w:r>
      <w:rPr>
        <w:b w:val="0"/>
        <w:noProof/>
        <w:color w:val="7F7F7F"/>
        <w:sz w:val="20"/>
        <w:szCs w:val="20"/>
        <w:lang w:val="en-GB" w:eastAsia="en-GB"/>
      </w:rPr>
      <mc:AlternateContent>
        <mc:Choice Requires="wps">
          <w:drawing>
            <wp:anchor distT="0" distB="0" distL="114300" distR="114300" simplePos="0" relativeHeight="251656704" behindDoc="0" locked="0" layoutInCell="1" allowOverlap="1" wp14:anchorId="6516A413" wp14:editId="50A1A8C8">
              <wp:simplePos x="0" y="0"/>
              <wp:positionH relativeFrom="column">
                <wp:posOffset>-13335</wp:posOffset>
              </wp:positionH>
              <wp:positionV relativeFrom="paragraph">
                <wp:posOffset>20955</wp:posOffset>
              </wp:positionV>
              <wp:extent cx="6685280" cy="0"/>
              <wp:effectExtent l="5715" t="12065" r="5080" b="6985"/>
              <wp:wrapNone/>
              <wp:docPr id="2"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4DBE617A" id="_x0000_t32" coordsize="21600,21600" o:spt="32" o:oned="t" path="m,l21600,21600e" filled="f">
              <v:path arrowok="t" fillok="f" o:connecttype="none"/>
              <o:lock v:ext="edit" shapetype="t"/>
            </v:shapetype>
            <v:shape id="AutoShape 1" o:spid="_x0000_s1026" type="#_x0000_t32" style="position:absolute;margin-left:-1.05pt;margin-top:1.65pt;width:526.4pt;height:0;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" strokecolor="gray"/>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855861"/>
    <w:multiLevelType w:val="multilevel"/>
    <w:tmpl w:val="2B855861"/>
    <w:lvl w:ilvl="0">
      <w:start w:val="1"/>
      <w:numFmt w:val="decimal"/>
      <w:pStyle w:val="IEEEReferenceItem"/>
      <w:lvlText w:val="[%1]"/>
      <w:lvlJc w:val="left"/>
      <w:pPr>
        <w:tabs>
          <w:tab w:val="num" w:pos="432"/>
        </w:tabs>
        <w:ind w:left="432" w:hanging="432"/>
      </w:pPr>
      <w:rPr>
        <w:rFonts w:hint="default"/>
      </w:rPr>
    </w:lvl>
    <w:lvl w:ilvl="1">
      <w:start w:val="1"/>
      <w:numFmt w:val="decimal"/>
      <w:lvlText w:val="%1.%2)"/>
      <w:lvlJc w:val="left"/>
      <w:pPr>
        <w:tabs>
          <w:tab w:val="num" w:pos="936"/>
        </w:tabs>
        <w:ind w:left="936" w:hanging="720"/>
      </w:pPr>
      <w:rPr>
        <w:rFonts w:hint="default"/>
      </w:rPr>
    </w:lvl>
    <w:lvl w:ilvl="2">
      <w:start w:val="1"/>
      <w:numFmt w:val="decimal"/>
      <w:pStyle w:val="Heading3"/>
      <w:lvlText w:val="%3)"/>
      <w:lvlJc w:val="left"/>
      <w:pPr>
        <w:tabs>
          <w:tab w:val="num" w:pos="360"/>
        </w:tabs>
        <w:ind w:left="360" w:hanging="360"/>
      </w:pPr>
      <w:rPr>
        <w:rFonts w:hint="default"/>
      </w:rPr>
    </w:lvl>
    <w:lvl w:ilvl="3">
      <w:start w:val="1"/>
      <w:numFmt w:val="decimal"/>
      <w:lvlText w:val="%1.%2)%3.%4."/>
      <w:lvlJc w:val="left"/>
      <w:pPr>
        <w:tabs>
          <w:tab w:val="num" w:pos="1296"/>
        </w:tabs>
        <w:ind w:left="1296" w:hanging="1080"/>
      </w:pPr>
      <w:rPr>
        <w:rFonts w:hint="default"/>
      </w:rPr>
    </w:lvl>
    <w:lvl w:ilvl="4">
      <w:start w:val="1"/>
      <w:numFmt w:val="decimal"/>
      <w:lvlText w:val="%1.%2)%3.%4.%5."/>
      <w:lvlJc w:val="left"/>
      <w:pPr>
        <w:tabs>
          <w:tab w:val="num" w:pos="1296"/>
        </w:tabs>
        <w:ind w:left="1296" w:hanging="1080"/>
      </w:pPr>
      <w:rPr>
        <w:rFonts w:hint="default"/>
      </w:rPr>
    </w:lvl>
    <w:lvl w:ilvl="5">
      <w:start w:val="1"/>
      <w:numFmt w:val="decimal"/>
      <w:lvlText w:val="%1.%2)%3.%4.%5.%6."/>
      <w:lvlJc w:val="left"/>
      <w:pPr>
        <w:tabs>
          <w:tab w:val="num" w:pos="1656"/>
        </w:tabs>
        <w:ind w:left="1656" w:hanging="1440"/>
      </w:pPr>
      <w:rPr>
        <w:rFonts w:hint="default"/>
      </w:rPr>
    </w:lvl>
    <w:lvl w:ilvl="6">
      <w:start w:val="1"/>
      <w:numFmt w:val="decimal"/>
      <w:lvlText w:val="%1.%2)%3.%4.%5.%6.%7."/>
      <w:lvlJc w:val="left"/>
      <w:pPr>
        <w:tabs>
          <w:tab w:val="num" w:pos="1656"/>
        </w:tabs>
        <w:ind w:left="1656" w:hanging="1440"/>
      </w:pPr>
      <w:rPr>
        <w:rFonts w:hint="default"/>
      </w:rPr>
    </w:lvl>
    <w:lvl w:ilvl="7">
      <w:start w:val="1"/>
      <w:numFmt w:val="decimal"/>
      <w:lvlText w:val="%1.%2)%3.%4.%5.%6.%7.%8."/>
      <w:lvlJc w:val="left"/>
      <w:pPr>
        <w:tabs>
          <w:tab w:val="num" w:pos="2016"/>
        </w:tabs>
        <w:ind w:left="2016" w:hanging="1800"/>
      </w:pPr>
      <w:rPr>
        <w:rFonts w:hint="default"/>
      </w:rPr>
    </w:lvl>
    <w:lvl w:ilvl="8">
      <w:start w:val="1"/>
      <w:numFmt w:val="decimal"/>
      <w:lvlText w:val="%1.%2)%3.%4.%5.%6.%7.%8.%9."/>
      <w:lvlJc w:val="left"/>
      <w:pPr>
        <w:tabs>
          <w:tab w:val="num" w:pos="2016"/>
        </w:tabs>
        <w:ind w:left="2016" w:hanging="1800"/>
      </w:pPr>
      <w:rPr>
        <w:rFonts w:hint="default"/>
      </w:rPr>
    </w:lvl>
  </w:abstractNum>
  <w:abstractNum w:abstractNumId="1" w15:restartNumberingAfterBreak="0">
    <w:nsid w:val="52CA544A"/>
    <w:multiLevelType w:val="singleLevel"/>
    <w:tmpl w:val="52CA544A"/>
    <w:lvl w:ilvl="0">
      <w:start w:val="1"/>
      <w:numFmt w:val="decimal"/>
      <w:pStyle w:val="references"/>
      <w:lvlText w:val="[%1]"/>
      <w:lvlJc w:val="left"/>
      <w:pPr>
        <w:tabs>
          <w:tab w:val="num" w:pos="501"/>
        </w:tabs>
        <w:ind w:left="501" w:hanging="360"/>
      </w:pPr>
      <w:rPr>
        <w:rFonts w:ascii="Times New Roman" w:hAnsi="Times New Roman" w:cs="Times New Roman" w:hint="default"/>
        <w:b w:val="0"/>
        <w:bCs w:val="0"/>
        <w:i w:val="0"/>
        <w:iCs w:val="0"/>
        <w:sz w:val="16"/>
        <w:szCs w:val="16"/>
      </w:rPr>
    </w:lvl>
  </w:abstractNum>
  <w:abstractNum w:abstractNumId="2" w15:restartNumberingAfterBreak="0">
    <w:nsid w:val="63225582"/>
    <w:multiLevelType w:val="hybridMultilevel"/>
    <w:tmpl w:val="4D729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625850"/>
    <w:multiLevelType w:val="multilevel"/>
    <w:tmpl w:val="E85A850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831404124">
    <w:abstractNumId w:val="0"/>
  </w:num>
  <w:num w:numId="2" w16cid:durableId="579144652">
    <w:abstractNumId w:val="1"/>
  </w:num>
  <w:num w:numId="3" w16cid:durableId="845629303">
    <w:abstractNumId w:val="3"/>
  </w:num>
  <w:num w:numId="4" w16cid:durableId="1677954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10"/>
  <w:displayHorizontalDrawingGridEvery w:val="2"/>
  <w:characterSpacingControl w:val="doNotCompress"/>
  <w:hdrShapeDefaults>
    <o:shapedefaults v:ext="edit" spidmax="2050" fillcolor="white">
      <v:fill color="white"/>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3CF"/>
    <w:rsid w:val="000107CD"/>
    <w:rsid w:val="00020A63"/>
    <w:rsid w:val="0002287F"/>
    <w:rsid w:val="00027AA3"/>
    <w:rsid w:val="00031384"/>
    <w:rsid w:val="000352E1"/>
    <w:rsid w:val="00036D21"/>
    <w:rsid w:val="000407A4"/>
    <w:rsid w:val="00041FB9"/>
    <w:rsid w:val="00042E45"/>
    <w:rsid w:val="000459D5"/>
    <w:rsid w:val="000470B1"/>
    <w:rsid w:val="000518D3"/>
    <w:rsid w:val="0005584A"/>
    <w:rsid w:val="00056D4D"/>
    <w:rsid w:val="0007109D"/>
    <w:rsid w:val="00073800"/>
    <w:rsid w:val="000748D9"/>
    <w:rsid w:val="0008044F"/>
    <w:rsid w:val="00097831"/>
    <w:rsid w:val="000A2AF9"/>
    <w:rsid w:val="000B0280"/>
    <w:rsid w:val="000C4162"/>
    <w:rsid w:val="000F08DE"/>
    <w:rsid w:val="000F378D"/>
    <w:rsid w:val="001039B4"/>
    <w:rsid w:val="00112DE8"/>
    <w:rsid w:val="00123B0F"/>
    <w:rsid w:val="00126823"/>
    <w:rsid w:val="00130A02"/>
    <w:rsid w:val="00134BDE"/>
    <w:rsid w:val="00135759"/>
    <w:rsid w:val="001371CC"/>
    <w:rsid w:val="001563B0"/>
    <w:rsid w:val="00164865"/>
    <w:rsid w:val="00166CA7"/>
    <w:rsid w:val="00166FDB"/>
    <w:rsid w:val="001818D5"/>
    <w:rsid w:val="00182848"/>
    <w:rsid w:val="00187C84"/>
    <w:rsid w:val="00196E87"/>
    <w:rsid w:val="001C2853"/>
    <w:rsid w:val="001D1154"/>
    <w:rsid w:val="001D14D3"/>
    <w:rsid w:val="001D5BC4"/>
    <w:rsid w:val="001D6B3C"/>
    <w:rsid w:val="001D7344"/>
    <w:rsid w:val="001F7767"/>
    <w:rsid w:val="001F78CA"/>
    <w:rsid w:val="00200F6D"/>
    <w:rsid w:val="00205DC6"/>
    <w:rsid w:val="00206400"/>
    <w:rsid w:val="0022095C"/>
    <w:rsid w:val="002217D3"/>
    <w:rsid w:val="00224092"/>
    <w:rsid w:val="00224B4C"/>
    <w:rsid w:val="002401E9"/>
    <w:rsid w:val="0024448C"/>
    <w:rsid w:val="0025580E"/>
    <w:rsid w:val="00270871"/>
    <w:rsid w:val="00271187"/>
    <w:rsid w:val="00284DE8"/>
    <w:rsid w:val="002A3029"/>
    <w:rsid w:val="002A3B04"/>
    <w:rsid w:val="002B07D0"/>
    <w:rsid w:val="002C676D"/>
    <w:rsid w:val="002C6ED7"/>
    <w:rsid w:val="002D11E1"/>
    <w:rsid w:val="002D1859"/>
    <w:rsid w:val="002D415D"/>
    <w:rsid w:val="002E0627"/>
    <w:rsid w:val="002E2566"/>
    <w:rsid w:val="002E30C8"/>
    <w:rsid w:val="002E7845"/>
    <w:rsid w:val="002F6390"/>
    <w:rsid w:val="002F65F2"/>
    <w:rsid w:val="00307610"/>
    <w:rsid w:val="00316467"/>
    <w:rsid w:val="00317E54"/>
    <w:rsid w:val="0032119D"/>
    <w:rsid w:val="00324D96"/>
    <w:rsid w:val="003265CA"/>
    <w:rsid w:val="00331227"/>
    <w:rsid w:val="003323E9"/>
    <w:rsid w:val="00345F25"/>
    <w:rsid w:val="0035070A"/>
    <w:rsid w:val="00354E3E"/>
    <w:rsid w:val="00361F49"/>
    <w:rsid w:val="00362DBB"/>
    <w:rsid w:val="00367BB0"/>
    <w:rsid w:val="0037013A"/>
    <w:rsid w:val="003817F5"/>
    <w:rsid w:val="00382148"/>
    <w:rsid w:val="00382382"/>
    <w:rsid w:val="00382D69"/>
    <w:rsid w:val="0038736E"/>
    <w:rsid w:val="00397C33"/>
    <w:rsid w:val="003A456B"/>
    <w:rsid w:val="003B230E"/>
    <w:rsid w:val="003B39B4"/>
    <w:rsid w:val="003C2D77"/>
    <w:rsid w:val="003C31D7"/>
    <w:rsid w:val="003E2AF0"/>
    <w:rsid w:val="003E4110"/>
    <w:rsid w:val="003E717B"/>
    <w:rsid w:val="004013C6"/>
    <w:rsid w:val="00405DB3"/>
    <w:rsid w:val="00405E72"/>
    <w:rsid w:val="0040654A"/>
    <w:rsid w:val="00411BD9"/>
    <w:rsid w:val="00413BC7"/>
    <w:rsid w:val="00423E5D"/>
    <w:rsid w:val="0042406D"/>
    <w:rsid w:val="00443E0C"/>
    <w:rsid w:val="004443F5"/>
    <w:rsid w:val="00480D34"/>
    <w:rsid w:val="004835AE"/>
    <w:rsid w:val="004931A5"/>
    <w:rsid w:val="004A02A3"/>
    <w:rsid w:val="004A2D02"/>
    <w:rsid w:val="004A329B"/>
    <w:rsid w:val="004A36C2"/>
    <w:rsid w:val="004B2DB7"/>
    <w:rsid w:val="004B770B"/>
    <w:rsid w:val="004D0804"/>
    <w:rsid w:val="004D701D"/>
    <w:rsid w:val="004F0438"/>
    <w:rsid w:val="004F47DB"/>
    <w:rsid w:val="005028EE"/>
    <w:rsid w:val="00516129"/>
    <w:rsid w:val="005167BD"/>
    <w:rsid w:val="0052584B"/>
    <w:rsid w:val="0052792C"/>
    <w:rsid w:val="005330FF"/>
    <w:rsid w:val="005375AA"/>
    <w:rsid w:val="00540CB6"/>
    <w:rsid w:val="00541FAA"/>
    <w:rsid w:val="00542B5A"/>
    <w:rsid w:val="00542F02"/>
    <w:rsid w:val="005466B1"/>
    <w:rsid w:val="00562127"/>
    <w:rsid w:val="00566007"/>
    <w:rsid w:val="005669C9"/>
    <w:rsid w:val="0057777A"/>
    <w:rsid w:val="00583792"/>
    <w:rsid w:val="00590459"/>
    <w:rsid w:val="005912C8"/>
    <w:rsid w:val="00594609"/>
    <w:rsid w:val="00596860"/>
    <w:rsid w:val="005A6167"/>
    <w:rsid w:val="005A6499"/>
    <w:rsid w:val="005D0129"/>
    <w:rsid w:val="005E55B8"/>
    <w:rsid w:val="005E576B"/>
    <w:rsid w:val="005F41E5"/>
    <w:rsid w:val="00606160"/>
    <w:rsid w:val="00610CD6"/>
    <w:rsid w:val="00615581"/>
    <w:rsid w:val="006175A9"/>
    <w:rsid w:val="006176C0"/>
    <w:rsid w:val="0062184B"/>
    <w:rsid w:val="00623CED"/>
    <w:rsid w:val="00625506"/>
    <w:rsid w:val="006256E2"/>
    <w:rsid w:val="0062579B"/>
    <w:rsid w:val="00643DDF"/>
    <w:rsid w:val="00671804"/>
    <w:rsid w:val="00676F95"/>
    <w:rsid w:val="00687025"/>
    <w:rsid w:val="00687910"/>
    <w:rsid w:val="00687BF8"/>
    <w:rsid w:val="00691C0F"/>
    <w:rsid w:val="00692646"/>
    <w:rsid w:val="006A1C25"/>
    <w:rsid w:val="006A1E5C"/>
    <w:rsid w:val="006A79C2"/>
    <w:rsid w:val="006B324C"/>
    <w:rsid w:val="006B5879"/>
    <w:rsid w:val="006B696B"/>
    <w:rsid w:val="006B6F46"/>
    <w:rsid w:val="006C02D1"/>
    <w:rsid w:val="006C190C"/>
    <w:rsid w:val="006C5A57"/>
    <w:rsid w:val="006D3872"/>
    <w:rsid w:val="006E1ECB"/>
    <w:rsid w:val="006F1AB8"/>
    <w:rsid w:val="006F471D"/>
    <w:rsid w:val="00701DCF"/>
    <w:rsid w:val="00703B54"/>
    <w:rsid w:val="00706613"/>
    <w:rsid w:val="00713947"/>
    <w:rsid w:val="00717FA9"/>
    <w:rsid w:val="007205D4"/>
    <w:rsid w:val="007322A0"/>
    <w:rsid w:val="00743D1F"/>
    <w:rsid w:val="00744D9E"/>
    <w:rsid w:val="00746840"/>
    <w:rsid w:val="00764CD0"/>
    <w:rsid w:val="00764E9F"/>
    <w:rsid w:val="0078055E"/>
    <w:rsid w:val="00784C80"/>
    <w:rsid w:val="00790C6F"/>
    <w:rsid w:val="007A50AC"/>
    <w:rsid w:val="007A6C3E"/>
    <w:rsid w:val="007A7F45"/>
    <w:rsid w:val="007C02A6"/>
    <w:rsid w:val="007C34D2"/>
    <w:rsid w:val="007C6C7A"/>
    <w:rsid w:val="007C6E1E"/>
    <w:rsid w:val="007D2E33"/>
    <w:rsid w:val="007F18D6"/>
    <w:rsid w:val="008324A7"/>
    <w:rsid w:val="00834908"/>
    <w:rsid w:val="00834A7B"/>
    <w:rsid w:val="00837B91"/>
    <w:rsid w:val="008423C6"/>
    <w:rsid w:val="008518EC"/>
    <w:rsid w:val="00851C04"/>
    <w:rsid w:val="0085266F"/>
    <w:rsid w:val="00854036"/>
    <w:rsid w:val="00857510"/>
    <w:rsid w:val="00863CDA"/>
    <w:rsid w:val="00865A3A"/>
    <w:rsid w:val="00865EBA"/>
    <w:rsid w:val="00872116"/>
    <w:rsid w:val="00872AF0"/>
    <w:rsid w:val="00880D10"/>
    <w:rsid w:val="00881659"/>
    <w:rsid w:val="008A4C34"/>
    <w:rsid w:val="008B34F1"/>
    <w:rsid w:val="008C3128"/>
    <w:rsid w:val="008C6BCE"/>
    <w:rsid w:val="008E2ECE"/>
    <w:rsid w:val="008F007A"/>
    <w:rsid w:val="008F1B08"/>
    <w:rsid w:val="008F1D5E"/>
    <w:rsid w:val="009156B9"/>
    <w:rsid w:val="00917703"/>
    <w:rsid w:val="00925CF8"/>
    <w:rsid w:val="00926AEF"/>
    <w:rsid w:val="00926C7A"/>
    <w:rsid w:val="0094074D"/>
    <w:rsid w:val="009414B4"/>
    <w:rsid w:val="009551E6"/>
    <w:rsid w:val="00963789"/>
    <w:rsid w:val="0097077D"/>
    <w:rsid w:val="00972889"/>
    <w:rsid w:val="009774F4"/>
    <w:rsid w:val="009914FF"/>
    <w:rsid w:val="00993705"/>
    <w:rsid w:val="00995F77"/>
    <w:rsid w:val="009A354E"/>
    <w:rsid w:val="009A596C"/>
    <w:rsid w:val="009B0385"/>
    <w:rsid w:val="009B08BB"/>
    <w:rsid w:val="009B0FD5"/>
    <w:rsid w:val="009B17B2"/>
    <w:rsid w:val="009B1D3C"/>
    <w:rsid w:val="009B7BA5"/>
    <w:rsid w:val="009C4236"/>
    <w:rsid w:val="009E2541"/>
    <w:rsid w:val="009E298A"/>
    <w:rsid w:val="009E5284"/>
    <w:rsid w:val="00A06A7A"/>
    <w:rsid w:val="00A102C0"/>
    <w:rsid w:val="00A13B85"/>
    <w:rsid w:val="00A14979"/>
    <w:rsid w:val="00A152B1"/>
    <w:rsid w:val="00A24D60"/>
    <w:rsid w:val="00A25D7C"/>
    <w:rsid w:val="00A27C3A"/>
    <w:rsid w:val="00A34E75"/>
    <w:rsid w:val="00A4786F"/>
    <w:rsid w:val="00A64E97"/>
    <w:rsid w:val="00A65545"/>
    <w:rsid w:val="00A70EB7"/>
    <w:rsid w:val="00A74A48"/>
    <w:rsid w:val="00A76CB8"/>
    <w:rsid w:val="00A77E75"/>
    <w:rsid w:val="00A840AB"/>
    <w:rsid w:val="00A84574"/>
    <w:rsid w:val="00A861AA"/>
    <w:rsid w:val="00A90901"/>
    <w:rsid w:val="00A94776"/>
    <w:rsid w:val="00AA0B65"/>
    <w:rsid w:val="00AA4767"/>
    <w:rsid w:val="00AB2591"/>
    <w:rsid w:val="00AC7422"/>
    <w:rsid w:val="00AD33CF"/>
    <w:rsid w:val="00AD4148"/>
    <w:rsid w:val="00AF6BD6"/>
    <w:rsid w:val="00AF708B"/>
    <w:rsid w:val="00B101AB"/>
    <w:rsid w:val="00B10D9C"/>
    <w:rsid w:val="00B12178"/>
    <w:rsid w:val="00B13D1B"/>
    <w:rsid w:val="00B13FA1"/>
    <w:rsid w:val="00B237AD"/>
    <w:rsid w:val="00B3079C"/>
    <w:rsid w:val="00B31652"/>
    <w:rsid w:val="00B405AA"/>
    <w:rsid w:val="00B420AE"/>
    <w:rsid w:val="00B44C63"/>
    <w:rsid w:val="00B465BF"/>
    <w:rsid w:val="00B513D1"/>
    <w:rsid w:val="00B7506E"/>
    <w:rsid w:val="00B77A2C"/>
    <w:rsid w:val="00B82EF6"/>
    <w:rsid w:val="00B84176"/>
    <w:rsid w:val="00B96CD3"/>
    <w:rsid w:val="00B96E61"/>
    <w:rsid w:val="00BA043F"/>
    <w:rsid w:val="00BA204C"/>
    <w:rsid w:val="00BB4907"/>
    <w:rsid w:val="00BC1614"/>
    <w:rsid w:val="00BC400A"/>
    <w:rsid w:val="00BC562B"/>
    <w:rsid w:val="00BC5CB0"/>
    <w:rsid w:val="00BF2411"/>
    <w:rsid w:val="00BF4F05"/>
    <w:rsid w:val="00BF5409"/>
    <w:rsid w:val="00C04715"/>
    <w:rsid w:val="00C106FB"/>
    <w:rsid w:val="00C231BC"/>
    <w:rsid w:val="00C406C2"/>
    <w:rsid w:val="00C6119B"/>
    <w:rsid w:val="00C7601A"/>
    <w:rsid w:val="00C821B5"/>
    <w:rsid w:val="00C8508B"/>
    <w:rsid w:val="00C86022"/>
    <w:rsid w:val="00C86411"/>
    <w:rsid w:val="00C87F1E"/>
    <w:rsid w:val="00C90E62"/>
    <w:rsid w:val="00C91E3E"/>
    <w:rsid w:val="00CA3EAD"/>
    <w:rsid w:val="00CA4A19"/>
    <w:rsid w:val="00CB210C"/>
    <w:rsid w:val="00CB5FF4"/>
    <w:rsid w:val="00CC6310"/>
    <w:rsid w:val="00CD75F6"/>
    <w:rsid w:val="00CF4666"/>
    <w:rsid w:val="00D01C09"/>
    <w:rsid w:val="00D15A0A"/>
    <w:rsid w:val="00D15C96"/>
    <w:rsid w:val="00D21294"/>
    <w:rsid w:val="00D2697A"/>
    <w:rsid w:val="00D2741B"/>
    <w:rsid w:val="00D30BA1"/>
    <w:rsid w:val="00D52F78"/>
    <w:rsid w:val="00D532C4"/>
    <w:rsid w:val="00D6033B"/>
    <w:rsid w:val="00D72A5D"/>
    <w:rsid w:val="00D74055"/>
    <w:rsid w:val="00D74C7A"/>
    <w:rsid w:val="00D754EF"/>
    <w:rsid w:val="00D76179"/>
    <w:rsid w:val="00D76B9C"/>
    <w:rsid w:val="00D83959"/>
    <w:rsid w:val="00D86E5A"/>
    <w:rsid w:val="00D9366C"/>
    <w:rsid w:val="00DA1766"/>
    <w:rsid w:val="00DB5150"/>
    <w:rsid w:val="00DB5A19"/>
    <w:rsid w:val="00DC2DA4"/>
    <w:rsid w:val="00DC5012"/>
    <w:rsid w:val="00DE47DF"/>
    <w:rsid w:val="00DE4E64"/>
    <w:rsid w:val="00E00D22"/>
    <w:rsid w:val="00E109BC"/>
    <w:rsid w:val="00E1428D"/>
    <w:rsid w:val="00E14CBC"/>
    <w:rsid w:val="00E17298"/>
    <w:rsid w:val="00E17478"/>
    <w:rsid w:val="00E17E30"/>
    <w:rsid w:val="00E20888"/>
    <w:rsid w:val="00E217C9"/>
    <w:rsid w:val="00E27548"/>
    <w:rsid w:val="00E43104"/>
    <w:rsid w:val="00E53933"/>
    <w:rsid w:val="00E55D26"/>
    <w:rsid w:val="00E609A4"/>
    <w:rsid w:val="00E70314"/>
    <w:rsid w:val="00E73AF0"/>
    <w:rsid w:val="00E7797E"/>
    <w:rsid w:val="00E83EFA"/>
    <w:rsid w:val="00E84F41"/>
    <w:rsid w:val="00E901A8"/>
    <w:rsid w:val="00EA2B67"/>
    <w:rsid w:val="00EB0E63"/>
    <w:rsid w:val="00EC060E"/>
    <w:rsid w:val="00EC4CB9"/>
    <w:rsid w:val="00EC4F1B"/>
    <w:rsid w:val="00EC501A"/>
    <w:rsid w:val="00ED232F"/>
    <w:rsid w:val="00ED2424"/>
    <w:rsid w:val="00ED48B3"/>
    <w:rsid w:val="00ED4D14"/>
    <w:rsid w:val="00EE1564"/>
    <w:rsid w:val="00EE51AC"/>
    <w:rsid w:val="00EE7DCD"/>
    <w:rsid w:val="00EF36CF"/>
    <w:rsid w:val="00EF4A54"/>
    <w:rsid w:val="00EF78AF"/>
    <w:rsid w:val="00F147C1"/>
    <w:rsid w:val="00F23B40"/>
    <w:rsid w:val="00F24796"/>
    <w:rsid w:val="00F249EF"/>
    <w:rsid w:val="00F27476"/>
    <w:rsid w:val="00F311A0"/>
    <w:rsid w:val="00F33C03"/>
    <w:rsid w:val="00F4200A"/>
    <w:rsid w:val="00F458C1"/>
    <w:rsid w:val="00F71B9A"/>
    <w:rsid w:val="00F72165"/>
    <w:rsid w:val="00F7398B"/>
    <w:rsid w:val="00F834D5"/>
    <w:rsid w:val="00F906E0"/>
    <w:rsid w:val="00FA1819"/>
    <w:rsid w:val="00FA4F0A"/>
    <w:rsid w:val="00FA694B"/>
    <w:rsid w:val="00FA6CC8"/>
    <w:rsid w:val="00FB3F63"/>
    <w:rsid w:val="00FB51E6"/>
    <w:rsid w:val="00FC2AA5"/>
    <w:rsid w:val="00FC6A19"/>
    <w:rsid w:val="00FC7E41"/>
    <w:rsid w:val="00FE1782"/>
    <w:rsid w:val="00FE2052"/>
    <w:rsid w:val="00FE4646"/>
    <w:rsid w:val="00FE7BA8"/>
    <w:rsid w:val="00FF1E84"/>
    <w:rsid w:val="388579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2FBD4314"/>
  <w15:chartTrackingRefBased/>
  <w15:docId w15:val="{2B1C4BD4-0F16-4EB6-82B0-E48DBDB7C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0"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qFormat="1"/>
    <w:lsdException w:name="Quote" w:qFormat="1"/>
    <w:lsdException w:name="Intense Quote"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val="en-US" w:eastAsia="en-US"/>
    </w:rPr>
  </w:style>
  <w:style w:type="paragraph" w:styleId="Heading1">
    <w:name w:val="heading 1"/>
    <w:basedOn w:val="Normal"/>
    <w:next w:val="Normal"/>
    <w:link w:val="Heading1Char"/>
    <w:uiPriority w:val="9"/>
    <w:qFormat/>
    <w:pPr>
      <w:keepNext/>
      <w:spacing w:before="240" w:after="60"/>
      <w:outlineLvl w:val="0"/>
    </w:pPr>
    <w:rPr>
      <w:rFonts w:ascii="Cambria" w:hAnsi="Cambria"/>
      <w:b/>
      <w:bCs/>
      <w:kern w:val="32"/>
      <w:sz w:val="32"/>
      <w:szCs w:val="32"/>
    </w:rPr>
  </w:style>
  <w:style w:type="paragraph" w:styleId="Heading2">
    <w:name w:val="heading 2"/>
    <w:basedOn w:val="Normal"/>
    <w:next w:val="Normal"/>
    <w:link w:val="Heading2Char"/>
    <w:uiPriority w:val="9"/>
    <w:qFormat/>
    <w:pPr>
      <w:keepNext/>
      <w:keepLines/>
      <w:spacing w:before="200" w:after="0"/>
      <w:outlineLvl w:val="1"/>
    </w:pPr>
    <w:rPr>
      <w:rFonts w:ascii="Cambria" w:hAnsi="Cambria"/>
      <w:b/>
      <w:bCs/>
      <w:color w:val="4F81BD"/>
      <w:sz w:val="26"/>
      <w:szCs w:val="26"/>
    </w:rPr>
  </w:style>
  <w:style w:type="paragraph" w:styleId="Heading3">
    <w:name w:val="heading 3"/>
    <w:basedOn w:val="Normal"/>
    <w:next w:val="Normal"/>
    <w:link w:val="Heading3Char"/>
    <w:qFormat/>
    <w:pPr>
      <w:keepNext/>
      <w:numPr>
        <w:ilvl w:val="2"/>
        <w:numId w:val="1"/>
      </w:numPr>
      <w:tabs>
        <w:tab w:val="left" w:pos="360"/>
      </w:tabs>
      <w:spacing w:before="240" w:after="60" w:line="240" w:lineRule="auto"/>
      <w:outlineLvl w:val="2"/>
    </w:pPr>
    <w:rPr>
      <w:rFonts w:ascii="Arial" w:eastAsia="SimSun" w:hAnsi="Arial" w:cs="Arial"/>
      <w:b/>
      <w:bCs/>
      <w:sz w:val="26"/>
      <w:szCs w:val="26"/>
      <w:lang w:val="en-AU" w:eastAsia="zh-CN"/>
    </w:rPr>
  </w:style>
  <w:style w:type="paragraph" w:styleId="Heading4">
    <w:name w:val="heading 4"/>
    <w:basedOn w:val="Normal"/>
    <w:next w:val="Normal"/>
    <w:link w:val="Heading4Char"/>
    <w:uiPriority w:val="9"/>
    <w:qFormat/>
    <w:pPr>
      <w:keepNext/>
      <w:keepLines/>
      <w:spacing w:before="200" w:after="0"/>
      <w:outlineLvl w:val="3"/>
    </w:pPr>
    <w:rPr>
      <w:rFonts w:ascii="Cambria" w:hAnsi="Cambria"/>
      <w:b/>
      <w:bCs/>
      <w:i/>
      <w:iCs/>
      <w:color w:val="4F81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Pr>
      <w:color w:val="0000FF"/>
      <w:u w:val="single"/>
    </w:rPr>
  </w:style>
  <w:style w:type="character" w:styleId="Strong">
    <w:name w:val="Strong"/>
    <w:uiPriority w:val="22"/>
    <w:qFormat/>
    <w:rPr>
      <w:b/>
      <w:bCs/>
    </w:rPr>
  </w:style>
  <w:style w:type="character" w:customStyle="1" w:styleId="HeaderChar">
    <w:name w:val="Header Char"/>
    <w:link w:val="Header"/>
    <w:uiPriority w:val="99"/>
    <w:rPr>
      <w:rFonts w:ascii="Calibri" w:eastAsia="Calibri" w:hAnsi="Calibri" w:cs="Times New Roman"/>
    </w:rPr>
  </w:style>
  <w:style w:type="character" w:customStyle="1" w:styleId="SubtitleChar">
    <w:name w:val="Subtitle Char"/>
    <w:link w:val="Subtitle"/>
    <w:uiPriority w:val="11"/>
    <w:rPr>
      <w:rFonts w:ascii="Cambria" w:eastAsia="Times New Roman" w:hAnsi="Cambria" w:cs="Times New Roman"/>
      <w:i/>
      <w:iCs/>
      <w:color w:val="4F81BD"/>
      <w:spacing w:val="15"/>
      <w:sz w:val="24"/>
      <w:szCs w:val="24"/>
    </w:rPr>
  </w:style>
  <w:style w:type="character" w:customStyle="1" w:styleId="Heading1Char">
    <w:name w:val="Heading 1 Char"/>
    <w:link w:val="Heading1"/>
    <w:uiPriority w:val="9"/>
    <w:rPr>
      <w:rFonts w:ascii="Cambria" w:eastAsia="Times New Roman" w:hAnsi="Cambria" w:cs="Times New Roman"/>
      <w:b/>
      <w:bCs/>
      <w:kern w:val="32"/>
      <w:sz w:val="32"/>
      <w:szCs w:val="32"/>
    </w:rPr>
  </w:style>
  <w:style w:type="character" w:customStyle="1" w:styleId="IEEEParagraphChar">
    <w:name w:val="IEEE Paragraph Char"/>
    <w:link w:val="IEEEParagraph"/>
    <w:rPr>
      <w:rFonts w:ascii="Times New Roman" w:eastAsia="SimSun" w:hAnsi="Times New Roman"/>
      <w:szCs w:val="24"/>
      <w:lang w:val="en-AU" w:eastAsia="zh-CN"/>
    </w:rPr>
  </w:style>
  <w:style w:type="character" w:customStyle="1" w:styleId="Heading3Char">
    <w:name w:val="Heading 3 Char"/>
    <w:link w:val="Heading3"/>
    <w:rPr>
      <w:rFonts w:ascii="Arial" w:eastAsia="SimSun" w:hAnsi="Arial" w:cs="Arial"/>
      <w:b/>
      <w:bCs/>
      <w:sz w:val="26"/>
      <w:szCs w:val="26"/>
      <w:lang w:val="en-AU" w:eastAsia="zh-CN"/>
    </w:rPr>
  </w:style>
  <w:style w:type="character" w:styleId="IntenseEmphasis">
    <w:name w:val="Intense Emphasis"/>
    <w:uiPriority w:val="21"/>
    <w:qFormat/>
    <w:rPr>
      <w:b/>
      <w:bCs/>
      <w:i/>
      <w:iCs/>
      <w:color w:val="4F81BD"/>
    </w:rPr>
  </w:style>
  <w:style w:type="character" w:customStyle="1" w:styleId="FooterChar">
    <w:name w:val="Footer Char"/>
    <w:link w:val="Footer"/>
    <w:uiPriority w:val="99"/>
    <w:rPr>
      <w:rFonts w:ascii="Calibri" w:eastAsia="Calibri" w:hAnsi="Calibri" w:cs="Times New Roman"/>
    </w:rPr>
  </w:style>
  <w:style w:type="character" w:customStyle="1" w:styleId="Heading4Char">
    <w:name w:val="Heading 4 Char"/>
    <w:link w:val="Heading4"/>
    <w:uiPriority w:val="9"/>
    <w:rPr>
      <w:rFonts w:ascii="Cambria" w:eastAsia="Times New Roman" w:hAnsi="Cambria" w:cs="Times New Roman"/>
      <w:b/>
      <w:bCs/>
      <w:i/>
      <w:iCs/>
      <w:color w:val="4F81BD"/>
    </w:rPr>
  </w:style>
  <w:style w:type="character" w:customStyle="1" w:styleId="BalloonTextChar">
    <w:name w:val="Balloon Text Char"/>
    <w:link w:val="BalloonText"/>
    <w:uiPriority w:val="99"/>
    <w:semiHidden/>
    <w:rPr>
      <w:rFonts w:ascii="Tahoma" w:hAnsi="Tahoma" w:cs="Tahoma"/>
      <w:sz w:val="16"/>
      <w:szCs w:val="16"/>
    </w:rPr>
  </w:style>
  <w:style w:type="character" w:customStyle="1" w:styleId="BodyTextChar">
    <w:name w:val="Body Text Char"/>
    <w:link w:val="BodyText"/>
    <w:uiPriority w:val="99"/>
    <w:rPr>
      <w:rFonts w:ascii="Times New Roman" w:eastAsia="MS Mincho" w:hAnsi="Times New Roman"/>
      <w:spacing w:val="-1"/>
    </w:rPr>
  </w:style>
  <w:style w:type="character" w:customStyle="1" w:styleId="Heading2Char">
    <w:name w:val="Heading 2 Char"/>
    <w:link w:val="Heading2"/>
    <w:uiPriority w:val="9"/>
    <w:rPr>
      <w:rFonts w:ascii="Cambria" w:eastAsia="Times New Roman" w:hAnsi="Cambria" w:cs="Times New Roman"/>
      <w:b/>
      <w:bCs/>
      <w:color w:val="4F81BD"/>
      <w:sz w:val="26"/>
      <w:szCs w:val="26"/>
    </w:rPr>
  </w:style>
  <w:style w:type="character" w:customStyle="1" w:styleId="StyleIJARCSAbstractItalicChar">
    <w:name w:val="Style IJARCS Abstract + Italic Char"/>
    <w:link w:val="StyleIJARCSAbstractItalic"/>
    <w:rPr>
      <w:rFonts w:ascii="Times New Roman" w:eastAsia="SimSun" w:hAnsi="Times New Roman"/>
      <w:b/>
      <w:bCs/>
      <w:i/>
      <w:iCs/>
      <w:color w:val="333333"/>
      <w:sz w:val="18"/>
      <w:szCs w:val="24"/>
      <w:lang w:val="en-GB" w:eastAsia="en-GB"/>
    </w:rPr>
  </w:style>
  <w:style w:type="paragraph" w:styleId="BodyText">
    <w:name w:val="Body Text"/>
    <w:basedOn w:val="Normal"/>
    <w:link w:val="BodyTextChar"/>
    <w:uiPriority w:val="99"/>
    <w:pPr>
      <w:tabs>
        <w:tab w:val="left" w:pos="288"/>
      </w:tabs>
      <w:spacing w:after="120" w:line="228" w:lineRule="auto"/>
      <w:ind w:firstLine="288"/>
      <w:jc w:val="both"/>
    </w:pPr>
    <w:rPr>
      <w:rFonts w:ascii="Times New Roman" w:eastAsia="MS Mincho" w:hAnsi="Times New Roman"/>
      <w:spacing w:val="-1"/>
      <w:sz w:val="20"/>
      <w:szCs w:val="20"/>
    </w:rPr>
  </w:style>
  <w:style w:type="paragraph" w:styleId="BalloonText">
    <w:name w:val="Balloon Text"/>
    <w:basedOn w:val="Normal"/>
    <w:link w:val="BalloonTextChar"/>
    <w:uiPriority w:val="99"/>
    <w:unhideWhenUsed/>
    <w:pPr>
      <w:spacing w:after="0" w:line="240" w:lineRule="auto"/>
    </w:pPr>
    <w:rPr>
      <w:rFonts w:ascii="Tahoma" w:hAnsi="Tahoma" w:cs="Tahoma"/>
      <w:sz w:val="16"/>
      <w:szCs w:val="16"/>
    </w:rPr>
  </w:style>
  <w:style w:type="paragraph" w:styleId="Footer">
    <w:name w:val="footer"/>
    <w:basedOn w:val="Normal"/>
    <w:link w:val="FooterChar"/>
    <w:uiPriority w:val="99"/>
    <w:unhideWhenUsed/>
    <w:pPr>
      <w:tabs>
        <w:tab w:val="center" w:pos="4680"/>
        <w:tab w:val="right" w:pos="9360"/>
      </w:tabs>
      <w:spacing w:after="0" w:line="240" w:lineRule="auto"/>
    </w:pPr>
    <w:rPr>
      <w:rFonts w:eastAsia="Calibri"/>
    </w:rPr>
  </w:style>
  <w:style w:type="paragraph" w:styleId="Subtitle">
    <w:name w:val="Subtitle"/>
    <w:basedOn w:val="Normal"/>
    <w:next w:val="Normal"/>
    <w:link w:val="SubtitleChar"/>
    <w:uiPriority w:val="11"/>
    <w:qFormat/>
    <w:pPr>
      <w:numPr>
        <w:ilvl w:val="1"/>
      </w:numPr>
    </w:pPr>
    <w:rPr>
      <w:rFonts w:ascii="Cambria" w:hAnsi="Cambria"/>
      <w:i/>
      <w:iCs/>
      <w:color w:val="4F81BD"/>
      <w:spacing w:val="15"/>
      <w:sz w:val="24"/>
      <w:szCs w:val="24"/>
    </w:rPr>
  </w:style>
  <w:style w:type="paragraph" w:styleId="Header">
    <w:name w:val="header"/>
    <w:basedOn w:val="Normal"/>
    <w:link w:val="HeaderChar"/>
    <w:uiPriority w:val="99"/>
    <w:unhideWhenUsed/>
    <w:pPr>
      <w:tabs>
        <w:tab w:val="center" w:pos="4680"/>
        <w:tab w:val="right" w:pos="9360"/>
      </w:tabs>
      <w:spacing w:after="0" w:line="240" w:lineRule="auto"/>
    </w:pPr>
    <w:rPr>
      <w:rFonts w:eastAsia="Calibri"/>
    </w:rPr>
  </w:style>
  <w:style w:type="paragraph" w:styleId="NormalWeb">
    <w:name w:val="Normal (Web)"/>
    <w:basedOn w:val="Normal"/>
    <w:uiPriority w:val="99"/>
    <w:unhideWhenUsed/>
    <w:pPr>
      <w:spacing w:before="100" w:beforeAutospacing="1" w:after="100" w:afterAutospacing="1" w:line="240" w:lineRule="auto"/>
    </w:pPr>
    <w:rPr>
      <w:rFonts w:ascii="Times New Roman" w:hAnsi="Times New Roman"/>
      <w:sz w:val="24"/>
      <w:szCs w:val="24"/>
    </w:rPr>
  </w:style>
  <w:style w:type="paragraph" w:customStyle="1" w:styleId="references">
    <w:name w:val="references"/>
    <w:pPr>
      <w:numPr>
        <w:numId w:val="2"/>
      </w:numPr>
      <w:tabs>
        <w:tab w:val="left" w:pos="360"/>
      </w:tabs>
      <w:spacing w:after="60" w:line="200" w:lineRule="exact"/>
      <w:jc w:val="both"/>
    </w:pPr>
    <w:rPr>
      <w:rFonts w:ascii="Times New Roman" w:eastAsia="MS Mincho" w:hAnsi="Times New Roman"/>
      <w:szCs w:val="16"/>
      <w:lang w:val="en-US" w:eastAsia="en-US"/>
    </w:rPr>
  </w:style>
  <w:style w:type="paragraph" w:customStyle="1" w:styleId="StyleIJARCSAbstractItalic">
    <w:name w:val="Style IJARCS Abstract + Italic"/>
    <w:basedOn w:val="Normal"/>
    <w:link w:val="StyleIJARCSAbstractItalicChar"/>
    <w:pPr>
      <w:pBdr>
        <w:top w:val="single" w:sz="4" w:space="1" w:color="333333"/>
        <w:bottom w:val="single" w:sz="4" w:space="1" w:color="333333"/>
      </w:pBdr>
      <w:adjustRightInd w:val="0"/>
      <w:snapToGrid w:val="0"/>
      <w:spacing w:after="0" w:line="240" w:lineRule="auto"/>
      <w:jc w:val="both"/>
    </w:pPr>
    <w:rPr>
      <w:rFonts w:ascii="Times New Roman" w:eastAsia="SimSun" w:hAnsi="Times New Roman"/>
      <w:b/>
      <w:bCs/>
      <w:i/>
      <w:iCs/>
      <w:color w:val="333333"/>
      <w:sz w:val="18"/>
      <w:szCs w:val="24"/>
      <w:lang w:val="en-GB" w:eastAsia="en-GB"/>
    </w:rPr>
  </w:style>
  <w:style w:type="paragraph" w:styleId="NoSpacing">
    <w:name w:val="No Spacing"/>
    <w:uiPriority w:val="1"/>
    <w:qFormat/>
    <w:rPr>
      <w:rFonts w:eastAsia="Calibri"/>
      <w:sz w:val="22"/>
      <w:szCs w:val="22"/>
      <w:lang w:val="en-US" w:eastAsia="en-US"/>
    </w:rPr>
  </w:style>
  <w:style w:type="paragraph" w:customStyle="1" w:styleId="IEEEReferenceItem">
    <w:name w:val="IEEE Reference Item"/>
    <w:basedOn w:val="Normal"/>
    <w:pPr>
      <w:numPr>
        <w:numId w:val="1"/>
      </w:numPr>
      <w:adjustRightInd w:val="0"/>
      <w:snapToGrid w:val="0"/>
      <w:spacing w:after="0" w:line="240" w:lineRule="auto"/>
      <w:jc w:val="both"/>
    </w:pPr>
    <w:rPr>
      <w:rFonts w:ascii="Times New Roman" w:eastAsia="SimSun" w:hAnsi="Times New Roman"/>
      <w:sz w:val="16"/>
      <w:szCs w:val="24"/>
      <w:lang w:eastAsia="zh-CN"/>
    </w:rPr>
  </w:style>
  <w:style w:type="paragraph" w:customStyle="1" w:styleId="Abstract">
    <w:name w:val="Abstract"/>
    <w:pPr>
      <w:spacing w:after="454"/>
      <w:ind w:left="1418"/>
      <w:jc w:val="both"/>
    </w:pPr>
    <w:rPr>
      <w:rFonts w:ascii="Times" w:hAnsi="Times"/>
      <w:color w:val="000000"/>
      <w:lang w:eastAsia="en-US"/>
    </w:rPr>
  </w:style>
  <w:style w:type="paragraph" w:customStyle="1" w:styleId="IEEEAuthorAffiliation">
    <w:name w:val="IEEE Author Affiliation"/>
    <w:basedOn w:val="Normal"/>
    <w:next w:val="Normal"/>
    <w:pPr>
      <w:spacing w:after="60" w:line="240" w:lineRule="auto"/>
      <w:jc w:val="center"/>
    </w:pPr>
    <w:rPr>
      <w:rFonts w:ascii="Times New Roman" w:hAnsi="Times New Roman"/>
      <w:i/>
      <w:sz w:val="20"/>
      <w:szCs w:val="24"/>
      <w:lang w:val="en-GB" w:eastAsia="en-GB"/>
    </w:rPr>
  </w:style>
  <w:style w:type="paragraph" w:customStyle="1" w:styleId="IEEEParagraph">
    <w:name w:val="IEEE Paragraph"/>
    <w:basedOn w:val="Normal"/>
    <w:link w:val="IEEEParagraphChar"/>
    <w:pPr>
      <w:adjustRightInd w:val="0"/>
      <w:snapToGrid w:val="0"/>
      <w:spacing w:after="0" w:line="240" w:lineRule="auto"/>
      <w:ind w:firstLine="216"/>
      <w:jc w:val="both"/>
    </w:pPr>
    <w:rPr>
      <w:rFonts w:ascii="Times New Roman" w:eastAsia="SimSun" w:hAnsi="Times New Roman"/>
      <w:sz w:val="20"/>
      <w:szCs w:val="24"/>
      <w:lang w:val="en-AU" w:eastAsia="zh-CN"/>
    </w:rPr>
  </w:style>
  <w:style w:type="table" w:styleId="TableGrid">
    <w:name w:val="Table Grid"/>
    <w:basedOn w:val="TableNormal"/>
    <w:uiPriority w:val="5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Equation">
    <w:name w:val="Equation"/>
    <w:basedOn w:val="Normal"/>
    <w:rsid w:val="00D76179"/>
    <w:pPr>
      <w:snapToGrid w:val="0"/>
      <w:spacing w:after="0" w:line="240" w:lineRule="auto"/>
      <w:jc w:val="both"/>
    </w:pPr>
    <w:rPr>
      <w:rFonts w:ascii="Times New Roman" w:eastAsia="BatangChe" w:hAnsi="Times New Roman"/>
      <w:sz w:val="20"/>
      <w:szCs w:val="20"/>
      <w:lang w:eastAsia="ko-KR"/>
    </w:rPr>
  </w:style>
  <w:style w:type="paragraph" w:styleId="EndnoteText">
    <w:name w:val="endnote text"/>
    <w:basedOn w:val="Normal"/>
    <w:link w:val="EndnoteTextChar"/>
    <w:uiPriority w:val="99"/>
    <w:semiHidden/>
    <w:unhideWhenUsed/>
    <w:rsid w:val="00A90901"/>
    <w:rPr>
      <w:sz w:val="20"/>
      <w:szCs w:val="20"/>
    </w:rPr>
  </w:style>
  <w:style w:type="character" w:customStyle="1" w:styleId="EndnoteTextChar">
    <w:name w:val="Endnote Text Char"/>
    <w:link w:val="EndnoteText"/>
    <w:uiPriority w:val="99"/>
    <w:semiHidden/>
    <w:rsid w:val="00A90901"/>
    <w:rPr>
      <w:lang w:val="en-US" w:eastAsia="en-US"/>
    </w:rPr>
  </w:style>
  <w:style w:type="character" w:styleId="EndnoteReference">
    <w:name w:val="endnote reference"/>
    <w:uiPriority w:val="99"/>
    <w:semiHidden/>
    <w:unhideWhenUsed/>
    <w:rsid w:val="00A90901"/>
    <w:rPr>
      <w:vertAlign w:val="superscript"/>
    </w:rPr>
  </w:style>
  <w:style w:type="paragraph" w:styleId="Bibliography">
    <w:name w:val="Bibliography"/>
    <w:basedOn w:val="Normal"/>
    <w:next w:val="Normal"/>
    <w:uiPriority w:val="37"/>
    <w:unhideWhenUsed/>
    <w:rsid w:val="00A90901"/>
  </w:style>
  <w:style w:type="paragraph" w:styleId="Caption">
    <w:name w:val="caption"/>
    <w:basedOn w:val="Normal"/>
    <w:next w:val="Normal"/>
    <w:uiPriority w:val="35"/>
    <w:unhideWhenUsed/>
    <w:qFormat/>
    <w:rsid w:val="00EC501A"/>
    <w:rPr>
      <w:b/>
      <w:bCs/>
      <w:sz w:val="20"/>
      <w:szCs w:val="20"/>
    </w:rPr>
  </w:style>
  <w:style w:type="table" w:styleId="GridTable1Light-Accent3">
    <w:name w:val="Grid Table 1 Light Accent 3"/>
    <w:basedOn w:val="TableNormal"/>
    <w:uiPriority w:val="46"/>
    <w:rsid w:val="00041FB9"/>
    <w:tblPr>
      <w:tblStyleRowBandSize w:val="1"/>
      <w:tblStyleColBandSize w:val="1"/>
      <w:tblBorders>
        <w:top w:val="single" w:sz="4" w:space="0" w:color="DBDBDB"/>
        <w:left w:val="single" w:sz="4" w:space="0" w:color="DBDBDB"/>
        <w:bottom w:val="single" w:sz="4" w:space="0" w:color="DBDBDB"/>
        <w:right w:val="single" w:sz="4" w:space="0" w:color="DBDBDB"/>
        <w:insideH w:val="single" w:sz="4" w:space="0" w:color="DBDBDB"/>
        <w:insideV w:val="single" w:sz="4" w:space="0" w:color="DBDBDB"/>
      </w:tblBorders>
    </w:tblPr>
    <w:tblStylePr w:type="firstRow">
      <w:rPr>
        <w:b/>
        <w:bCs/>
      </w:rPr>
      <w:tblPr/>
      <w:tcPr>
        <w:tcBorders>
          <w:bottom w:val="single" w:sz="12" w:space="0" w:color="C9C9C9"/>
        </w:tcBorders>
      </w:tcPr>
    </w:tblStylePr>
    <w:tblStylePr w:type="lastRow">
      <w:rPr>
        <w:b/>
        <w:bCs/>
      </w:rPr>
      <w:tblPr/>
      <w:tcPr>
        <w:tcBorders>
          <w:top w:val="double" w:sz="2" w:space="0" w:color="C9C9C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041FB9"/>
    <w:tblPr>
      <w:tblStyleRowBandSize w:val="1"/>
      <w:tblStyleColBandSize w:val="1"/>
      <w:tblBorders>
        <w:top w:val="single" w:sz="4" w:space="0" w:color="BDD6EE"/>
        <w:left w:val="single" w:sz="4" w:space="0" w:color="BDD6EE"/>
        <w:bottom w:val="single" w:sz="4" w:space="0" w:color="BDD6EE"/>
        <w:right w:val="single" w:sz="4" w:space="0" w:color="BDD6EE"/>
        <w:insideH w:val="single" w:sz="4" w:space="0" w:color="BDD6EE"/>
        <w:insideV w:val="single" w:sz="4" w:space="0" w:color="BDD6EE"/>
      </w:tblBorders>
    </w:tblPr>
    <w:tblStylePr w:type="firstRow">
      <w:rPr>
        <w:b/>
        <w:bCs/>
      </w:rPr>
      <w:tblPr/>
      <w:tcPr>
        <w:tcBorders>
          <w:bottom w:val="single" w:sz="12" w:space="0" w:color="9CC2E5"/>
        </w:tcBorders>
      </w:tcPr>
    </w:tblStylePr>
    <w:tblStylePr w:type="lastRow">
      <w:rPr>
        <w:b/>
        <w:bCs/>
      </w:rPr>
      <w:tblPr/>
      <w:tcPr>
        <w:tcBorders>
          <w:top w:val="double" w:sz="2" w:space="0" w:color="9CC2E5"/>
        </w:tcBorders>
      </w:tcPr>
    </w:tblStylePr>
    <w:tblStylePr w:type="firstCol">
      <w:rPr>
        <w:b/>
        <w:bCs/>
      </w:rPr>
    </w:tblStylePr>
    <w:tblStylePr w:type="lastCol">
      <w:rPr>
        <w:b/>
        <w:bCs/>
      </w:rPr>
    </w:tblStylePr>
  </w:style>
  <w:style w:type="table" w:styleId="MediumGrid2-Accent3">
    <w:name w:val="Medium Grid 2 Accent 3"/>
    <w:basedOn w:val="TableNormal"/>
    <w:uiPriority w:val="68"/>
    <w:rsid w:val="00041FB9"/>
    <w:rPr>
      <w:rFonts w:ascii="Calibri Light" w:hAnsi="Calibri Light"/>
      <w:color w:val="000000"/>
    </w:rPr>
    <w:tblPr>
      <w:tblStyleRowBandSize w:val="1"/>
      <w:tblStyleColBandSize w:val="1"/>
      <w:tblBorders>
        <w:top w:val="single" w:sz="8" w:space="0" w:color="A5A5A5"/>
        <w:left w:val="single" w:sz="8" w:space="0" w:color="A5A5A5"/>
        <w:bottom w:val="single" w:sz="8" w:space="0" w:color="A5A5A5"/>
        <w:right w:val="single" w:sz="8" w:space="0" w:color="A5A5A5"/>
        <w:insideH w:val="single" w:sz="8" w:space="0" w:color="A5A5A5"/>
        <w:insideV w:val="single" w:sz="8" w:space="0" w:color="A5A5A5"/>
      </w:tblBorders>
    </w:tblPr>
    <w:tcPr>
      <w:shd w:val="clear" w:color="auto" w:fill="E8E8E8"/>
    </w:tcPr>
    <w:tblStylePr w:type="firstRow">
      <w:rPr>
        <w:b/>
        <w:bCs/>
        <w:color w:val="000000"/>
      </w:rPr>
      <w:tblPr/>
      <w:tcPr>
        <w:shd w:val="clear" w:color="auto" w:fill="F6F6F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DEDED"/>
      </w:tcPr>
    </w:tblStylePr>
    <w:tblStylePr w:type="band1Vert">
      <w:tblPr/>
      <w:tcPr>
        <w:shd w:val="clear" w:color="auto" w:fill="D2D2D2"/>
      </w:tcPr>
    </w:tblStylePr>
    <w:tblStylePr w:type="band1Horz">
      <w:tblPr/>
      <w:tcPr>
        <w:tcBorders>
          <w:insideH w:val="single" w:sz="6" w:space="0" w:color="A5A5A5"/>
          <w:insideV w:val="single" w:sz="6" w:space="0" w:color="A5A5A5"/>
        </w:tcBorders>
        <w:shd w:val="clear" w:color="auto" w:fill="D2D2D2"/>
      </w:tcPr>
    </w:tblStylePr>
    <w:tblStylePr w:type="nwCell">
      <w:tblPr/>
      <w:tcPr>
        <w:shd w:val="clear" w:color="auto" w:fill="FFFFFF"/>
      </w:tcPr>
    </w:tblStylePr>
  </w:style>
  <w:style w:type="character" w:styleId="PlaceholderText">
    <w:name w:val="Placeholder Text"/>
    <w:basedOn w:val="DefaultParagraphFont"/>
    <w:uiPriority w:val="99"/>
    <w:unhideWhenUsed/>
    <w:rsid w:val="007322A0"/>
    <w:rPr>
      <w:color w:val="808080"/>
    </w:rPr>
  </w:style>
  <w:style w:type="character" w:styleId="UnresolvedMention">
    <w:name w:val="Unresolved Mention"/>
    <w:basedOn w:val="DefaultParagraphFont"/>
    <w:uiPriority w:val="99"/>
    <w:semiHidden/>
    <w:unhideWhenUsed/>
    <w:rsid w:val="005E55B8"/>
    <w:rPr>
      <w:color w:val="605E5C"/>
      <w:shd w:val="clear" w:color="auto" w:fill="E1DFDD"/>
    </w:rPr>
  </w:style>
  <w:style w:type="character" w:customStyle="1" w:styleId="mord">
    <w:name w:val="mord"/>
    <w:basedOn w:val="DefaultParagraphFont"/>
    <w:rsid w:val="00B84176"/>
  </w:style>
  <w:style w:type="character" w:customStyle="1" w:styleId="mbin">
    <w:name w:val="mbin"/>
    <w:basedOn w:val="DefaultParagraphFont"/>
    <w:rsid w:val="00B84176"/>
  </w:style>
  <w:style w:type="character" w:customStyle="1" w:styleId="mopen">
    <w:name w:val="mopen"/>
    <w:basedOn w:val="DefaultParagraphFont"/>
    <w:rsid w:val="00B84176"/>
  </w:style>
  <w:style w:type="character" w:customStyle="1" w:styleId="mclose">
    <w:name w:val="mclose"/>
    <w:basedOn w:val="DefaultParagraphFont"/>
    <w:rsid w:val="00B84176"/>
  </w:style>
  <w:style w:type="character" w:customStyle="1" w:styleId="mrel">
    <w:name w:val="mrel"/>
    <w:basedOn w:val="DefaultParagraphFont"/>
    <w:rsid w:val="00B84176"/>
  </w:style>
  <w:style w:type="character" w:styleId="FollowedHyperlink">
    <w:name w:val="FollowedHyperlink"/>
    <w:basedOn w:val="DefaultParagraphFont"/>
    <w:uiPriority w:val="99"/>
    <w:semiHidden/>
    <w:unhideWhenUsed/>
    <w:rsid w:val="005330F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2493">
      <w:bodyDiv w:val="1"/>
      <w:marLeft w:val="0"/>
      <w:marRight w:val="0"/>
      <w:marTop w:val="0"/>
      <w:marBottom w:val="0"/>
      <w:divBdr>
        <w:top w:val="none" w:sz="0" w:space="0" w:color="auto"/>
        <w:left w:val="none" w:sz="0" w:space="0" w:color="auto"/>
        <w:bottom w:val="none" w:sz="0" w:space="0" w:color="auto"/>
        <w:right w:val="none" w:sz="0" w:space="0" w:color="auto"/>
      </w:divBdr>
    </w:div>
    <w:div w:id="80029641">
      <w:bodyDiv w:val="1"/>
      <w:marLeft w:val="0"/>
      <w:marRight w:val="0"/>
      <w:marTop w:val="0"/>
      <w:marBottom w:val="0"/>
      <w:divBdr>
        <w:top w:val="none" w:sz="0" w:space="0" w:color="auto"/>
        <w:left w:val="none" w:sz="0" w:space="0" w:color="auto"/>
        <w:bottom w:val="none" w:sz="0" w:space="0" w:color="auto"/>
        <w:right w:val="none" w:sz="0" w:space="0" w:color="auto"/>
      </w:divBdr>
    </w:div>
    <w:div w:id="93668206">
      <w:bodyDiv w:val="1"/>
      <w:marLeft w:val="0"/>
      <w:marRight w:val="0"/>
      <w:marTop w:val="0"/>
      <w:marBottom w:val="0"/>
      <w:divBdr>
        <w:top w:val="none" w:sz="0" w:space="0" w:color="auto"/>
        <w:left w:val="none" w:sz="0" w:space="0" w:color="auto"/>
        <w:bottom w:val="none" w:sz="0" w:space="0" w:color="auto"/>
        <w:right w:val="none" w:sz="0" w:space="0" w:color="auto"/>
      </w:divBdr>
    </w:div>
    <w:div w:id="104615976">
      <w:bodyDiv w:val="1"/>
      <w:marLeft w:val="0"/>
      <w:marRight w:val="0"/>
      <w:marTop w:val="0"/>
      <w:marBottom w:val="0"/>
      <w:divBdr>
        <w:top w:val="none" w:sz="0" w:space="0" w:color="auto"/>
        <w:left w:val="none" w:sz="0" w:space="0" w:color="auto"/>
        <w:bottom w:val="none" w:sz="0" w:space="0" w:color="auto"/>
        <w:right w:val="none" w:sz="0" w:space="0" w:color="auto"/>
      </w:divBdr>
    </w:div>
    <w:div w:id="104618179">
      <w:bodyDiv w:val="1"/>
      <w:marLeft w:val="0"/>
      <w:marRight w:val="0"/>
      <w:marTop w:val="0"/>
      <w:marBottom w:val="0"/>
      <w:divBdr>
        <w:top w:val="none" w:sz="0" w:space="0" w:color="auto"/>
        <w:left w:val="none" w:sz="0" w:space="0" w:color="auto"/>
        <w:bottom w:val="none" w:sz="0" w:space="0" w:color="auto"/>
        <w:right w:val="none" w:sz="0" w:space="0" w:color="auto"/>
      </w:divBdr>
    </w:div>
    <w:div w:id="240676581">
      <w:bodyDiv w:val="1"/>
      <w:marLeft w:val="0"/>
      <w:marRight w:val="0"/>
      <w:marTop w:val="0"/>
      <w:marBottom w:val="0"/>
      <w:divBdr>
        <w:top w:val="none" w:sz="0" w:space="0" w:color="auto"/>
        <w:left w:val="none" w:sz="0" w:space="0" w:color="auto"/>
        <w:bottom w:val="none" w:sz="0" w:space="0" w:color="auto"/>
        <w:right w:val="none" w:sz="0" w:space="0" w:color="auto"/>
      </w:divBdr>
    </w:div>
    <w:div w:id="271742322">
      <w:bodyDiv w:val="1"/>
      <w:marLeft w:val="0"/>
      <w:marRight w:val="0"/>
      <w:marTop w:val="0"/>
      <w:marBottom w:val="0"/>
      <w:divBdr>
        <w:top w:val="none" w:sz="0" w:space="0" w:color="auto"/>
        <w:left w:val="none" w:sz="0" w:space="0" w:color="auto"/>
        <w:bottom w:val="none" w:sz="0" w:space="0" w:color="auto"/>
        <w:right w:val="none" w:sz="0" w:space="0" w:color="auto"/>
      </w:divBdr>
    </w:div>
    <w:div w:id="301883132">
      <w:bodyDiv w:val="1"/>
      <w:marLeft w:val="0"/>
      <w:marRight w:val="0"/>
      <w:marTop w:val="0"/>
      <w:marBottom w:val="0"/>
      <w:divBdr>
        <w:top w:val="none" w:sz="0" w:space="0" w:color="auto"/>
        <w:left w:val="none" w:sz="0" w:space="0" w:color="auto"/>
        <w:bottom w:val="none" w:sz="0" w:space="0" w:color="auto"/>
        <w:right w:val="none" w:sz="0" w:space="0" w:color="auto"/>
      </w:divBdr>
    </w:div>
    <w:div w:id="302083957">
      <w:bodyDiv w:val="1"/>
      <w:marLeft w:val="0"/>
      <w:marRight w:val="0"/>
      <w:marTop w:val="0"/>
      <w:marBottom w:val="0"/>
      <w:divBdr>
        <w:top w:val="none" w:sz="0" w:space="0" w:color="auto"/>
        <w:left w:val="none" w:sz="0" w:space="0" w:color="auto"/>
        <w:bottom w:val="none" w:sz="0" w:space="0" w:color="auto"/>
        <w:right w:val="none" w:sz="0" w:space="0" w:color="auto"/>
      </w:divBdr>
    </w:div>
    <w:div w:id="321396798">
      <w:bodyDiv w:val="1"/>
      <w:marLeft w:val="0"/>
      <w:marRight w:val="0"/>
      <w:marTop w:val="0"/>
      <w:marBottom w:val="0"/>
      <w:divBdr>
        <w:top w:val="none" w:sz="0" w:space="0" w:color="auto"/>
        <w:left w:val="none" w:sz="0" w:space="0" w:color="auto"/>
        <w:bottom w:val="none" w:sz="0" w:space="0" w:color="auto"/>
        <w:right w:val="none" w:sz="0" w:space="0" w:color="auto"/>
      </w:divBdr>
      <w:divsChild>
        <w:div w:id="1528057839">
          <w:marLeft w:val="0"/>
          <w:marRight w:val="0"/>
          <w:marTop w:val="0"/>
          <w:marBottom w:val="0"/>
          <w:divBdr>
            <w:top w:val="none" w:sz="0" w:space="0" w:color="auto"/>
            <w:left w:val="none" w:sz="0" w:space="0" w:color="auto"/>
            <w:bottom w:val="none" w:sz="0" w:space="0" w:color="auto"/>
            <w:right w:val="none" w:sz="0" w:space="0" w:color="auto"/>
          </w:divBdr>
          <w:divsChild>
            <w:div w:id="2042970606">
              <w:marLeft w:val="0"/>
              <w:marRight w:val="0"/>
              <w:marTop w:val="0"/>
              <w:marBottom w:val="0"/>
              <w:divBdr>
                <w:top w:val="none" w:sz="0" w:space="0" w:color="auto"/>
                <w:left w:val="none" w:sz="0" w:space="0" w:color="auto"/>
                <w:bottom w:val="none" w:sz="0" w:space="0" w:color="auto"/>
                <w:right w:val="none" w:sz="0" w:space="0" w:color="auto"/>
              </w:divBdr>
              <w:divsChild>
                <w:div w:id="966855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4431953">
      <w:bodyDiv w:val="1"/>
      <w:marLeft w:val="0"/>
      <w:marRight w:val="0"/>
      <w:marTop w:val="0"/>
      <w:marBottom w:val="0"/>
      <w:divBdr>
        <w:top w:val="none" w:sz="0" w:space="0" w:color="auto"/>
        <w:left w:val="none" w:sz="0" w:space="0" w:color="auto"/>
        <w:bottom w:val="none" w:sz="0" w:space="0" w:color="auto"/>
        <w:right w:val="none" w:sz="0" w:space="0" w:color="auto"/>
      </w:divBdr>
    </w:div>
    <w:div w:id="347566660">
      <w:bodyDiv w:val="1"/>
      <w:marLeft w:val="0"/>
      <w:marRight w:val="0"/>
      <w:marTop w:val="0"/>
      <w:marBottom w:val="0"/>
      <w:divBdr>
        <w:top w:val="none" w:sz="0" w:space="0" w:color="auto"/>
        <w:left w:val="none" w:sz="0" w:space="0" w:color="auto"/>
        <w:bottom w:val="none" w:sz="0" w:space="0" w:color="auto"/>
        <w:right w:val="none" w:sz="0" w:space="0" w:color="auto"/>
      </w:divBdr>
    </w:div>
    <w:div w:id="355692318">
      <w:bodyDiv w:val="1"/>
      <w:marLeft w:val="0"/>
      <w:marRight w:val="0"/>
      <w:marTop w:val="0"/>
      <w:marBottom w:val="0"/>
      <w:divBdr>
        <w:top w:val="none" w:sz="0" w:space="0" w:color="auto"/>
        <w:left w:val="none" w:sz="0" w:space="0" w:color="auto"/>
        <w:bottom w:val="none" w:sz="0" w:space="0" w:color="auto"/>
        <w:right w:val="none" w:sz="0" w:space="0" w:color="auto"/>
      </w:divBdr>
    </w:div>
    <w:div w:id="356009847">
      <w:bodyDiv w:val="1"/>
      <w:marLeft w:val="0"/>
      <w:marRight w:val="0"/>
      <w:marTop w:val="0"/>
      <w:marBottom w:val="0"/>
      <w:divBdr>
        <w:top w:val="none" w:sz="0" w:space="0" w:color="auto"/>
        <w:left w:val="none" w:sz="0" w:space="0" w:color="auto"/>
        <w:bottom w:val="none" w:sz="0" w:space="0" w:color="auto"/>
        <w:right w:val="none" w:sz="0" w:space="0" w:color="auto"/>
      </w:divBdr>
      <w:divsChild>
        <w:div w:id="738210957">
          <w:marLeft w:val="0"/>
          <w:marRight w:val="0"/>
          <w:marTop w:val="0"/>
          <w:marBottom w:val="0"/>
          <w:divBdr>
            <w:top w:val="none" w:sz="0" w:space="0" w:color="auto"/>
            <w:left w:val="none" w:sz="0" w:space="0" w:color="auto"/>
            <w:bottom w:val="none" w:sz="0" w:space="0" w:color="auto"/>
            <w:right w:val="none" w:sz="0" w:space="0" w:color="auto"/>
          </w:divBdr>
        </w:div>
      </w:divsChild>
    </w:div>
    <w:div w:id="368919490">
      <w:bodyDiv w:val="1"/>
      <w:marLeft w:val="0"/>
      <w:marRight w:val="0"/>
      <w:marTop w:val="0"/>
      <w:marBottom w:val="0"/>
      <w:divBdr>
        <w:top w:val="none" w:sz="0" w:space="0" w:color="auto"/>
        <w:left w:val="none" w:sz="0" w:space="0" w:color="auto"/>
        <w:bottom w:val="none" w:sz="0" w:space="0" w:color="auto"/>
        <w:right w:val="none" w:sz="0" w:space="0" w:color="auto"/>
      </w:divBdr>
    </w:div>
    <w:div w:id="380444026">
      <w:bodyDiv w:val="1"/>
      <w:marLeft w:val="0"/>
      <w:marRight w:val="0"/>
      <w:marTop w:val="0"/>
      <w:marBottom w:val="0"/>
      <w:divBdr>
        <w:top w:val="none" w:sz="0" w:space="0" w:color="auto"/>
        <w:left w:val="none" w:sz="0" w:space="0" w:color="auto"/>
        <w:bottom w:val="none" w:sz="0" w:space="0" w:color="auto"/>
        <w:right w:val="none" w:sz="0" w:space="0" w:color="auto"/>
      </w:divBdr>
    </w:div>
    <w:div w:id="410079079">
      <w:bodyDiv w:val="1"/>
      <w:marLeft w:val="0"/>
      <w:marRight w:val="0"/>
      <w:marTop w:val="0"/>
      <w:marBottom w:val="0"/>
      <w:divBdr>
        <w:top w:val="none" w:sz="0" w:space="0" w:color="auto"/>
        <w:left w:val="none" w:sz="0" w:space="0" w:color="auto"/>
        <w:bottom w:val="none" w:sz="0" w:space="0" w:color="auto"/>
        <w:right w:val="none" w:sz="0" w:space="0" w:color="auto"/>
      </w:divBdr>
    </w:div>
    <w:div w:id="411051783">
      <w:bodyDiv w:val="1"/>
      <w:marLeft w:val="0"/>
      <w:marRight w:val="0"/>
      <w:marTop w:val="0"/>
      <w:marBottom w:val="0"/>
      <w:divBdr>
        <w:top w:val="none" w:sz="0" w:space="0" w:color="auto"/>
        <w:left w:val="none" w:sz="0" w:space="0" w:color="auto"/>
        <w:bottom w:val="none" w:sz="0" w:space="0" w:color="auto"/>
        <w:right w:val="none" w:sz="0" w:space="0" w:color="auto"/>
      </w:divBdr>
    </w:div>
    <w:div w:id="458650749">
      <w:bodyDiv w:val="1"/>
      <w:marLeft w:val="0"/>
      <w:marRight w:val="0"/>
      <w:marTop w:val="0"/>
      <w:marBottom w:val="0"/>
      <w:divBdr>
        <w:top w:val="none" w:sz="0" w:space="0" w:color="auto"/>
        <w:left w:val="none" w:sz="0" w:space="0" w:color="auto"/>
        <w:bottom w:val="none" w:sz="0" w:space="0" w:color="auto"/>
        <w:right w:val="none" w:sz="0" w:space="0" w:color="auto"/>
      </w:divBdr>
    </w:div>
    <w:div w:id="494536378">
      <w:bodyDiv w:val="1"/>
      <w:marLeft w:val="0"/>
      <w:marRight w:val="0"/>
      <w:marTop w:val="0"/>
      <w:marBottom w:val="0"/>
      <w:divBdr>
        <w:top w:val="none" w:sz="0" w:space="0" w:color="auto"/>
        <w:left w:val="none" w:sz="0" w:space="0" w:color="auto"/>
        <w:bottom w:val="none" w:sz="0" w:space="0" w:color="auto"/>
        <w:right w:val="none" w:sz="0" w:space="0" w:color="auto"/>
      </w:divBdr>
    </w:div>
    <w:div w:id="540290197">
      <w:bodyDiv w:val="1"/>
      <w:marLeft w:val="0"/>
      <w:marRight w:val="0"/>
      <w:marTop w:val="0"/>
      <w:marBottom w:val="0"/>
      <w:divBdr>
        <w:top w:val="none" w:sz="0" w:space="0" w:color="auto"/>
        <w:left w:val="none" w:sz="0" w:space="0" w:color="auto"/>
        <w:bottom w:val="none" w:sz="0" w:space="0" w:color="auto"/>
        <w:right w:val="none" w:sz="0" w:space="0" w:color="auto"/>
      </w:divBdr>
    </w:div>
    <w:div w:id="901059049">
      <w:bodyDiv w:val="1"/>
      <w:marLeft w:val="0"/>
      <w:marRight w:val="0"/>
      <w:marTop w:val="0"/>
      <w:marBottom w:val="0"/>
      <w:divBdr>
        <w:top w:val="none" w:sz="0" w:space="0" w:color="auto"/>
        <w:left w:val="none" w:sz="0" w:space="0" w:color="auto"/>
        <w:bottom w:val="none" w:sz="0" w:space="0" w:color="auto"/>
        <w:right w:val="none" w:sz="0" w:space="0" w:color="auto"/>
      </w:divBdr>
    </w:div>
    <w:div w:id="901645112">
      <w:bodyDiv w:val="1"/>
      <w:marLeft w:val="0"/>
      <w:marRight w:val="0"/>
      <w:marTop w:val="0"/>
      <w:marBottom w:val="0"/>
      <w:divBdr>
        <w:top w:val="none" w:sz="0" w:space="0" w:color="auto"/>
        <w:left w:val="none" w:sz="0" w:space="0" w:color="auto"/>
        <w:bottom w:val="none" w:sz="0" w:space="0" w:color="auto"/>
        <w:right w:val="none" w:sz="0" w:space="0" w:color="auto"/>
      </w:divBdr>
    </w:div>
    <w:div w:id="941569175">
      <w:bodyDiv w:val="1"/>
      <w:marLeft w:val="0"/>
      <w:marRight w:val="0"/>
      <w:marTop w:val="0"/>
      <w:marBottom w:val="0"/>
      <w:divBdr>
        <w:top w:val="none" w:sz="0" w:space="0" w:color="auto"/>
        <w:left w:val="none" w:sz="0" w:space="0" w:color="auto"/>
        <w:bottom w:val="none" w:sz="0" w:space="0" w:color="auto"/>
        <w:right w:val="none" w:sz="0" w:space="0" w:color="auto"/>
      </w:divBdr>
    </w:div>
    <w:div w:id="1004743883">
      <w:bodyDiv w:val="1"/>
      <w:marLeft w:val="0"/>
      <w:marRight w:val="0"/>
      <w:marTop w:val="0"/>
      <w:marBottom w:val="0"/>
      <w:divBdr>
        <w:top w:val="none" w:sz="0" w:space="0" w:color="auto"/>
        <w:left w:val="none" w:sz="0" w:space="0" w:color="auto"/>
        <w:bottom w:val="none" w:sz="0" w:space="0" w:color="auto"/>
        <w:right w:val="none" w:sz="0" w:space="0" w:color="auto"/>
      </w:divBdr>
    </w:div>
    <w:div w:id="1180774834">
      <w:bodyDiv w:val="1"/>
      <w:marLeft w:val="0"/>
      <w:marRight w:val="0"/>
      <w:marTop w:val="0"/>
      <w:marBottom w:val="0"/>
      <w:divBdr>
        <w:top w:val="none" w:sz="0" w:space="0" w:color="auto"/>
        <w:left w:val="none" w:sz="0" w:space="0" w:color="auto"/>
        <w:bottom w:val="none" w:sz="0" w:space="0" w:color="auto"/>
        <w:right w:val="none" w:sz="0" w:space="0" w:color="auto"/>
      </w:divBdr>
    </w:div>
    <w:div w:id="1225524748">
      <w:bodyDiv w:val="1"/>
      <w:marLeft w:val="0"/>
      <w:marRight w:val="0"/>
      <w:marTop w:val="0"/>
      <w:marBottom w:val="0"/>
      <w:divBdr>
        <w:top w:val="none" w:sz="0" w:space="0" w:color="auto"/>
        <w:left w:val="none" w:sz="0" w:space="0" w:color="auto"/>
        <w:bottom w:val="none" w:sz="0" w:space="0" w:color="auto"/>
        <w:right w:val="none" w:sz="0" w:space="0" w:color="auto"/>
      </w:divBdr>
    </w:div>
    <w:div w:id="1246574864">
      <w:bodyDiv w:val="1"/>
      <w:marLeft w:val="0"/>
      <w:marRight w:val="0"/>
      <w:marTop w:val="0"/>
      <w:marBottom w:val="0"/>
      <w:divBdr>
        <w:top w:val="none" w:sz="0" w:space="0" w:color="auto"/>
        <w:left w:val="none" w:sz="0" w:space="0" w:color="auto"/>
        <w:bottom w:val="none" w:sz="0" w:space="0" w:color="auto"/>
        <w:right w:val="none" w:sz="0" w:space="0" w:color="auto"/>
      </w:divBdr>
    </w:div>
    <w:div w:id="1305545017">
      <w:bodyDiv w:val="1"/>
      <w:marLeft w:val="0"/>
      <w:marRight w:val="0"/>
      <w:marTop w:val="0"/>
      <w:marBottom w:val="0"/>
      <w:divBdr>
        <w:top w:val="none" w:sz="0" w:space="0" w:color="auto"/>
        <w:left w:val="none" w:sz="0" w:space="0" w:color="auto"/>
        <w:bottom w:val="none" w:sz="0" w:space="0" w:color="auto"/>
        <w:right w:val="none" w:sz="0" w:space="0" w:color="auto"/>
      </w:divBdr>
    </w:div>
    <w:div w:id="1378359794">
      <w:bodyDiv w:val="1"/>
      <w:marLeft w:val="0"/>
      <w:marRight w:val="0"/>
      <w:marTop w:val="0"/>
      <w:marBottom w:val="0"/>
      <w:divBdr>
        <w:top w:val="none" w:sz="0" w:space="0" w:color="auto"/>
        <w:left w:val="none" w:sz="0" w:space="0" w:color="auto"/>
        <w:bottom w:val="none" w:sz="0" w:space="0" w:color="auto"/>
        <w:right w:val="none" w:sz="0" w:space="0" w:color="auto"/>
      </w:divBdr>
    </w:div>
    <w:div w:id="1379233852">
      <w:bodyDiv w:val="1"/>
      <w:marLeft w:val="0"/>
      <w:marRight w:val="0"/>
      <w:marTop w:val="0"/>
      <w:marBottom w:val="0"/>
      <w:divBdr>
        <w:top w:val="none" w:sz="0" w:space="0" w:color="auto"/>
        <w:left w:val="none" w:sz="0" w:space="0" w:color="auto"/>
        <w:bottom w:val="none" w:sz="0" w:space="0" w:color="auto"/>
        <w:right w:val="none" w:sz="0" w:space="0" w:color="auto"/>
      </w:divBdr>
    </w:div>
    <w:div w:id="1392999497">
      <w:bodyDiv w:val="1"/>
      <w:marLeft w:val="0"/>
      <w:marRight w:val="0"/>
      <w:marTop w:val="0"/>
      <w:marBottom w:val="0"/>
      <w:divBdr>
        <w:top w:val="none" w:sz="0" w:space="0" w:color="auto"/>
        <w:left w:val="none" w:sz="0" w:space="0" w:color="auto"/>
        <w:bottom w:val="none" w:sz="0" w:space="0" w:color="auto"/>
        <w:right w:val="none" w:sz="0" w:space="0" w:color="auto"/>
      </w:divBdr>
    </w:div>
    <w:div w:id="1416630104">
      <w:bodyDiv w:val="1"/>
      <w:marLeft w:val="0"/>
      <w:marRight w:val="0"/>
      <w:marTop w:val="0"/>
      <w:marBottom w:val="0"/>
      <w:divBdr>
        <w:top w:val="none" w:sz="0" w:space="0" w:color="auto"/>
        <w:left w:val="none" w:sz="0" w:space="0" w:color="auto"/>
        <w:bottom w:val="none" w:sz="0" w:space="0" w:color="auto"/>
        <w:right w:val="none" w:sz="0" w:space="0" w:color="auto"/>
      </w:divBdr>
    </w:div>
    <w:div w:id="1451972623">
      <w:bodyDiv w:val="1"/>
      <w:marLeft w:val="0"/>
      <w:marRight w:val="0"/>
      <w:marTop w:val="0"/>
      <w:marBottom w:val="0"/>
      <w:divBdr>
        <w:top w:val="none" w:sz="0" w:space="0" w:color="auto"/>
        <w:left w:val="none" w:sz="0" w:space="0" w:color="auto"/>
        <w:bottom w:val="none" w:sz="0" w:space="0" w:color="auto"/>
        <w:right w:val="none" w:sz="0" w:space="0" w:color="auto"/>
      </w:divBdr>
    </w:div>
    <w:div w:id="1467817557">
      <w:bodyDiv w:val="1"/>
      <w:marLeft w:val="0"/>
      <w:marRight w:val="0"/>
      <w:marTop w:val="0"/>
      <w:marBottom w:val="0"/>
      <w:divBdr>
        <w:top w:val="none" w:sz="0" w:space="0" w:color="auto"/>
        <w:left w:val="none" w:sz="0" w:space="0" w:color="auto"/>
        <w:bottom w:val="none" w:sz="0" w:space="0" w:color="auto"/>
        <w:right w:val="none" w:sz="0" w:space="0" w:color="auto"/>
      </w:divBdr>
    </w:div>
    <w:div w:id="1515803820">
      <w:bodyDiv w:val="1"/>
      <w:marLeft w:val="0"/>
      <w:marRight w:val="0"/>
      <w:marTop w:val="0"/>
      <w:marBottom w:val="0"/>
      <w:divBdr>
        <w:top w:val="none" w:sz="0" w:space="0" w:color="auto"/>
        <w:left w:val="none" w:sz="0" w:space="0" w:color="auto"/>
        <w:bottom w:val="none" w:sz="0" w:space="0" w:color="auto"/>
        <w:right w:val="none" w:sz="0" w:space="0" w:color="auto"/>
      </w:divBdr>
    </w:div>
    <w:div w:id="1613827349">
      <w:bodyDiv w:val="1"/>
      <w:marLeft w:val="0"/>
      <w:marRight w:val="0"/>
      <w:marTop w:val="0"/>
      <w:marBottom w:val="0"/>
      <w:divBdr>
        <w:top w:val="none" w:sz="0" w:space="0" w:color="auto"/>
        <w:left w:val="none" w:sz="0" w:space="0" w:color="auto"/>
        <w:bottom w:val="none" w:sz="0" w:space="0" w:color="auto"/>
        <w:right w:val="none" w:sz="0" w:space="0" w:color="auto"/>
      </w:divBdr>
    </w:div>
    <w:div w:id="1613973549">
      <w:bodyDiv w:val="1"/>
      <w:marLeft w:val="0"/>
      <w:marRight w:val="0"/>
      <w:marTop w:val="0"/>
      <w:marBottom w:val="0"/>
      <w:divBdr>
        <w:top w:val="none" w:sz="0" w:space="0" w:color="auto"/>
        <w:left w:val="none" w:sz="0" w:space="0" w:color="auto"/>
        <w:bottom w:val="none" w:sz="0" w:space="0" w:color="auto"/>
        <w:right w:val="none" w:sz="0" w:space="0" w:color="auto"/>
      </w:divBdr>
    </w:div>
    <w:div w:id="1752578831">
      <w:bodyDiv w:val="1"/>
      <w:marLeft w:val="0"/>
      <w:marRight w:val="0"/>
      <w:marTop w:val="0"/>
      <w:marBottom w:val="0"/>
      <w:divBdr>
        <w:top w:val="none" w:sz="0" w:space="0" w:color="auto"/>
        <w:left w:val="none" w:sz="0" w:space="0" w:color="auto"/>
        <w:bottom w:val="none" w:sz="0" w:space="0" w:color="auto"/>
        <w:right w:val="none" w:sz="0" w:space="0" w:color="auto"/>
      </w:divBdr>
    </w:div>
    <w:div w:id="1767922967">
      <w:bodyDiv w:val="1"/>
      <w:marLeft w:val="0"/>
      <w:marRight w:val="0"/>
      <w:marTop w:val="0"/>
      <w:marBottom w:val="0"/>
      <w:divBdr>
        <w:top w:val="none" w:sz="0" w:space="0" w:color="auto"/>
        <w:left w:val="none" w:sz="0" w:space="0" w:color="auto"/>
        <w:bottom w:val="none" w:sz="0" w:space="0" w:color="auto"/>
        <w:right w:val="none" w:sz="0" w:space="0" w:color="auto"/>
      </w:divBdr>
    </w:div>
    <w:div w:id="1791049908">
      <w:bodyDiv w:val="1"/>
      <w:marLeft w:val="0"/>
      <w:marRight w:val="0"/>
      <w:marTop w:val="0"/>
      <w:marBottom w:val="0"/>
      <w:divBdr>
        <w:top w:val="none" w:sz="0" w:space="0" w:color="auto"/>
        <w:left w:val="none" w:sz="0" w:space="0" w:color="auto"/>
        <w:bottom w:val="none" w:sz="0" w:space="0" w:color="auto"/>
        <w:right w:val="none" w:sz="0" w:space="0" w:color="auto"/>
      </w:divBdr>
    </w:div>
    <w:div w:id="1795635316">
      <w:bodyDiv w:val="1"/>
      <w:marLeft w:val="0"/>
      <w:marRight w:val="0"/>
      <w:marTop w:val="0"/>
      <w:marBottom w:val="0"/>
      <w:divBdr>
        <w:top w:val="none" w:sz="0" w:space="0" w:color="auto"/>
        <w:left w:val="none" w:sz="0" w:space="0" w:color="auto"/>
        <w:bottom w:val="none" w:sz="0" w:space="0" w:color="auto"/>
        <w:right w:val="none" w:sz="0" w:space="0" w:color="auto"/>
      </w:divBdr>
    </w:div>
    <w:div w:id="1823084688">
      <w:bodyDiv w:val="1"/>
      <w:marLeft w:val="0"/>
      <w:marRight w:val="0"/>
      <w:marTop w:val="0"/>
      <w:marBottom w:val="0"/>
      <w:divBdr>
        <w:top w:val="none" w:sz="0" w:space="0" w:color="auto"/>
        <w:left w:val="none" w:sz="0" w:space="0" w:color="auto"/>
        <w:bottom w:val="none" w:sz="0" w:space="0" w:color="auto"/>
        <w:right w:val="none" w:sz="0" w:space="0" w:color="auto"/>
      </w:divBdr>
    </w:div>
    <w:div w:id="1861501694">
      <w:bodyDiv w:val="1"/>
      <w:marLeft w:val="0"/>
      <w:marRight w:val="0"/>
      <w:marTop w:val="0"/>
      <w:marBottom w:val="0"/>
      <w:divBdr>
        <w:top w:val="none" w:sz="0" w:space="0" w:color="auto"/>
        <w:left w:val="none" w:sz="0" w:space="0" w:color="auto"/>
        <w:bottom w:val="none" w:sz="0" w:space="0" w:color="auto"/>
        <w:right w:val="none" w:sz="0" w:space="0" w:color="auto"/>
      </w:divBdr>
    </w:div>
    <w:div w:id="1894808709">
      <w:bodyDiv w:val="1"/>
      <w:marLeft w:val="0"/>
      <w:marRight w:val="0"/>
      <w:marTop w:val="0"/>
      <w:marBottom w:val="0"/>
      <w:divBdr>
        <w:top w:val="none" w:sz="0" w:space="0" w:color="auto"/>
        <w:left w:val="none" w:sz="0" w:space="0" w:color="auto"/>
        <w:bottom w:val="none" w:sz="0" w:space="0" w:color="auto"/>
        <w:right w:val="none" w:sz="0" w:space="0" w:color="auto"/>
      </w:divBdr>
    </w:div>
    <w:div w:id="1970471480">
      <w:bodyDiv w:val="1"/>
      <w:marLeft w:val="0"/>
      <w:marRight w:val="0"/>
      <w:marTop w:val="0"/>
      <w:marBottom w:val="0"/>
      <w:divBdr>
        <w:top w:val="none" w:sz="0" w:space="0" w:color="auto"/>
        <w:left w:val="none" w:sz="0" w:space="0" w:color="auto"/>
        <w:bottom w:val="none" w:sz="0" w:space="0" w:color="auto"/>
        <w:right w:val="none" w:sz="0" w:space="0" w:color="auto"/>
      </w:divBdr>
    </w:div>
    <w:div w:id="1978947441">
      <w:bodyDiv w:val="1"/>
      <w:marLeft w:val="0"/>
      <w:marRight w:val="0"/>
      <w:marTop w:val="0"/>
      <w:marBottom w:val="0"/>
      <w:divBdr>
        <w:top w:val="none" w:sz="0" w:space="0" w:color="auto"/>
        <w:left w:val="none" w:sz="0" w:space="0" w:color="auto"/>
        <w:bottom w:val="none" w:sz="0" w:space="0" w:color="auto"/>
        <w:right w:val="none" w:sz="0" w:space="0" w:color="auto"/>
      </w:divBdr>
    </w:div>
    <w:div w:id="1996907440">
      <w:bodyDiv w:val="1"/>
      <w:marLeft w:val="0"/>
      <w:marRight w:val="0"/>
      <w:marTop w:val="0"/>
      <w:marBottom w:val="0"/>
      <w:divBdr>
        <w:top w:val="none" w:sz="0" w:space="0" w:color="auto"/>
        <w:left w:val="none" w:sz="0" w:space="0" w:color="auto"/>
        <w:bottom w:val="none" w:sz="0" w:space="0" w:color="auto"/>
        <w:right w:val="none" w:sz="0" w:space="0" w:color="auto"/>
      </w:divBdr>
    </w:div>
    <w:div w:id="2088920411">
      <w:bodyDiv w:val="1"/>
      <w:marLeft w:val="0"/>
      <w:marRight w:val="0"/>
      <w:marTop w:val="0"/>
      <w:marBottom w:val="0"/>
      <w:divBdr>
        <w:top w:val="none" w:sz="0" w:space="0" w:color="auto"/>
        <w:left w:val="none" w:sz="0" w:space="0" w:color="auto"/>
        <w:bottom w:val="none" w:sz="0" w:space="0" w:color="auto"/>
        <w:right w:val="none" w:sz="0" w:space="0" w:color="auto"/>
      </w:divBdr>
    </w:div>
    <w:div w:id="2107533628">
      <w:bodyDiv w:val="1"/>
      <w:marLeft w:val="0"/>
      <w:marRight w:val="0"/>
      <w:marTop w:val="0"/>
      <w:marBottom w:val="0"/>
      <w:divBdr>
        <w:top w:val="none" w:sz="0" w:space="0" w:color="auto"/>
        <w:left w:val="none" w:sz="0" w:space="0" w:color="auto"/>
        <w:bottom w:val="none" w:sz="0" w:space="0" w:color="auto"/>
        <w:right w:val="none" w:sz="0" w:space="0" w:color="auto"/>
      </w:divBdr>
    </w:div>
    <w:div w:id="2139251891">
      <w:bodyDiv w:val="1"/>
      <w:marLeft w:val="0"/>
      <w:marRight w:val="0"/>
      <w:marTop w:val="0"/>
      <w:marBottom w:val="0"/>
      <w:divBdr>
        <w:top w:val="none" w:sz="0" w:space="0" w:color="auto"/>
        <w:left w:val="none" w:sz="0" w:space="0" w:color="auto"/>
        <w:bottom w:val="none" w:sz="0" w:space="0" w:color="auto"/>
        <w:right w:val="none" w:sz="0" w:space="0" w:color="auto"/>
      </w:divBdr>
    </w:div>
  </w:divs>
  <w:encoding w:val="utf-8"/>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ec.europa.eu/energy/sites/default/file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ec.europa.eu/eurostat/web/" TargetMode="External"/><Relationship Id="rId2" Type="http://schemas.openxmlformats.org/officeDocument/2006/relationships/customXml" Target="../customXml/item2.xml"/><Relationship Id="rId16" Type="http://schemas.openxmlformats.org/officeDocument/2006/relationships/hyperlink" Target="https://eur-lex.europa.eu/legal-content/EN/TXT/PDF/?uri=CELEX:52"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jpeg"/><Relationship Id="rId10" Type="http://schemas.openxmlformats.org/officeDocument/2006/relationships/endnotes" Target="endnotes.xml"/><Relationship Id="rId19" Type="http://schemas.openxmlformats.org/officeDocument/2006/relationships/hyperlink" Target="https://www.whitehouse.gov/briefing-room/statements-releases/2021/03/31/fact-sheet-the-american-job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8ffd1b9b-65be-4e15-ae9b-5f289ce13366"/>
    <lcf76f155ced4ddcb4097134ff3c332f xmlns="87976339-b2f2-475f-bce4-3bdd3c5bdf03">
      <Terms xmlns="http://schemas.microsoft.com/office/infopath/2007/PartnerControls"/>
    </lcf76f155ced4ddcb4097134ff3c332f>
  </documentManagement>
</p: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Bar22</b:Tag>
    <b:SourceType>ArticleInAPeriodical</b:SourceType>
    <b:Guid>{AD9C15AD-CB01-42B8-AA14-C6CA67B444D4}</b:Guid>
    <b:Title>Similarities in steering control between cars and motorcycles: application to a low-complexity riding simulator.</b:Title>
    <b:Year>2022</b:Year>
    <b:Month>October </b:Month>
    <b:Day>25</b:Day>
    <b:PeriodicalTitle>Meccanica </b:PeriodicalTitle>
    <b:Pages>57, 2863–2883</b:Pages>
    <b:Author>
      <b:Author>
        <b:NameList>
          <b:Person>
            <b:Last>Bartolozzi</b:Last>
            <b:First>M.,</b:First>
            <b:Middle>Berzi, L., Meli, E. et al.</b:Middle>
          </b:Person>
        </b:NameList>
      </b:Author>
    </b:Author>
    <b:RefOrder>2</b:RefOrder>
  </b:Source>
  <b:Source>
    <b:Tag>Lot14</b:Tag>
    <b:SourceType>BookSection</b:SourceType>
    <b:Guid>{C505D254-2DEC-4DC3-B2D6-B2D79C4CC6DC}</b:Guid>
    <b:Title>A virtual-reality framework for the hardware-in-the-loop motorcycle simulation.</b:Title>
    <b:Year>2014</b:Year>
    <b:Pages>183-195</b:Pages>
    <b:City>Chichester, GB</b:City>
    <b:Publisher>Wiley</b:Publisher>
    <b:Author>
      <b:Author>
        <b:NameList>
          <b:Person>
            <b:Last>Lot</b:Last>
            <b:First>Roberto,</b:First>
            <b:Middle>Cossalter, Vittore and Como, Matteo</b:Middle>
          </b:Person>
        </b:NameList>
      </b:Author>
    </b:Author>
    <b:BookTitle>Modelling, Simulation and Control of Two-Wheeled Vehicles</b:BookTitle>
    <b:RefOrder>3</b:RefOrder>
  </b:Source>
  <b:Source>
    <b:Tag>sas</b:Tag>
    <b:SourceType>BookSection</b:SourceType>
    <b:Guid>{487F5F2E-FFCC-415A-8B94-A213E9E16B7B}</b:Guid>
    <b:Author>
      <b:Author>
        <b:NameList>
          <b:Person>
            <b:Last>sasas</b:Last>
          </b:Person>
        </b:NameList>
      </b:Author>
    </b:Author>
    <b:Title>asa</b:Title>
    <b:BookTitle>as</b:BookTitle>
    <b:Pages>aas</b:Pages>
    <b:City>asa</b:City>
    <b:RefOrder>4</b:RefOrder>
  </b:Source>
  <b:Source>
    <b:Tag>ste22</b:Tag>
    <b:SourceType>InternetSite</b:SourceType>
    <b:Guid>{CFBF4C47-663A-481D-96DC-39FB005FB070}</b:Guid>
    <b:Title>steampowered</b:Title>
    <b:YearAccessed>2022</b:YearAccessed>
    <b:MonthAccessed>12</b:MonthAccessed>
    <b:DayAccessed>11</b:DayAccessed>
    <b:URL>https://store.steampowered.com/</b:URL>
    <b:RefOrder>5</b:RefOrder>
  </b:Source>
  <b:Source>
    <b:Tag>Ale20</b:Tag>
    <b:SourceType>Report</b:SourceType>
    <b:Guid>{76FCE3D9-E3E4-422E-A836-B0D526C2D3F3}</b:Guid>
    <b:Title>Practical and Analytical Investigation into Motorcycle Steering Dynamics and Rider Control</b:Title>
    <b:Year>2020</b:Year>
    <b:Author>
      <b:Author>
        <b:NameList>
          <b:Person>
            <b:Last>Przibylla</b:Last>
            <b:First>Alexander</b:First>
            <b:Middle>Thaddaeus</b:Middle>
          </b:Person>
        </b:NameList>
      </b:Author>
    </b:Author>
    <b:Publisher>University of Wales Trinity Saint David</b:Publisher>
    <b:City>Swansea</b:City>
    <b:RefOrder>6</b:RefOrder>
  </b:Source>
  <b:Source>
    <b:Tag>Mat21</b:Tag>
    <b:SourceType>Report</b:SourceType>
    <b:Guid>{B02EB3CC-E33C-4640-8C71-273A76A359E1}</b:Guid>
    <b:Author>
      <b:Author>
        <b:NameList>
          <b:Person>
            <b:Last>Skoczylas</b:Last>
            <b:First>Mateusz</b:First>
          </b:Person>
        </b:NameList>
      </b:Author>
    </b:Author>
    <b:Title>COMPARISON OF REAL TELEMETRY DATA AGAINST GP BIKES GAME AND VI GRADE SIMULATOR</b:Title>
    <b:Year>2021</b:Year>
    <b:Publisher>University of Wales Trinity Saint David</b:Publisher>
    <b:City>Swansea</b:City>
    <b:RefOrder>7</b:RefOrder>
  </b:Source>
  <b:Source>
    <b:Tag>Massaro</b:Tag>
    <b:SourceType>JournalArticle</b:SourceType>
    <b:Guid>{F00FB682-385D-4DFE-83D1-26FC044A1603}</b:Guid>
    <b:Title>On engine-to-slip modelling for motorcycle traction control design</b:Title>
    <b:Author>
      <b:Author>
        <b:NameList>
          <b:Person>
            <b:Last>Massaro</b:Last>
            <b:First>M.,</b:First>
            <b:Middle>Lot, R., &amp; Cossalter, V.</b:Middle>
          </b:Person>
        </b:NameList>
      </b:Author>
    </b:Author>
    <b:JournalName>Proceedings of the Institution of Mechanical Engineers, Part D: Journal of Automobile Engineering</b:JournalName>
    <b:Pages>224(9)</b:Pages>
    <b:Volume>1207-1216.</b:Volume>
    <b:DOI>10.1243/09544070JAUTO1575</b:DOI>
    <b:RefOrder>8</b:RefOrder>
  </b:Source>
  <b:Source>
    <b:Tag>Car08</b:Tag>
    <b:SourceType>JournalArticle</b:SourceType>
    <b:Guid>{230AD6A6-69EA-4163-BD6F-93AD59BB1F9F}</b:Guid>
    <b:Author>
      <b:Author>
        <b:NameList>
          <b:Person>
            <b:Last>Cardinale</b:Last>
            <b:First>P.,</b:First>
            <b:Middle>D’Angelo, C., &amp; Conti, M</b:Middle>
          </b:Person>
        </b:NameList>
      </b:Author>
    </b:Author>
    <b:Title>Traction Control System for Motorcycles</b:Title>
    <b:JournalName>Journal of Applied Sciences</b:JournalName>
    <b:Year>2008</b:Year>
    <b:Pages>8(16)</b:Pages>
    <b:Volume>2911-2918</b:Volume>
    <b:DOI>10.3923/jas.2008.2911.2918</b:DOI>
    <b:RefOrder>1</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B7943C12CE8B24B9C948E5FBAF57B3A" ma:contentTypeVersion="17" ma:contentTypeDescription="Create a new document." ma:contentTypeScope="" ma:versionID="b30b60e9d4caf5a2c65b68815a2fd523">
  <xsd:schema xmlns:xsd="http://www.w3.org/2001/XMLSchema" xmlns:xs="http://www.w3.org/2001/XMLSchema" xmlns:p="http://schemas.microsoft.com/office/2006/metadata/properties" xmlns:ns2="87976339-b2f2-475f-bce4-3bdd3c5bdf03" xmlns:ns3="8ffd1b9b-65be-4e15-ae9b-5f289ce13366" targetNamespace="http://schemas.microsoft.com/office/2006/metadata/properties" ma:root="true" ma:fieldsID="c65b18a6a7a3ce2849b55e37e60eb5f4" ns2:_="" ns3:_="">
    <xsd:import namespace="87976339-b2f2-475f-bce4-3bdd3c5bdf03"/>
    <xsd:import namespace="8ffd1b9b-65be-4e15-ae9b-5f289ce1336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3:SharedWithUsers" minOccurs="0"/>
                <xsd:element ref="ns3:SharedWithDetails" minOccurs="0"/>
                <xsd:element ref="ns2:MediaLengthInSeconds"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7976339-b2f2-475f-bce4-3bdd3c5bdf0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ffd1b9b-65be-4e15-ae9b-5f289ce13366"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4fbf3ad-f3c0-4c45-8633-a3f0a20c1c1a}" ma:internalName="TaxCatchAll" ma:showField="CatchAllData" ma:web="8ffd1b9b-65be-4e15-ae9b-5f289ce13366">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0052237-D6A8-4ACB-8052-AC18A052E9FC}">
  <ds:schemaRefs>
    <ds:schemaRef ds:uri="http://schemas.microsoft.com/office/2006/metadata/properties"/>
    <ds:schemaRef ds:uri="http://schemas.microsoft.com/office/infopath/2007/PartnerControls"/>
    <ds:schemaRef ds:uri="8ffd1b9b-65be-4e15-ae9b-5f289ce13366"/>
    <ds:schemaRef ds:uri="87976339-b2f2-475f-bce4-3bdd3c5bdf03"/>
  </ds:schemaRefs>
</ds:datastoreItem>
</file>

<file path=customXml/itemProps2.xml><?xml version="1.0" encoding="utf-8"?>
<ds:datastoreItem xmlns:ds="http://schemas.openxmlformats.org/officeDocument/2006/customXml" ds:itemID="{458BB736-1C57-42FB-A8D9-9AB4E2072888}">
  <ds:schemaRefs>
    <ds:schemaRef ds:uri="http://schemas.openxmlformats.org/officeDocument/2006/bibliography"/>
  </ds:schemaRefs>
</ds:datastoreItem>
</file>

<file path=customXml/itemProps3.xml><?xml version="1.0" encoding="utf-8"?>
<ds:datastoreItem xmlns:ds="http://schemas.openxmlformats.org/officeDocument/2006/customXml" ds:itemID="{44318076-EDCE-4A1C-B2D1-0AB88D5AAED2}">
  <ds:schemaRefs>
    <ds:schemaRef ds:uri="http://schemas.microsoft.com/sharepoint/v3/contenttype/forms"/>
  </ds:schemaRefs>
</ds:datastoreItem>
</file>

<file path=customXml/itemProps4.xml><?xml version="1.0" encoding="utf-8"?>
<ds:datastoreItem xmlns:ds="http://schemas.openxmlformats.org/officeDocument/2006/customXml" ds:itemID="{1CF5B2F9-394B-492C-A48B-5DD6F8DA7A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7976339-b2f2-475f-bce4-3bdd3c5bdf03"/>
    <ds:schemaRef ds:uri="8ffd1b9b-65be-4e15-ae9b-5f289ce1336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5</Pages>
  <Words>3086</Words>
  <Characters>17596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Windows User</Company>
  <LinksUpToDate>false</LinksUpToDate>
  <CharactersWithSpaces>20641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lalit</dc:creator>
  <cp:keywords/>
  <cp:lastModifiedBy>Vinicius Dias Dreher (1900011)</cp:lastModifiedBy>
  <cp:revision>5</cp:revision>
  <cp:lastPrinted>2022-12-11T21:57:00Z</cp:lastPrinted>
  <dcterms:created xsi:type="dcterms:W3CDTF">2023-04-02T18:36:00Z</dcterms:created>
  <dcterms:modified xsi:type="dcterms:W3CDTF">2023-04-02T20:24:00Z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1033-10.2.0.5965</vt:lpwstr>
  </property>
</Properties>
</file>