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
    <w:p/>
    <w:p/>
    <w:p/>
    <w:p/>
    <w:p/>
    <w:p/>
    <w:p/>
    <w:p/>
    <w:p>
      <w:pPr>
        <w:spacing w:line="259" w:lineRule="auto"/>
        <w:jc w:val="center"/>
        <w:rPr>
          <w:b/>
          <w:i/>
          <w:sz w:val="28"/>
          <w:szCs w:val="28"/>
        </w:rPr>
      </w:pPr>
      <w:r>
        <w:rPr>
          <w:b/>
          <w:i/>
          <w:sz w:val="28"/>
          <w:szCs w:val="28"/>
        </w:rPr>
        <w:t>Module: Population Health and Digital Health Promotion</w:t>
      </w:r>
    </w:p>
    <w:p>
      <w:pPr>
        <w:spacing w:line="259" w:lineRule="auto"/>
        <w:jc w:val="center"/>
        <w:rPr>
          <w:b/>
          <w:i/>
          <w:sz w:val="28"/>
          <w:szCs w:val="28"/>
        </w:rPr>
      </w:pPr>
      <w:r>
        <w:rPr>
          <w:b/>
          <w:i/>
          <w:sz w:val="28"/>
          <w:szCs w:val="28"/>
        </w:rPr>
        <w:t>Module code: LCHS7009</w:t>
      </w:r>
    </w:p>
    <w:p>
      <w:pPr>
        <w:spacing w:line="259" w:lineRule="auto"/>
        <w:jc w:val="center"/>
        <w:rPr>
          <w:b/>
          <w:i/>
          <w:sz w:val="28"/>
          <w:szCs w:val="28"/>
        </w:rPr>
      </w:pPr>
      <w:r>
        <w:rPr>
          <w:b/>
          <w:i/>
          <w:sz w:val="28"/>
          <w:szCs w:val="28"/>
        </w:rPr>
        <w:t>Lecturer: Dr Raheela Shaikh</w:t>
      </w:r>
    </w:p>
    <w:p>
      <w:pPr>
        <w:spacing w:line="259" w:lineRule="auto"/>
        <w:jc w:val="center"/>
        <w:rPr>
          <w:b/>
          <w:i/>
          <w:sz w:val="28"/>
          <w:szCs w:val="28"/>
        </w:rPr>
      </w:pPr>
      <w:r>
        <w:rPr>
          <w:b/>
          <w:i/>
          <w:sz w:val="28"/>
          <w:szCs w:val="28"/>
        </w:rPr>
        <w:t>Assignment Title: Component 1, 2 Blogs</w:t>
      </w:r>
    </w:p>
    <w:p>
      <w:pPr>
        <w:spacing w:line="259" w:lineRule="auto"/>
        <w:jc w:val="center"/>
        <w:rPr>
          <w:b/>
          <w:i/>
          <w:sz w:val="28"/>
          <w:szCs w:val="28"/>
        </w:rPr>
      </w:pPr>
    </w:p>
    <w:p>
      <w:pPr>
        <w:spacing w:line="259" w:lineRule="auto"/>
        <w:jc w:val="center"/>
        <w:rPr>
          <w:b/>
          <w:i/>
          <w:sz w:val="28"/>
          <w:szCs w:val="28"/>
        </w:rPr>
      </w:pPr>
    </w:p>
    <w:p>
      <w:pPr>
        <w:spacing w:line="259" w:lineRule="auto"/>
        <w:jc w:val="center"/>
        <w:rPr>
          <w:b/>
          <w:i/>
          <w:sz w:val="28"/>
          <w:szCs w:val="28"/>
        </w:rPr>
      </w:pPr>
    </w:p>
    <w:p>
      <w:pPr>
        <w:spacing w:line="259" w:lineRule="auto"/>
        <w:jc w:val="center"/>
        <w:rPr>
          <w:b/>
          <w:i/>
          <w:sz w:val="28"/>
          <w:szCs w:val="28"/>
        </w:rPr>
      </w:pPr>
    </w:p>
    <w:p>
      <w:pPr>
        <w:spacing w:line="259" w:lineRule="auto"/>
        <w:jc w:val="center"/>
        <w:rPr>
          <w:b/>
          <w:i/>
          <w:sz w:val="28"/>
          <w:szCs w:val="28"/>
        </w:rPr>
      </w:pPr>
    </w:p>
    <w:p>
      <w:pPr>
        <w:spacing w:line="259" w:lineRule="auto"/>
        <w:jc w:val="center"/>
        <w:rPr>
          <w:b/>
          <w:i/>
          <w:szCs w:val="24"/>
        </w:rPr>
      </w:pPr>
      <w:r>
        <w:rPr>
          <w:b/>
          <w:i/>
          <w:szCs w:val="24"/>
        </w:rPr>
        <w:t xml:space="preserve">Student name:Sanjay Parabat Odedara </w:t>
      </w:r>
    </w:p>
    <w:p>
      <w:pPr>
        <w:spacing w:line="259" w:lineRule="auto"/>
        <w:jc w:val="center"/>
        <w:rPr>
          <w:b/>
          <w:i/>
          <w:szCs w:val="24"/>
        </w:rPr>
      </w:pPr>
      <w:r>
        <w:rPr>
          <w:b/>
          <w:i/>
          <w:szCs w:val="24"/>
        </w:rPr>
        <w:t>Student ID:2519105</w:t>
      </w:r>
      <w:bookmarkStart w:id="0" w:name="_GoBack"/>
      <w:bookmarkEnd w:id="0"/>
    </w:p>
    <w:p>
      <w:pPr>
        <w:spacing w:line="259" w:lineRule="auto"/>
        <w:jc w:val="center"/>
      </w:pPr>
      <w:r>
        <w:br w:type="page"/>
      </w:r>
    </w:p>
    <w:p>
      <w:pPr>
        <w:pStyle w:val="19"/>
        <w:spacing w:line="360" w:lineRule="auto"/>
        <w:jc w:val="center"/>
        <w:rPr>
          <w:rFonts w:ascii="Times New Roman" w:cs="Times New Roman" w:hAnsi="Times New Roman"/>
          <w:b/>
          <w:i/>
          <w:color w:val="auto"/>
          <w:sz w:val="24"/>
          <w:szCs w:val="24"/>
        </w:rPr>
      </w:pPr>
      <w:r>
        <w:rPr>
          <w:rFonts w:ascii="Times New Roman" w:cs="Times New Roman" w:hAnsi="Times New Roman"/>
          <w:b/>
          <w:i/>
          <w:color w:val="auto"/>
          <w:sz w:val="24"/>
          <w:szCs w:val="24"/>
        </w:rPr>
        <w:t>Table of Contents</w:t>
      </w:r>
    </w:p>
    <w:p>
      <w:pPr>
        <w:pStyle w:val="20"/>
        <w:tabs>
          <w:tab w:val="right" w:leader="dot" w:pos="9016"/>
        </w:tabs>
        <w:rPr>
          <w:rFonts w:ascii="Calibri" w:eastAsia="等线" w:hAnsi="Calibri"/>
          <w:kern w:val="2"/>
          <w:szCs w:val="24"/>
          <w:lang w:eastAsia="zh-CN"/>
        </w:rPr>
      </w:pPr>
      <w:r>
        <w:fldChar w:fldCharType="begin"/>
      </w:r>
      <w:r>
        <w:instrText xml:space="preserve"> TOC \o "1-3" \h \z \u </w:instrText>
      </w:r>
      <w:r>
        <w:fldChar w:fldCharType="separate"/>
      </w:r>
      <w:r>
        <w:fldChar w:fldCharType="begin"/>
      </w:r>
      <w:r>
        <w:instrText>Hyperlink \l "_Toc243598562"</w:instrText>
      </w:r>
      <w:r>
        <w:fldChar w:fldCharType="separate"/>
      </w:r>
      <w:r>
        <w:t>Blog 1: The Impact of Digital Air Quality Monitoring on Public Health: Promoting Respiratory Health through Real-Time Pollution Alerts</w:t>
        <w:tab/>
      </w:r>
      <w:r>
        <w:fldChar w:fldCharType="begin"/>
      </w:r>
      <w:r>
        <w:instrText xml:space="preserve"> PAGEREF _Toc243598562 \h </w:instrText>
      </w:r>
      <w:r>
        <w:fldChar w:fldCharType="separate"/>
      </w:r>
      <w:r>
        <w:t>3</w:t>
      </w:r>
      <w:r>
        <w:fldChar w:fldCharType="end"/>
      </w:r>
      <w:r>
        <w:fldChar w:fldCharType="end"/>
      </w:r>
    </w:p>
    <w:p>
      <w:pPr>
        <w:pStyle w:val="22"/>
        <w:tabs>
          <w:tab w:val="right" w:leader="dot" w:pos="9016"/>
        </w:tabs>
        <w:rPr>
          <w:rFonts w:ascii="Calibri" w:eastAsia="等线" w:hAnsi="Calibri"/>
          <w:kern w:val="2"/>
          <w:szCs w:val="24"/>
          <w:lang w:eastAsia="zh-CN"/>
        </w:rPr>
      </w:pPr>
      <w:r>
        <w:fldChar w:fldCharType="begin"/>
      </w:r>
      <w:r>
        <w:instrText>Hyperlink \l "_Toc243598563"</w:instrText>
      </w:r>
      <w:r>
        <w:fldChar w:fldCharType="separate"/>
      </w:r>
      <w:r>
        <w:t>References</w:t>
        <w:tab/>
      </w:r>
      <w:r>
        <w:fldChar w:fldCharType="begin"/>
      </w:r>
      <w:r>
        <w:instrText xml:space="preserve"> PAGEREF _Toc243598563 \h </w:instrText>
      </w:r>
      <w:r>
        <w:fldChar w:fldCharType="separate"/>
      </w:r>
      <w:r>
        <w:t>6</w:t>
      </w:r>
      <w:r>
        <w:fldChar w:fldCharType="end"/>
      </w:r>
      <w:r>
        <w:fldChar w:fldCharType="end"/>
      </w:r>
    </w:p>
    <w:p>
      <w:pPr>
        <w:pStyle w:val="20"/>
        <w:tabs>
          <w:tab w:val="right" w:leader="dot" w:pos="9016"/>
        </w:tabs>
        <w:rPr>
          <w:rFonts w:ascii="Calibri" w:eastAsia="等线" w:hAnsi="Calibri"/>
          <w:kern w:val="2"/>
          <w:szCs w:val="24"/>
          <w:lang w:eastAsia="zh-CN"/>
        </w:rPr>
      </w:pPr>
      <w:r>
        <w:fldChar w:fldCharType="begin"/>
      </w:r>
      <w:r>
        <w:instrText>Hyperlink \l "_Toc243598564"</w:instrText>
      </w:r>
      <w:r>
        <w:fldChar w:fldCharType="separate"/>
      </w:r>
      <w:r>
        <w:t xml:space="preserve">Blog 2: </w:t>
      </w:r>
      <w:r>
        <w:rPr>
          <w:bCs/>
        </w:rPr>
        <w:t>Smart air alert reduces to exposure to harmful chemical</w:t>
      </w:r>
      <w:r>
        <w:tab/>
      </w:r>
      <w:r>
        <w:fldChar w:fldCharType="begin"/>
      </w:r>
      <w:r>
        <w:instrText xml:space="preserve"> PAGEREF _Toc243598564 \h </w:instrText>
      </w:r>
      <w:r>
        <w:fldChar w:fldCharType="separate"/>
      </w:r>
      <w:r>
        <w:t>8</w:t>
      </w:r>
      <w:r>
        <w:fldChar w:fldCharType="end"/>
      </w:r>
      <w:r>
        <w:fldChar w:fldCharType="end"/>
      </w:r>
    </w:p>
    <w:p>
      <w:pPr>
        <w:pStyle w:val="22"/>
        <w:tabs>
          <w:tab w:val="right" w:leader="dot" w:pos="9016"/>
        </w:tabs>
        <w:rPr>
          <w:rFonts w:ascii="Calibri" w:eastAsia="等线" w:hAnsi="Calibri"/>
          <w:kern w:val="2"/>
          <w:szCs w:val="24"/>
          <w:lang w:eastAsia="zh-CN"/>
        </w:rPr>
      </w:pPr>
      <w:r>
        <w:fldChar w:fldCharType="begin"/>
      </w:r>
      <w:r>
        <w:instrText>Hyperlink \l "_Toc243598565"</w:instrText>
      </w:r>
      <w:r>
        <w:fldChar w:fldCharType="separate"/>
      </w:r>
      <w:r>
        <w:t>References</w:t>
        <w:tab/>
      </w:r>
      <w:r>
        <w:fldChar w:fldCharType="begin"/>
      </w:r>
      <w:r>
        <w:instrText xml:space="preserve"> PAGEREF _Toc243598565 \h </w:instrText>
      </w:r>
      <w:r>
        <w:fldChar w:fldCharType="separate"/>
      </w:r>
      <w:r>
        <w:t>11</w:t>
      </w:r>
      <w:r>
        <w:fldChar w:fldCharType="end"/>
      </w:r>
      <w:r>
        <w:fldChar w:fldCharType="end"/>
      </w:r>
    </w:p>
    <w:p>
      <w:r>
        <w:rPr>
          <w:b/>
          <w:bCs/>
        </w:rPr>
        <w:fldChar w:fldCharType="end"/>
      </w:r>
    </w:p>
    <w:p>
      <w:pPr>
        <w:spacing w:line="259" w:lineRule="auto"/>
        <w:jc w:val="left"/>
      </w:pPr>
      <w:r>
        <w:br w:type="page"/>
      </w:r>
    </w:p>
    <w:p>
      <w:pPr>
        <w:pStyle w:val="1"/>
        <w:spacing w:after="240"/>
      </w:pPr>
      <w:bookmarkStart w:id="1" w:name="_Toc243598562"/>
      <w:r>
        <w:t>Blog 1: The Impact of Digital Air Quality Monitoring on Public Health: Promoting Respiratory Health through Real-Time Pollution Alerts</w:t>
      </w:r>
      <w:bookmarkEnd w:id="1"/>
    </w:p>
    <w:p>
      <w:pPr>
        <w:rPr>
          <w:b/>
          <w:i/>
        </w:rPr>
      </w:pPr>
      <w:r>
        <w:rPr>
          <w:b/>
          <w:i/>
        </w:rPr>
        <w:t>Significance of Air Quality</w:t>
      </w:r>
    </w:p>
    <w:p>
      <w:r>
        <w:t xml:space="preserve">Polluted air that contains multiple harmful particles are linked to several critical diseases including asthma, respiratory illness, and cardiovascular disease and also responsible for premature death. According to the WHO (2024), in 2019 approximately 4.2 million premature deaths occurred worldwide due to air pollution. The organisation also recommended that the annual average PM2.5 concentration is not more than 5 µg/m³ (WHO, 2021). Implementation of a digital air quality monitoring system can transform environmental data into timely, actionable health advice, empowering people to make informed decisions to reduce avoidable exposure. </w:t>
      </w:r>
    </w:p>
    <w:p>
      <w:pPr>
        <w:jc w:val="center"/>
      </w:pPr>
      <w:r>
        <w:rPr>
          <w:lang w:val="en-US"/>
        </w:rPr>
        <w:drawing>
          <wp:inline distT="0" distB="0" distL="0" distR="0">
            <wp:extent cx="3781424" cy="2143338"/>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3781424" cy="2143338"/>
                    </a:xfrm>
                    <a:prstGeom prst="rect"/>
                    <a:noFill/>
                    <a:ln w="12700" cmpd="sng" cap="flat">
                      <a:noFill/>
                      <a:prstDash val="solid"/>
                      <a:miter/>
                    </a:ln>
                  </pic:spPr>
                </pic:pic>
              </a:graphicData>
            </a:graphic>
          </wp:inline>
        </w:drawing>
      </w:r>
    </w:p>
    <w:p>
      <w:pPr>
        <w:jc w:val="center"/>
        <w:rPr>
          <w:b/>
        </w:rPr>
      </w:pPr>
      <w:r>
        <w:rPr>
          <w:b/>
        </w:rPr>
        <w:t>Figure 1: Outdoor Air Pollution</w:t>
      </w:r>
    </w:p>
    <w:p>
      <w:pPr>
        <w:jc w:val="center"/>
      </w:pPr>
      <w:r>
        <w:t>(Source: Intano, 2026)</w:t>
      </w:r>
    </w:p>
    <w:p>
      <w:pPr>
        <w:rPr>
          <w:b/>
          <w:i/>
        </w:rPr>
      </w:pPr>
      <w:r>
        <w:rPr>
          <w:b/>
          <w:i/>
        </w:rPr>
        <w:t>Health Promotion through Digital Monitoring’</w:t>
      </w:r>
    </w:p>
    <w:p>
      <w:r>
        <w:t xml:space="preserve">Monitoring stations, sensors, voice notifications, and online dashboards help this system to communicate with individuals about pollution levels (Ahmed </w:t>
      </w:r>
      <w:r>
        <w:rPr>
          <w:i/>
        </w:rPr>
        <w:t>et al</w:t>
      </w:r>
      <w:r>
        <w:t xml:space="preserve">. 2026).  During high-pollution periods, individuals can avoid strenuous outdoor activities, keep windows closed, and follow public health guidance by utilising real-time alerts. For people who are suffering from asthma or other respiratory illness, such information may help with activity planning and compliance with existing clinical management strategies. A review conducted by Schulte </w:t>
      </w:r>
      <w:r>
        <w:rPr>
          <w:i/>
        </w:rPr>
        <w:t>et al.</w:t>
      </w:r>
      <w:r>
        <w:t xml:space="preserve"> (2026) systematically reviewed 146 UK-based digital platforms that provide air quality information including websites, mobile applications and sensor-based systems. </w:t>
      </w:r>
    </w:p>
    <w:p>
      <w:pPr>
        <w:jc w:val="center"/>
      </w:pPr>
      <w:r>
        <w:rPr>
          <w:lang w:val="en-US"/>
        </w:rPr>
        <w:drawing>
          <wp:inline distT="0" distB="0" distL="0" distR="0">
            <wp:extent cx="3171825" cy="3609514"/>
            <wp:effectExtent l="0" t="0" r="0" b="0"/>
            <wp:docPr id="7" name="图片 7"/>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3171825" cy="3609514"/>
                    </a:xfrm>
                    <a:prstGeom prst="rect"/>
                    <a:noFill/>
                    <a:ln w="12700" cmpd="sng" cap="flat">
                      <a:noFill/>
                      <a:prstDash val="solid"/>
                      <a:miter/>
                    </a:ln>
                  </pic:spPr>
                </pic:pic>
              </a:graphicData>
            </a:graphic>
          </wp:inline>
        </w:drawing>
      </w:r>
    </w:p>
    <w:p>
      <w:pPr>
        <w:jc w:val="center"/>
        <w:rPr>
          <w:b/>
        </w:rPr>
      </w:pPr>
      <w:r>
        <w:rPr>
          <w:b/>
        </w:rPr>
        <w:t>Figure 2: Smartphone Health Application</w:t>
      </w:r>
    </w:p>
    <w:p>
      <w:pPr>
        <w:jc w:val="center"/>
      </w:pPr>
      <w:r>
        <w:t>(Source: Osei, 2021)</w:t>
      </w:r>
    </w:p>
    <w:p>
      <w:pPr>
        <w:rPr>
          <w:b/>
          <w:i/>
        </w:rPr>
      </w:pPr>
      <w:r>
        <w:rPr>
          <w:b/>
          <w:i/>
        </w:rPr>
        <w:t>Advantages and Drawbacks and Solutions</w:t>
      </w:r>
    </w:p>
    <w:p>
      <w:r>
        <w:t xml:space="preserve">The key advantage of this digital monitoring system is its ability to provide real-time information that supports informed decisions. Geographically targeted warnings have the potential to improve risk awareness, while mobile sensing technologies may contribute to understanding the pollution variability across different locations that is missed by stationary mobile networks. Marche </w:t>
      </w:r>
      <w:r>
        <w:rPr>
          <w:i/>
        </w:rPr>
        <w:t>et al</w:t>
      </w:r>
      <w:r>
        <w:t xml:space="preserve"> (2025) suggested that cost-effective mobile monitoring systems have the potential to identify the gaps in air quality data, especially in regions that are currently under-monitored. </w:t>
      </w:r>
    </w:p>
    <w:p>
      <w:r>
        <w:t xml:space="preserve">Nevertheless, in isolation, timely warning is inadequate to ensure healthier behaviour. Air quality warning systems are significantly influenced by factors including risk perception, comprehension, and an individual's ability to maintain the provided advice (Mowbray </w:t>
      </w:r>
      <w:r>
        <w:rPr>
          <w:i/>
        </w:rPr>
        <w:t>et al.</w:t>
      </w:r>
      <w:r>
        <w:t xml:space="preserve"> 2024). Furthermore, a reduction in exposure does not necessarily mean a reduction in morbidity, since it takes a considerable amount of time to determine the long-term health effects.</w:t>
      </w:r>
    </w:p>
    <w:p>
      <w:r>
        <w:t xml:space="preserve">Uncertainty can be reduced by calibrating and validating the sensors' readings against official monitoring stations, and through communicative transparency. Multilingual alerts, SMS and community health campaigns are also effective ways to support people who do not have smartphones (Greuel </w:t>
      </w:r>
      <w:r>
        <w:rPr>
          <w:i/>
        </w:rPr>
        <w:t>et al.</w:t>
      </w:r>
      <w:r>
        <w:t xml:space="preserve"> 2023). There is a need for practical advice from government and public health bodies which considers individual situations. Digital air quality alerts can therefore help boost health promotion by promoting awareness of risk, provided that the information is accurate, communication is accessible, and individuals can take action when alerts are given (Thompson </w:t>
      </w:r>
      <w:r>
        <w:rPr>
          <w:i/>
        </w:rPr>
        <w:t>et al</w:t>
      </w:r>
      <w:r>
        <w:t xml:space="preserve">. 2024). </w:t>
      </w:r>
    </w:p>
    <w:p>
      <w:pPr>
        <w:spacing w:line="259" w:lineRule="auto"/>
        <w:jc w:val="left"/>
      </w:pPr>
      <w:r>
        <w:br w:type="page"/>
      </w:r>
    </w:p>
    <w:p>
      <w:pPr>
        <w:pStyle w:val="2"/>
        <w:spacing w:after="240"/>
      </w:pPr>
      <w:bookmarkStart w:id="2" w:name="_Toc243598563"/>
      <w:r>
        <w:t>References</w:t>
      </w:r>
      <w:bookmarkEnd w:id="2"/>
    </w:p>
    <w:p>
      <w:r>
        <w:rPr>
          <w:rFonts w:cs="Times New Roman"/>
          <w:color w:val="222222"/>
          <w:szCs w:val="24"/>
          <w:shd w:val="clear" w:color="auto" w:fill="FFFFFF"/>
        </w:rPr>
        <w:t xml:space="preserve">Ahmed, S., Pasha, A., Kumer, T., Akhtaruzzaman, M. and Hossain, M., (2026). Advancements in Air Quality Monitoring Systems: A Comprehensive Review of Emerging Technologies for Enhancing Environmental Health. </w:t>
      </w:r>
      <w:r>
        <w:rPr>
          <w:rFonts w:cs="Times New Roman"/>
          <w:i/>
          <w:iCs/>
          <w:color w:val="222222"/>
          <w:szCs w:val="24"/>
          <w:shd w:val="clear" w:color="auto" w:fill="FFFFFF"/>
        </w:rPr>
        <w:t>Indoor Air</w:t>
      </w:r>
      <w:r>
        <w:rPr>
          <w:rFonts w:cs="Times New Roman"/>
          <w:color w:val="222222"/>
          <w:szCs w:val="24"/>
          <w:shd w:val="clear" w:color="auto" w:fill="FFFFFF"/>
        </w:rPr>
        <w:t xml:space="preserve">, </w:t>
      </w:r>
      <w:r>
        <w:rPr>
          <w:rFonts w:cs="Times New Roman"/>
          <w:i/>
          <w:iCs/>
          <w:color w:val="222222"/>
          <w:szCs w:val="24"/>
          <w:shd w:val="clear" w:color="auto" w:fill="FFFFFF"/>
        </w:rPr>
        <w:t>2026</w:t>
      </w:r>
      <w:r>
        <w:rPr>
          <w:rFonts w:cs="Times New Roman"/>
          <w:color w:val="222222"/>
          <w:szCs w:val="24"/>
          <w:shd w:val="clear" w:color="auto" w:fill="FFFFFF"/>
        </w:rPr>
        <w:t xml:space="preserve">(1), p.3080684. </w:t>
      </w:r>
      <w:r>
        <w:rPr>
          <w:rStyle w:val="17"/>
          <w:rFonts w:cs="Times New Roman"/>
          <w:szCs w:val="24"/>
          <w:shd w:val="clear" w:color="auto" w:fill="FFFFFF"/>
        </w:rPr>
        <w:fldChar w:fldCharType="begin"/>
      </w:r>
      <w:r>
        <w:instrText>HYPERLINK "https://doi.org/10.1155/ina/3080684"</w:instrText>
      </w:r>
      <w:r>
        <w:rPr>
          <w:rStyle w:val="17"/>
          <w:rFonts w:cs="Times New Roman"/>
          <w:szCs w:val="24"/>
          <w:shd w:val="clear" w:color="auto" w:fill="FFFFFF"/>
        </w:rPr>
        <w:fldChar w:fldCharType="separate"/>
      </w:r>
      <w:r>
        <w:rPr>
          <w:rStyle w:val="17"/>
          <w:rFonts w:cs="Times New Roman"/>
          <w:szCs w:val="24"/>
          <w:shd w:val="clear" w:color="auto" w:fill="FFFFFF"/>
        </w:rPr>
        <w:t>https://doi.org/10.1155/ina/3080684</w:t>
      </w:r>
      <w:r>
        <w:rPr>
          <w:rStyle w:val="17"/>
          <w:rFonts w:cs="Times New Roman"/>
          <w:szCs w:val="24"/>
          <w:shd w:val="clear" w:color="auto" w:fill="FFFFFF"/>
        </w:rPr>
        <w:fldChar w:fldCharType="end"/>
      </w:r>
    </w:p>
    <w:p>
      <w:pPr>
        <w:rPr>
          <w:rFonts w:cs="Times New Roman"/>
          <w:color w:val="222222"/>
          <w:szCs w:val="24"/>
          <w:shd w:val="clear" w:color="auto" w:fill="FFFFFF"/>
        </w:rPr>
      </w:pPr>
      <w:r>
        <w:rPr>
          <w:rFonts w:cs="Times New Roman"/>
          <w:color w:val="222222"/>
          <w:szCs w:val="24"/>
          <w:shd w:val="clear" w:color="auto" w:fill="FFFFFF"/>
        </w:rPr>
        <w:t xml:space="preserve">Greuel, M., Sy, F., Baernighausen, T., Adam, M., Vandormael, A., Gates, J. and Harling, G., (2023). Community health worker use of smart devices for health promotion: scoping review. </w:t>
      </w:r>
      <w:r>
        <w:rPr>
          <w:rFonts w:cs="Times New Roman"/>
          <w:i/>
          <w:iCs/>
          <w:color w:val="222222"/>
          <w:szCs w:val="24"/>
          <w:shd w:val="clear" w:color="auto" w:fill="FFFFFF"/>
        </w:rPr>
        <w:t>JMIR mHealth and uHealth</w:t>
      </w:r>
      <w:r>
        <w:rPr>
          <w:rFonts w:cs="Times New Roman"/>
          <w:color w:val="222222"/>
          <w:szCs w:val="24"/>
          <w:shd w:val="clear" w:color="auto" w:fill="FFFFFF"/>
        </w:rPr>
        <w:t xml:space="preserve">, </w:t>
      </w:r>
      <w:r>
        <w:rPr>
          <w:rFonts w:cs="Times New Roman"/>
          <w:i/>
          <w:iCs/>
          <w:color w:val="222222"/>
          <w:szCs w:val="24"/>
          <w:shd w:val="clear" w:color="auto" w:fill="FFFFFF"/>
        </w:rPr>
        <w:t>11</w:t>
      </w:r>
      <w:r>
        <w:rPr>
          <w:rFonts w:cs="Times New Roman"/>
          <w:color w:val="222222"/>
          <w:szCs w:val="24"/>
          <w:shd w:val="clear" w:color="auto" w:fill="FFFFFF"/>
        </w:rPr>
        <w:t xml:space="preserve">, p.e42023. </w:t>
      </w:r>
      <w:r>
        <w:rPr>
          <w:rStyle w:val="17"/>
          <w:rFonts w:cs="Times New Roman"/>
          <w:szCs w:val="24"/>
          <w:shd w:val="clear" w:color="auto" w:fill="FFFFFF"/>
        </w:rPr>
        <w:fldChar w:fldCharType="begin"/>
      </w:r>
      <w:r>
        <w:instrText>HYPERLINK "https://mhealth.jmir.org/2023/1/e42023"</w:instrText>
      </w:r>
      <w:r>
        <w:rPr>
          <w:rStyle w:val="17"/>
          <w:rFonts w:cs="Times New Roman"/>
          <w:szCs w:val="24"/>
          <w:shd w:val="clear" w:color="auto" w:fill="FFFFFF"/>
        </w:rPr>
        <w:fldChar w:fldCharType="separate"/>
      </w:r>
      <w:r>
        <w:rPr>
          <w:rStyle w:val="17"/>
          <w:rFonts w:cs="Times New Roman"/>
          <w:szCs w:val="24"/>
          <w:shd w:val="clear" w:color="auto" w:fill="FFFFFF"/>
        </w:rPr>
        <w:t>https://mhealth.jmir.org/2023/1/e42023</w:t>
      </w:r>
      <w:r>
        <w:rPr>
          <w:rStyle w:val="17"/>
          <w:rFonts w:cs="Times New Roman"/>
          <w:szCs w:val="24"/>
          <w:shd w:val="clear" w:color="auto" w:fill="FFFFFF"/>
        </w:rPr>
        <w:fldChar w:fldCharType="end"/>
      </w:r>
    </w:p>
    <w:p>
      <w:pPr>
        <w:pStyle w:val="18"/>
        <w:spacing w:before="0" w:beforeAutospacing="0" w:after="240" w:afterAutospacing="0" w:line="360" w:lineRule="auto"/>
        <w:jc w:val="both"/>
      </w:pPr>
      <w:r>
        <w:t xml:space="preserve">Intano, P. (2026). </w:t>
      </w:r>
      <w:r>
        <w:rPr>
          <w:i/>
          <w:iCs/>
        </w:rPr>
        <w:t>Air pollution deaths: What the global and U.S. data actually show</w:t>
      </w:r>
      <w:r>
        <w:t xml:space="preserve">. [online] Filterbuy.com. Available at: </w:t>
      </w:r>
      <w:r>
        <w:rPr>
          <w:rStyle w:val="17"/>
        </w:rPr>
        <w:fldChar w:fldCharType="begin"/>
      </w:r>
      <w:r>
        <w:instrText>HYPERLINK "https://filterbuy.com/resources/air-quality-aqi/air-pollution-deaths-worldwide-statistics/"</w:instrText>
      </w:r>
      <w:r>
        <w:rPr>
          <w:rStyle w:val="17"/>
        </w:rPr>
        <w:fldChar w:fldCharType="separate"/>
      </w:r>
      <w:r>
        <w:rPr>
          <w:rStyle w:val="17"/>
        </w:rPr>
        <w:t>https://filterbuy.com/resources/air-quality-aqi/air-pollution-deaths-worldwide-statistics/</w:t>
      </w:r>
      <w:r>
        <w:rPr>
          <w:rStyle w:val="17"/>
        </w:rPr>
        <w:fldChar w:fldCharType="end"/>
      </w:r>
      <w:r>
        <w:t>[Accessed 18 Oct. 2026].</w:t>
      </w:r>
    </w:p>
    <w:p>
      <w:pPr>
        <w:rPr>
          <w:rFonts w:cs="Times New Roman"/>
          <w:color w:val="222222"/>
          <w:szCs w:val="24"/>
          <w:shd w:val="clear" w:color="auto" w:fill="FFFFFF"/>
        </w:rPr>
      </w:pPr>
      <w:r>
        <w:rPr>
          <w:rFonts w:cs="Times New Roman"/>
          <w:color w:val="222222"/>
          <w:szCs w:val="24"/>
          <w:shd w:val="clear" w:color="auto" w:fill="FFFFFF"/>
          <w:lang w:val="it-IT"/>
        </w:rPr>
        <w:t xml:space="preserve">Marche, C., Massidda, E., Sanna, A., Angius, G., Nitti, M., Maiorca, D. and Lai, S., (2025). </w:t>
      </w:r>
      <w:r>
        <w:rPr>
          <w:rFonts w:cs="Times New Roman"/>
          <w:color w:val="222222"/>
          <w:szCs w:val="24"/>
          <w:shd w:val="clear" w:color="auto" w:fill="FFFFFF"/>
        </w:rPr>
        <w:t xml:space="preserve">Secure and trusted crowdsensing for outdoor air quality monitoring: State of the art and perspectives. </w:t>
      </w:r>
      <w:r>
        <w:rPr>
          <w:rFonts w:cs="Times New Roman"/>
          <w:i/>
          <w:iCs/>
          <w:color w:val="222222"/>
          <w:szCs w:val="24"/>
          <w:shd w:val="clear" w:color="auto" w:fill="FFFFFF"/>
        </w:rPr>
        <w:t>Sensors</w:t>
      </w:r>
      <w:r>
        <w:rPr>
          <w:rFonts w:cs="Times New Roman"/>
          <w:color w:val="222222"/>
          <w:szCs w:val="24"/>
          <w:shd w:val="clear" w:color="auto" w:fill="FFFFFF"/>
        </w:rPr>
        <w:t xml:space="preserve">, </w:t>
      </w:r>
      <w:r>
        <w:rPr>
          <w:rFonts w:cs="Times New Roman"/>
          <w:i/>
          <w:iCs/>
          <w:color w:val="222222"/>
          <w:szCs w:val="24"/>
          <w:shd w:val="clear" w:color="auto" w:fill="FFFFFF"/>
        </w:rPr>
        <w:t>25</w:t>
      </w:r>
      <w:r>
        <w:rPr>
          <w:rFonts w:cs="Times New Roman"/>
          <w:color w:val="222222"/>
          <w:szCs w:val="24"/>
          <w:shd w:val="clear" w:color="auto" w:fill="FFFFFF"/>
        </w:rPr>
        <w:t xml:space="preserve">(12), p.3573. </w:t>
      </w:r>
      <w:r>
        <w:rPr>
          <w:rStyle w:val="17"/>
          <w:rFonts w:cs="Times New Roman"/>
          <w:szCs w:val="24"/>
          <w:shd w:val="clear" w:color="auto" w:fill="FFFFFF"/>
        </w:rPr>
        <w:fldChar w:fldCharType="begin"/>
      </w:r>
      <w:r>
        <w:instrText>HYPERLINK "https://doi.org/10.3390/s25123573"</w:instrText>
      </w:r>
      <w:r>
        <w:rPr>
          <w:rStyle w:val="17"/>
          <w:rFonts w:cs="Times New Roman"/>
          <w:szCs w:val="24"/>
          <w:shd w:val="clear" w:color="auto" w:fill="FFFFFF"/>
        </w:rPr>
        <w:fldChar w:fldCharType="separate"/>
      </w:r>
      <w:r>
        <w:rPr>
          <w:rStyle w:val="17"/>
          <w:rFonts w:cs="Times New Roman"/>
          <w:szCs w:val="24"/>
          <w:shd w:val="clear" w:color="auto" w:fill="FFFFFF"/>
        </w:rPr>
        <w:t>https://doi.org/10.3390/s25123573</w:t>
      </w:r>
      <w:r>
        <w:rPr>
          <w:rStyle w:val="17"/>
          <w:rFonts w:cs="Times New Roman"/>
          <w:szCs w:val="24"/>
          <w:shd w:val="clear" w:color="auto" w:fill="FFFFFF"/>
        </w:rPr>
        <w:fldChar w:fldCharType="end"/>
      </w:r>
    </w:p>
    <w:p>
      <w:pPr>
        <w:rPr>
          <w:rFonts w:cs="Times New Roman"/>
          <w:color w:val="222222"/>
          <w:szCs w:val="24"/>
          <w:shd w:val="clear" w:color="auto" w:fill="FFFFFF"/>
        </w:rPr>
      </w:pPr>
      <w:r>
        <w:rPr>
          <w:rFonts w:cs="Times New Roman"/>
          <w:color w:val="222222"/>
          <w:szCs w:val="24"/>
          <w:shd w:val="clear" w:color="auto" w:fill="FFFFFF"/>
        </w:rPr>
        <w:t xml:space="preserve">Mowbray, F., Mills, F., Symons, C., Amlot, R. and James Rubin, G., (2024). A systematic review of the use of mobile alerting to inform the public about emergencies and the factors that influence the public response. </w:t>
      </w:r>
      <w:r>
        <w:rPr>
          <w:rFonts w:cs="Times New Roman"/>
          <w:i/>
          <w:iCs/>
          <w:color w:val="222222"/>
          <w:szCs w:val="24"/>
          <w:shd w:val="clear" w:color="auto" w:fill="FFFFFF"/>
        </w:rPr>
        <w:t>Journal of Contingencies and Crisis Management</w:t>
      </w:r>
      <w:r>
        <w:rPr>
          <w:rFonts w:cs="Times New Roman"/>
          <w:color w:val="222222"/>
          <w:szCs w:val="24"/>
          <w:shd w:val="clear" w:color="auto" w:fill="FFFFFF"/>
        </w:rPr>
        <w:t xml:space="preserve">, </w:t>
      </w:r>
      <w:r>
        <w:rPr>
          <w:rFonts w:cs="Times New Roman"/>
          <w:i/>
          <w:iCs/>
          <w:color w:val="222222"/>
          <w:szCs w:val="24"/>
          <w:shd w:val="clear" w:color="auto" w:fill="FFFFFF"/>
        </w:rPr>
        <w:t>32</w:t>
      </w:r>
      <w:r>
        <w:rPr>
          <w:rFonts w:cs="Times New Roman"/>
          <w:color w:val="222222"/>
          <w:szCs w:val="24"/>
          <w:shd w:val="clear" w:color="auto" w:fill="FFFFFF"/>
        </w:rPr>
        <w:t xml:space="preserve">(1), p.e12499. </w:t>
      </w:r>
      <w:r>
        <w:rPr>
          <w:rStyle w:val="17"/>
          <w:rFonts w:cs="Times New Roman"/>
          <w:szCs w:val="24"/>
          <w:shd w:val="clear" w:color="auto" w:fill="FFFFFF"/>
        </w:rPr>
        <w:fldChar w:fldCharType="begin"/>
      </w:r>
      <w:r>
        <w:instrText>HYPERLINK "https://doi.org/10.1111/1468-5973.12499"</w:instrText>
      </w:r>
      <w:r>
        <w:rPr>
          <w:rStyle w:val="17"/>
          <w:rFonts w:cs="Times New Roman"/>
          <w:szCs w:val="24"/>
          <w:shd w:val="clear" w:color="auto" w:fill="FFFFFF"/>
        </w:rPr>
        <w:fldChar w:fldCharType="separate"/>
      </w:r>
      <w:r>
        <w:rPr>
          <w:rStyle w:val="17"/>
          <w:rFonts w:cs="Times New Roman"/>
          <w:szCs w:val="24"/>
          <w:shd w:val="clear" w:color="auto" w:fill="FFFFFF"/>
        </w:rPr>
        <w:t>https://doi.org/10.1111/1468-5973.12499</w:t>
      </w:r>
      <w:r>
        <w:rPr>
          <w:rStyle w:val="17"/>
          <w:rFonts w:cs="Times New Roman"/>
          <w:szCs w:val="24"/>
          <w:shd w:val="clear" w:color="auto" w:fill="FFFFFF"/>
        </w:rPr>
        <w:fldChar w:fldCharType="end"/>
      </w:r>
    </w:p>
    <w:p>
      <w:pPr>
        <w:pStyle w:val="18"/>
        <w:spacing w:before="0" w:beforeAutospacing="0" w:after="240" w:afterAutospacing="0" w:line="360" w:lineRule="auto"/>
        <w:jc w:val="both"/>
      </w:pPr>
      <w:r>
        <w:t xml:space="preserve">Osei, E. and Mashamba-Thompson, T.P. (2021). Mobile health applications for disease screening and treatment support in low-and middle-income countries: A narrative review. </w:t>
      </w:r>
      <w:r>
        <w:rPr>
          <w:i/>
          <w:iCs/>
        </w:rPr>
        <w:t>Heliyon</w:t>
      </w:r>
      <w:r>
        <w:t xml:space="preserve">, 7(3), p.e06639. </w:t>
      </w:r>
      <w:r>
        <w:rPr>
          <w:rStyle w:val="17"/>
        </w:rPr>
        <w:fldChar w:fldCharType="begin"/>
      </w:r>
      <w:r>
        <w:instrText>HYPERLINK "https://www.cell.com/heliyon/fulltext/S2405-8440(21)00742-8?_returnURL=https%3A%2F%2Flinkinghub.elsevier.com%2Fretrieve%2Fpii%2FS2405844021007428%3Fshowall%3Dtrue"</w:instrText>
      </w:r>
      <w:r>
        <w:rPr>
          <w:rStyle w:val="17"/>
        </w:rPr>
        <w:fldChar w:fldCharType="separate"/>
      </w:r>
      <w:r>
        <w:rPr>
          <w:rStyle w:val="17"/>
        </w:rPr>
        <w:t>https://www.cell.com/heliyon/fulltext/S2405-8440(21)00742-8?_returnURL=https%3A%2F%2Flinkinghub.elsevier.com%2Fretrieve%2Fpii%2FS2405844021007428%3Fshowall%3Dtrue</w:t>
      </w:r>
      <w:r>
        <w:rPr>
          <w:rStyle w:val="17"/>
        </w:rPr>
        <w:fldChar w:fldCharType="end"/>
      </w:r>
    </w:p>
    <w:p>
      <w:pPr>
        <w:pStyle w:val="18"/>
        <w:spacing w:before="0" w:beforeAutospacing="0" w:after="240" w:afterAutospacing="0" w:line="360" w:lineRule="auto"/>
        <w:jc w:val="both"/>
      </w:pPr>
      <w:r>
        <w:t xml:space="preserve">Schulte, K., Brighty, A., Francis, W. and Grieve, A. (2026). Equity, accessibility, and public health implications of digital platforms delivering real-time air quality information: A technology review. </w:t>
      </w:r>
      <w:r>
        <w:rPr>
          <w:i/>
          <w:iCs/>
        </w:rPr>
        <w:t>PLOS Digital Health</w:t>
      </w:r>
      <w:r>
        <w:t xml:space="preserve">, 5(4), p.e0001280. DOI: </w:t>
      </w:r>
      <w:r>
        <w:rPr>
          <w:rStyle w:val="17"/>
        </w:rPr>
        <w:fldChar w:fldCharType="begin"/>
      </w:r>
      <w:r>
        <w:instrText>HYPERLINK "https://doi.org/10.1371/journal.pdig.0001280"</w:instrText>
      </w:r>
      <w:r>
        <w:rPr>
          <w:rStyle w:val="17"/>
        </w:rPr>
        <w:fldChar w:fldCharType="separate"/>
      </w:r>
      <w:r>
        <w:rPr>
          <w:rStyle w:val="17"/>
        </w:rPr>
        <w:t>https://doi.org/10.1371/journal.pdig.0001280</w:t>
      </w:r>
      <w:r>
        <w:rPr>
          <w:rStyle w:val="17"/>
        </w:rPr>
        <w:fldChar w:fldCharType="end"/>
      </w:r>
      <w:r>
        <w:t>.</w:t>
      </w:r>
    </w:p>
    <w:p>
      <w:pPr>
        <w:rPr>
          <w:rFonts w:cs="Times New Roman"/>
          <w:color w:val="222222"/>
          <w:szCs w:val="24"/>
          <w:shd w:val="clear" w:color="auto" w:fill="FFFFFF"/>
        </w:rPr>
      </w:pPr>
      <w:r>
        <w:rPr>
          <w:rFonts w:cs="Times New Roman"/>
          <w:color w:val="222222"/>
          <w:szCs w:val="24"/>
          <w:shd w:val="clear" w:color="auto" w:fill="FFFFFF"/>
        </w:rPr>
        <w:t xml:space="preserve">Thompson, O.P., Breitenstein, R.S., Barnes, B.R. and Glory, R., (2024). Promoting behavioral change and public awareness for sustainable clean air. In </w:t>
      </w:r>
      <w:r>
        <w:rPr>
          <w:rFonts w:cs="Times New Roman"/>
          <w:i/>
          <w:iCs/>
          <w:color w:val="222222"/>
          <w:szCs w:val="24"/>
          <w:shd w:val="clear" w:color="auto" w:fill="FFFFFF"/>
        </w:rPr>
        <w:t>Sustainable Strategies for Air Pollution Mitigation: Development, Economics, and Technologies</w:t>
      </w:r>
      <w:r>
        <w:rPr>
          <w:rFonts w:cs="Times New Roman"/>
          <w:color w:val="222222"/>
          <w:szCs w:val="24"/>
          <w:shd w:val="clear" w:color="auto" w:fill="FFFFFF"/>
        </w:rPr>
        <w:t xml:space="preserve"> (pp. 475-511). Cham: Springer Nature Switzerland. </w:t>
      </w:r>
      <w:r>
        <w:rPr>
          <w:rStyle w:val="17"/>
          <w:rFonts w:cs="Times New Roman"/>
          <w:szCs w:val="24"/>
          <w:shd w:val="clear" w:color="auto" w:fill="FFFFFF"/>
        </w:rPr>
        <w:fldChar w:fldCharType="begin"/>
      </w:r>
      <w:r>
        <w:instrText>HYPERLINK "https://link.springer.com/chapter/10.1007/698_2024_1171"</w:instrText>
      </w:r>
      <w:r>
        <w:rPr>
          <w:rStyle w:val="17"/>
          <w:rFonts w:cs="Times New Roman"/>
          <w:szCs w:val="24"/>
          <w:shd w:val="clear" w:color="auto" w:fill="FFFFFF"/>
        </w:rPr>
        <w:fldChar w:fldCharType="separate"/>
      </w:r>
      <w:r>
        <w:rPr>
          <w:rStyle w:val="17"/>
          <w:rFonts w:cs="Times New Roman"/>
          <w:szCs w:val="24"/>
          <w:shd w:val="clear" w:color="auto" w:fill="FFFFFF"/>
        </w:rPr>
        <w:t>https://link.springer.com/chapter/10.1007/698_2024_1171</w:t>
      </w:r>
      <w:r>
        <w:rPr>
          <w:rStyle w:val="17"/>
          <w:rFonts w:cs="Times New Roman"/>
          <w:szCs w:val="24"/>
          <w:shd w:val="clear" w:color="auto" w:fill="FFFFFF"/>
        </w:rPr>
        <w:fldChar w:fldCharType="end"/>
      </w:r>
    </w:p>
    <w:p>
      <w:pPr>
        <w:pStyle w:val="18"/>
        <w:spacing w:before="0" w:beforeAutospacing="0" w:after="240" w:afterAutospacing="0" w:line="360" w:lineRule="auto"/>
        <w:jc w:val="both"/>
      </w:pPr>
      <w:r>
        <w:t xml:space="preserve">WHO (2021). </w:t>
      </w:r>
      <w:r>
        <w:rPr>
          <w:i/>
          <w:iCs/>
        </w:rPr>
        <w:t>WHO global air quality guidelines</w:t>
      </w:r>
      <w:r>
        <w:t xml:space="preserve">. [online] www.who.int. Available at: </w:t>
      </w:r>
      <w:r>
        <w:rPr>
          <w:rStyle w:val="17"/>
        </w:rPr>
        <w:fldChar w:fldCharType="begin"/>
      </w:r>
      <w:r>
        <w:instrText>HYPERLINK "https://www.who.int/news-room/questions-and-answers/item/who-global-air-quality-guidelines"</w:instrText>
      </w:r>
      <w:r>
        <w:rPr>
          <w:rStyle w:val="17"/>
        </w:rPr>
        <w:fldChar w:fldCharType="separate"/>
      </w:r>
      <w:r>
        <w:rPr>
          <w:rStyle w:val="17"/>
        </w:rPr>
        <w:t>https://www.who.int/news-room/questions-and-answers/item/who-global-air-quality-guidelines</w:t>
      </w:r>
      <w:r>
        <w:rPr>
          <w:rStyle w:val="17"/>
        </w:rPr>
        <w:fldChar w:fldCharType="end"/>
      </w:r>
      <w:r>
        <w:t>[Accessed 18 Oct. 2026].</w:t>
      </w:r>
    </w:p>
    <w:p>
      <w:pPr>
        <w:pStyle w:val="18"/>
        <w:spacing w:before="0" w:beforeAutospacing="0" w:after="240" w:afterAutospacing="0" w:line="360" w:lineRule="auto"/>
        <w:jc w:val="both"/>
      </w:pPr>
      <w:r>
        <w:t xml:space="preserve">WHO (2024). </w:t>
      </w:r>
      <w:r>
        <w:rPr>
          <w:i/>
          <w:iCs/>
        </w:rPr>
        <w:t>Ambient (outdoor) Air Quality and Health</w:t>
      </w:r>
      <w:r>
        <w:t xml:space="preserve">. [online] World Health Organization. Available at: </w:t>
      </w:r>
      <w:r>
        <w:rPr>
          <w:rStyle w:val="17"/>
        </w:rPr>
        <w:fldChar w:fldCharType="begin"/>
      </w:r>
      <w:r>
        <w:instrText>HYPERLINK "https://www.who.int/news-room/fact-sheets/detail/ambient-(outdoor)-air-quality-and-health"</w:instrText>
      </w:r>
      <w:r>
        <w:rPr>
          <w:rStyle w:val="17"/>
        </w:rPr>
        <w:fldChar w:fldCharType="separate"/>
      </w:r>
      <w:r>
        <w:rPr>
          <w:rStyle w:val="17"/>
        </w:rPr>
        <w:t>https://www.who.int/news-room/fact-sheets/detail/ambient-(outdoor)-air-quality-and-health</w:t>
      </w:r>
      <w:r>
        <w:rPr>
          <w:rStyle w:val="17"/>
        </w:rPr>
        <w:fldChar w:fldCharType="end"/>
      </w:r>
      <w:r>
        <w:t xml:space="preserve"> [Accessed 18 Oct. 2026].</w:t>
      </w:r>
    </w:p>
    <w:p>
      <w:pPr>
        <w:rPr>
          <w:rFonts w:cs="Times New Roman"/>
          <w:color w:val="222222"/>
          <w:szCs w:val="24"/>
          <w:shd w:val="clear" w:color="auto" w:fill="FFFFFF"/>
        </w:rPr>
      </w:pPr>
    </w:p>
    <w:p>
      <w:pPr>
        <w:pStyle w:val="18"/>
        <w:spacing w:before="0" w:beforeAutospacing="0" w:after="240" w:afterAutospacing="0" w:line="360" w:lineRule="auto"/>
        <w:jc w:val="both"/>
      </w:pPr>
    </w:p>
    <w:p>
      <w:pPr>
        <w:pStyle w:val="18"/>
        <w:spacing w:before="0" w:beforeAutospacing="0" w:after="240" w:afterAutospacing="0" w:line="360" w:lineRule="auto"/>
        <w:jc w:val="both"/>
      </w:pPr>
    </w:p>
    <w:p/>
    <w:p>
      <w:pPr>
        <w:spacing w:line="259" w:lineRule="auto"/>
        <w:jc w:val="left"/>
        <w:rPr>
          <w:rFonts w:eastAsia="等线 Light" w:cs="Times New Roman"/>
          <w:b/>
          <w:szCs w:val="32"/>
        </w:rPr>
      </w:pPr>
      <w:r>
        <w:br w:type="page"/>
      </w:r>
    </w:p>
    <w:p>
      <w:pPr>
        <w:pStyle w:val="1"/>
        <w:spacing w:after="240"/>
      </w:pPr>
      <w:bookmarkStart w:id="3" w:name="_Toc243598564"/>
      <w:r>
        <w:t xml:space="preserve">Blog 2: </w:t>
      </w:r>
      <w:r>
        <w:rPr>
          <w:bCs/>
        </w:rPr>
        <w:t>Smart air alert reduces to exposure to harmful chemical</w:t>
      </w:r>
      <w:bookmarkEnd w:id="3"/>
    </w:p>
    <w:p>
      <w:pPr>
        <w:rPr>
          <w:b/>
          <w:i/>
        </w:rPr>
      </w:pPr>
      <w:r>
        <w:rPr>
          <w:b/>
          <w:i/>
        </w:rPr>
        <w:t>Public Health Issue</w:t>
      </w:r>
    </w:p>
    <w:p>
      <w:r>
        <w:t xml:space="preserve">Nowadays, air pollution has become a major public health concern due to exposure to fine particulate matter (PM 2.5), nitrogen and ground-level ozone, which can damage the respiratory system and increase the chance of asthma, cardiovascular disease and premature death., WHO (2024) reported that in 2019, around 4.2 million premature deaths occurred worldwide due to outdoor air pollution. The World Health Organisation's air quality guidelines recommend that the annual average PM2.5 should not exceed 5 µg/m³, underscoring the adverse health effects of prolonged exposure (WHO, 2021). </w:t>
      </w:r>
    </w:p>
    <w:p>
      <w:pPr>
        <w:jc w:val="center"/>
      </w:pPr>
      <w:r>
        <w:rPr>
          <w:lang w:val="en-US"/>
        </w:rPr>
        <w:drawing>
          <wp:inline distT="0" distB="0" distL="0" distR="0">
            <wp:extent cx="4219264" cy="2087660"/>
            <wp:effectExtent l="0" t="0" r="0" b="0"/>
            <wp:docPr id="10" name="图片 10"/>
            <wp:cNvGraphicFramePr>
              <a:graphicFrameLocks noChangeAspect="1"/>
            </wp:cNvGraphicFramePr>
            <a:graphic>
              <a:graphicData uri="http://schemas.openxmlformats.org/drawingml/2006/picture">
                <pic:pic>
                  <pic:nvPicPr>
                    <pic:cNvPr id="12" name="图片 12"/>
                    <pic:cNvPicPr/>
                  </pic:nvPicPr>
                  <pic:blipFill>
                    <a:blip r:embed="rId6"/>
                    <a:stretch>
                      <a:fillRect/>
                    </a:stretch>
                  </pic:blipFill>
                  <pic:spPr>
                    <a:xfrm rot="0">
                      <a:off x="0" y="0"/>
                      <a:ext cx="4219264" cy="2087660"/>
                    </a:xfrm>
                    <a:prstGeom prst="rect"/>
                    <a:noFill/>
                    <a:ln w="12700" cmpd="sng" cap="flat">
                      <a:noFill/>
                      <a:prstDash val="solid"/>
                      <a:miter/>
                    </a:ln>
                  </pic:spPr>
                </pic:pic>
              </a:graphicData>
            </a:graphic>
          </wp:inline>
        </w:drawing>
      </w:r>
    </w:p>
    <w:p>
      <w:pPr>
        <w:jc w:val="center"/>
        <w:rPr>
          <w:b/>
        </w:rPr>
      </w:pPr>
      <w:r>
        <w:rPr>
          <w:b/>
        </w:rPr>
        <w:t>Figure 3: WHO’s Guidelines</w:t>
      </w:r>
    </w:p>
    <w:p>
      <w:pPr>
        <w:jc w:val="center"/>
      </w:pPr>
      <w:r>
        <w:t>(Source: AyseGulec, 2022)</w:t>
      </w:r>
    </w:p>
    <w:p>
      <w:pPr>
        <w:rPr>
          <w:b/>
          <w:i/>
        </w:rPr>
      </w:pPr>
      <w:r>
        <w:rPr>
          <w:b/>
          <w:i/>
        </w:rPr>
        <w:t>Designing Smart Air Alert</w:t>
      </w:r>
    </w:p>
    <w:p>
      <w:r>
        <w:t xml:space="preserve">To promote health a smartphone application, </w:t>
      </w:r>
      <w:r>
        <w:rPr>
          <w:b/>
          <w:i/>
        </w:rPr>
        <w:t>Smart Air Alert</w:t>
      </w:r>
      <w:r>
        <w:t xml:space="preserve"> is launched which is particularly designed for converting air quality data into real-world health advice. The system would leverage data from official governmental monitoring networks and validated sensors to provide real-time pollution alerts, colour-coded Air Quality Index (AQI) warnings, guidance for safer activities, and educational content (Schulte, 2022). Smart Air Alert application could provide customised guidance to users, whereas schools and outdoor employers could use pollution warnings to modify their operations during severe pollutions. Voice notifications and multilingual content further enhance the accessibility of this application. However, to reduce the risk of user misinterpretation, this app would clearly differentiate between measured pollution levels and estimated personal exposure. </w:t>
      </w:r>
    </w:p>
    <w:p>
      <w:pPr>
        <w:jc w:val="center"/>
      </w:pPr>
      <w:r>
        <w:rPr>
          <w:lang w:val="en-US"/>
        </w:rPr>
        <w:drawing>
          <wp:inline distT="0" distB="0" distL="0" distR="0">
            <wp:extent cx="4705350" cy="2522621"/>
            <wp:effectExtent l="0" t="0" r="0" b="0"/>
            <wp:docPr id="13" name="图片 13"/>
            <wp:cNvGraphicFramePr>
              <a:graphicFrameLocks noChangeAspect="1"/>
            </wp:cNvGraphicFramePr>
            <a:graphic>
              <a:graphicData uri="http://schemas.openxmlformats.org/drawingml/2006/picture">
                <pic:pic>
                  <pic:nvPicPr>
                    <pic:cNvPr id="15" name="图片 15"/>
                    <pic:cNvPicPr/>
                  </pic:nvPicPr>
                  <pic:blipFill>
                    <a:blip r:embed="rId7"/>
                    <a:stretch>
                      <a:fillRect/>
                    </a:stretch>
                  </pic:blipFill>
                  <pic:spPr>
                    <a:xfrm rot="0">
                      <a:off x="0" y="0"/>
                      <a:ext cx="4705350" cy="2522621"/>
                    </a:xfrm>
                    <a:prstGeom prst="rect"/>
                    <a:noFill/>
                    <a:ln w="12700" cmpd="sng" cap="flat">
                      <a:noFill/>
                      <a:prstDash val="solid"/>
                      <a:miter/>
                    </a:ln>
                  </pic:spPr>
                </pic:pic>
              </a:graphicData>
            </a:graphic>
          </wp:inline>
        </w:drawing>
      </w:r>
    </w:p>
    <w:p>
      <w:pPr>
        <w:jc w:val="center"/>
        <w:rPr>
          <w:b/>
        </w:rPr>
      </w:pPr>
      <w:r>
        <w:rPr>
          <w:b/>
        </w:rPr>
        <w:t>Figure 4: Global Air Quality</w:t>
      </w:r>
    </w:p>
    <w:p>
      <w:pPr>
        <w:jc w:val="center"/>
      </w:pPr>
      <w:r>
        <w:t>(Source: Statista, 2023)</w:t>
      </w:r>
    </w:p>
    <w:p>
      <w:pPr>
        <w:rPr>
          <w:b/>
          <w:i/>
        </w:rPr>
      </w:pPr>
      <w:r>
        <w:rPr>
          <w:b/>
          <w:i/>
        </w:rPr>
        <w:t xml:space="preserve">Health Promotion and Public Health Impact </w:t>
      </w:r>
    </w:p>
    <w:p>
      <w:r>
        <w:t xml:space="preserve">To promote a healthy life the Smart Air application continuously sends warnings, engages people with education and encourages behavioural changes (Kureshi </w:t>
      </w:r>
      <w:r>
        <w:rPr>
          <w:i/>
        </w:rPr>
        <w:t>et al</w:t>
      </w:r>
      <w:r>
        <w:t>. 2023). According to the Health Belief Model</w:t>
      </w:r>
      <w:r>
        <w:rPr>
          <w:b/>
        </w:rPr>
        <w:t xml:space="preserve"> </w:t>
      </w:r>
      <w:r>
        <w:t xml:space="preserve">(1950), people are more likely to adopt protective behaviours when they perceive pollution as a health risk and believe preventive actions are beneficial (Cai </w:t>
      </w:r>
      <w:r>
        <w:rPr>
          <w:i/>
        </w:rPr>
        <w:t>et al.</w:t>
      </w:r>
      <w:r>
        <w:t>2026). In addition, the application would foster self-efficacy by offering practical and achievable recommendations, as opposed to merely providing warnings about potential danger. The significance of timely communication is further illustrated by the State of Global Air's (2025) report; according to this report in 2023, air pollution contributed to more than 7.9 million worldwide deaths, including over 2 million each in India and China.</w:t>
      </w:r>
    </w:p>
    <w:p>
      <w:pPr>
        <w:jc w:val="center"/>
      </w:pPr>
      <w:r>
        <w:rPr>
          <w:lang w:val="en-US"/>
        </w:rPr>
        <w:drawing>
          <wp:inline distT="0" distB="0" distL="0" distR="0">
            <wp:extent cx="3486150" cy="2116805"/>
            <wp:effectExtent l="0" t="0" r="0" b="0"/>
            <wp:docPr id="16" name="图片 16"/>
            <wp:cNvGraphicFramePr>
              <a:graphicFrameLocks noChangeAspect="1"/>
            </wp:cNvGraphicFramePr>
            <a:graphic>
              <a:graphicData uri="http://schemas.openxmlformats.org/drawingml/2006/picture">
                <pic:pic>
                  <pic:nvPicPr>
                    <pic:cNvPr id="18" name="图片 18"/>
                    <pic:cNvPicPr/>
                  </pic:nvPicPr>
                  <pic:blipFill>
                    <a:blip r:embed="rId8"/>
                    <a:stretch>
                      <a:fillRect/>
                    </a:stretch>
                  </pic:blipFill>
                  <pic:spPr>
                    <a:xfrm rot="0">
                      <a:off x="0" y="0"/>
                      <a:ext cx="3486150" cy="2116805"/>
                    </a:xfrm>
                    <a:prstGeom prst="rect"/>
                    <a:noFill/>
                    <a:ln w="12700" cmpd="sng" cap="flat">
                      <a:noFill/>
                      <a:prstDash val="solid"/>
                      <a:miter/>
                    </a:ln>
                  </pic:spPr>
                </pic:pic>
              </a:graphicData>
            </a:graphic>
          </wp:inline>
        </w:drawing>
      </w:r>
    </w:p>
    <w:p>
      <w:pPr>
        <w:jc w:val="center"/>
      </w:pPr>
      <w:r>
        <w:rPr>
          <w:b/>
        </w:rPr>
        <w:t xml:space="preserve">Figure 5: Health Brief Model </w:t>
        <w:br/>
      </w:r>
      <w:r>
        <w:t>(Source: Urich, 2020)</w:t>
      </w:r>
    </w:p>
    <w:p>
      <w:pPr>
        <w:rPr>
          <w:b/>
          <w:i/>
        </w:rPr>
      </w:pPr>
      <w:r>
        <w:rPr>
          <w:b/>
          <w:i/>
        </w:rPr>
        <w:t>Advantages, Limitations and Solutions</w:t>
      </w:r>
    </w:p>
    <w:p>
      <w:r>
        <w:t>One of the key advantages of this application is the delivery of accurate and timely location-specific information that allows individuals to make informed decisions. Moreover, the provision of educational content also improves health literacy and fosters preventive practice (Almachavan, 2024). Although this Smart Air application has numerous advantageous it also comes with several limitations. Firstly, data from official governmental monitoring stations may not capture spatial variations across all neighbourhoods, while inaccurate sensors may lead to erroneous alerts (Szafarczyk and Agbasi, 2025). Secondly, populations without access to smartphones, internet services, or adequate digital literacy, may face potential health inequalities. Besides these, employment requirement and education are another reason for which individuals cannot avoid this exposure.</w:t>
      </w:r>
    </w:p>
    <w:p>
      <w:r>
        <w:t>However, such constraints can be mitigated through utilising validated data, clearly communicating uncertainty, and protecting personal information through informed consent and minimal data collection (Alhasan, 2025). Collaborative partnerships between schools, employers and public health agencies would be beneficial for helping develop effective warnings into effective action. Moreover, a pilot study should focus on results, like user understanding, accessibility, protective behaviours and exposure, rather than relying solely on downloads or engagement.</w:t>
      </w:r>
    </w:p>
    <w:p>
      <w:pPr>
        <w:spacing w:line="259" w:lineRule="auto"/>
        <w:jc w:val="left"/>
      </w:pPr>
      <w:r>
        <w:br w:type="page"/>
      </w:r>
    </w:p>
    <w:p>
      <w:pPr>
        <w:pStyle w:val="2"/>
        <w:spacing w:after="240"/>
      </w:pPr>
      <w:bookmarkStart w:id="4" w:name="_Toc243598565"/>
      <w:r>
        <w:t>References</w:t>
      </w:r>
      <w:bookmarkEnd w:id="4"/>
    </w:p>
    <w:p>
      <w:pPr>
        <w:rPr>
          <w:rFonts w:cs="Times New Roman"/>
          <w:color w:val="222222"/>
          <w:szCs w:val="24"/>
          <w:shd w:val="clear" w:color="auto" w:fill="FFFFFF"/>
        </w:rPr>
      </w:pPr>
      <w:r>
        <w:rPr>
          <w:rFonts w:cs="Times New Roman"/>
          <w:color w:val="222222"/>
          <w:szCs w:val="24"/>
          <w:shd w:val="clear" w:color="auto" w:fill="FFFFFF"/>
        </w:rPr>
        <w:t xml:space="preserve">Alhasan, T.K., (2025). Managing legal risks in health information exchanges: A comprehensive approach to privacy, consent, and liability. </w:t>
      </w:r>
      <w:r>
        <w:rPr>
          <w:rFonts w:cs="Times New Roman"/>
          <w:i/>
          <w:iCs/>
          <w:color w:val="222222"/>
          <w:szCs w:val="24"/>
          <w:shd w:val="clear" w:color="auto" w:fill="FFFFFF"/>
        </w:rPr>
        <w:t>Journal of Healthcare Risk Management</w:t>
      </w:r>
      <w:r>
        <w:rPr>
          <w:rFonts w:cs="Times New Roman"/>
          <w:color w:val="222222"/>
          <w:szCs w:val="24"/>
          <w:shd w:val="clear" w:color="auto" w:fill="FFFFFF"/>
        </w:rPr>
        <w:t xml:space="preserve">, </w:t>
      </w:r>
      <w:r>
        <w:rPr>
          <w:rFonts w:cs="Times New Roman"/>
          <w:i/>
          <w:iCs/>
          <w:color w:val="222222"/>
          <w:szCs w:val="24"/>
          <w:shd w:val="clear" w:color="auto" w:fill="FFFFFF"/>
        </w:rPr>
        <w:t>44</w:t>
      </w:r>
      <w:r>
        <w:rPr>
          <w:rFonts w:cs="Times New Roman"/>
          <w:color w:val="222222"/>
          <w:szCs w:val="24"/>
          <w:shd w:val="clear" w:color="auto" w:fill="FFFFFF"/>
        </w:rPr>
        <w:t xml:space="preserve">(4), pp.12-24. </w:t>
      </w:r>
      <w:r>
        <w:rPr>
          <w:rStyle w:val="17"/>
          <w:rFonts w:cs="Times New Roman"/>
          <w:szCs w:val="24"/>
          <w:shd w:val="clear" w:color="auto" w:fill="FFFFFF"/>
        </w:rPr>
        <w:fldChar w:fldCharType="begin"/>
      </w:r>
      <w:r>
        <w:instrText>HYPERLINK "https://doi.org/10.1002/jhrm.70002"</w:instrText>
      </w:r>
      <w:r>
        <w:rPr>
          <w:rStyle w:val="17"/>
          <w:rFonts w:cs="Times New Roman"/>
          <w:szCs w:val="24"/>
          <w:shd w:val="clear" w:color="auto" w:fill="FFFFFF"/>
        </w:rPr>
        <w:fldChar w:fldCharType="separate"/>
      </w:r>
      <w:r>
        <w:rPr>
          <w:rStyle w:val="17"/>
          <w:rFonts w:cs="Times New Roman"/>
          <w:szCs w:val="24"/>
          <w:shd w:val="clear" w:color="auto" w:fill="FFFFFF"/>
        </w:rPr>
        <w:t>https://doi.org/10.1002/jhrm.70002</w:t>
      </w:r>
      <w:r>
        <w:rPr>
          <w:rStyle w:val="17"/>
          <w:rFonts w:cs="Times New Roman"/>
          <w:szCs w:val="24"/>
          <w:shd w:val="clear" w:color="auto" w:fill="FFFFFF"/>
        </w:rPr>
        <w:fldChar w:fldCharType="end"/>
      </w:r>
    </w:p>
    <w:p>
      <w:pPr>
        <w:rPr>
          <w:rFonts w:cs="Times New Roman"/>
          <w:color w:val="222222"/>
          <w:szCs w:val="24"/>
          <w:shd w:val="clear" w:color="auto" w:fill="FFFFFF"/>
        </w:rPr>
      </w:pPr>
      <w:r>
        <w:rPr>
          <w:rFonts w:cs="Times New Roman"/>
          <w:color w:val="222222"/>
          <w:szCs w:val="24"/>
          <w:shd w:val="clear" w:color="auto" w:fill="FFFFFF"/>
        </w:rPr>
        <w:t xml:space="preserve">Almachavan, S.A., (2024). The role of health literacy in enhancing preventive healthcare: A comprehensive review of challenges, interventions, and future directions. </w:t>
      </w:r>
      <w:r>
        <w:rPr>
          <w:rFonts w:cs="Times New Roman"/>
          <w:i/>
          <w:iCs/>
          <w:color w:val="222222"/>
          <w:szCs w:val="24"/>
          <w:shd w:val="clear" w:color="auto" w:fill="FFFFFF"/>
        </w:rPr>
        <w:t>Journal of Research in Clinical Medicine</w:t>
      </w:r>
      <w:r>
        <w:rPr>
          <w:rFonts w:cs="Times New Roman"/>
          <w:color w:val="222222"/>
          <w:szCs w:val="24"/>
          <w:shd w:val="clear" w:color="auto" w:fill="FFFFFF"/>
        </w:rPr>
        <w:t xml:space="preserve">, </w:t>
      </w:r>
      <w:r>
        <w:rPr>
          <w:rFonts w:cs="Times New Roman"/>
          <w:i/>
          <w:iCs/>
          <w:color w:val="222222"/>
          <w:szCs w:val="24"/>
          <w:shd w:val="clear" w:color="auto" w:fill="FFFFFF"/>
        </w:rPr>
        <w:t>12</w:t>
      </w:r>
      <w:r>
        <w:rPr>
          <w:rFonts w:cs="Times New Roman"/>
          <w:color w:val="222222"/>
          <w:szCs w:val="24"/>
          <w:shd w:val="clear" w:color="auto" w:fill="FFFFFF"/>
        </w:rPr>
        <w:t xml:space="preserve">(1), pp.36-36. </w:t>
      </w:r>
      <w:r>
        <w:rPr>
          <w:rStyle w:val="17"/>
          <w:rFonts w:cs="Times New Roman"/>
          <w:szCs w:val="24"/>
          <w:shd w:val="clear" w:color="auto" w:fill="FFFFFF"/>
        </w:rPr>
        <w:fldChar w:fldCharType="begin"/>
      </w:r>
      <w:r>
        <w:instrText>HYPERLINK "https://jrcm.tbzmed.ac.ir/Article/jrcm-35126"</w:instrText>
      </w:r>
      <w:r>
        <w:rPr>
          <w:rStyle w:val="17"/>
          <w:rFonts w:cs="Times New Roman"/>
          <w:szCs w:val="24"/>
          <w:shd w:val="clear" w:color="auto" w:fill="FFFFFF"/>
        </w:rPr>
        <w:fldChar w:fldCharType="separate"/>
      </w:r>
      <w:r>
        <w:rPr>
          <w:rStyle w:val="17"/>
          <w:rFonts w:cs="Times New Roman"/>
          <w:szCs w:val="24"/>
          <w:shd w:val="clear" w:color="auto" w:fill="FFFFFF"/>
        </w:rPr>
        <w:t>https://jrcm.tbzmed.ac.ir/Article/jrcm-35126</w:t>
      </w:r>
      <w:r>
        <w:rPr>
          <w:rStyle w:val="17"/>
          <w:rFonts w:cs="Times New Roman"/>
          <w:szCs w:val="24"/>
          <w:shd w:val="clear" w:color="auto" w:fill="FFFFFF"/>
        </w:rPr>
        <w:fldChar w:fldCharType="end"/>
      </w:r>
    </w:p>
    <w:p>
      <w:pPr>
        <w:pStyle w:val="18"/>
        <w:spacing w:before="0" w:beforeAutospacing="0" w:after="240" w:afterAutospacing="0" w:line="360" w:lineRule="auto"/>
        <w:jc w:val="both"/>
      </w:pPr>
      <w:r>
        <w:t xml:space="preserve">AyseGulec (2022). </w:t>
      </w:r>
      <w:r>
        <w:rPr>
          <w:i/>
          <w:iCs/>
        </w:rPr>
        <w:t>WHO update on air quality guidelines after 16 years - airqoon - cost effective and easy to use air monitoring at scale</w:t>
      </w:r>
      <w:r>
        <w:t xml:space="preserve">. [online] Airqoon - Cost effective and easy to use air monitoring at scale. Available at: </w:t>
      </w:r>
      <w:r>
        <w:rPr>
          <w:rStyle w:val="17"/>
        </w:rPr>
        <w:fldChar w:fldCharType="begin"/>
      </w:r>
      <w:r>
        <w:instrText>HYPERLINK "https://airqoon.com/resources/articles/who-update-on-air-quality-guidelines-after-16-years/"</w:instrText>
      </w:r>
      <w:r>
        <w:rPr>
          <w:rStyle w:val="17"/>
        </w:rPr>
        <w:fldChar w:fldCharType="separate"/>
      </w:r>
      <w:r>
        <w:rPr>
          <w:rStyle w:val="17"/>
        </w:rPr>
        <w:t>https://airqoon.com/resources/articles/who-update-on-air-quality-guidelines-after-16-years/</w:t>
      </w:r>
      <w:r>
        <w:rPr>
          <w:rStyle w:val="17"/>
        </w:rPr>
        <w:fldChar w:fldCharType="end"/>
      </w:r>
      <w:r>
        <w:t>[Accessed 18 Oct. 2026].</w:t>
      </w:r>
    </w:p>
    <w:p>
      <w:pPr>
        <w:pStyle w:val="18"/>
        <w:spacing w:before="0" w:beforeAutospacing="0" w:after="240" w:afterAutospacing="0" w:line="360" w:lineRule="auto"/>
        <w:jc w:val="both"/>
      </w:pPr>
      <w:r>
        <w:t xml:space="preserve">Cai, S., van Berlo, Zeph M.C and Nguyen, M.H. (2026). The effectiveness of health belief model in predicting intentions for environmentally sustainable behavior: A meta-analysis. </w:t>
      </w:r>
      <w:r>
        <w:rPr>
          <w:i/>
          <w:iCs/>
        </w:rPr>
        <w:t>Journal of Environmental Psychology</w:t>
      </w:r>
      <w:r>
        <w:t xml:space="preserve">, [online] 111, p.103019. </w:t>
      </w:r>
      <w:r>
        <w:rPr>
          <w:rStyle w:val="17"/>
        </w:rPr>
        <w:fldChar w:fldCharType="begin"/>
      </w:r>
      <w:r>
        <w:instrText>HYPERLINK "https://www.sciencedirect.com/science/article/pii/S0272494426001209?via%3Dihub"</w:instrText>
      </w:r>
      <w:r>
        <w:rPr>
          <w:rStyle w:val="17"/>
        </w:rPr>
        <w:fldChar w:fldCharType="separate"/>
      </w:r>
      <w:r>
        <w:rPr>
          <w:rStyle w:val="17"/>
        </w:rPr>
        <w:t>https://www.sciencedirect.com/science/article/pii/S0272494426001209?via%3Dihub</w:t>
      </w:r>
      <w:r>
        <w:rPr>
          <w:rStyle w:val="17"/>
        </w:rPr>
        <w:fldChar w:fldCharType="end"/>
      </w:r>
    </w:p>
    <w:p>
      <w:pPr>
        <w:rPr>
          <w:rFonts w:cs="Times New Roman"/>
          <w:color w:val="222222"/>
          <w:szCs w:val="24"/>
          <w:shd w:val="clear" w:color="auto" w:fill="FFFFFF"/>
        </w:rPr>
      </w:pPr>
      <w:r>
        <w:rPr>
          <w:rFonts w:cs="Times New Roman"/>
          <w:color w:val="222222"/>
          <w:szCs w:val="24"/>
          <w:shd w:val="clear" w:color="auto" w:fill="FFFFFF"/>
        </w:rPr>
        <w:t xml:space="preserve">Kureshi, R.R., Thakker, D., Mishra, B.K. and Barnes, J., (2023). From raising awareness to a behavioural change: a case study of indoor air quality improvement using IoT and COM-B model. </w:t>
      </w:r>
      <w:r>
        <w:rPr>
          <w:rFonts w:cs="Times New Roman"/>
          <w:i/>
          <w:iCs/>
          <w:color w:val="222222"/>
          <w:szCs w:val="24"/>
          <w:shd w:val="clear" w:color="auto" w:fill="FFFFFF"/>
        </w:rPr>
        <w:t>Sensors</w:t>
      </w:r>
      <w:r>
        <w:rPr>
          <w:rFonts w:cs="Times New Roman"/>
          <w:color w:val="222222"/>
          <w:szCs w:val="24"/>
          <w:shd w:val="clear" w:color="auto" w:fill="FFFFFF"/>
        </w:rPr>
        <w:t xml:space="preserve">, </w:t>
      </w:r>
      <w:r>
        <w:rPr>
          <w:rFonts w:cs="Times New Roman"/>
          <w:i/>
          <w:iCs/>
          <w:color w:val="222222"/>
          <w:szCs w:val="24"/>
          <w:shd w:val="clear" w:color="auto" w:fill="FFFFFF"/>
        </w:rPr>
        <w:t>23</w:t>
      </w:r>
      <w:r>
        <w:rPr>
          <w:rFonts w:cs="Times New Roman"/>
          <w:color w:val="222222"/>
          <w:szCs w:val="24"/>
          <w:shd w:val="clear" w:color="auto" w:fill="FFFFFF"/>
        </w:rPr>
        <w:t xml:space="preserve">(7), p.3613. </w:t>
      </w:r>
      <w:r>
        <w:rPr>
          <w:rStyle w:val="17"/>
          <w:rFonts w:cs="Times New Roman"/>
          <w:szCs w:val="24"/>
          <w:shd w:val="clear" w:color="auto" w:fill="FFFFFF"/>
        </w:rPr>
        <w:fldChar w:fldCharType="begin"/>
      </w:r>
      <w:r>
        <w:instrText>HYPERLINK "https://doi.org/10.3390/s23073613"</w:instrText>
      </w:r>
      <w:r>
        <w:rPr>
          <w:rStyle w:val="17"/>
          <w:rFonts w:cs="Times New Roman"/>
          <w:szCs w:val="24"/>
          <w:shd w:val="clear" w:color="auto" w:fill="FFFFFF"/>
        </w:rPr>
        <w:fldChar w:fldCharType="separate"/>
      </w:r>
      <w:r>
        <w:rPr>
          <w:rStyle w:val="17"/>
          <w:rFonts w:cs="Times New Roman"/>
          <w:szCs w:val="24"/>
          <w:shd w:val="clear" w:color="auto" w:fill="FFFFFF"/>
        </w:rPr>
        <w:t>https://doi.org/10.3390/s23073613</w:t>
      </w:r>
      <w:r>
        <w:rPr>
          <w:rStyle w:val="17"/>
          <w:rFonts w:cs="Times New Roman"/>
          <w:szCs w:val="24"/>
          <w:shd w:val="clear" w:color="auto" w:fill="FFFFFF"/>
        </w:rPr>
        <w:fldChar w:fldCharType="end"/>
      </w:r>
    </w:p>
    <w:p>
      <w:pPr>
        <w:rPr>
          <w:rFonts w:cs="Times New Roman"/>
          <w:color w:val="222222"/>
          <w:szCs w:val="24"/>
          <w:shd w:val="clear" w:color="auto" w:fill="FFFFFF"/>
        </w:rPr>
      </w:pPr>
      <w:r>
        <w:rPr>
          <w:rFonts w:cs="Times New Roman"/>
          <w:color w:val="222222"/>
          <w:szCs w:val="24"/>
          <w:shd w:val="clear" w:color="auto" w:fill="FFFFFF"/>
        </w:rPr>
        <w:t xml:space="preserve">Schulte, K., (2022). ‘Real-time’air quality channels: A technology review of emerging environmental alert systems. </w:t>
      </w:r>
      <w:r>
        <w:rPr>
          <w:rFonts w:cs="Times New Roman"/>
          <w:i/>
          <w:iCs/>
          <w:color w:val="222222"/>
          <w:szCs w:val="24"/>
          <w:shd w:val="clear" w:color="auto" w:fill="FFFFFF"/>
        </w:rPr>
        <w:t>Big data &amp; society</w:t>
      </w:r>
      <w:r>
        <w:rPr>
          <w:rFonts w:cs="Times New Roman"/>
          <w:color w:val="222222"/>
          <w:szCs w:val="24"/>
          <w:shd w:val="clear" w:color="auto" w:fill="FFFFFF"/>
        </w:rPr>
        <w:t xml:space="preserve">, </w:t>
      </w:r>
      <w:r>
        <w:rPr>
          <w:rFonts w:cs="Times New Roman"/>
          <w:i/>
          <w:iCs/>
          <w:color w:val="222222"/>
          <w:szCs w:val="24"/>
          <w:shd w:val="clear" w:color="auto" w:fill="FFFFFF"/>
        </w:rPr>
        <w:t>9</w:t>
      </w:r>
      <w:r>
        <w:rPr>
          <w:rFonts w:cs="Times New Roman"/>
          <w:color w:val="222222"/>
          <w:szCs w:val="24"/>
          <w:shd w:val="clear" w:color="auto" w:fill="FFFFFF"/>
        </w:rPr>
        <w:t xml:space="preserve">(1), p.20539517221101346. </w:t>
      </w:r>
      <w:r>
        <w:rPr>
          <w:rStyle w:val="17"/>
          <w:rFonts w:cs="Times New Roman"/>
          <w:szCs w:val="24"/>
          <w:shd w:val="clear" w:color="auto" w:fill="FFFFFF"/>
        </w:rPr>
        <w:fldChar w:fldCharType="begin"/>
      </w:r>
      <w:r>
        <w:instrText>HYPERLINK "https://doi.org/10.1177/20539517221101346"</w:instrText>
      </w:r>
      <w:r>
        <w:rPr>
          <w:rStyle w:val="17"/>
          <w:rFonts w:cs="Times New Roman"/>
          <w:szCs w:val="24"/>
          <w:shd w:val="clear" w:color="auto" w:fill="FFFFFF"/>
        </w:rPr>
        <w:fldChar w:fldCharType="separate"/>
      </w:r>
      <w:r>
        <w:rPr>
          <w:rStyle w:val="17"/>
          <w:rFonts w:cs="Times New Roman"/>
          <w:szCs w:val="24"/>
          <w:shd w:val="clear" w:color="auto" w:fill="FFFFFF"/>
        </w:rPr>
        <w:t>https://doi.org/10.1177/20539517221101346</w:t>
      </w:r>
      <w:r>
        <w:rPr>
          <w:rStyle w:val="17"/>
          <w:rFonts w:cs="Times New Roman"/>
          <w:szCs w:val="24"/>
          <w:shd w:val="clear" w:color="auto" w:fill="FFFFFF"/>
        </w:rPr>
        <w:fldChar w:fldCharType="end"/>
      </w:r>
    </w:p>
    <w:p>
      <w:pPr>
        <w:pStyle w:val="18"/>
        <w:spacing w:before="0" w:beforeAutospacing="0" w:after="240" w:afterAutospacing="0" w:line="360" w:lineRule="auto"/>
        <w:jc w:val="both"/>
      </w:pPr>
      <w:r>
        <w:t xml:space="preserve">State of Global Air (2025). </w:t>
      </w:r>
      <w:r>
        <w:rPr>
          <w:i/>
          <w:iCs/>
        </w:rPr>
        <w:t>State of Global Air Report 2025 | State of Global Air</w:t>
      </w:r>
      <w:r>
        <w:t xml:space="preserve">. [online] Stateofglobalair.org. Available at: </w:t>
      </w:r>
      <w:r>
        <w:rPr>
          <w:rStyle w:val="17"/>
        </w:rPr>
        <w:fldChar w:fldCharType="begin"/>
      </w:r>
      <w:r>
        <w:instrText>HYPERLINK "https://www.stateofglobalair.org/resources/report/state-global-air-report-2025"</w:instrText>
      </w:r>
      <w:r>
        <w:rPr>
          <w:rStyle w:val="17"/>
        </w:rPr>
        <w:fldChar w:fldCharType="separate"/>
      </w:r>
      <w:r>
        <w:rPr>
          <w:rStyle w:val="17"/>
        </w:rPr>
        <w:t>https://www.stateofglobalair.org/resources/report/state-global-air-report-2025</w:t>
      </w:r>
      <w:r>
        <w:rPr>
          <w:rStyle w:val="17"/>
        </w:rPr>
        <w:fldChar w:fldCharType="end"/>
      </w:r>
      <w:r>
        <w:t>[Accessed 18 Oct. 2026].</w:t>
      </w:r>
    </w:p>
    <w:p>
      <w:pPr>
        <w:pStyle w:val="18"/>
        <w:spacing w:before="0" w:beforeAutospacing="0" w:after="240" w:afterAutospacing="0" w:line="360" w:lineRule="auto"/>
        <w:jc w:val="both"/>
      </w:pPr>
      <w:r>
        <w:t xml:space="preserve">Statista (2023). </w:t>
      </w:r>
      <w:r>
        <w:rPr>
          <w:i/>
          <w:iCs/>
        </w:rPr>
        <w:t>Infographic: Air pollution: A global health threat</w:t>
      </w:r>
      <w:r>
        <w:t xml:space="preserve">. [online] Statista Infographics. Available at: </w:t>
      </w:r>
      <w:r>
        <w:rPr>
          <w:rStyle w:val="17"/>
        </w:rPr>
        <w:fldChar w:fldCharType="begin"/>
      </w:r>
      <w:r>
        <w:instrText>HYPERLINK "https://www.statista.com/chart/29507/pm25-concentrations-of-selected-cities/"</w:instrText>
      </w:r>
      <w:r>
        <w:rPr>
          <w:rStyle w:val="17"/>
        </w:rPr>
        <w:fldChar w:fldCharType="separate"/>
      </w:r>
      <w:r>
        <w:rPr>
          <w:rStyle w:val="17"/>
        </w:rPr>
        <w:t>https://www.statista.com/chart/29507/pm25-concentrations-of-selected-cities/</w:t>
      </w:r>
      <w:r>
        <w:rPr>
          <w:rStyle w:val="17"/>
        </w:rPr>
        <w:fldChar w:fldCharType="end"/>
      </w:r>
      <w:r>
        <w:t>[Accessed 18 Oct. 2026].</w:t>
      </w:r>
    </w:p>
    <w:p>
      <w:pPr>
        <w:rPr>
          <w:rFonts w:cs="Times New Roman"/>
          <w:color w:val="222222"/>
          <w:szCs w:val="24"/>
          <w:shd w:val="clear" w:color="auto" w:fill="FFFFFF"/>
        </w:rPr>
      </w:pPr>
      <w:r>
        <w:rPr>
          <w:rFonts w:cs="Times New Roman"/>
          <w:color w:val="222222"/>
          <w:szCs w:val="24"/>
          <w:shd w:val="clear" w:color="auto" w:fill="FFFFFF"/>
        </w:rPr>
        <w:t xml:space="preserve">Szafarczyk, A. and Agbasi, O.E., (2025). Emerging trends in GIS and remote sensing technologies for environmental monitoring: innovations, applications, and future directions. </w:t>
      </w:r>
      <w:r>
        <w:rPr>
          <w:rFonts w:cs="Times New Roman"/>
          <w:i/>
          <w:iCs/>
          <w:color w:val="222222"/>
          <w:szCs w:val="24"/>
          <w:shd w:val="clear" w:color="auto" w:fill="FFFFFF"/>
        </w:rPr>
        <w:t>GeoinformaticaPolonica</w:t>
      </w:r>
      <w:r>
        <w:rPr>
          <w:rFonts w:cs="Times New Roman"/>
          <w:color w:val="222222"/>
          <w:szCs w:val="24"/>
          <w:shd w:val="clear" w:color="auto" w:fill="FFFFFF"/>
        </w:rPr>
        <w:t xml:space="preserve">, </w:t>
      </w:r>
      <w:r>
        <w:rPr>
          <w:rFonts w:cs="Times New Roman"/>
          <w:i/>
          <w:iCs/>
          <w:color w:val="222222"/>
          <w:szCs w:val="24"/>
          <w:shd w:val="clear" w:color="auto" w:fill="FFFFFF"/>
        </w:rPr>
        <w:t>24</w:t>
      </w:r>
      <w:r>
        <w:rPr>
          <w:rFonts w:cs="Times New Roman"/>
          <w:color w:val="222222"/>
          <w:szCs w:val="24"/>
          <w:shd w:val="clear" w:color="auto" w:fill="FFFFFF"/>
        </w:rPr>
        <w:t xml:space="preserve">. </w:t>
      </w:r>
      <w:r>
        <w:rPr>
          <w:rStyle w:val="17"/>
          <w:rFonts w:cs="Times New Roman"/>
          <w:szCs w:val="24"/>
          <w:shd w:val="clear" w:color="auto" w:fill="FFFFFF"/>
        </w:rPr>
        <w:fldChar w:fldCharType="begin"/>
      </w:r>
      <w:r>
        <w:instrText>HYPERLINK "https://www.ceeol.com/search/article-detail?id=1411058"</w:instrText>
      </w:r>
      <w:r>
        <w:rPr>
          <w:rStyle w:val="17"/>
          <w:rFonts w:cs="Times New Roman"/>
          <w:szCs w:val="24"/>
          <w:shd w:val="clear" w:color="auto" w:fill="FFFFFF"/>
        </w:rPr>
        <w:fldChar w:fldCharType="separate"/>
      </w:r>
      <w:r>
        <w:rPr>
          <w:rStyle w:val="17"/>
          <w:rFonts w:cs="Times New Roman"/>
          <w:szCs w:val="24"/>
          <w:shd w:val="clear" w:color="auto" w:fill="FFFFFF"/>
        </w:rPr>
        <w:t>https://www.ceeol.com/search/article-detail?id=1411058</w:t>
      </w:r>
      <w:r>
        <w:rPr>
          <w:rStyle w:val="17"/>
          <w:rFonts w:cs="Times New Roman"/>
          <w:szCs w:val="24"/>
          <w:shd w:val="clear" w:color="auto" w:fill="FFFFFF"/>
        </w:rPr>
        <w:fldChar w:fldCharType="end"/>
      </w:r>
    </w:p>
    <w:p>
      <w:pPr>
        <w:pStyle w:val="18"/>
        <w:spacing w:before="0" w:beforeAutospacing="0" w:after="240" w:afterAutospacing="0" w:line="360" w:lineRule="auto"/>
        <w:jc w:val="both"/>
      </w:pPr>
      <w:r>
        <w:t xml:space="preserve">Urich, A. (2020). </w:t>
      </w:r>
      <w:r>
        <w:rPr>
          <w:i/>
          <w:iCs/>
        </w:rPr>
        <w:t>The health belief model</w:t>
      </w:r>
      <w:r>
        <w:t xml:space="preserve">. [online] PennState. Available at: </w:t>
      </w:r>
      <w:r>
        <w:rPr>
          <w:rStyle w:val="17"/>
        </w:rPr>
        <w:fldChar w:fldCharType="begin"/>
      </w:r>
      <w:r>
        <w:instrText>HYPERLINK "https://psu.pb.unizin.org/kines082/chapter/the-health-belief-model/"</w:instrText>
      </w:r>
      <w:r>
        <w:rPr>
          <w:rStyle w:val="17"/>
        </w:rPr>
        <w:fldChar w:fldCharType="separate"/>
      </w:r>
      <w:r>
        <w:rPr>
          <w:rStyle w:val="17"/>
        </w:rPr>
        <w:t>https://psu.pb.unizin.org/kines082/chapter/the-health-belief-model/</w:t>
      </w:r>
      <w:r>
        <w:rPr>
          <w:rStyle w:val="17"/>
        </w:rPr>
        <w:fldChar w:fldCharType="end"/>
      </w:r>
      <w:r>
        <w:t xml:space="preserve"> [Accessed 18 Oct. 2026].</w:t>
      </w:r>
    </w:p>
    <w:p>
      <w:pPr>
        <w:rPr>
          <w:rFonts w:cs="Times New Roman"/>
          <w:szCs w:val="24"/>
        </w:rPr>
      </w:pPr>
    </w:p>
    <w:p/>
    <w:sectPr>
      <w:headerReference w:type="default" r:id="rId2"/>
      <w:footerReference w:type="default" r:id="rId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roid Sans"/>
    <w:panose1 w:val="00000000000000000000"/>
    <w:charset w:val="00"/>
    <w:family w:val="auto"/>
    <w:pitch w:val="variable"/>
    <w:sig w:usb0="00000000" w:usb1="00000000" w:usb2="00000000" w:usb3="00000000" w:csb0="00000000" w:csb1="00000000"/>
  </w:font>
  <w:font w:name="等线 Light">
    <w:altName w:val="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0000000000000000000"/>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6"/>
      <w:tabs>
        <w:tab w:val="center" w:pos="4513"/>
        <w:tab w:val="right" w:pos="9026"/>
      </w:tabs>
      <w:jc w:val="right"/>
    </w:pPr>
    <w:r>
      <w:fldChar w:fldCharType="begin"/>
    </w:r>
    <w:r>
      <w:instrText xml:space="preserve"> PAGE   \* MERGEFORMAT </w:instrText>
    </w:r>
    <w:r>
      <w:fldChar w:fldCharType="separate"/>
    </w:r>
    <w:r>
      <w:t>2</w:t>
    </w:r>
    <w:r>
      <w:fldChar w:fldCharType="end"/>
    </w:r>
  </w:p>
  <w:p>
    <w:pPr>
      <w:pStyle w:val="16"/>
      <w:tabs>
        <w:tab w:val="center" w:pos="4513"/>
        <w:tab w:val="right" w:pos="9026"/>
      </w:tabs>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5"/>
      <w:tabs>
        <w:tab w:val="center" w:pos="4513"/>
        <w:tab w:val="right" w:pos="9026"/>
      </w:tabs>
      <w:jc w:val="right"/>
    </w:pPr>
    <w:r>
      <w:rPr>
        <w:lang w:val="en-US"/>
      </w:rPr>
      <w:drawing>
        <wp:inline distT="0" distB="0" distL="0" distR="0">
          <wp:extent cx="1524000" cy="609600"/>
          <wp:effectExtent l="0" t="0" r="0" b="0"/>
          <wp:docPr id="1" name="图片 1" descr="C:\Users\User\AppData\Local\Microsoft\Windows\INetCache\Content.MSO\CFC57EF1.tmp"/>
          <wp:cNvGraphicFramePr>
            <a:graphicFrameLocks noChangeAspect="1"/>
          </wp:cNvGraphicFramePr>
          <a:graphic>
            <a:graphicData uri="http://schemas.openxmlformats.org/drawingml/2006/picture">
              <pic:pic>
                <pic:nvPicPr>
                  <pic:cNvPr id="3" name="图片 3"/>
                  <pic:cNvPicPr/>
                </pic:nvPicPr>
                <pic:blipFill>
                  <a:blip r:embed="rId1"/>
                  <a:stretch>
                    <a:fillRect/>
                  </a:stretch>
                </pic:blipFill>
                <pic:spPr>
                  <a:xfrm rot="0">
                    <a:off x="0" y="0"/>
                    <a:ext cx="1524000" cy="609600"/>
                  </a:xfrm>
                  <a:prstGeom prst="rect"/>
                  <a:noFill/>
                  <a:ln w="12700" cmpd="sng" cap="flat">
                    <a:noFill/>
                    <a:prstDash val="solid"/>
                    <a:round/>
                  </a:ln>
                </pic:spPr>
              </pic:pic>
            </a:graphicData>
          </a:graphic>
        </wp:inline>
      </w:drawing>
    </w:r>
  </w:p>
</w:hd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38"/>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2"/>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360" w:lineRule="auto"/>
      <w:jc w:val="both"/>
    </w:pPr>
    <w:rPr>
      <w:rFonts w:ascii="Times New Roman" w:eastAsia="Calibri" w:cs="Arial" w:hAnsi="Times New Roman"/>
      <w:sz w:val="24"/>
      <w:szCs w:val="22"/>
      <w:lang w:val="en-IN" w:eastAsia="en-US" w:bidi="ar-SA"/>
    </w:rPr>
  </w:style>
  <w:style w:type="paragraph" w:styleId="1">
    <w:name w:val="heading 1"/>
    <w:basedOn w:val="0"/>
    <w:autoRedefine/>
    <w:next w:val="0"/>
    <w:pPr>
      <w:keepNext/>
      <w:keepLines/>
      <w:spacing w:before="240" w:after="0"/>
      <w:outlineLvl w:val="0"/>
    </w:pPr>
    <w:rPr>
      <w:rFonts w:eastAsia="等线 Light" w:cs="Times New Roman"/>
      <w:b/>
      <w:szCs w:val="32"/>
    </w:rPr>
  </w:style>
  <w:style w:type="paragraph" w:styleId="2">
    <w:name w:val="heading 2"/>
    <w:basedOn w:val="0"/>
    <w:autoRedefine/>
    <w:next w:val="0"/>
    <w:pPr>
      <w:keepNext/>
      <w:keepLines/>
      <w:spacing w:before="40" w:after="0"/>
      <w:outlineLvl w:val="1"/>
    </w:pPr>
    <w:rPr>
      <w:rFonts w:eastAsia="等线 Light" w:cs="Times New Roman"/>
      <w:b/>
      <w:szCs w:val="26"/>
    </w:rPr>
  </w:style>
  <w:style w:type="paragraph" w:styleId="3">
    <w:name w:val="heading 3"/>
    <w:basedOn w:val="0"/>
    <w:autoRedefine/>
    <w:next w:val="0"/>
    <w:pPr>
      <w:keepNext/>
      <w:keepLines/>
      <w:spacing w:before="40" w:after="0"/>
      <w:jc w:val="left"/>
      <w:outlineLvl w:val="2"/>
    </w:pPr>
    <w:rPr>
      <w:rFonts w:eastAsia="等线 Light" w:cs="Times New Roman"/>
      <w:b/>
      <w:color w:val="000000"/>
      <w:szCs w:val="24"/>
    </w:rPr>
  </w:style>
  <w:style w:type="character" w:default="1" w:styleId="10">
    <w:name w:val="Default Paragraph Font"/>
  </w:style>
  <w:style w:type="paragraph" w:styleId="15">
    <w:name w:val="header"/>
    <w:basedOn w:val="0"/>
    <w:pPr>
      <w:tabs>
        <w:tab w:val="center" w:pos="4513"/>
        <w:tab w:val="right" w:pos="9026"/>
      </w:tabs>
      <w:spacing w:after="0" w:line="240" w:lineRule="auto"/>
    </w:pPr>
  </w:style>
  <w:style w:type="paragraph" w:styleId="16">
    <w:name w:val="footer"/>
    <w:basedOn w:val="0"/>
    <w:pPr>
      <w:tabs>
        <w:tab w:val="center" w:pos="4513"/>
        <w:tab w:val="right" w:pos="9026"/>
      </w:tabs>
      <w:spacing w:after="0" w:line="240" w:lineRule="auto"/>
    </w:pPr>
  </w:style>
  <w:style w:type="character" w:styleId="17">
    <w:name w:val="Hyperlink"/>
    <w:basedOn w:val="10"/>
    <w:rPr>
      <w:color w:val="0563C1"/>
      <w:u w:val="single"/>
    </w:rPr>
  </w:style>
  <w:style w:type="paragraph" w:styleId="18">
    <w:name w:val="Normal (Web)"/>
    <w:basedOn w:val="0"/>
    <w:pPr>
      <w:spacing w:before="100" w:beforeAutospacing="1" w:after="100" w:afterAutospacing="1" w:line="240" w:lineRule="auto"/>
      <w:jc w:val="left"/>
    </w:pPr>
    <w:rPr>
      <w:rFonts w:eastAsia="Times New Roman" w:cs="Times New Roman"/>
      <w:szCs w:val="24"/>
      <w:lang w:eastAsia="en-IN"/>
    </w:rPr>
  </w:style>
  <w:style w:type="paragraph" w:customStyle="1" w:styleId="19">
    <w:name w:val="TOC Heading"/>
    <w:basedOn w:val="1"/>
    <w:next w:val="0"/>
    <w:pPr>
      <w:spacing w:line="259" w:lineRule="auto"/>
      <w:jc w:val="left"/>
      <w:outlineLvl w:val="9"/>
    </w:pPr>
    <w:rPr>
      <w:rFonts w:ascii="Calibri Light" w:hAnsi="Calibri Light"/>
      <w:b w:val="0"/>
      <w:color w:val="2E74B5"/>
      <w:sz w:val="32"/>
      <w:lang w:val="en-US"/>
    </w:rPr>
  </w:style>
  <w:style w:type="paragraph" w:styleId="20">
    <w:name w:val="toc 1"/>
    <w:basedOn w:val="0"/>
    <w:autoRedefine/>
    <w:next w:val="0"/>
    <w:pPr>
      <w:spacing w:after="100"/>
    </w:pPr>
  </w:style>
  <w:style w:type="paragraph" w:styleId="21">
    <w:name w:val="Balloon Text"/>
    <w:basedOn w:val="0"/>
    <w:pPr>
      <w:spacing w:after="0" w:line="240" w:lineRule="auto"/>
    </w:pPr>
    <w:rPr>
      <w:rFonts w:ascii="Tahoma" w:cs="Tahoma" w:hAnsi="Tahoma"/>
      <w:sz w:val="16"/>
      <w:szCs w:val="16"/>
    </w:rPr>
  </w:style>
  <w:style w:type="paragraph" w:styleId="22">
    <w:name w:val="toc 2"/>
    <w:basedOn w:val="0"/>
    <w:autoRedefine/>
    <w:next w:val="0"/>
    <w:pPr>
      <w:spacing w:after="100"/>
      <w:ind w:left="24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styles" Target="styles.xml"/><Relationship Id="rId1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2.png"/></Relationships>
</file>

<file path=docProps/app.xml><?xml version="1.0" encoding="utf-8"?>
<Properties xmlns="http://schemas.openxmlformats.org/officeDocument/2006/extended-properties">
  <Template>Normal.eit</Template>
  <TotalTime>1309</TotalTime>
  <Application>Yozo_Office</Application>
  <Pages>13</Pages>
  <Words>1671</Words>
  <Characters>11546</Characters>
  <Lines>230</Lines>
  <Paragraphs>66</Paragraphs>
  <CharactersWithSpaces>13160</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User</dc:creator>
  <cp:lastModifiedBy>vivo user</cp:lastModifiedBy>
  <cp:revision>45</cp:revision>
  <dcterms:created xsi:type="dcterms:W3CDTF">2026-10-17T15:32:00Z</dcterms:created>
  <dcterms:modified xsi:type="dcterms:W3CDTF">2026-10-23T02:09:15Z</dcterms:modified>
</cp:coreProperties>
</file>