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81D3A" w14:textId="77777777" w:rsidR="003F43E7" w:rsidRPr="003F43E7" w:rsidRDefault="003F43E7" w:rsidP="003F43E7">
      <w:pPr>
        <w:jc w:val="center"/>
        <w:rPr>
          <w:b/>
          <w:bCs/>
          <w:sz w:val="72"/>
          <w:szCs w:val="72"/>
        </w:rPr>
      </w:pPr>
      <w:r w:rsidRPr="003F43E7">
        <w:rPr>
          <w:b/>
          <w:bCs/>
          <w:sz w:val="72"/>
          <w:szCs w:val="72"/>
          <w:lang w:val="en-US"/>
        </w:rPr>
        <w:t>Name: Mercy Tshikombwe</w:t>
      </w:r>
    </w:p>
    <w:p w14:paraId="7BF63CAB" w14:textId="3CC83204" w:rsidR="003F43E7" w:rsidRPr="003F43E7" w:rsidRDefault="003F43E7" w:rsidP="003F43E7">
      <w:pPr>
        <w:jc w:val="center"/>
        <w:rPr>
          <w:b/>
          <w:bCs/>
          <w:sz w:val="72"/>
          <w:szCs w:val="72"/>
        </w:rPr>
      </w:pPr>
      <w:r w:rsidRPr="00B67EE2">
        <w:rPr>
          <w:b/>
          <w:bCs/>
          <w:sz w:val="72"/>
          <w:szCs w:val="72"/>
          <w:lang w:val="en-US"/>
        </w:rPr>
        <w:t>Student Number</w:t>
      </w:r>
      <w:r w:rsidRPr="003F43E7">
        <w:rPr>
          <w:b/>
          <w:bCs/>
          <w:sz w:val="72"/>
          <w:szCs w:val="72"/>
          <w:lang w:val="en-US"/>
        </w:rPr>
        <w:t xml:space="preserve"> :2424792</w:t>
      </w:r>
    </w:p>
    <w:p w14:paraId="30825D0A" w14:textId="7F7E10FA" w:rsidR="003F43E7" w:rsidRPr="003F43E7" w:rsidRDefault="003F43E7" w:rsidP="003F43E7">
      <w:pPr>
        <w:jc w:val="center"/>
        <w:rPr>
          <w:b/>
          <w:bCs/>
          <w:sz w:val="72"/>
          <w:szCs w:val="72"/>
        </w:rPr>
      </w:pPr>
      <w:r w:rsidRPr="003F43E7">
        <w:rPr>
          <w:b/>
          <w:bCs/>
          <w:sz w:val="72"/>
          <w:szCs w:val="72"/>
          <w:lang w:val="en-US"/>
        </w:rPr>
        <w:t xml:space="preserve">Module </w:t>
      </w:r>
      <w:r w:rsidRPr="00B67EE2">
        <w:rPr>
          <w:b/>
          <w:bCs/>
          <w:sz w:val="72"/>
          <w:szCs w:val="72"/>
          <w:lang w:val="en-US"/>
        </w:rPr>
        <w:t>code: LCHS</w:t>
      </w:r>
      <w:r w:rsidRPr="003F43E7">
        <w:rPr>
          <w:b/>
          <w:bCs/>
          <w:sz w:val="72"/>
          <w:szCs w:val="72"/>
          <w:lang w:val="en-US"/>
        </w:rPr>
        <w:t>4010</w:t>
      </w:r>
    </w:p>
    <w:p w14:paraId="14381849" w14:textId="07970AF6" w:rsidR="003F43E7" w:rsidRPr="003F43E7" w:rsidRDefault="003F43E7" w:rsidP="003F43E7">
      <w:pPr>
        <w:jc w:val="center"/>
        <w:rPr>
          <w:b/>
          <w:bCs/>
          <w:sz w:val="72"/>
          <w:szCs w:val="72"/>
        </w:rPr>
      </w:pPr>
      <w:r w:rsidRPr="003F43E7">
        <w:rPr>
          <w:b/>
          <w:bCs/>
          <w:sz w:val="72"/>
          <w:szCs w:val="72"/>
          <w:lang w:val="en-US"/>
        </w:rPr>
        <w:t>Module Title: Psychology in</w:t>
      </w:r>
    </w:p>
    <w:p w14:paraId="47085F38" w14:textId="488C43A0" w:rsidR="003F43E7" w:rsidRPr="003F43E7" w:rsidRDefault="003F43E7" w:rsidP="003F43E7">
      <w:pPr>
        <w:jc w:val="center"/>
        <w:rPr>
          <w:b/>
          <w:bCs/>
          <w:sz w:val="72"/>
          <w:szCs w:val="72"/>
        </w:rPr>
      </w:pPr>
      <w:r w:rsidRPr="003F43E7">
        <w:rPr>
          <w:b/>
          <w:bCs/>
          <w:sz w:val="72"/>
          <w:szCs w:val="72"/>
          <w:lang w:val="en-US"/>
        </w:rPr>
        <w:t>Health and social care</w:t>
      </w:r>
    </w:p>
    <w:p w14:paraId="2739B1C0" w14:textId="480B3D2C" w:rsidR="003F43E7" w:rsidRPr="003F43E7" w:rsidRDefault="003F43E7" w:rsidP="003F43E7">
      <w:pPr>
        <w:jc w:val="center"/>
        <w:rPr>
          <w:b/>
          <w:bCs/>
          <w:sz w:val="72"/>
          <w:szCs w:val="72"/>
        </w:rPr>
      </w:pPr>
      <w:r w:rsidRPr="003F43E7">
        <w:rPr>
          <w:b/>
          <w:bCs/>
          <w:sz w:val="72"/>
          <w:szCs w:val="72"/>
          <w:lang w:val="en-US"/>
        </w:rPr>
        <w:t>Lecture Name: Dr Helen Parsons</w:t>
      </w:r>
    </w:p>
    <w:p w14:paraId="6B64D463" w14:textId="4C4886A8" w:rsidR="003F43E7" w:rsidRPr="00B67EE2" w:rsidRDefault="003F43E7" w:rsidP="003F43E7">
      <w:pPr>
        <w:jc w:val="center"/>
        <w:rPr>
          <w:b/>
          <w:bCs/>
          <w:sz w:val="72"/>
          <w:szCs w:val="72"/>
          <w:lang w:val="en-US"/>
        </w:rPr>
      </w:pPr>
      <w:r w:rsidRPr="003F43E7">
        <w:rPr>
          <w:b/>
          <w:bCs/>
          <w:sz w:val="72"/>
          <w:szCs w:val="72"/>
          <w:lang w:val="en-US"/>
        </w:rPr>
        <w:t xml:space="preserve">Assignment </w:t>
      </w:r>
      <w:r w:rsidR="00B67EE2" w:rsidRPr="00B67EE2">
        <w:rPr>
          <w:b/>
          <w:bCs/>
          <w:sz w:val="72"/>
          <w:szCs w:val="72"/>
          <w:lang w:val="en-US"/>
        </w:rPr>
        <w:t xml:space="preserve">Title: Part A Annotated Bibliography  </w:t>
      </w:r>
    </w:p>
    <w:p w14:paraId="1634B84D" w14:textId="2C080485" w:rsidR="003F43E7" w:rsidRPr="003F43E7" w:rsidRDefault="00B67EE2" w:rsidP="00B67EE2">
      <w:pPr>
        <w:jc w:val="center"/>
        <w:rPr>
          <w:b/>
          <w:bCs/>
          <w:sz w:val="72"/>
          <w:szCs w:val="72"/>
        </w:rPr>
      </w:pPr>
      <w:r w:rsidRPr="00B67EE2">
        <w:rPr>
          <w:b/>
          <w:bCs/>
          <w:sz w:val="72"/>
          <w:szCs w:val="72"/>
          <w:lang w:val="en-US"/>
        </w:rPr>
        <w:t xml:space="preserve">Part B: Short Report </w:t>
      </w:r>
    </w:p>
    <w:p w14:paraId="7F8F2FD2" w14:textId="67FCBAD3" w:rsidR="003F43E7" w:rsidRPr="003F43E7" w:rsidRDefault="003F43E7" w:rsidP="003F43E7">
      <w:pPr>
        <w:jc w:val="center"/>
        <w:rPr>
          <w:b/>
          <w:bCs/>
          <w:sz w:val="56"/>
          <w:szCs w:val="56"/>
        </w:rPr>
      </w:pPr>
      <w:r w:rsidRPr="003F43E7">
        <w:rPr>
          <w:b/>
          <w:bCs/>
          <w:sz w:val="72"/>
          <w:szCs w:val="72"/>
          <w:lang w:val="en-US"/>
        </w:rPr>
        <w:t>Date:</w:t>
      </w:r>
      <w:r w:rsidR="00B67EE2" w:rsidRPr="00B67EE2">
        <w:rPr>
          <w:b/>
          <w:bCs/>
          <w:sz w:val="72"/>
          <w:szCs w:val="72"/>
          <w:lang w:val="en-US"/>
        </w:rPr>
        <w:t>24</w:t>
      </w:r>
      <w:r w:rsidRPr="003F43E7">
        <w:rPr>
          <w:b/>
          <w:bCs/>
          <w:sz w:val="72"/>
          <w:szCs w:val="72"/>
          <w:lang w:val="en-US"/>
        </w:rPr>
        <w:t xml:space="preserve">/ </w:t>
      </w:r>
      <w:r w:rsidR="00B67EE2" w:rsidRPr="00B67EE2">
        <w:rPr>
          <w:b/>
          <w:bCs/>
          <w:sz w:val="72"/>
          <w:szCs w:val="72"/>
          <w:lang w:val="en-US"/>
        </w:rPr>
        <w:t>March</w:t>
      </w:r>
      <w:r w:rsidR="00B67EE2" w:rsidRPr="00B67EE2">
        <w:rPr>
          <w:b/>
          <w:bCs/>
          <w:sz w:val="56"/>
          <w:szCs w:val="56"/>
          <w:lang w:val="en-US"/>
        </w:rPr>
        <w:t xml:space="preserve"> </w:t>
      </w:r>
      <w:r w:rsidRPr="003F43E7">
        <w:rPr>
          <w:b/>
          <w:bCs/>
          <w:sz w:val="56"/>
          <w:szCs w:val="56"/>
          <w:lang w:val="en-US"/>
        </w:rPr>
        <w:t>/2026</w:t>
      </w:r>
    </w:p>
    <w:p w14:paraId="7D39597C" w14:textId="77777777" w:rsidR="003F43E7" w:rsidRDefault="003F43E7">
      <w:pPr>
        <w:rPr>
          <w:b/>
          <w:bCs/>
        </w:rPr>
      </w:pPr>
    </w:p>
    <w:p w14:paraId="6C5A56F2" w14:textId="77777777" w:rsidR="00B67EE2" w:rsidRDefault="00B67EE2">
      <w:pPr>
        <w:rPr>
          <w:b/>
          <w:bCs/>
        </w:rPr>
      </w:pPr>
    </w:p>
    <w:p w14:paraId="398355C5" w14:textId="77777777" w:rsidR="00B67EE2" w:rsidRDefault="00B67EE2">
      <w:pPr>
        <w:rPr>
          <w:b/>
          <w:bCs/>
        </w:rPr>
      </w:pPr>
    </w:p>
    <w:p w14:paraId="2D1E440B" w14:textId="77777777" w:rsidR="00B67EE2" w:rsidRDefault="00B67EE2">
      <w:pPr>
        <w:rPr>
          <w:b/>
          <w:bCs/>
        </w:rPr>
      </w:pPr>
    </w:p>
    <w:p w14:paraId="31511724" w14:textId="77777777" w:rsidR="003F43E7" w:rsidRDefault="003F43E7">
      <w:pPr>
        <w:rPr>
          <w:b/>
          <w:bCs/>
        </w:rPr>
      </w:pPr>
    </w:p>
    <w:p w14:paraId="616C0EED" w14:textId="2C87FB79" w:rsidR="003F43E7" w:rsidRPr="000D5DEA" w:rsidRDefault="00B67EE2" w:rsidP="00B67EE2">
      <w:pPr>
        <w:spacing w:line="360" w:lineRule="auto"/>
        <w:rPr>
          <w:b/>
          <w:bCs/>
          <w:sz w:val="24"/>
          <w:szCs w:val="24"/>
        </w:rPr>
      </w:pPr>
      <w:r w:rsidRPr="000D5DEA">
        <w:rPr>
          <w:b/>
          <w:bCs/>
          <w:sz w:val="24"/>
          <w:szCs w:val="24"/>
        </w:rPr>
        <w:lastRenderedPageBreak/>
        <w:t>Part A</w:t>
      </w:r>
      <w:r w:rsidR="000D5DEA" w:rsidRPr="000D5DEA">
        <w:rPr>
          <w:b/>
          <w:bCs/>
          <w:sz w:val="24"/>
          <w:szCs w:val="24"/>
        </w:rPr>
        <w:t xml:space="preserve"> Annotated Bibliography</w:t>
      </w:r>
    </w:p>
    <w:p w14:paraId="358BF4FC" w14:textId="6143831E" w:rsidR="003F43E7" w:rsidRPr="00943B57" w:rsidRDefault="00943B57" w:rsidP="00B67EE2">
      <w:pPr>
        <w:spacing w:line="360" w:lineRule="auto"/>
        <w:rPr>
          <w:b/>
          <w:bCs/>
          <w:u w:val="single"/>
        </w:rPr>
      </w:pPr>
      <w:r w:rsidRPr="00943B57">
        <w:rPr>
          <w:b/>
          <w:bCs/>
          <w:u w:val="single"/>
        </w:rPr>
        <w:t xml:space="preserve">Source 1 </w:t>
      </w:r>
    </w:p>
    <w:p w14:paraId="6443E6A7" w14:textId="0F95D0FB" w:rsidR="00943B57" w:rsidRPr="00943B57" w:rsidRDefault="00943B57" w:rsidP="00B67EE2">
      <w:pPr>
        <w:spacing w:line="360" w:lineRule="auto"/>
      </w:pPr>
      <w:r w:rsidRPr="003F43E7">
        <w:t>Erikson, E.H. (1950) Childhood and society. New York: W.W. Norton.</w:t>
      </w:r>
    </w:p>
    <w:p w14:paraId="75187AB7" w14:textId="1C2AEB27" w:rsidR="003F43E7" w:rsidRPr="00524940" w:rsidRDefault="00524940" w:rsidP="00B67EE2">
      <w:pPr>
        <w:spacing w:line="360" w:lineRule="auto"/>
        <w:rPr>
          <w:b/>
          <w:bCs/>
        </w:rPr>
      </w:pPr>
      <w:r w:rsidRPr="00524940">
        <w:rPr>
          <w:b/>
          <w:bCs/>
        </w:rPr>
        <w:t>ERIKSON’S PSYCHOSOCIAL DEVELOPMENT THEORY</w:t>
      </w:r>
    </w:p>
    <w:p w14:paraId="4BB268AD" w14:textId="562E3DB3" w:rsidR="00524940" w:rsidRDefault="00524940" w:rsidP="00B67EE2">
      <w:pPr>
        <w:spacing w:line="360" w:lineRule="auto"/>
      </w:pPr>
      <w:r w:rsidRPr="00524940">
        <w:t>Erikson’s psychosocial theory explains that development continues throughout the whole lifespan. In older adulthood, the final stage is called Integrity versus Despair. At this stage, individuals look back on their lives and evaluate their experiences. If they feel their life had meaning and value, they develop integrity. This leads to acceptance, emotional peace, and reduced fear of death. If they feel regret, guilt, or missed opportunities, they may experience despair, sadness, or bitterness</w:t>
      </w:r>
      <w:r>
        <w:t>.</w:t>
      </w:r>
    </w:p>
    <w:p w14:paraId="2BE99DA9" w14:textId="1A14D3B1" w:rsidR="00524940" w:rsidRDefault="00524940" w:rsidP="00B67EE2">
      <w:pPr>
        <w:spacing w:line="360" w:lineRule="auto"/>
      </w:pPr>
      <w:r w:rsidRPr="00524940">
        <w:t>Erikson emphasises that social relationships and recognition from others influence this outcome. When older adults feel respected and listened to, they are more likely to achieve integrity.</w:t>
      </w:r>
    </w:p>
    <w:p w14:paraId="522AA9D2" w14:textId="5CE63FB1" w:rsidR="00524940" w:rsidRPr="000D5DEA" w:rsidRDefault="00524940" w:rsidP="00B67EE2">
      <w:pPr>
        <w:spacing w:line="360" w:lineRule="auto"/>
        <w:rPr>
          <w:b/>
          <w:bCs/>
          <w:sz w:val="24"/>
          <w:szCs w:val="24"/>
        </w:rPr>
      </w:pPr>
      <w:r w:rsidRPr="000D5DEA">
        <w:rPr>
          <w:b/>
          <w:bCs/>
          <w:sz w:val="24"/>
          <w:szCs w:val="24"/>
        </w:rPr>
        <w:t>Critical Comment and Relevance to Health and Social Care</w:t>
      </w:r>
    </w:p>
    <w:p w14:paraId="7A1AE50C" w14:textId="28AC7F3B" w:rsidR="00524940" w:rsidRDefault="00524940" w:rsidP="00B67EE2">
      <w:pPr>
        <w:spacing w:line="360" w:lineRule="auto"/>
      </w:pPr>
      <w:r w:rsidRPr="00524940">
        <w:t>This theory is highly relevant in UK residential care homes. Many residents spend time reflecting on their past. Care professionals can support integrity by encouraging life review conversations, reminiscence therapy, storytelling sessions, and family engagement. When staff validate residents’ life experiences, residents feel valued rather than forgotten.</w:t>
      </w:r>
    </w:p>
    <w:p w14:paraId="43AE9FAE" w14:textId="61D809D9" w:rsidR="00524940" w:rsidRDefault="00524940" w:rsidP="00B67EE2">
      <w:pPr>
        <w:spacing w:line="360" w:lineRule="auto"/>
      </w:pPr>
      <w:r w:rsidRPr="00524940">
        <w:t>However, the theory focuses strongly on personal reflection and does not fully address environmental factors such as rigid routines or limited staffing. If residents lack autonomy or privacy, achieving integrity becomes more difficult. Therefore, while Erikson provides a strong emotional framework, it must be combined with person-centred care practices that promote dignity and choice.</w:t>
      </w:r>
    </w:p>
    <w:p w14:paraId="7E7FE267" w14:textId="2AD6EB17" w:rsidR="00943B57" w:rsidRPr="00140520" w:rsidRDefault="00943B57" w:rsidP="00B67EE2">
      <w:pPr>
        <w:spacing w:line="360" w:lineRule="auto"/>
        <w:rPr>
          <w:b/>
          <w:bCs/>
          <w:u w:val="single"/>
        </w:rPr>
      </w:pPr>
      <w:r w:rsidRPr="00140520">
        <w:rPr>
          <w:b/>
          <w:bCs/>
          <w:u w:val="single"/>
        </w:rPr>
        <w:t>Source 2</w:t>
      </w:r>
    </w:p>
    <w:p w14:paraId="7E34D595" w14:textId="39A1C9F0" w:rsidR="00943B57" w:rsidRPr="00943B57" w:rsidRDefault="00943B57" w:rsidP="00B67EE2">
      <w:pPr>
        <w:spacing w:line="360" w:lineRule="auto"/>
      </w:pPr>
      <w:r w:rsidRPr="003F43E7">
        <w:t>Bowlby, J. (1969) Attachment and loss: Vol. 1. Attachment. London: Hogarth Press.</w:t>
      </w:r>
    </w:p>
    <w:p w14:paraId="7D6B5F30" w14:textId="66C183CF" w:rsidR="00524940" w:rsidRDefault="00524940" w:rsidP="00B67EE2">
      <w:pPr>
        <w:spacing w:line="360" w:lineRule="auto"/>
        <w:rPr>
          <w:b/>
          <w:bCs/>
        </w:rPr>
      </w:pPr>
      <w:r w:rsidRPr="00524940">
        <w:rPr>
          <w:b/>
          <w:bCs/>
        </w:rPr>
        <w:t>BOWLBY’S ATTACHMENT THEORY</w:t>
      </w:r>
    </w:p>
    <w:p w14:paraId="14CF1512" w14:textId="7B995D80" w:rsidR="00524940" w:rsidRDefault="00524940" w:rsidP="00B67EE2">
      <w:pPr>
        <w:spacing w:line="360" w:lineRule="auto"/>
        <w:rPr>
          <w:b/>
          <w:bCs/>
        </w:rPr>
      </w:pPr>
      <w:r w:rsidRPr="00524940">
        <w:t>Bowlby’s attachment theory explains that humans naturally seek closeness and emotional security. Although first developed to explain child development, the theory applies across the lifespan. In older adulthood, attachment needs remain important, especially during times of vulnerability</w:t>
      </w:r>
      <w:r>
        <w:rPr>
          <w:b/>
          <w:bCs/>
        </w:rPr>
        <w:t>.</w:t>
      </w:r>
    </w:p>
    <w:p w14:paraId="630A99CB" w14:textId="6DBB3009" w:rsidR="00524940" w:rsidRDefault="00524940" w:rsidP="00B67EE2">
      <w:pPr>
        <w:spacing w:line="360" w:lineRule="auto"/>
      </w:pPr>
      <w:r w:rsidRPr="00524940">
        <w:lastRenderedPageBreak/>
        <w:t>Moving into residential care can feel like a major loss. Older adults may be separated from their homes, communities, or partners. This can create anxiety, confusion, or withdrawal. Secure and consistent relationships with care staff can reduce distress and improve emotional wellbeing.</w:t>
      </w:r>
    </w:p>
    <w:p w14:paraId="243F75B7" w14:textId="287DC4B8" w:rsidR="00524940" w:rsidRDefault="00524940" w:rsidP="00B67EE2">
      <w:pPr>
        <w:spacing w:line="360" w:lineRule="auto"/>
        <w:rPr>
          <w:b/>
          <w:bCs/>
        </w:rPr>
      </w:pPr>
      <w:r w:rsidRPr="00524940">
        <w:rPr>
          <w:b/>
          <w:bCs/>
        </w:rPr>
        <w:t>Critical Comment and Relevance to Health and Social Care</w:t>
      </w:r>
    </w:p>
    <w:p w14:paraId="6DF39900" w14:textId="0EDA1204" w:rsidR="00524940" w:rsidRDefault="00524940" w:rsidP="00B67EE2">
      <w:pPr>
        <w:spacing w:line="360" w:lineRule="auto"/>
        <w:rPr>
          <w:b/>
          <w:bCs/>
        </w:rPr>
      </w:pPr>
      <w:r w:rsidRPr="00524940">
        <w:t>Attachment theory helps staff understand behaviour in a more compassionate way. For example, a resident who frequently calls for staff may not be “difficult” but may feel insecure. Recognising attachment needs encourages patience, reassurance, and emotional presence</w:t>
      </w:r>
      <w:r w:rsidRPr="00524940">
        <w:rPr>
          <w:b/>
          <w:bCs/>
        </w:rPr>
        <w:t>.</w:t>
      </w:r>
    </w:p>
    <w:p w14:paraId="2F5387AE" w14:textId="155060FB" w:rsidR="00524940" w:rsidRDefault="00524940" w:rsidP="00B67EE2">
      <w:pPr>
        <w:spacing w:line="360" w:lineRule="auto"/>
      </w:pPr>
      <w:r w:rsidRPr="00524940">
        <w:t>In UK care homes, continuity of care is essential. When residents see familiar staff members regularly, trust develops. However, high staff turnover can disrupt secure attachments. The theory also does not directly address dementia-related cognitive changes. Professionals must therefore integrate attachment-informed practice with dementia care training. Despite this limitation, the theory strongly supports relational, person-centred approaches in residential settings.</w:t>
      </w:r>
    </w:p>
    <w:p w14:paraId="1FAE5EC2" w14:textId="77777777" w:rsidR="00433E6D" w:rsidRDefault="00433E6D" w:rsidP="00B67EE2">
      <w:pPr>
        <w:spacing w:line="360" w:lineRule="auto"/>
      </w:pPr>
    </w:p>
    <w:p w14:paraId="6E00123C" w14:textId="77777777" w:rsidR="00433E6D" w:rsidRDefault="00433E6D" w:rsidP="00B67EE2">
      <w:pPr>
        <w:spacing w:line="360" w:lineRule="auto"/>
      </w:pPr>
    </w:p>
    <w:p w14:paraId="7E9CA40F" w14:textId="77777777" w:rsidR="00140520" w:rsidRDefault="00140520" w:rsidP="00B67EE2">
      <w:pPr>
        <w:spacing w:line="360" w:lineRule="auto"/>
      </w:pPr>
    </w:p>
    <w:p w14:paraId="1CF2413A" w14:textId="408DD470" w:rsidR="00140520" w:rsidRDefault="00140520" w:rsidP="00B67EE2">
      <w:pPr>
        <w:spacing w:line="360" w:lineRule="auto"/>
        <w:rPr>
          <w:b/>
          <w:bCs/>
          <w:u w:val="single"/>
        </w:rPr>
      </w:pPr>
      <w:r w:rsidRPr="00140520">
        <w:rPr>
          <w:b/>
          <w:bCs/>
          <w:u w:val="single"/>
        </w:rPr>
        <w:t>Source</w:t>
      </w:r>
      <w:r>
        <w:rPr>
          <w:b/>
          <w:bCs/>
          <w:u w:val="single"/>
        </w:rPr>
        <w:t xml:space="preserve"> 3</w:t>
      </w:r>
    </w:p>
    <w:p w14:paraId="6C90F20C" w14:textId="3A72026E" w:rsidR="00140520" w:rsidRPr="00140520" w:rsidRDefault="00140520" w:rsidP="00B67EE2">
      <w:pPr>
        <w:spacing w:line="360" w:lineRule="auto"/>
      </w:pPr>
      <w:r w:rsidRPr="003F43E7">
        <w:t>Havighurst, R.J. (1961) ‘Successful aging’, The Gerontologist, 1(1), pp. 8–13.</w:t>
      </w:r>
    </w:p>
    <w:p w14:paraId="0A8A2BD3" w14:textId="1ACB7BC5" w:rsidR="00524940" w:rsidRPr="000D5DEA" w:rsidRDefault="00433E6D" w:rsidP="00B67EE2">
      <w:pPr>
        <w:spacing w:line="360" w:lineRule="auto"/>
        <w:rPr>
          <w:b/>
          <w:bCs/>
          <w:sz w:val="24"/>
          <w:szCs w:val="24"/>
        </w:rPr>
      </w:pPr>
      <w:r w:rsidRPr="000D5DEA">
        <w:rPr>
          <w:b/>
          <w:bCs/>
          <w:sz w:val="24"/>
          <w:szCs w:val="24"/>
        </w:rPr>
        <w:t>HAVIGHURST’S ACTIVITY THEORY</w:t>
      </w:r>
    </w:p>
    <w:p w14:paraId="600142D5" w14:textId="60458111" w:rsidR="00433E6D" w:rsidRDefault="00433E6D" w:rsidP="00B67EE2">
      <w:pPr>
        <w:spacing w:line="360" w:lineRule="auto"/>
      </w:pPr>
      <w:r w:rsidRPr="00433E6D">
        <w:t>Havighurst’s Activity Theory proposes that older adults achieve greater satisfaction when they remain socially and physically engaged. The theory argues that successful ageing happens when individuals maintain roles, interests, and relationships like those in earlier adulthood.</w:t>
      </w:r>
    </w:p>
    <w:p w14:paraId="0E7540FE" w14:textId="6377A580" w:rsidR="00433E6D" w:rsidRDefault="00433E6D" w:rsidP="00B67EE2">
      <w:pPr>
        <w:spacing w:line="360" w:lineRule="auto"/>
      </w:pPr>
      <w:r w:rsidRPr="00433E6D">
        <w:t>Rather than withdrawing from society, continued participation promotes identity, purpose, and confidence. Social isolation, in contrast, can lead to reduced wellbeing.</w:t>
      </w:r>
    </w:p>
    <w:p w14:paraId="62696DE3" w14:textId="4143505D" w:rsidR="00433E6D" w:rsidRPr="000D5DEA" w:rsidRDefault="00433E6D" w:rsidP="00B67EE2">
      <w:pPr>
        <w:spacing w:line="360" w:lineRule="auto"/>
        <w:rPr>
          <w:b/>
          <w:bCs/>
          <w:sz w:val="24"/>
          <w:szCs w:val="24"/>
        </w:rPr>
      </w:pPr>
      <w:r w:rsidRPr="000D5DEA">
        <w:rPr>
          <w:b/>
          <w:bCs/>
          <w:sz w:val="24"/>
          <w:szCs w:val="24"/>
        </w:rPr>
        <w:t>Critical Comment and Relevance to Health and Social Care</w:t>
      </w:r>
    </w:p>
    <w:p w14:paraId="1A7E4622" w14:textId="4EC1A597" w:rsidR="00433E6D" w:rsidRDefault="00433E6D" w:rsidP="00B67EE2">
      <w:pPr>
        <w:spacing w:line="360" w:lineRule="auto"/>
      </w:pPr>
      <w:r w:rsidRPr="00433E6D">
        <w:t>This theory has strong practical value in UK residential care homes. Structured activities such as music sessions, gardening, exercise groups, reading clubs, and faith gatherings can enhance mood and social connection. Even small roles, such as helping set tables or welcoming visitors, can give residents a sense of usefulness.</w:t>
      </w:r>
    </w:p>
    <w:p w14:paraId="47DC97B6" w14:textId="03272313" w:rsidR="00433E6D" w:rsidRDefault="00433E6D" w:rsidP="00B67EE2">
      <w:pPr>
        <w:spacing w:line="360" w:lineRule="auto"/>
      </w:pPr>
      <w:r w:rsidRPr="00433E6D">
        <w:lastRenderedPageBreak/>
        <w:t>However, the theory can be too general if applied rigidly. Not all residents are physically able to remain active. Some may prefer quiet reflection rather than group interaction. For this reason, activity must be personalised rather than imposed. When adapted flexibly, Activity Theory supports holistic care that values social engagement as much as physical support.</w:t>
      </w:r>
    </w:p>
    <w:p w14:paraId="12F30F08" w14:textId="74CA5C00" w:rsidR="00433E6D" w:rsidRPr="000D5DEA" w:rsidRDefault="00283197" w:rsidP="00B67EE2">
      <w:pPr>
        <w:spacing w:line="360" w:lineRule="auto"/>
        <w:rPr>
          <w:b/>
          <w:bCs/>
          <w:sz w:val="24"/>
          <w:szCs w:val="24"/>
        </w:rPr>
      </w:pPr>
      <w:r w:rsidRPr="000D5DEA">
        <w:rPr>
          <w:b/>
          <w:bCs/>
          <w:sz w:val="24"/>
          <w:szCs w:val="24"/>
        </w:rPr>
        <w:t>POSITIVE PSYCHOLOGY AND AGEING</w:t>
      </w:r>
    </w:p>
    <w:p w14:paraId="1F2292D9" w14:textId="35696990" w:rsidR="00283197" w:rsidRDefault="00283197" w:rsidP="00B67EE2">
      <w:pPr>
        <w:spacing w:line="360" w:lineRule="auto"/>
      </w:pPr>
      <w:r w:rsidRPr="00283197">
        <w:t>Positive psychology focuses on strengths rather than weaknesses. Seligman proposes the PERMA model of wellbeing: Positive emotion, Engagement, Relationships, Meaning, and Accomplishment. This approach suggests that ageing does not only involve decline but can also include growth, resilience, and continued purpose</w:t>
      </w:r>
      <w:r>
        <w:t>.</w:t>
      </w:r>
    </w:p>
    <w:p w14:paraId="2D1146C1" w14:textId="7F9D4F32" w:rsidR="00283197" w:rsidRDefault="00283197" w:rsidP="00B67EE2">
      <w:pPr>
        <w:spacing w:line="360" w:lineRule="auto"/>
      </w:pPr>
      <w:r w:rsidRPr="00283197">
        <w:t>Wellbeing in later life depends not only on health status but also on meaningful relationships, gratitude, and a sense of achievement.</w:t>
      </w:r>
    </w:p>
    <w:p w14:paraId="0C68C360" w14:textId="2A8B7042" w:rsidR="00283197" w:rsidRPr="000D5DEA" w:rsidRDefault="00283197" w:rsidP="00B67EE2">
      <w:pPr>
        <w:spacing w:line="360" w:lineRule="auto"/>
        <w:rPr>
          <w:b/>
          <w:bCs/>
          <w:sz w:val="24"/>
          <w:szCs w:val="24"/>
        </w:rPr>
      </w:pPr>
      <w:r w:rsidRPr="000D5DEA">
        <w:rPr>
          <w:b/>
          <w:bCs/>
          <w:sz w:val="24"/>
          <w:szCs w:val="24"/>
        </w:rPr>
        <w:t>Critical Comment and Relevance to Health and Social Care</w:t>
      </w:r>
    </w:p>
    <w:p w14:paraId="0B55897C" w14:textId="68FDC5B4" w:rsidR="00283197" w:rsidRDefault="00283197" w:rsidP="00B67EE2">
      <w:pPr>
        <w:spacing w:line="360" w:lineRule="auto"/>
      </w:pPr>
      <w:r w:rsidRPr="00283197">
        <w:t>In residential care, positive psychology encourages professionals to see residents as individuals with strengths, not only needs. Staff can support wellbeing by celebrating achievements, encouraging hobbies, promoting social bonds, and helping residents find daily meaning.</w:t>
      </w:r>
    </w:p>
    <w:p w14:paraId="40D6A665" w14:textId="7EB28894" w:rsidR="00B67EE2" w:rsidRDefault="00283197" w:rsidP="00B67EE2">
      <w:pPr>
        <w:spacing w:line="360" w:lineRule="auto"/>
      </w:pPr>
      <w:r w:rsidRPr="00283197">
        <w:t>However, this approach must be used sensitively. It should not minimise real struggles such as chronic illness, grief, or loss of independence. If applied in a balanced way, it promotes dignity, hope, and emotional resilience. It also aligns strongly with UK policies that promote person centred and strengths-based ca</w:t>
      </w:r>
      <w:r w:rsidR="00E30791">
        <w:t>re.</w:t>
      </w:r>
    </w:p>
    <w:p w14:paraId="5A60F4CF" w14:textId="77777777" w:rsidR="00140520" w:rsidRDefault="00140520" w:rsidP="00B67EE2">
      <w:pPr>
        <w:spacing w:line="360" w:lineRule="auto"/>
      </w:pPr>
    </w:p>
    <w:p w14:paraId="17135D80" w14:textId="77777777" w:rsidR="00140520" w:rsidRDefault="00140520" w:rsidP="00B67EE2">
      <w:pPr>
        <w:spacing w:line="360" w:lineRule="auto"/>
      </w:pPr>
    </w:p>
    <w:p w14:paraId="00854DEA" w14:textId="77777777" w:rsidR="00140520" w:rsidRDefault="00140520" w:rsidP="00B67EE2">
      <w:pPr>
        <w:spacing w:line="360" w:lineRule="auto"/>
      </w:pPr>
    </w:p>
    <w:p w14:paraId="59811F4B" w14:textId="77777777" w:rsidR="00140520" w:rsidRDefault="00140520" w:rsidP="00B67EE2">
      <w:pPr>
        <w:spacing w:line="360" w:lineRule="auto"/>
      </w:pPr>
    </w:p>
    <w:p w14:paraId="4534D4E2" w14:textId="77777777" w:rsidR="00140520" w:rsidRDefault="00140520" w:rsidP="00B67EE2">
      <w:pPr>
        <w:spacing w:line="360" w:lineRule="auto"/>
      </w:pPr>
    </w:p>
    <w:p w14:paraId="6F968419" w14:textId="77777777" w:rsidR="00140520" w:rsidRDefault="00140520" w:rsidP="00B67EE2">
      <w:pPr>
        <w:spacing w:line="360" w:lineRule="auto"/>
      </w:pPr>
    </w:p>
    <w:p w14:paraId="21127858" w14:textId="77777777" w:rsidR="00140520" w:rsidRDefault="00140520" w:rsidP="00B67EE2">
      <w:pPr>
        <w:spacing w:line="360" w:lineRule="auto"/>
      </w:pPr>
    </w:p>
    <w:p w14:paraId="568DB7CB" w14:textId="77777777" w:rsidR="00B67EE2" w:rsidRDefault="00B67EE2" w:rsidP="00B67EE2">
      <w:pPr>
        <w:spacing w:line="360" w:lineRule="auto"/>
      </w:pPr>
    </w:p>
    <w:p w14:paraId="34E275D4" w14:textId="77777777" w:rsidR="00283197" w:rsidRDefault="00283197" w:rsidP="00B67EE2">
      <w:pPr>
        <w:spacing w:line="360" w:lineRule="auto"/>
      </w:pPr>
    </w:p>
    <w:p w14:paraId="14959605" w14:textId="6ECF0E52" w:rsidR="00283197" w:rsidRPr="00B67EE2" w:rsidRDefault="00283197" w:rsidP="00B67EE2">
      <w:pPr>
        <w:spacing w:line="360" w:lineRule="auto"/>
        <w:jc w:val="center"/>
        <w:rPr>
          <w:b/>
          <w:bCs/>
        </w:rPr>
      </w:pPr>
      <w:r w:rsidRPr="00B67EE2">
        <w:rPr>
          <w:b/>
          <w:bCs/>
        </w:rPr>
        <w:lastRenderedPageBreak/>
        <w:t>PART B</w:t>
      </w:r>
    </w:p>
    <w:p w14:paraId="296A487E" w14:textId="24DB854D" w:rsidR="00283197" w:rsidRDefault="00283197" w:rsidP="00B67EE2">
      <w:pPr>
        <w:spacing w:line="360" w:lineRule="auto"/>
        <w:rPr>
          <w:b/>
          <w:bCs/>
        </w:rPr>
      </w:pPr>
      <w:r w:rsidRPr="00283197">
        <w:rPr>
          <w:b/>
          <w:bCs/>
        </w:rPr>
        <w:t>APPLICATION OF ACTIVITY THEORY IN A UK RESIDENTIAL CARE HOME</w:t>
      </w:r>
    </w:p>
    <w:p w14:paraId="00017469" w14:textId="34AAB12B" w:rsidR="00283197" w:rsidRDefault="00283197" w:rsidP="00B67EE2">
      <w:pPr>
        <w:spacing w:line="360" w:lineRule="auto"/>
        <w:rPr>
          <w:b/>
          <w:bCs/>
          <w:sz w:val="28"/>
          <w:szCs w:val="28"/>
        </w:rPr>
      </w:pPr>
      <w:r w:rsidRPr="00283197">
        <w:rPr>
          <w:b/>
          <w:bCs/>
          <w:sz w:val="28"/>
          <w:szCs w:val="28"/>
        </w:rPr>
        <w:t>Introduction</w:t>
      </w:r>
    </w:p>
    <w:p w14:paraId="5E3D799A" w14:textId="4DDAF995" w:rsidR="00283197" w:rsidRDefault="00283197" w:rsidP="00B67EE2">
      <w:pPr>
        <w:spacing w:line="360" w:lineRule="auto"/>
      </w:pPr>
      <w:r w:rsidRPr="00283197">
        <w:t>This report applies Havighurst’s Activity Theory to practice in a UK residential care home. It explains how the theory can guide care professionals to improve wellbeing, maintain dignity, and promote meaningful engagement among older residents.</w:t>
      </w:r>
    </w:p>
    <w:p w14:paraId="36517668" w14:textId="20DAB7FC" w:rsidR="00283197" w:rsidRDefault="00283197" w:rsidP="00B67EE2">
      <w:pPr>
        <w:spacing w:line="360" w:lineRule="auto"/>
        <w:rPr>
          <w:b/>
          <w:bCs/>
        </w:rPr>
      </w:pPr>
      <w:r w:rsidRPr="00283197">
        <w:rPr>
          <w:b/>
          <w:bCs/>
        </w:rPr>
        <w:t>OVERVIEW OF ACTIVITY THEORY</w:t>
      </w:r>
    </w:p>
    <w:p w14:paraId="042FF184" w14:textId="4483A8E7" w:rsidR="00283197" w:rsidRDefault="00283197" w:rsidP="00B67EE2">
      <w:pPr>
        <w:spacing w:line="360" w:lineRule="auto"/>
      </w:pPr>
      <w:r w:rsidRPr="00283197">
        <w:t>Havighurst’s Activity Theory suggests that older adults experience greater life satisfaction when they remain socially, mentally, and physically active. The theory argues that continued participation in meaningful roles helps older adults maintain identity and purpose. When individuals withdraw from activity and social interaction, their wellbeing may decline.</w:t>
      </w:r>
    </w:p>
    <w:p w14:paraId="590B9661" w14:textId="79F0BAE4" w:rsidR="00283197" w:rsidRDefault="00D44551" w:rsidP="00B67EE2">
      <w:pPr>
        <w:spacing w:line="360" w:lineRule="auto"/>
      </w:pPr>
      <w:r w:rsidRPr="00D44551">
        <w:t>In residential care settings, residents often lose previous roles such as employment, parenting responsibilities, or community leadership. If no new roles replace them, residents may feel useless or isolated. Activity Theory encourages care professionals to support continued participation, adapted to each person’s abilities.</w:t>
      </w:r>
    </w:p>
    <w:p w14:paraId="11CF8E9D" w14:textId="7ADF0B31" w:rsidR="00D44551" w:rsidRPr="00D44551" w:rsidRDefault="00D44551" w:rsidP="00B67EE2">
      <w:pPr>
        <w:spacing w:line="360" w:lineRule="auto"/>
        <w:rPr>
          <w:b/>
          <w:bCs/>
        </w:rPr>
      </w:pPr>
      <w:r w:rsidRPr="00D44551">
        <w:rPr>
          <w:b/>
          <w:bCs/>
        </w:rPr>
        <w:t>APPLICATION IN RESIDENTIAL CARE PRACTIVE</w:t>
      </w:r>
    </w:p>
    <w:p w14:paraId="16B893F3" w14:textId="5A9EC921" w:rsidR="00D44551" w:rsidRDefault="00090B55" w:rsidP="00B67EE2">
      <w:pPr>
        <w:spacing w:line="360" w:lineRule="auto"/>
      </w:pPr>
      <w:r w:rsidRPr="00090B55">
        <w:t>In a UK care home, Activity Theory can be applied through structured but flexible engagement programmes. However, the focus should not only be on “keeping residents busy.” Activities must be meaningful and linked to personal history, interests, and abilities.</w:t>
      </w:r>
    </w:p>
    <w:p w14:paraId="00055176" w14:textId="6920E6C2" w:rsidR="00090B55" w:rsidRDefault="00090B55" w:rsidP="00B67EE2">
      <w:pPr>
        <w:spacing w:line="360" w:lineRule="auto"/>
      </w:pPr>
      <w:r w:rsidRPr="00090B55">
        <w:t>For example:</w:t>
      </w:r>
    </w:p>
    <w:p w14:paraId="663C6D23" w14:textId="77777777" w:rsidR="00090B55" w:rsidRDefault="00090B55" w:rsidP="00B67EE2">
      <w:pPr>
        <w:spacing w:line="360" w:lineRule="auto"/>
      </w:pPr>
      <w:r w:rsidRPr="00090B55">
        <w:t>1. A former teacher may enjoy reading groups or helping other residents with writing letters.</w:t>
      </w:r>
    </w:p>
    <w:p w14:paraId="58E9BB52" w14:textId="77777777" w:rsidR="00090B55" w:rsidRDefault="00090B55" w:rsidP="00B67EE2">
      <w:pPr>
        <w:spacing w:line="360" w:lineRule="auto"/>
      </w:pPr>
      <w:r w:rsidRPr="00090B55">
        <w:t xml:space="preserve"> 2. A resident who previously enjoyed gardening can participate in light planting activities.</w:t>
      </w:r>
    </w:p>
    <w:p w14:paraId="13E8A6B2" w14:textId="77777777" w:rsidR="00090B55" w:rsidRDefault="00090B55" w:rsidP="00B67EE2">
      <w:pPr>
        <w:spacing w:line="360" w:lineRule="auto"/>
      </w:pPr>
      <w:r w:rsidRPr="00090B55">
        <w:t xml:space="preserve"> 3. Someone who values faith can be supported to attend in-house religious services or virtual worship sessions.</w:t>
      </w:r>
    </w:p>
    <w:p w14:paraId="4A022805" w14:textId="55423BC4" w:rsidR="00090B55" w:rsidRDefault="00090B55" w:rsidP="00B67EE2">
      <w:pPr>
        <w:spacing w:line="360" w:lineRule="auto"/>
      </w:pPr>
      <w:r w:rsidRPr="00090B55">
        <w:t xml:space="preserve"> 4. Residents with limited mobility can engage in music appreciation, storytelling, or chair-based exercises</w:t>
      </w:r>
      <w:r w:rsidR="003F43E7">
        <w:t>.</w:t>
      </w:r>
    </w:p>
    <w:p w14:paraId="324CD287" w14:textId="5FA19F1F" w:rsidR="00090B55" w:rsidRPr="003F43E7" w:rsidRDefault="00090B55" w:rsidP="00B67EE2">
      <w:pPr>
        <w:spacing w:line="360" w:lineRule="auto"/>
      </w:pPr>
      <w:r w:rsidRPr="003F43E7">
        <w:t>This approach supports dignity and identity. Instead of seeing residents as passive recipients of care, staff recognise them as individuals with experiences, skills, and preferences.</w:t>
      </w:r>
    </w:p>
    <w:p w14:paraId="2D404741" w14:textId="2C42390B" w:rsidR="00090B55" w:rsidRDefault="00090B55" w:rsidP="00B67EE2">
      <w:pPr>
        <w:spacing w:line="360" w:lineRule="auto"/>
      </w:pPr>
      <w:r w:rsidRPr="00090B55">
        <w:lastRenderedPageBreak/>
        <w:t>Activity programmes should also encourage social interaction. Shared meals, celebration of birthdays, cultural events, and discussion groups reduce loneliness. Social isolation is a serious concern in UK care homes, especially for residents without regular family visits. Group engagement helps maintain emotional wellbeing.</w:t>
      </w:r>
    </w:p>
    <w:p w14:paraId="22AA9EDD" w14:textId="37106BB5" w:rsidR="00090B55" w:rsidRDefault="00090B55" w:rsidP="00B67EE2">
      <w:pPr>
        <w:spacing w:line="360" w:lineRule="auto"/>
      </w:pPr>
      <w:r w:rsidRPr="00090B55">
        <w:t>Mrs. Thompson, aged 84, moved into a residential care home after a fall. Before admission, she was active in her local church and community choir. After moving into care, she became withdrawn and rarely left her room. Staff initially focused only on her physical rehabilitation.</w:t>
      </w:r>
    </w:p>
    <w:p w14:paraId="223DEC53" w14:textId="2ADAAFCC" w:rsidR="00187033" w:rsidRDefault="00187033" w:rsidP="00B67EE2">
      <w:pPr>
        <w:spacing w:line="360" w:lineRule="auto"/>
      </w:pPr>
      <w:r w:rsidRPr="00187033">
        <w:t>Using Activity Theory, the care team reviewed her life history. They discovered her strong interest in music and faith. The home organised weekly hymn sessions and encouraged her to help choose songs. She gradually began attending group activities and interacting with others. Her mood improved, and she reported feeling “useful again.”</w:t>
      </w:r>
    </w:p>
    <w:p w14:paraId="032447B4" w14:textId="53277241" w:rsidR="00187033" w:rsidRDefault="00187033" w:rsidP="00B67EE2">
      <w:pPr>
        <w:spacing w:line="360" w:lineRule="auto"/>
      </w:pPr>
      <w:r w:rsidRPr="00187033">
        <w:t>This example shows how engagement linked to personal identity can improve emotional wellbeing. Although Activity Theory is practical, several challenges exist in real care settings.</w:t>
      </w:r>
    </w:p>
    <w:p w14:paraId="149AE787" w14:textId="7AC78A1A" w:rsidR="00187033" w:rsidRDefault="00187033" w:rsidP="00B67EE2">
      <w:pPr>
        <w:pStyle w:val="ListParagraph"/>
        <w:numPr>
          <w:ilvl w:val="0"/>
          <w:numId w:val="1"/>
        </w:numPr>
        <w:spacing w:line="360" w:lineRule="auto"/>
      </w:pPr>
      <w:r w:rsidRPr="00187033">
        <w:t>Staffing pressures can limit time for meaningful engagement. When staff focus mainly on medication rounds and personal care, social interaction may be reduced.</w:t>
      </w:r>
    </w:p>
    <w:p w14:paraId="407DF37C" w14:textId="37FEAC4F" w:rsidR="00187033" w:rsidRDefault="00187033" w:rsidP="00B67EE2">
      <w:pPr>
        <w:pStyle w:val="ListParagraph"/>
        <w:numPr>
          <w:ilvl w:val="0"/>
          <w:numId w:val="1"/>
        </w:numPr>
        <w:spacing w:line="360" w:lineRule="auto"/>
      </w:pPr>
      <w:r w:rsidRPr="00187033">
        <w:t>Some residents have dementia or severe physical limitations. They may not be able to participate in group activities in traditional ways.</w:t>
      </w:r>
    </w:p>
    <w:p w14:paraId="15BE6689" w14:textId="72CA6EF9" w:rsidR="00187033" w:rsidRDefault="00187033" w:rsidP="00B67EE2">
      <w:pPr>
        <w:pStyle w:val="ListParagraph"/>
        <w:numPr>
          <w:ilvl w:val="0"/>
          <w:numId w:val="1"/>
        </w:numPr>
        <w:spacing w:line="360" w:lineRule="auto"/>
      </w:pPr>
      <w:r w:rsidRPr="00187033">
        <w:t>Not all residents want constant social interaction. Some prefer quiet reflection. If activities are imposed, residents may feel overwhelmed.</w:t>
      </w:r>
    </w:p>
    <w:p w14:paraId="52EA7B69" w14:textId="77777777" w:rsidR="00187033" w:rsidRDefault="00187033" w:rsidP="00B67EE2">
      <w:pPr>
        <w:pStyle w:val="ListParagraph"/>
        <w:spacing w:line="360" w:lineRule="auto"/>
      </w:pPr>
    </w:p>
    <w:p w14:paraId="386EF4A0" w14:textId="0BBD375B" w:rsidR="00187033" w:rsidRDefault="00187033" w:rsidP="00B67EE2">
      <w:pPr>
        <w:spacing w:line="360" w:lineRule="auto"/>
      </w:pPr>
      <w:r w:rsidRPr="00187033">
        <w:t>To address staffing challenges, care homes can adopt a whole-team approach. Engagement should not be the responsibility of activity coordinators alone. All staff, including carers, can integrate small meaningful interactions into daily routines. For example, conversation during personal care or involving residents in simple decisions supports engagement.</w:t>
      </w:r>
    </w:p>
    <w:p w14:paraId="6C288192" w14:textId="06EF719E" w:rsidR="00187033" w:rsidRDefault="003F43E7" w:rsidP="00B67EE2">
      <w:pPr>
        <w:spacing w:line="360" w:lineRule="auto"/>
      </w:pPr>
      <w:r w:rsidRPr="003F43E7">
        <w:t>For residents with dementia, activities can be adapted. Sensory stimulation, music therapy, and short, structured sessions can support participation without causing stress.</w:t>
      </w:r>
    </w:p>
    <w:p w14:paraId="01205C73" w14:textId="7C7DA849" w:rsidR="003F43E7" w:rsidRDefault="003F43E7" w:rsidP="00B67EE2">
      <w:pPr>
        <w:spacing w:line="360" w:lineRule="auto"/>
      </w:pPr>
      <w:r w:rsidRPr="003F43E7">
        <w:t>For residents who prefer solitude, personalised activity plans are essential. Activity does not always mean group events. Reading, knitting, listening to music, or one-to-one conversations are also meaningful forms of engagement.</w:t>
      </w:r>
    </w:p>
    <w:p w14:paraId="0648E006" w14:textId="019867F6" w:rsidR="003F43E7" w:rsidRDefault="003F43E7" w:rsidP="00B67EE2">
      <w:pPr>
        <w:spacing w:line="360" w:lineRule="auto"/>
      </w:pPr>
      <w:r w:rsidRPr="003F43E7">
        <w:t>Regular care plan reviews should ensure activities match changing needs. This reflects person centred practice and supports regulatory standards in UK care services.</w:t>
      </w:r>
    </w:p>
    <w:p w14:paraId="453814F8" w14:textId="5A35ED7C" w:rsidR="003F43E7" w:rsidRDefault="003F43E7" w:rsidP="00B67EE2">
      <w:pPr>
        <w:spacing w:line="360" w:lineRule="auto"/>
      </w:pPr>
      <w:r w:rsidRPr="003F43E7">
        <w:lastRenderedPageBreak/>
        <w:t>Activity Theory provides a strong framework for promoting wellbeing in residential care. It shifts focus from decline to participation. However, it should not be applied rigidly. Successful ageing looks different for everyone. The goal is not constant activity, but meaningful engagement.</w:t>
      </w:r>
    </w:p>
    <w:p w14:paraId="1BE10BBA" w14:textId="1B23605D" w:rsidR="003F43E7" w:rsidRDefault="003F43E7" w:rsidP="00B67EE2">
      <w:pPr>
        <w:spacing w:line="360" w:lineRule="auto"/>
      </w:pPr>
      <w:r w:rsidRPr="003F43E7">
        <w:t>When combined with person-centred values and professional judgement, Activity Theory supports dignity, identity, and emotional wellbeing in older adults.</w:t>
      </w:r>
    </w:p>
    <w:p w14:paraId="726916AB" w14:textId="6803CB80" w:rsidR="003F43E7" w:rsidRDefault="003F43E7" w:rsidP="00B67EE2">
      <w:pPr>
        <w:spacing w:line="360" w:lineRule="auto"/>
      </w:pPr>
      <w:r w:rsidRPr="003F43E7">
        <w:t>Activity Theory offers practical guidance for care professionals working in UK residential settings. By promoting meaningful engagement, maintaining social roles, and adapting activities to individual abilities, staff can enhance residents’ quality of life. When applied flexibly and compassionately, the theory strengthens holistic and person-centred care.</w:t>
      </w:r>
    </w:p>
    <w:p w14:paraId="50355C09" w14:textId="77777777" w:rsidR="003F43E7" w:rsidRDefault="003F43E7" w:rsidP="00B67EE2">
      <w:pPr>
        <w:spacing w:line="360" w:lineRule="auto"/>
      </w:pPr>
    </w:p>
    <w:p w14:paraId="07D05813" w14:textId="224FB09B" w:rsidR="003F43E7" w:rsidRDefault="003F43E7" w:rsidP="00B67EE2">
      <w:pPr>
        <w:spacing w:line="360" w:lineRule="auto"/>
      </w:pPr>
      <w:r w:rsidRPr="003F43E7">
        <w:t>REFERENCES</w:t>
      </w:r>
    </w:p>
    <w:p w14:paraId="10841CFF" w14:textId="340724E5" w:rsidR="003F43E7" w:rsidRPr="00090B55" w:rsidRDefault="003F43E7" w:rsidP="00B67EE2">
      <w:pPr>
        <w:spacing w:line="360" w:lineRule="auto"/>
      </w:pPr>
      <w:r w:rsidRPr="003F43E7">
        <w:t>Seligman, M.E.P. (2011) Flourish: A visionary new understanding of happiness and well-being. New York: Free Press</w:t>
      </w:r>
      <w:r>
        <w:t>.</w:t>
      </w:r>
    </w:p>
    <w:sectPr w:rsidR="003F43E7" w:rsidRPr="00090B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D24686"/>
    <w:multiLevelType w:val="hybridMultilevel"/>
    <w:tmpl w:val="24A65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1980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940"/>
    <w:rsid w:val="00090B55"/>
    <w:rsid w:val="000D5DEA"/>
    <w:rsid w:val="00140520"/>
    <w:rsid w:val="00187033"/>
    <w:rsid w:val="00212BCF"/>
    <w:rsid w:val="00271DD6"/>
    <w:rsid w:val="00283197"/>
    <w:rsid w:val="003F43E7"/>
    <w:rsid w:val="00433E6D"/>
    <w:rsid w:val="00524940"/>
    <w:rsid w:val="00943B57"/>
    <w:rsid w:val="009B3397"/>
    <w:rsid w:val="009B457E"/>
    <w:rsid w:val="00AF256F"/>
    <w:rsid w:val="00B20910"/>
    <w:rsid w:val="00B42BD6"/>
    <w:rsid w:val="00B67EE2"/>
    <w:rsid w:val="00D44551"/>
    <w:rsid w:val="00D816D0"/>
    <w:rsid w:val="00DC3276"/>
    <w:rsid w:val="00E30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BA75B"/>
  <w15:chartTrackingRefBased/>
  <w15:docId w15:val="{82217297-42BA-4DB3-9497-4E30782A0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9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49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49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49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49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49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49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49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49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49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49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49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49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49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49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49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49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4940"/>
    <w:rPr>
      <w:rFonts w:eastAsiaTheme="majorEastAsia" w:cstheme="majorBidi"/>
      <w:color w:val="272727" w:themeColor="text1" w:themeTint="D8"/>
    </w:rPr>
  </w:style>
  <w:style w:type="paragraph" w:styleId="Title">
    <w:name w:val="Title"/>
    <w:basedOn w:val="Normal"/>
    <w:next w:val="Normal"/>
    <w:link w:val="TitleChar"/>
    <w:uiPriority w:val="10"/>
    <w:qFormat/>
    <w:rsid w:val="005249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49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49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49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4940"/>
    <w:pPr>
      <w:spacing w:before="160"/>
      <w:jc w:val="center"/>
    </w:pPr>
    <w:rPr>
      <w:i/>
      <w:iCs/>
      <w:color w:val="404040" w:themeColor="text1" w:themeTint="BF"/>
    </w:rPr>
  </w:style>
  <w:style w:type="character" w:customStyle="1" w:styleId="QuoteChar">
    <w:name w:val="Quote Char"/>
    <w:basedOn w:val="DefaultParagraphFont"/>
    <w:link w:val="Quote"/>
    <w:uiPriority w:val="29"/>
    <w:rsid w:val="00524940"/>
    <w:rPr>
      <w:i/>
      <w:iCs/>
      <w:color w:val="404040" w:themeColor="text1" w:themeTint="BF"/>
    </w:rPr>
  </w:style>
  <w:style w:type="paragraph" w:styleId="ListParagraph">
    <w:name w:val="List Paragraph"/>
    <w:basedOn w:val="Normal"/>
    <w:uiPriority w:val="34"/>
    <w:qFormat/>
    <w:rsid w:val="00524940"/>
    <w:pPr>
      <w:ind w:left="720"/>
      <w:contextualSpacing/>
    </w:pPr>
  </w:style>
  <w:style w:type="character" w:styleId="IntenseEmphasis">
    <w:name w:val="Intense Emphasis"/>
    <w:basedOn w:val="DefaultParagraphFont"/>
    <w:uiPriority w:val="21"/>
    <w:qFormat/>
    <w:rsid w:val="00524940"/>
    <w:rPr>
      <w:i/>
      <w:iCs/>
      <w:color w:val="0F4761" w:themeColor="accent1" w:themeShade="BF"/>
    </w:rPr>
  </w:style>
  <w:style w:type="paragraph" w:styleId="IntenseQuote">
    <w:name w:val="Intense Quote"/>
    <w:basedOn w:val="Normal"/>
    <w:next w:val="Normal"/>
    <w:link w:val="IntenseQuoteChar"/>
    <w:uiPriority w:val="30"/>
    <w:qFormat/>
    <w:rsid w:val="005249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4940"/>
    <w:rPr>
      <w:i/>
      <w:iCs/>
      <w:color w:val="0F4761" w:themeColor="accent1" w:themeShade="BF"/>
    </w:rPr>
  </w:style>
  <w:style w:type="character" w:styleId="IntenseReference">
    <w:name w:val="Intense Reference"/>
    <w:basedOn w:val="DefaultParagraphFont"/>
    <w:uiPriority w:val="32"/>
    <w:qFormat/>
    <w:rsid w:val="005249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1674</Words>
  <Characters>9543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 Tshikombwe (2424792)</dc:creator>
  <cp:keywords/>
  <dc:description/>
  <cp:lastModifiedBy>Mercy Tshikombwe (2424792)</cp:lastModifiedBy>
  <cp:revision>2</cp:revision>
  <dcterms:created xsi:type="dcterms:W3CDTF">2026-03-12T10:39:00Z</dcterms:created>
  <dcterms:modified xsi:type="dcterms:W3CDTF">2026-03-12T10:39:00Z</dcterms:modified>
</cp:coreProperties>
</file>