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DE72B" w14:textId="77777777" w:rsidR="00CD72A6" w:rsidRDefault="00CD72A6" w:rsidP="00CD72A6">
      <w:pPr>
        <w:jc w:val="center"/>
        <w:rPr>
          <w:rFonts w:asciiTheme="majorHAnsi" w:eastAsiaTheme="majorEastAsia" w:hAnsiTheme="majorHAnsi" w:cstheme="majorBidi"/>
          <w:i/>
          <w:iCs/>
          <w:color w:val="000000" w:themeColor="text1"/>
          <w:kern w:val="24"/>
          <w:sz w:val="36"/>
          <w:szCs w:val="36"/>
          <w:lang w:val="en-US"/>
        </w:rPr>
      </w:pPr>
      <w:r>
        <w:rPr>
          <w:rFonts w:asciiTheme="majorHAnsi" w:eastAsiaTheme="majorEastAsia" w:hAnsi="Aptos Display" w:cstheme="majorBidi"/>
          <w:b/>
          <w:bCs/>
          <w:color w:val="000000" w:themeColor="text1"/>
          <w:kern w:val="24"/>
          <w:sz w:val="74"/>
          <w:szCs w:val="74"/>
        </w:rPr>
        <w:t>Feasibility plan for an international event</w:t>
      </w:r>
      <w:r>
        <w:rPr>
          <w:rFonts w:asciiTheme="majorHAnsi" w:eastAsiaTheme="majorEastAsia" w:hAnsi="Aptos Display" w:cstheme="majorBidi"/>
          <w:b/>
          <w:bCs/>
          <w:color w:val="000000" w:themeColor="text1"/>
          <w:kern w:val="24"/>
          <w:sz w:val="74"/>
          <w:szCs w:val="74"/>
        </w:rPr>
        <w:br/>
      </w:r>
      <w:r>
        <w:rPr>
          <w:rFonts w:asciiTheme="majorHAnsi" w:eastAsiaTheme="majorEastAsia" w:hAnsi="Aptos Display" w:cstheme="majorBidi"/>
          <w:b/>
          <w:bCs/>
          <w:color w:val="000000" w:themeColor="text1"/>
          <w:kern w:val="24"/>
          <w:sz w:val="74"/>
          <w:szCs w:val="74"/>
        </w:rPr>
        <w:br/>
      </w:r>
      <w:r>
        <w:rPr>
          <w:rFonts w:asciiTheme="majorHAnsi" w:eastAsiaTheme="majorEastAsia" w:hAnsi="Aptos Display" w:cstheme="majorBidi"/>
          <w:b/>
          <w:bCs/>
          <w:color w:val="000000" w:themeColor="text1"/>
          <w:kern w:val="24"/>
          <w:sz w:val="74"/>
          <w:szCs w:val="74"/>
        </w:rPr>
        <w:br/>
      </w:r>
      <w:r>
        <w:rPr>
          <w:rFonts w:asciiTheme="majorHAnsi" w:eastAsiaTheme="majorEastAsia" w:hAnsi="Aptos Display" w:cstheme="majorBidi"/>
          <w:color w:val="000000" w:themeColor="text1"/>
          <w:kern w:val="24"/>
          <w:sz w:val="72"/>
          <w:szCs w:val="72"/>
          <w:lang w:val="en-US"/>
        </w:rPr>
        <w:t xml:space="preserve">Tourism </w:t>
      </w:r>
      <w:proofErr w:type="spellStart"/>
      <w:r>
        <w:rPr>
          <w:rFonts w:asciiTheme="majorHAnsi" w:eastAsiaTheme="majorEastAsia" w:hAnsi="Aptos Display" w:cstheme="majorBidi"/>
          <w:color w:val="000000" w:themeColor="text1"/>
          <w:kern w:val="24"/>
          <w:sz w:val="72"/>
          <w:szCs w:val="72"/>
          <w:lang w:val="en-US"/>
        </w:rPr>
        <w:t>EcoVista</w:t>
      </w:r>
      <w:proofErr w:type="spellEnd"/>
      <w:r>
        <w:rPr>
          <w:rFonts w:asciiTheme="majorHAnsi" w:eastAsiaTheme="majorEastAsia" w:hAnsi="Aptos Display" w:cstheme="majorBidi"/>
          <w:color w:val="000000" w:themeColor="text1"/>
          <w:kern w:val="24"/>
          <w:sz w:val="72"/>
          <w:szCs w:val="72"/>
          <w:lang w:val="en-US"/>
        </w:rPr>
        <w:t xml:space="preserve"> Expo 2025 </w:t>
      </w:r>
      <w:r>
        <w:rPr>
          <w:rFonts w:asciiTheme="majorHAnsi" w:eastAsiaTheme="majorEastAsia" w:hAnsi="Aptos Display" w:cstheme="majorBidi"/>
          <w:color w:val="000000" w:themeColor="text1"/>
          <w:kern w:val="24"/>
          <w:sz w:val="72"/>
          <w:szCs w:val="72"/>
          <w:lang w:val="en-US"/>
        </w:rPr>
        <w:br/>
      </w:r>
      <w:r>
        <w:rPr>
          <w:rFonts w:asciiTheme="majorHAnsi" w:eastAsiaTheme="majorEastAsia" w:hAnsi="Aptos Display" w:cstheme="majorBidi"/>
          <w:i/>
          <w:iCs/>
          <w:color w:val="000000" w:themeColor="text1"/>
          <w:kern w:val="24"/>
          <w:sz w:val="36"/>
          <w:szCs w:val="36"/>
          <w:lang w:val="en-US"/>
        </w:rPr>
        <w:t>'A Sustainable Journe</w:t>
      </w:r>
      <w:r>
        <w:rPr>
          <w:rFonts w:asciiTheme="majorHAnsi" w:eastAsiaTheme="majorEastAsia" w:hAnsi="Aptos Display" w:cstheme="majorBidi"/>
          <w:i/>
          <w:iCs/>
          <w:color w:val="000000" w:themeColor="text1"/>
          <w:kern w:val="24"/>
          <w:sz w:val="36"/>
          <w:szCs w:val="36"/>
          <w:lang w:val="en-US"/>
        </w:rPr>
        <w:t>y</w:t>
      </w:r>
      <w:r>
        <w:rPr>
          <w:rFonts w:asciiTheme="majorHAnsi" w:eastAsiaTheme="majorEastAsia" w:hAnsiTheme="majorHAnsi" w:cstheme="majorBidi"/>
          <w:i/>
          <w:iCs/>
          <w:color w:val="000000" w:themeColor="text1"/>
          <w:kern w:val="24"/>
          <w:sz w:val="36"/>
          <w:szCs w:val="36"/>
          <w:lang w:val="en-US"/>
        </w:rPr>
        <w:t>'</w:t>
      </w:r>
    </w:p>
    <w:p w14:paraId="271A0D1A" w14:textId="77777777" w:rsidR="00CD72A6" w:rsidRDefault="00CD72A6" w:rsidP="00CD72A6">
      <w:pPr>
        <w:jc w:val="center"/>
        <w:rPr>
          <w:rFonts w:asciiTheme="majorHAnsi" w:eastAsiaTheme="majorEastAsia" w:hAnsiTheme="majorHAnsi" w:cstheme="majorBidi"/>
          <w:i/>
          <w:iCs/>
          <w:color w:val="000000" w:themeColor="text1"/>
          <w:kern w:val="24"/>
          <w:sz w:val="36"/>
          <w:szCs w:val="36"/>
          <w:lang w:val="en-US"/>
        </w:rPr>
      </w:pPr>
    </w:p>
    <w:p w14:paraId="2D7565EE" w14:textId="77777777" w:rsidR="00CD72A6" w:rsidRDefault="00CD72A6" w:rsidP="00CD72A6">
      <w:pPr>
        <w:jc w:val="center"/>
        <w:rPr>
          <w:rFonts w:asciiTheme="majorHAnsi" w:eastAsiaTheme="majorEastAsia" w:hAnsiTheme="majorHAnsi" w:cstheme="majorBidi"/>
          <w:i/>
          <w:iCs/>
          <w:color w:val="000000" w:themeColor="text1"/>
          <w:kern w:val="24"/>
          <w:sz w:val="36"/>
          <w:szCs w:val="36"/>
          <w:lang w:val="en-US"/>
        </w:rPr>
      </w:pPr>
    </w:p>
    <w:p w14:paraId="0BD419E1" w14:textId="77777777" w:rsidR="00CD72A6" w:rsidRDefault="00CD72A6" w:rsidP="00CD72A6">
      <w:pPr>
        <w:jc w:val="center"/>
        <w:rPr>
          <w:rFonts w:asciiTheme="majorHAnsi" w:eastAsiaTheme="majorEastAsia" w:hAnsiTheme="majorHAnsi" w:cstheme="majorBidi"/>
          <w:i/>
          <w:iCs/>
          <w:color w:val="000000" w:themeColor="text1"/>
          <w:kern w:val="24"/>
          <w:sz w:val="36"/>
          <w:szCs w:val="36"/>
          <w:lang w:val="en-US"/>
        </w:rPr>
      </w:pPr>
    </w:p>
    <w:p w14:paraId="62F18BFA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 w:rsidRPr="00CD72A6">
        <w:rPr>
          <w:rFonts w:ascii="Arial" w:eastAsiaTheme="majorEastAsia" w:hAnsi="Arial" w:cs="Arial"/>
          <w:color w:val="000000" w:themeColor="text1"/>
          <w:kern w:val="24"/>
        </w:rPr>
        <w:t xml:space="preserve">International Meetings Management for Hotel Industry BMIH6007 </w:t>
      </w:r>
    </w:p>
    <w:p w14:paraId="6793DB59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 w:rsidRPr="00CD72A6">
        <w:rPr>
          <w:rFonts w:ascii="Arial" w:eastAsiaTheme="majorEastAsia" w:hAnsi="Arial" w:cs="Arial"/>
          <w:color w:val="000000" w:themeColor="text1"/>
          <w:kern w:val="24"/>
        </w:rPr>
        <w:t>Name: Teodor Catalin Belu (2116226)</w:t>
      </w:r>
    </w:p>
    <w:p w14:paraId="2E52C3E5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 w:rsidRPr="00CD72A6">
        <w:rPr>
          <w:rFonts w:ascii="Arial" w:eastAsiaTheme="majorEastAsia" w:hAnsi="Arial" w:cs="Arial"/>
          <w:color w:val="000000" w:themeColor="text1"/>
          <w:kern w:val="24"/>
        </w:rPr>
        <w:t>Module Lead and Tutor: Kathryn Flynn</w:t>
      </w:r>
    </w:p>
    <w:p w14:paraId="3831E482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6D183188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5431143C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79E215F0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717097B6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07792751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4DE60E30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0DBB3762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62486C50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0F701E5E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5B49C5CD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66C1E9D5" wp14:editId="383489FD">
            <wp:extent cx="5731510" cy="3223895"/>
            <wp:effectExtent l="0" t="0" r="2540" b="0"/>
            <wp:docPr id="119379003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790037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63884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drawing>
          <wp:inline distT="0" distB="0" distL="0" distR="0" wp14:anchorId="529E812E" wp14:editId="25CEAC7C">
            <wp:extent cx="5731510" cy="3223895"/>
            <wp:effectExtent l="0" t="0" r="2540" b="0"/>
            <wp:docPr id="14143538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35383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30123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04BBE4AC" wp14:editId="374042DF">
            <wp:extent cx="5731510" cy="3223895"/>
            <wp:effectExtent l="0" t="0" r="2540" b="0"/>
            <wp:docPr id="16329745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974589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F65BF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drawing>
          <wp:inline distT="0" distB="0" distL="0" distR="0" wp14:anchorId="37523B2E" wp14:editId="68B52934">
            <wp:extent cx="5731510" cy="3223895"/>
            <wp:effectExtent l="0" t="0" r="2540" b="0"/>
            <wp:docPr id="4202443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244369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F158C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08FA9366" wp14:editId="0FF56BED">
            <wp:extent cx="5731510" cy="3223895"/>
            <wp:effectExtent l="0" t="0" r="2540" b="0"/>
            <wp:docPr id="3628214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82140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A6870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drawing>
          <wp:inline distT="0" distB="0" distL="0" distR="0" wp14:anchorId="553A1B98" wp14:editId="31416E69">
            <wp:extent cx="5731510" cy="3223895"/>
            <wp:effectExtent l="0" t="0" r="2540" b="0"/>
            <wp:docPr id="137569263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69263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55C98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363583F8" wp14:editId="3E14820F">
            <wp:extent cx="5731510" cy="3223895"/>
            <wp:effectExtent l="0" t="0" r="2540" b="0"/>
            <wp:docPr id="19469746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97463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DE6C5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drawing>
          <wp:inline distT="0" distB="0" distL="0" distR="0" wp14:anchorId="33CE3F6F" wp14:editId="0A6451D4">
            <wp:extent cx="5731510" cy="3223895"/>
            <wp:effectExtent l="0" t="0" r="2540" b="0"/>
            <wp:docPr id="144163129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631294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AEC36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45A3F6F3" wp14:editId="3E45A650">
            <wp:extent cx="5731510" cy="3223895"/>
            <wp:effectExtent l="0" t="0" r="2540" b="0"/>
            <wp:docPr id="16177639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76393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49986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drawing>
          <wp:inline distT="0" distB="0" distL="0" distR="0" wp14:anchorId="110A2355" wp14:editId="4CFA264E">
            <wp:extent cx="5731510" cy="3223895"/>
            <wp:effectExtent l="0" t="0" r="2540" b="0"/>
            <wp:docPr id="16982220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222005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29594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noProof/>
        </w:rPr>
        <w:lastRenderedPageBreak/>
        <w:drawing>
          <wp:inline distT="0" distB="0" distL="0" distR="0" wp14:anchorId="339C618B" wp14:editId="1156D7DB">
            <wp:extent cx="5731510" cy="3223895"/>
            <wp:effectExtent l="0" t="0" r="2540" b="0"/>
            <wp:docPr id="16960126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012632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117D3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4CCBB0F3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3D503611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4936F135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  <w:r>
        <w:rPr>
          <w:rFonts w:ascii="Arial" w:eastAsiaTheme="majorEastAsia" w:hAnsi="Arial" w:cs="Arial"/>
          <w:color w:val="000000" w:themeColor="text1"/>
          <w:kern w:val="24"/>
        </w:rPr>
        <w:t xml:space="preserve">Presentation link </w:t>
      </w:r>
    </w:p>
    <w:p w14:paraId="5BD05F96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63EFD575" w14:textId="77777777" w:rsidR="00CD72A6" w:rsidRPr="00CD72A6" w:rsidRDefault="00CD72A6" w:rsidP="00CD72A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hyperlink r:id="rId26" w:tgtFrame="_blank" w:history="1">
        <w:r w:rsidRPr="00CD72A6">
          <w:rPr>
            <w:rFonts w:ascii="Times New Roman" w:eastAsia="Times New Roman" w:hAnsi="Times New Roman" w:cs="Times New Roman"/>
            <w:color w:val="1155CC"/>
            <w:kern w:val="0"/>
            <w:u w:val="single"/>
            <w:lang w:eastAsia="en-GB"/>
            <w14:ligatures w14:val="none"/>
          </w:rPr>
          <w:t>https://uowtsd-my.sharepoint.com/:v:/g/personal/2116226_student_uwtsd_ac_uk/EU5kvxcV_OtNreOmh54Rp7kBE6GZNRxwHVbgwV_88UL_Dw?referrer=Teams.TEAMS-WEB&amp;referrerScenario=MeetingChicletGetLink.view.view</w:t>
        </w:r>
      </w:hyperlink>
    </w:p>
    <w:p w14:paraId="02DCCCCA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6BA90858" w14:textId="77777777" w:rsidR="00CD72A6" w:rsidRDefault="00CD72A6" w:rsidP="00CD72A6">
      <w:pPr>
        <w:jc w:val="center"/>
        <w:rPr>
          <w:rFonts w:ascii="Arial" w:eastAsiaTheme="majorEastAsia" w:hAnsi="Arial" w:cs="Arial"/>
          <w:color w:val="000000" w:themeColor="text1"/>
          <w:kern w:val="24"/>
        </w:rPr>
      </w:pPr>
    </w:p>
    <w:p w14:paraId="4EB20331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 w:rsidRPr="00CD72A6">
        <w:rPr>
          <w:rFonts w:ascii="Arial" w:eastAsiaTheme="majorEastAsia" w:hAnsi="Arial" w:cs="Arial"/>
          <w:b/>
          <w:bCs/>
          <w:color w:val="000000" w:themeColor="text1"/>
          <w:kern w:val="24"/>
        </w:rPr>
        <w:t>References</w:t>
      </w:r>
    </w:p>
    <w:p w14:paraId="1E315CDF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D6E2561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  <w:r w:rsidRPr="00CD72A6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Bowdin, G.A.J, et al. (2024)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Events management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. Fourth edition. Abingdon, </w:t>
      </w:r>
      <w:proofErr w:type="gramStart"/>
      <w:r w:rsidRPr="00CD72A6">
        <w:rPr>
          <w:rFonts w:ascii="Arial" w:hAnsi="Arial" w:cs="Arial"/>
          <w:sz w:val="24"/>
          <w:szCs w:val="24"/>
          <w:shd w:val="clear" w:color="auto" w:fill="FFFFFF"/>
        </w:rPr>
        <w:t>Oxon ;</w:t>
      </w:r>
      <w:proofErr w:type="gramEnd"/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Routledge.</w:t>
      </w:r>
    </w:p>
    <w:p w14:paraId="559CB0B6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</w:p>
    <w:p w14:paraId="773411FA" w14:textId="1F171771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>Berry, V. (2018) 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'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Event Planning Foundations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'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CD72A6">
        <w:rPr>
          <w:rFonts w:ascii="Arial" w:hAnsi="Arial" w:cs="Arial"/>
          <w:sz w:val="24"/>
          <w:szCs w:val="24"/>
          <w:shd w:val="clear" w:color="auto" w:fill="FFFFFF"/>
        </w:rPr>
        <w:t>Carpenteria</w:t>
      </w:r>
      <w:proofErr w:type="spellEnd"/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, CA: linkedin.com Available at: </w:t>
      </w:r>
      <w:hyperlink r:id="rId27" w:history="1">
        <w:r w:rsidRPr="00CD72A6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https://librarysearch.uwtsd.ac.uk/permalink/44WHELF_UWTSD/11c0l68/alma99100409631102421</w:t>
        </w:r>
      </w:hyperlink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(accessed: 01.02.2024)</w:t>
      </w:r>
    </w:p>
    <w:p w14:paraId="23A29830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2FB5205C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</w:pPr>
      <w:r w:rsidRPr="00CD72A6">
        <w:rPr>
          <w:rFonts w:ascii="Arial" w:hAnsi="Arial" w:cs="Arial"/>
          <w:sz w:val="24"/>
          <w:szCs w:val="24"/>
        </w:rPr>
        <w:t>Buckley, J. (2021) '</w:t>
      </w:r>
      <w:r w:rsidRPr="00CD72A6"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  <w:t>What not to miss in Rome’s Villa Borghese gardens.’ National Geographic, 11</w:t>
      </w:r>
      <w:r w:rsidRPr="00CD72A6">
        <w:rPr>
          <w:rFonts w:ascii="Arial" w:eastAsia="Times New Roman" w:hAnsi="Arial" w:cs="Arial"/>
          <w:spacing w:val="5"/>
          <w:kern w:val="36"/>
          <w:sz w:val="24"/>
          <w:szCs w:val="24"/>
          <w:vertAlign w:val="superscript"/>
          <w:lang w:eastAsia="en-GB"/>
          <w14:ligatures w14:val="none"/>
        </w:rPr>
        <w:t>th</w:t>
      </w:r>
      <w:r w:rsidRPr="00CD72A6"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  <w:t xml:space="preserve"> Nov. Available at: https://</w:t>
      </w:r>
      <w:r w:rsidRPr="00CD72A6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Pr="00CD72A6">
          <w:rPr>
            <w:rStyle w:val="Hyperlink"/>
            <w:rFonts w:ascii="Arial" w:eastAsia="Times New Roman" w:hAnsi="Arial" w:cs="Arial"/>
            <w:color w:val="auto"/>
            <w:spacing w:val="5"/>
            <w:kern w:val="36"/>
            <w:sz w:val="24"/>
            <w:szCs w:val="24"/>
            <w:u w:val="none"/>
            <w:lang w:eastAsia="en-GB"/>
            <w14:ligatures w14:val="none"/>
          </w:rPr>
          <w:t>www.nationalgeographic.co.uk/travel/2021/11/what-not-to-miss-in-romes-villa-borghese-gardens</w:t>
        </w:r>
      </w:hyperlink>
      <w:r w:rsidRPr="00CD72A6"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  <w:t xml:space="preserve"> (accessed: 02.02.2024)</w:t>
      </w:r>
    </w:p>
    <w:p w14:paraId="52A748BB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</w:pPr>
    </w:p>
    <w:p w14:paraId="769E0991" w14:textId="77777777" w:rsidR="00CD72A6" w:rsidRPr="00CD72A6" w:rsidRDefault="00CD72A6" w:rsidP="00CD72A6">
      <w:pPr>
        <w:rPr>
          <w:rFonts w:ascii="Arial" w:hAnsi="Arial" w:cs="Arial"/>
          <w:shd w:val="clear" w:color="auto" w:fill="FFFFFF"/>
        </w:rPr>
      </w:pPr>
      <w:r w:rsidRPr="00CD72A6">
        <w:rPr>
          <w:rFonts w:ascii="Arial" w:hAnsi="Arial" w:cs="Arial"/>
          <w:shd w:val="clear" w:color="auto" w:fill="FFFFFF"/>
        </w:rPr>
        <w:t>Chen, Y.-C., Hung, M., &amp; Wang, Y. (2018) 'The effect of mandatory CSR disclosure on firm profitability and social externalities: Evidence from China'. </w:t>
      </w:r>
      <w:r w:rsidRPr="00CD72A6">
        <w:rPr>
          <w:rFonts w:ascii="Arial" w:hAnsi="Arial" w:cs="Arial"/>
          <w:i/>
          <w:iCs/>
          <w:shd w:val="clear" w:color="auto" w:fill="FFFFFF"/>
        </w:rPr>
        <w:t>Journal of Accounting &amp; Economics</w:t>
      </w:r>
      <w:r w:rsidRPr="00CD72A6">
        <w:rPr>
          <w:rFonts w:ascii="Arial" w:hAnsi="Arial" w:cs="Arial"/>
          <w:shd w:val="clear" w:color="auto" w:fill="FFFFFF"/>
        </w:rPr>
        <w:t>, </w:t>
      </w:r>
      <w:r w:rsidRPr="00CD72A6">
        <w:rPr>
          <w:rFonts w:ascii="Arial" w:hAnsi="Arial" w:cs="Arial"/>
          <w:i/>
          <w:iCs/>
          <w:shd w:val="clear" w:color="auto" w:fill="FFFFFF"/>
        </w:rPr>
        <w:t>65</w:t>
      </w:r>
      <w:r w:rsidRPr="00CD72A6">
        <w:rPr>
          <w:rFonts w:ascii="Arial" w:hAnsi="Arial" w:cs="Arial"/>
          <w:shd w:val="clear" w:color="auto" w:fill="FFFFFF"/>
        </w:rPr>
        <w:t xml:space="preserve">(1), 169–190. </w:t>
      </w:r>
      <w:hyperlink r:id="rId29" w:history="1">
        <w:r w:rsidRPr="00CD72A6">
          <w:rPr>
            <w:rFonts w:ascii="Arial" w:hAnsi="Arial" w:cs="Arial"/>
            <w:shd w:val="clear" w:color="auto" w:fill="FFFFFF"/>
          </w:rPr>
          <w:t>https://doi.org/10.1016/j.jacceco.2017.11.009</w:t>
        </w:r>
      </w:hyperlink>
      <w:r w:rsidRPr="00CD72A6">
        <w:rPr>
          <w:rFonts w:ascii="Arial" w:hAnsi="Arial" w:cs="Arial"/>
          <w:shd w:val="clear" w:color="auto" w:fill="FFFFFF"/>
        </w:rPr>
        <w:t>( accessed: 02.02.2024)</w:t>
      </w:r>
    </w:p>
    <w:p w14:paraId="27E20580" w14:textId="77777777" w:rsidR="00CD72A6" w:rsidRPr="00CD72A6" w:rsidRDefault="00CD72A6" w:rsidP="00CD72A6">
      <w:pPr>
        <w:pStyle w:val="textrootis73u"/>
        <w:spacing w:before="0" w:beforeAutospacing="0" w:after="0" w:afterAutospacing="0" w:line="390" w:lineRule="atLeast"/>
        <w:rPr>
          <w:rFonts w:ascii="Arial" w:eastAsiaTheme="minorHAnsi" w:hAnsi="Arial" w:cs="Arial"/>
          <w:kern w:val="2"/>
          <w:shd w:val="clear" w:color="auto" w:fill="FFFFFF"/>
          <w:lang w:eastAsia="en-US"/>
        </w:rPr>
      </w:pPr>
      <w:r w:rsidRPr="00CD72A6">
        <w:rPr>
          <w:rFonts w:ascii="Arial" w:eastAsiaTheme="minorHAnsi" w:hAnsi="Arial" w:cs="Arial"/>
          <w:kern w:val="2"/>
          <w:shd w:val="clear" w:color="auto" w:fill="FFFFFF"/>
          <w:lang w:eastAsia="en-US"/>
        </w:rPr>
        <w:t>Cooper, C. (2021) </w:t>
      </w:r>
      <w:r w:rsidRPr="00CD72A6">
        <w:rPr>
          <w:rFonts w:ascii="Arial" w:eastAsiaTheme="minorHAnsi" w:hAnsi="Arial" w:cs="Arial"/>
          <w:i/>
          <w:iCs/>
          <w:kern w:val="2"/>
          <w:shd w:val="clear" w:color="auto" w:fill="FFFFFF"/>
          <w:lang w:eastAsia="en-US"/>
        </w:rPr>
        <w:t>Essentials of tourism</w:t>
      </w:r>
      <w:r w:rsidRPr="00CD72A6">
        <w:rPr>
          <w:rFonts w:ascii="Arial" w:eastAsiaTheme="minorHAnsi" w:hAnsi="Arial" w:cs="Arial"/>
          <w:kern w:val="2"/>
          <w:shd w:val="clear" w:color="auto" w:fill="FFFFFF"/>
          <w:lang w:eastAsia="en-US"/>
        </w:rPr>
        <w:t>. Third edition. London: SAGE.</w:t>
      </w:r>
    </w:p>
    <w:p w14:paraId="24F9C2DD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</w:pPr>
    </w:p>
    <w:p w14:paraId="1CB55714" w14:textId="79E48C03" w:rsidR="00CD72A6" w:rsidRPr="00CD72A6" w:rsidRDefault="00CD72A6" w:rsidP="00CD72A6">
      <w:pPr>
        <w:pStyle w:val="NoSpacing"/>
        <w:rPr>
          <w:rFonts w:ascii="Arial" w:eastAsiaTheme="minorEastAsia" w:hAnsi="Arial" w:cs="Arial"/>
          <w:kern w:val="24"/>
          <w:sz w:val="24"/>
          <w:szCs w:val="24"/>
        </w:rPr>
      </w:pPr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CSM Global Security Service (2024) </w:t>
      </w:r>
      <w:r w:rsidRPr="00CD72A6">
        <w:rPr>
          <w:rFonts w:ascii="Arial" w:eastAsiaTheme="minorEastAsia" w:hAnsi="Arial" w:cs="Arial"/>
          <w:kern w:val="24"/>
          <w:sz w:val="24"/>
          <w:szCs w:val="24"/>
        </w:rPr>
        <w:t>'</w:t>
      </w:r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Instituto de </w:t>
      </w:r>
      <w:proofErr w:type="spellStart"/>
      <w:r w:rsidRPr="00CD72A6">
        <w:rPr>
          <w:rFonts w:ascii="Arial" w:eastAsiaTheme="minorEastAsia" w:hAnsi="Arial" w:cs="Arial"/>
          <w:kern w:val="24"/>
          <w:sz w:val="24"/>
          <w:szCs w:val="24"/>
        </w:rPr>
        <w:t>vigilentza</w:t>
      </w:r>
      <w:proofErr w:type="spellEnd"/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 private a Roma</w:t>
      </w:r>
      <w:r w:rsidRPr="00CD72A6">
        <w:rPr>
          <w:rFonts w:ascii="Arial" w:eastAsiaTheme="minorEastAsia" w:hAnsi="Arial" w:cs="Arial"/>
          <w:kern w:val="24"/>
          <w:sz w:val="24"/>
          <w:szCs w:val="24"/>
        </w:rPr>
        <w:t>'</w:t>
      </w:r>
      <w:r w:rsidRPr="00CD72A6">
        <w:rPr>
          <w:rFonts w:ascii="Arial" w:eastAsiaTheme="minorEastAsia" w:hAnsi="Arial" w:cs="Arial"/>
          <w:kern w:val="24"/>
          <w:sz w:val="24"/>
          <w:szCs w:val="24"/>
        </w:rPr>
        <w:t>. Available at: https://</w:t>
      </w:r>
      <w:hyperlink r:id="rId30" w:history="1">
        <w:r w:rsidRPr="00CD72A6">
          <w:rPr>
            <w:rStyle w:val="Hyperlink"/>
            <w:rFonts w:ascii="Arial" w:eastAsiaTheme="minorEastAsia" w:hAnsi="Arial" w:cs="Arial"/>
            <w:color w:val="auto"/>
            <w:kern w:val="24"/>
            <w:sz w:val="24"/>
            <w:szCs w:val="24"/>
            <w:u w:val="none"/>
          </w:rPr>
          <w:t>www.csmvigilanza.it</w:t>
        </w:r>
      </w:hyperlink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 </w:t>
      </w:r>
      <w:proofErr w:type="gramStart"/>
      <w:r w:rsidRPr="00CD72A6">
        <w:rPr>
          <w:rFonts w:ascii="Arial" w:eastAsiaTheme="minorEastAsia" w:hAnsi="Arial" w:cs="Arial"/>
          <w:kern w:val="24"/>
          <w:sz w:val="24"/>
          <w:szCs w:val="24"/>
        </w:rPr>
        <w:t>( accessed</w:t>
      </w:r>
      <w:proofErr w:type="gramEnd"/>
      <w:r w:rsidRPr="00CD72A6">
        <w:rPr>
          <w:rFonts w:ascii="Arial" w:eastAsiaTheme="minorEastAsia" w:hAnsi="Arial" w:cs="Arial"/>
          <w:kern w:val="24"/>
          <w:sz w:val="24"/>
          <w:szCs w:val="24"/>
        </w:rPr>
        <w:t>: 02.02.2014)</w:t>
      </w:r>
    </w:p>
    <w:p w14:paraId="73DA55FB" w14:textId="77777777" w:rsidR="00CD72A6" w:rsidRPr="00CD72A6" w:rsidRDefault="00CD72A6" w:rsidP="00CD72A6">
      <w:pPr>
        <w:pStyle w:val="NoSpacing"/>
        <w:rPr>
          <w:rFonts w:ascii="Arial" w:eastAsiaTheme="minorEastAsia" w:hAnsi="Arial" w:cs="Arial"/>
          <w:kern w:val="24"/>
          <w:sz w:val="24"/>
          <w:szCs w:val="24"/>
        </w:rPr>
      </w:pPr>
    </w:p>
    <w:p w14:paraId="1A217579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</w:pPr>
      <w:proofErr w:type="spellStart"/>
      <w:proofErr w:type="gramStart"/>
      <w:r w:rsidRPr="00CD72A6">
        <w:rPr>
          <w:rFonts w:ascii="Arial" w:eastAsiaTheme="minorEastAsia" w:hAnsi="Arial" w:cs="Arial"/>
          <w:kern w:val="24"/>
          <w:sz w:val="24"/>
          <w:szCs w:val="24"/>
        </w:rPr>
        <w:t>Dell’Orto,J</w:t>
      </w:r>
      <w:proofErr w:type="spellEnd"/>
      <w:r w:rsidRPr="00CD72A6">
        <w:rPr>
          <w:rFonts w:ascii="Arial" w:eastAsiaTheme="minorEastAsia" w:hAnsi="Arial" w:cs="Arial"/>
          <w:kern w:val="24"/>
          <w:sz w:val="24"/>
          <w:szCs w:val="24"/>
        </w:rPr>
        <w:t>.</w:t>
      </w:r>
      <w:proofErr w:type="gramEnd"/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 (2023) '</w:t>
      </w:r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 xml:space="preserve">Nearly 80% of Italians say they are Catholic. But few regularly go to church'. </w:t>
      </w:r>
      <w:proofErr w:type="spellStart"/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>APNews</w:t>
      </w:r>
      <w:proofErr w:type="spellEnd"/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 xml:space="preserve"> 5</w:t>
      </w:r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vertAlign w:val="superscript"/>
          <w:lang w:eastAsia="en-GB"/>
          <w14:ligatures w14:val="none"/>
        </w:rPr>
        <w:t>th</w:t>
      </w:r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 xml:space="preserve"> Oct. Available at: https://</w:t>
      </w:r>
      <w:r w:rsidRPr="00CD72A6">
        <w:rPr>
          <w:rFonts w:ascii="Arial" w:hAnsi="Arial" w:cs="Arial"/>
          <w:sz w:val="24"/>
          <w:szCs w:val="24"/>
        </w:rPr>
        <w:t xml:space="preserve"> </w:t>
      </w:r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>apnews.com/article/italy-religion-catholic-church-secular-032f2e49ba1a7149407ad25a62b481ab (accessed: 02.02.2024)</w:t>
      </w:r>
    </w:p>
    <w:p w14:paraId="10A45D08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</w:pPr>
    </w:p>
    <w:p w14:paraId="0C91A69E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</w:pPr>
      <w:r w:rsidRPr="00CD72A6">
        <w:rPr>
          <w:rFonts w:ascii="Arial" w:eastAsia="Times New Roman" w:hAnsi="Arial" w:cs="Arial"/>
          <w:spacing w:val="-8"/>
          <w:kern w:val="36"/>
          <w:sz w:val="24"/>
          <w:szCs w:val="24"/>
          <w:lang w:eastAsia="en-GB"/>
          <w14:ligatures w14:val="none"/>
        </w:rPr>
        <w:t>Dixon, S. J. (2024)</w:t>
      </w:r>
      <w:r w:rsidRPr="00CD72A6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 'Social media usage in Italy - Statistics &amp; Facts'. </w:t>
      </w:r>
      <w:proofErr w:type="spellStart"/>
      <w:r w:rsidRPr="00CD72A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  <w14:ligatures w14:val="none"/>
        </w:rPr>
        <w:t>Statistica</w:t>
      </w:r>
      <w:proofErr w:type="spellEnd"/>
      <w:r w:rsidRPr="00CD72A6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  <w14:ligatures w14:val="none"/>
        </w:rPr>
        <w:t xml:space="preserve"> </w:t>
      </w:r>
      <w:r w:rsidRPr="00CD72A6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>10</w:t>
      </w:r>
      <w:r w:rsidRPr="00CD72A6">
        <w:rPr>
          <w:rFonts w:ascii="Arial" w:eastAsia="Times New Roman" w:hAnsi="Arial" w:cs="Arial"/>
          <w:kern w:val="36"/>
          <w:sz w:val="24"/>
          <w:szCs w:val="24"/>
          <w:vertAlign w:val="superscript"/>
          <w:lang w:eastAsia="en-GB"/>
          <w14:ligatures w14:val="none"/>
        </w:rPr>
        <w:t>th</w:t>
      </w:r>
      <w:r w:rsidRPr="00CD72A6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 xml:space="preserve"> Jan. Available at: https://</w:t>
      </w:r>
      <w:r w:rsidRPr="00CD72A6">
        <w:rPr>
          <w:rFonts w:ascii="Arial" w:hAnsi="Arial" w:cs="Arial"/>
          <w:sz w:val="24"/>
          <w:szCs w:val="24"/>
        </w:rPr>
        <w:t xml:space="preserve"> </w:t>
      </w:r>
      <w:r w:rsidRPr="00CD72A6">
        <w:rPr>
          <w:rFonts w:ascii="Arial" w:eastAsia="Times New Roman" w:hAnsi="Arial" w:cs="Arial"/>
          <w:kern w:val="36"/>
          <w:sz w:val="24"/>
          <w:szCs w:val="24"/>
          <w:lang w:eastAsia="en-GB"/>
          <w14:ligatures w14:val="none"/>
        </w:rPr>
        <w:t>/www.statista.com/topics/6449/social-media-usage-in-italy/#:~:text=As%20of%20January%202023%2C%20Italy,by%20the%20end%20of%202028. (accessed: 02.02.2024)</w:t>
      </w:r>
    </w:p>
    <w:p w14:paraId="4AB1C367" w14:textId="77777777" w:rsidR="00CD72A6" w:rsidRPr="00CD72A6" w:rsidRDefault="00CD72A6" w:rsidP="00CD72A6">
      <w:pPr>
        <w:pStyle w:val="NoSpacing"/>
        <w:rPr>
          <w:rFonts w:ascii="Arial" w:eastAsiaTheme="minorEastAsia" w:hAnsi="Arial" w:cs="Arial"/>
          <w:kern w:val="24"/>
          <w:sz w:val="24"/>
          <w:szCs w:val="24"/>
        </w:rPr>
      </w:pPr>
    </w:p>
    <w:p w14:paraId="20A2359D" w14:textId="77777777" w:rsidR="00CD72A6" w:rsidRPr="00CD72A6" w:rsidRDefault="00CD72A6" w:rsidP="00CD72A6">
      <w:pPr>
        <w:pStyle w:val="NoSpacing"/>
        <w:rPr>
          <w:rFonts w:ascii="Arial" w:eastAsiaTheme="minorEastAsia" w:hAnsi="Arial" w:cs="Arial"/>
          <w:kern w:val="24"/>
          <w:sz w:val="24"/>
          <w:szCs w:val="24"/>
        </w:rPr>
      </w:pPr>
    </w:p>
    <w:p w14:paraId="09EF90CB" w14:textId="77777777" w:rsidR="00CD72A6" w:rsidRPr="00CD72A6" w:rsidRDefault="00CD72A6" w:rsidP="00CD72A6">
      <w:pPr>
        <w:pStyle w:val="NoSpacing"/>
        <w:rPr>
          <w:rFonts w:ascii="Arial" w:eastAsia="Times New Roman" w:hAnsi="Arial" w:cs="Arial"/>
          <w:spacing w:val="5"/>
          <w:kern w:val="36"/>
          <w:sz w:val="24"/>
          <w:szCs w:val="24"/>
          <w:lang w:eastAsia="en-GB"/>
          <w14:ligatures w14:val="none"/>
        </w:rPr>
      </w:pPr>
    </w:p>
    <w:p w14:paraId="46927D88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EcoCation.Org (2023) 'Famous environmental Activists – Top 10'. Available at: https:// ecocation.org/famous-environmental-activists/ (accessed: 01.02.2024)</w:t>
      </w:r>
    </w:p>
    <w:p w14:paraId="7CE6B6AD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39FAF6BF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Economist Impact (2024) '9</w:t>
      </w:r>
      <w:r w:rsidRPr="00CD72A6">
        <w:rPr>
          <w:rFonts w:ascii="Arial" w:hAnsi="Arial" w:cs="Arial"/>
          <w:sz w:val="24"/>
          <w:szCs w:val="24"/>
          <w:vertAlign w:val="superscript"/>
        </w:rPr>
        <w:t>th</w:t>
      </w:r>
      <w:r w:rsidRPr="00CD72A6">
        <w:rPr>
          <w:rFonts w:ascii="Arial" w:hAnsi="Arial" w:cs="Arial"/>
          <w:sz w:val="24"/>
          <w:szCs w:val="24"/>
        </w:rPr>
        <w:t xml:space="preserve"> Annual Sustainability week'. Available at: events.economist.com/sustainability-week/?RefID=Tag_PPC_Google&amp;utm_source=PPC&amp;utm_medium=TAG&amp;utm_campaign=SUS24&amp;utm_campaign=SUS24&amp;gad_source=1&amp;gclid=CjwKCAiA8YyuBhBSEiwA5R3-E5A8qY5h_ap3ObeGAz_d_5RlZzl1ccD2lCetG5Mu-v4LKI_vj2rhLBoCuAAQAvD_BwE (accesses: 02.02.2024)</w:t>
      </w:r>
    </w:p>
    <w:p w14:paraId="6BD8C671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7641BAB5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Hartland (2017) 'Hardland association'. Available at: https://spiritsheartlandofintent.com (accessed: 01.02.2023)</w:t>
      </w:r>
    </w:p>
    <w:p w14:paraId="52A4B40E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139C5222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6F079C0B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 xml:space="preserve">Colin, D. (2018) </w:t>
      </w:r>
      <w:r w:rsidRPr="00CD72A6">
        <w:rPr>
          <w:rFonts w:ascii="Arial" w:hAnsi="Arial" w:cs="Arial"/>
          <w:i/>
          <w:iCs/>
          <w:sz w:val="24"/>
          <w:szCs w:val="24"/>
        </w:rPr>
        <w:t>Managing and Cost Accounting</w:t>
      </w:r>
      <w:r w:rsidRPr="00CD72A6">
        <w:rPr>
          <w:rFonts w:ascii="Arial" w:hAnsi="Arial" w:cs="Arial"/>
          <w:sz w:val="24"/>
          <w:szCs w:val="24"/>
        </w:rPr>
        <w:t>. 10</w:t>
      </w:r>
      <w:r w:rsidRPr="00CD72A6">
        <w:rPr>
          <w:rFonts w:ascii="Arial" w:hAnsi="Arial" w:cs="Arial"/>
          <w:sz w:val="24"/>
          <w:szCs w:val="24"/>
          <w:vertAlign w:val="superscript"/>
        </w:rPr>
        <w:t>th</w:t>
      </w:r>
      <w:r w:rsidRPr="00CD72A6">
        <w:rPr>
          <w:rFonts w:ascii="Arial" w:hAnsi="Arial" w:cs="Arial"/>
          <w:sz w:val="24"/>
          <w:szCs w:val="24"/>
        </w:rPr>
        <w:t xml:space="preserve"> Ed. China: RR Donnelley</w:t>
      </w:r>
    </w:p>
    <w:p w14:paraId="11FA4CF5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4A670954" w14:textId="77777777" w:rsidR="00CD72A6" w:rsidRPr="00CD72A6" w:rsidRDefault="00CD72A6" w:rsidP="00CD72A6">
      <w:pPr>
        <w:pStyle w:val="NoSpacing"/>
        <w:rPr>
          <w:rFonts w:ascii="Arial" w:eastAsiaTheme="minorEastAsia" w:hAnsi="Arial" w:cs="Arial"/>
          <w:kern w:val="24"/>
          <w:sz w:val="24"/>
          <w:szCs w:val="24"/>
        </w:rPr>
      </w:pPr>
      <w:r w:rsidRPr="00CD72A6">
        <w:rPr>
          <w:rFonts w:ascii="Arial" w:eastAsiaTheme="minorEastAsia" w:hAnsi="Arial" w:cs="Arial"/>
          <w:kern w:val="24"/>
          <w:sz w:val="24"/>
          <w:szCs w:val="24"/>
        </w:rPr>
        <w:t>International Trade Administration (2024) 'Italy – Country Commercial guid'. Available at: https://</w:t>
      </w:r>
      <w:r w:rsidRPr="00CD72A6">
        <w:rPr>
          <w:rFonts w:ascii="Arial" w:hAnsi="Arial" w:cs="Arial"/>
          <w:sz w:val="24"/>
          <w:szCs w:val="24"/>
        </w:rPr>
        <w:t xml:space="preserve"> </w:t>
      </w:r>
      <w:hyperlink r:id="rId31" w:anchor=":~:text=The%20Italian%20economy%20is%20the,36%2C810%20per%20capita)%20in%202022" w:history="1">
        <w:r w:rsidRPr="00CD72A6">
          <w:rPr>
            <w:rStyle w:val="Hyperlink"/>
            <w:rFonts w:ascii="Arial" w:eastAsiaTheme="minorEastAsia" w:hAnsi="Arial" w:cs="Arial"/>
            <w:color w:val="auto"/>
            <w:kern w:val="24"/>
            <w:sz w:val="24"/>
            <w:szCs w:val="24"/>
            <w:u w:val="none"/>
          </w:rPr>
          <w:t>www.trade.gov/country-commercial-guides/italy-market-overview#:~:text=The%20Italian%20economy%20is%20the,36%2C810%20per%20capita)%20in%202022</w:t>
        </w:r>
      </w:hyperlink>
      <w:r w:rsidRPr="00CD72A6">
        <w:rPr>
          <w:rFonts w:ascii="Arial" w:eastAsiaTheme="minorEastAsia" w:hAnsi="Arial" w:cs="Arial"/>
          <w:kern w:val="24"/>
          <w:sz w:val="24"/>
          <w:szCs w:val="24"/>
        </w:rPr>
        <w:t xml:space="preserve">.( accessed:02.02.2024) </w:t>
      </w:r>
    </w:p>
    <w:p w14:paraId="6DDDA970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6BBA2A4A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Modi, R. (2023) 'The best eco-friendly hotels in the United Kingdom offer sustainable sanctuaries from every occasion'</w:t>
      </w:r>
      <w:r w:rsidRPr="00CD72A6">
        <w:rPr>
          <w:rFonts w:ascii="Arial" w:hAnsi="Arial" w:cs="Arial"/>
          <w:i/>
          <w:iCs/>
          <w:sz w:val="24"/>
          <w:szCs w:val="24"/>
        </w:rPr>
        <w:t>. The hotel Journal</w:t>
      </w:r>
      <w:r w:rsidRPr="00CD72A6">
        <w:rPr>
          <w:rFonts w:ascii="Arial" w:hAnsi="Arial" w:cs="Arial"/>
          <w:sz w:val="24"/>
          <w:szCs w:val="24"/>
        </w:rPr>
        <w:t>, 15</w:t>
      </w:r>
      <w:r w:rsidRPr="00CD72A6">
        <w:rPr>
          <w:rFonts w:ascii="Arial" w:hAnsi="Arial" w:cs="Arial"/>
          <w:sz w:val="24"/>
          <w:szCs w:val="24"/>
          <w:vertAlign w:val="superscript"/>
        </w:rPr>
        <w:t>th</w:t>
      </w:r>
      <w:r w:rsidRPr="00CD72A6">
        <w:rPr>
          <w:rFonts w:ascii="Arial" w:hAnsi="Arial" w:cs="Arial"/>
          <w:sz w:val="24"/>
          <w:szCs w:val="24"/>
        </w:rPr>
        <w:t xml:space="preserve"> Aprile.   Available at: https:// thehoteljournal.com/best-eco-friendly-hotels-united-kingdom-sustainable/ (accessed: 02.02.2024)</w:t>
      </w:r>
    </w:p>
    <w:p w14:paraId="5FF55BC8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62CEEE15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CD72A6">
        <w:rPr>
          <w:rFonts w:ascii="Arial" w:hAnsi="Arial" w:cs="Arial"/>
          <w:sz w:val="24"/>
          <w:szCs w:val="24"/>
        </w:rPr>
        <w:t>Novelromealone</w:t>
      </w:r>
      <w:proofErr w:type="spellEnd"/>
      <w:r w:rsidRPr="00CD72A6">
        <w:rPr>
          <w:rFonts w:ascii="Arial" w:hAnsi="Arial" w:cs="Arial"/>
          <w:sz w:val="24"/>
          <w:szCs w:val="24"/>
        </w:rPr>
        <w:t xml:space="preserve"> (2020) 'Visit Rome Piazza del Popolo', 11</w:t>
      </w:r>
      <w:r w:rsidRPr="00CD72A6">
        <w:rPr>
          <w:rFonts w:ascii="Arial" w:hAnsi="Arial" w:cs="Arial"/>
          <w:sz w:val="24"/>
          <w:szCs w:val="24"/>
          <w:vertAlign w:val="superscript"/>
        </w:rPr>
        <w:t>th</w:t>
      </w:r>
      <w:r w:rsidRPr="00CD72A6">
        <w:rPr>
          <w:rFonts w:ascii="Arial" w:hAnsi="Arial" w:cs="Arial"/>
          <w:sz w:val="24"/>
          <w:szCs w:val="24"/>
        </w:rPr>
        <w:t xml:space="preserve"> March.  Available at: </w:t>
      </w:r>
    </w:p>
    <w:p w14:paraId="37908115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https:// novelromealone.com/2020/03/11/visit-rome-piazza-del-popolo-2</w:t>
      </w:r>
      <w:proofErr w:type="gramStart"/>
      <w:r w:rsidRPr="00CD72A6">
        <w:rPr>
          <w:rFonts w:ascii="Arial" w:hAnsi="Arial" w:cs="Arial"/>
          <w:sz w:val="24"/>
          <w:szCs w:val="24"/>
        </w:rPr>
        <w:t>/(</w:t>
      </w:r>
      <w:proofErr w:type="gramEnd"/>
      <w:r w:rsidRPr="00CD72A6">
        <w:rPr>
          <w:rFonts w:ascii="Arial" w:hAnsi="Arial" w:cs="Arial"/>
          <w:sz w:val="24"/>
          <w:szCs w:val="24"/>
        </w:rPr>
        <w:t>accessed: 01.02.2024)</w:t>
      </w:r>
    </w:p>
    <w:p w14:paraId="3DB4DA38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5E247D25" w14:textId="51762672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>O’Toole, W. (2011) 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'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Events feasibility and development: from strategy to operations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. Amsterdam: Butterworth-Heinemann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'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32" w:history="1">
        <w:r w:rsidRPr="00CD72A6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https://librarysearch.uwtsd.ac.uk/permalink/44WHELF_UWTSD/11c0l68/alma9929080802421</w:t>
        </w:r>
      </w:hyperlink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(accessed: 02.02.2024)</w:t>
      </w:r>
    </w:p>
    <w:p w14:paraId="38E1D660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</w:p>
    <w:p w14:paraId="4AE9E3DC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>Quick, L. (2020) 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Managing events: real challenges, real outcomes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. London: Sage</w:t>
      </w:r>
    </w:p>
    <w:p w14:paraId="09D7579A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254858E8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>Schwartz, E.C. (2017) 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Managing sport facilities and major events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. Second edition. Edited by E.C. Schwarz. </w:t>
      </w:r>
      <w:proofErr w:type="gramStart"/>
      <w:r w:rsidRPr="00CD72A6">
        <w:rPr>
          <w:rFonts w:ascii="Arial" w:hAnsi="Arial" w:cs="Arial"/>
          <w:sz w:val="24"/>
          <w:szCs w:val="24"/>
          <w:shd w:val="clear" w:color="auto" w:fill="FFFFFF"/>
        </w:rPr>
        <w:t>London ;</w:t>
      </w:r>
      <w:proofErr w:type="gramEnd"/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Routledge</w:t>
      </w:r>
    </w:p>
    <w:p w14:paraId="63878B54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61F9078E" w14:textId="48D62F40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Setiawan, R., Wibisono, D. and </w:t>
      </w:r>
      <w:proofErr w:type="spellStart"/>
      <w:r w:rsidRPr="00CD72A6">
        <w:rPr>
          <w:rFonts w:ascii="Arial" w:hAnsi="Arial" w:cs="Arial"/>
          <w:sz w:val="24"/>
          <w:szCs w:val="24"/>
          <w:shd w:val="clear" w:color="auto" w:fill="FFFFFF"/>
        </w:rPr>
        <w:t>Purwanegara</w:t>
      </w:r>
      <w:proofErr w:type="spellEnd"/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, M.S. (2022) 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'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Defining event marketing as engagement-driven marketing communication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',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Gadjah </w:t>
      </w:r>
      <w:proofErr w:type="spellStart"/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Mada</w:t>
      </w:r>
      <w:proofErr w:type="spellEnd"/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international journal of business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, 24(2). Available at: </w:t>
      </w:r>
      <w:hyperlink r:id="rId33" w:history="1">
        <w:r w:rsidRPr="00CD72A6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https://doi.org/10.22146/gamaijb.63788</w:t>
        </w:r>
      </w:hyperlink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(accessed: 03.02.2023)</w:t>
      </w:r>
    </w:p>
    <w:p w14:paraId="29A3BDF6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</w:p>
    <w:p w14:paraId="09BB4503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proofErr w:type="spellStart"/>
      <w:r w:rsidRPr="00CD72A6">
        <w:rPr>
          <w:rFonts w:ascii="Arial" w:hAnsi="Arial" w:cs="Arial"/>
          <w:sz w:val="24"/>
          <w:szCs w:val="24"/>
        </w:rPr>
        <w:t>Zarantonello</w:t>
      </w:r>
      <w:proofErr w:type="spellEnd"/>
      <w:r w:rsidRPr="00CD72A6">
        <w:rPr>
          <w:rFonts w:ascii="Arial" w:hAnsi="Arial" w:cs="Arial"/>
          <w:sz w:val="24"/>
          <w:szCs w:val="24"/>
        </w:rPr>
        <w:t xml:space="preserve">, L. and Schmitt, B.H. (2013) “The impact of event marketing on brand equity: The mediating roles of brand experience and brand attitude,” International journal of advertising, 32(2), pp. 255–280. Available at: </w:t>
      </w:r>
      <w:hyperlink r:id="rId34" w:history="1">
        <w:r w:rsidRPr="00CD72A6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https://doi.org/10.2501/IJA-32-2-255-280</w:t>
        </w:r>
      </w:hyperlink>
      <w:r w:rsidRPr="00CD72A6">
        <w:rPr>
          <w:rFonts w:ascii="Arial" w:hAnsi="Arial" w:cs="Arial"/>
          <w:sz w:val="24"/>
          <w:szCs w:val="24"/>
        </w:rPr>
        <w:t>. (accessed: 02.02.2024)</w:t>
      </w:r>
    </w:p>
    <w:p w14:paraId="705331DE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</w:p>
    <w:p w14:paraId="42AD112D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  <w:r w:rsidRPr="00CD72A6">
        <w:rPr>
          <w:rFonts w:ascii="Arial" w:hAnsi="Arial" w:cs="Arial"/>
          <w:sz w:val="24"/>
          <w:szCs w:val="24"/>
          <w:shd w:val="clear" w:color="auto" w:fill="FFFFFF"/>
        </w:rPr>
        <w:t>Wise, L. (2018) </w:t>
      </w:r>
      <w:r w:rsidRPr="00CD72A6">
        <w:rPr>
          <w:rFonts w:ascii="Arial" w:hAnsi="Arial" w:cs="Arial"/>
          <w:i/>
          <w:iCs/>
          <w:sz w:val="24"/>
          <w:szCs w:val="24"/>
          <w:shd w:val="clear" w:color="auto" w:fill="FFFFFF"/>
        </w:rPr>
        <w:t>Marketing Your Event.</w:t>
      </w:r>
      <w:r w:rsidRPr="00CD72A6">
        <w:rPr>
          <w:rFonts w:ascii="Arial" w:hAnsi="Arial" w:cs="Arial"/>
          <w:sz w:val="24"/>
          <w:szCs w:val="24"/>
          <w:shd w:val="clear" w:color="auto" w:fill="FFFFFF"/>
        </w:rPr>
        <w:t> </w:t>
      </w:r>
      <w:proofErr w:type="spellStart"/>
      <w:r w:rsidRPr="00CD72A6">
        <w:rPr>
          <w:rFonts w:ascii="Arial" w:hAnsi="Arial" w:cs="Arial"/>
          <w:sz w:val="24"/>
          <w:szCs w:val="24"/>
          <w:shd w:val="clear" w:color="auto" w:fill="FFFFFF"/>
        </w:rPr>
        <w:t>Carpenteria</w:t>
      </w:r>
      <w:proofErr w:type="spellEnd"/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, CA: linkedin.com. Available at: </w:t>
      </w:r>
      <w:hyperlink r:id="rId35" w:history="1">
        <w:r w:rsidRPr="00CD72A6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https://librarysearch.uwtsd.ac.uk/permalink/44WHELF_UWTSD/11c0l68/alma99100409569002421</w:t>
        </w:r>
      </w:hyperlink>
      <w:r w:rsidRPr="00CD72A6">
        <w:rPr>
          <w:rFonts w:ascii="Arial" w:hAnsi="Arial" w:cs="Arial"/>
          <w:sz w:val="24"/>
          <w:szCs w:val="24"/>
          <w:shd w:val="clear" w:color="auto" w:fill="FFFFFF"/>
        </w:rPr>
        <w:t xml:space="preserve"> (accessed: 02.02.2024) </w:t>
      </w:r>
    </w:p>
    <w:p w14:paraId="0478CB2F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</w:p>
    <w:p w14:paraId="291789C4" w14:textId="77777777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  <w:shd w:val="clear" w:color="auto" w:fill="FFFFFF"/>
        </w:rPr>
      </w:pPr>
    </w:p>
    <w:p w14:paraId="070CE6D1" w14:textId="2C5F6B40" w:rsidR="00CD72A6" w:rsidRPr="00CD72A6" w:rsidRDefault="00CD72A6" w:rsidP="00CD72A6">
      <w:pPr>
        <w:pStyle w:val="NoSpacing"/>
        <w:rPr>
          <w:rFonts w:ascii="Arial" w:hAnsi="Arial" w:cs="Arial"/>
          <w:sz w:val="24"/>
          <w:szCs w:val="24"/>
        </w:rPr>
      </w:pPr>
      <w:r w:rsidRPr="00CD72A6">
        <w:rPr>
          <w:rFonts w:ascii="Arial" w:hAnsi="Arial" w:cs="Arial"/>
          <w:sz w:val="24"/>
          <w:szCs w:val="24"/>
        </w:rPr>
        <w:t>World Travel and Tourism Council (2024) Available at: https:// wttc.org (accessed: 01.02.2024)</w:t>
      </w:r>
    </w:p>
    <w:p w14:paraId="66C4AA54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kern w:val="24"/>
        </w:rPr>
      </w:pPr>
    </w:p>
    <w:p w14:paraId="21C7581F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kern w:val="24"/>
          <w:lang w:val="en-US"/>
        </w:rPr>
      </w:pPr>
    </w:p>
    <w:p w14:paraId="778C5D8C" w14:textId="77777777" w:rsidR="00CD72A6" w:rsidRPr="00CD72A6" w:rsidRDefault="00CD72A6" w:rsidP="00CD72A6">
      <w:pPr>
        <w:jc w:val="center"/>
        <w:rPr>
          <w:rFonts w:ascii="Arial" w:eastAsiaTheme="majorEastAsia" w:hAnsi="Arial" w:cs="Arial"/>
          <w:i/>
          <w:iCs/>
          <w:kern w:val="24"/>
          <w:lang w:val="en-US"/>
        </w:rPr>
      </w:pPr>
    </w:p>
    <w:p w14:paraId="5EEDBE37" w14:textId="77777777" w:rsidR="00CD72A6" w:rsidRDefault="00CD72A6" w:rsidP="00CD72A6">
      <w:pPr>
        <w:jc w:val="center"/>
        <w:rPr>
          <w:rFonts w:asciiTheme="majorHAnsi" w:eastAsiaTheme="majorEastAsia" w:hAnsi="Aptos Display" w:cstheme="majorBidi"/>
          <w:i/>
          <w:iCs/>
          <w:color w:val="000000" w:themeColor="text1"/>
          <w:kern w:val="24"/>
          <w:sz w:val="36"/>
          <w:szCs w:val="36"/>
          <w:lang w:val="en-US"/>
        </w:rPr>
      </w:pPr>
    </w:p>
    <w:p w14:paraId="61A735A5" w14:textId="77777777" w:rsidR="00CD72A6" w:rsidRDefault="00CD72A6" w:rsidP="00CD72A6">
      <w:pPr>
        <w:jc w:val="center"/>
      </w:pPr>
    </w:p>
    <w:sectPr w:rsidR="00CD7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A6"/>
    <w:rsid w:val="00CD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0E856"/>
  <w15:chartTrackingRefBased/>
  <w15:docId w15:val="{003E7369-1F7A-4BAA-A0D9-4FD14A89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2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2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2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2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2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2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2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2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2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2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2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D72A6"/>
    <w:rPr>
      <w:color w:val="0000FF"/>
      <w:u w:val="single"/>
    </w:rPr>
  </w:style>
  <w:style w:type="paragraph" w:styleId="NoSpacing">
    <w:name w:val="No Spacing"/>
    <w:uiPriority w:val="1"/>
    <w:qFormat/>
    <w:rsid w:val="00CD72A6"/>
    <w:pPr>
      <w:spacing w:after="0" w:line="240" w:lineRule="auto"/>
    </w:pPr>
    <w:rPr>
      <w:sz w:val="22"/>
      <w:szCs w:val="22"/>
    </w:rPr>
  </w:style>
  <w:style w:type="paragraph" w:customStyle="1" w:styleId="textrootis73u">
    <w:name w:val="text_root__is73u"/>
    <w:basedOn w:val="Normal"/>
    <w:rsid w:val="00CD7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uowtsd-my.sharepoint.com/:v:/g/personal/2116226_student_uwtsd_ac_uk/EU5kvxcV_OtNreOmh54Rp7kBE6GZNRxwHVbgwV_88UL_Dw?referrer=Teams.TEAMS-WEB&amp;referrerScenario=MeetingChicletGetLink.view.view" TargetMode="External"/><Relationship Id="rId21" Type="http://schemas.openxmlformats.org/officeDocument/2006/relationships/image" Target="media/image18.svg"/><Relationship Id="rId34" Type="http://schemas.openxmlformats.org/officeDocument/2006/relationships/hyperlink" Target="https://doi.org/10.2501/IJA-32-2-255-280" TargetMode="Externa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hyperlink" Target="https://doi.org/10.22146/gamaijb.63788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doi.org/10.1016/j.jacceco.2017.11.009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hyperlink" Target="https://librarysearch.uwtsd.ac.uk/permalink/44WHELF_UWTSD/11c0l68/alma9929080802421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://www.nationalgeographic.co.uk/travel/2021/11/what-not-to-miss-in-romes-villa-borghese-gardens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://www.trade.gov/country-commercial-guides/italy-market-overview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librarysearch.uwtsd.ac.uk/permalink/44WHELF_UWTSD/11c0l68/alma99100409631102421" TargetMode="External"/><Relationship Id="rId30" Type="http://schemas.openxmlformats.org/officeDocument/2006/relationships/hyperlink" Target="http://www.csmvigilanza.it" TargetMode="External"/><Relationship Id="rId35" Type="http://schemas.openxmlformats.org/officeDocument/2006/relationships/hyperlink" Target="https://librarysearch.uwtsd.ac.uk/permalink/44WHELF_UWTSD/11c0l68/alma99100409569002421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862</Words>
  <Characters>4918</Characters>
  <Application>Microsoft Office Word</Application>
  <DocSecurity>0</DocSecurity>
  <Lines>40</Lines>
  <Paragraphs>11</Paragraphs>
  <ScaleCrop>false</ScaleCrop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1</cp:revision>
  <dcterms:created xsi:type="dcterms:W3CDTF">2024-02-09T23:43:00Z</dcterms:created>
  <dcterms:modified xsi:type="dcterms:W3CDTF">2024-02-09T23:52:00Z</dcterms:modified>
</cp:coreProperties>
</file>