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057E5E">
        <w:t>Jordan Walker</w:t>
      </w:r>
    </w:p>
    <w:p w:rsidR="007E4409" w:rsidRDefault="00451AB2">
      <w:r w:rsidRPr="00451AB2">
        <w:rPr>
          <w:b/>
        </w:rPr>
        <w:t>Force Number</w:t>
      </w:r>
      <w:proofErr w:type="gramStart"/>
      <w:r w:rsidRPr="00451AB2">
        <w:rPr>
          <w:b/>
        </w:rPr>
        <w:t>:</w:t>
      </w:r>
      <w:r>
        <w:rPr>
          <w:b/>
        </w:rPr>
        <w:t>-</w:t>
      </w:r>
      <w:proofErr w:type="gramEnd"/>
      <w:r>
        <w:tab/>
      </w:r>
      <w:r>
        <w:tab/>
      </w:r>
      <w:r w:rsidR="00057E5E">
        <w:t>PC6944</w:t>
      </w:r>
      <w:r w:rsidR="00575AC9">
        <w:t xml:space="preserve"> </w:t>
      </w:r>
      <w:r w:rsidR="007E4409">
        <w:t xml:space="preserve"> South Wales Police</w:t>
      </w:r>
    </w:p>
    <w:p w:rsidR="00D37AC7"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057E5E">
        <w:t>2029329</w:t>
      </w:r>
    </w:p>
    <w:p w:rsidR="007E4409" w:rsidRPr="00451AB2" w:rsidRDefault="00057E5E">
      <w:pPr>
        <w:rPr>
          <w:b/>
        </w:rPr>
      </w:pPr>
      <w:r>
        <w:rPr>
          <w:b/>
        </w:rPr>
        <w:t xml:space="preserve">Exam </w:t>
      </w:r>
      <w:proofErr w:type="gramStart"/>
      <w:r>
        <w:rPr>
          <w:b/>
        </w:rPr>
        <w:t>2</w:t>
      </w:r>
      <w:r w:rsidR="007E4409" w:rsidRPr="00451AB2">
        <w:rPr>
          <w:b/>
        </w:rPr>
        <w:t xml:space="preserve"> </w:t>
      </w:r>
      <w:r w:rsidR="00451AB2">
        <w:rPr>
          <w:b/>
        </w:rPr>
        <w:t>:</w:t>
      </w:r>
      <w:proofErr w:type="gramEnd"/>
      <w:r w:rsidR="00451AB2">
        <w:rPr>
          <w:b/>
        </w:rPr>
        <w:t>-</w:t>
      </w:r>
      <w:r w:rsidR="007E4409" w:rsidRPr="00451AB2">
        <w:rPr>
          <w:b/>
        </w:rPr>
        <w:t xml:space="preserve"> </w:t>
      </w:r>
      <w:r w:rsidR="00451AB2">
        <w:rPr>
          <w:b/>
        </w:rPr>
        <w:tab/>
      </w:r>
      <w:r w:rsidR="00451AB2">
        <w:rPr>
          <w:b/>
        </w:rPr>
        <w:tab/>
      </w:r>
      <w:r>
        <w:t>23/08/2021</w:t>
      </w:r>
    </w:p>
    <w:p w:rsidR="00682F3B" w:rsidRDefault="00682F3B"/>
    <w:p w:rsidR="00682F3B" w:rsidRDefault="00682F3B">
      <w:r w:rsidRPr="00451AB2">
        <w:rPr>
          <w:b/>
        </w:rPr>
        <w:t>Question 1</w:t>
      </w:r>
      <w:r w:rsidR="00451AB2">
        <w:rPr>
          <w:b/>
        </w:rPr>
        <w:br/>
      </w:r>
      <w:proofErr w:type="gramStart"/>
      <w:r w:rsidR="00057E5E">
        <w:t>Under</w:t>
      </w:r>
      <w:proofErr w:type="gramEnd"/>
      <w:r w:rsidR="00057E5E">
        <w:t xml:space="preserve"> section 163 of the road traffic act 1988 a person who is driving a mechanically propelled vehicle on a road has to stop if required to do so by a police constable in uniform or a traffic officer. Also under section 163 a person who is riding a cycle on a road must stop if required to do so by a police constable in uniform or a traffic officer. Failing to stop you will be guilty of this offence.</w:t>
      </w:r>
    </w:p>
    <w:p w:rsidR="00682F3B" w:rsidRDefault="00682F3B"/>
    <w:p w:rsidR="00682F3B" w:rsidRPr="00451AB2" w:rsidRDefault="00682F3B">
      <w:pPr>
        <w:rPr>
          <w:b/>
        </w:rPr>
      </w:pPr>
      <w:r w:rsidRPr="00451AB2">
        <w:rPr>
          <w:b/>
        </w:rPr>
        <w:t>Question 2</w:t>
      </w:r>
    </w:p>
    <w:p w:rsidR="00682F3B" w:rsidRDefault="00057E5E">
      <w:r>
        <w:t>Section 6(4) of the road traffic act 1988 a police constable has the power to require a preliminary test off a person that has been driving and committed a moving traffic offence.</w:t>
      </w:r>
    </w:p>
    <w:p w:rsidR="00682F3B" w:rsidRDefault="00682F3B"/>
    <w:p w:rsidR="00682F3B" w:rsidRPr="00451AB2" w:rsidRDefault="00682F3B" w:rsidP="00682F3B">
      <w:pPr>
        <w:rPr>
          <w:b/>
        </w:rPr>
      </w:pPr>
      <w:r w:rsidRPr="00451AB2">
        <w:rPr>
          <w:b/>
        </w:rPr>
        <w:t>Question 3</w:t>
      </w:r>
    </w:p>
    <w:p w:rsidR="00682F3B" w:rsidRDefault="00057E5E">
      <w:r>
        <w:t>Under section 3 of the road traffic act 1988 a person who is driving a mechanically propelled vehicle on a road or other public place without due care or authority or without reasonable consideration for other people using the road or place is guilty of this offence.</w:t>
      </w:r>
    </w:p>
    <w:p w:rsidR="00682F3B" w:rsidRDefault="00682F3B"/>
    <w:p w:rsidR="00682F3B" w:rsidRPr="00451AB2" w:rsidRDefault="00682F3B" w:rsidP="00682F3B">
      <w:pPr>
        <w:rPr>
          <w:b/>
        </w:rPr>
      </w:pPr>
      <w:r w:rsidRPr="00451AB2">
        <w:rPr>
          <w:b/>
        </w:rPr>
        <w:t>Question 4</w:t>
      </w:r>
    </w:p>
    <w:p w:rsidR="00682F3B" w:rsidRDefault="00D37AC7">
      <w:r>
        <w:t xml:space="preserve">The possible defences for section 3 of the road traffic act 1988 is that the person has a medical episode while driving for example faints or has a heart attack or they have taken medication which they reasonably believe won’t affect their driving, </w:t>
      </w:r>
    </w:p>
    <w:p w:rsidR="00682F3B" w:rsidRDefault="00682F3B"/>
    <w:p w:rsidR="00682F3B" w:rsidRPr="00451AB2" w:rsidRDefault="00682F3B" w:rsidP="00682F3B">
      <w:pPr>
        <w:rPr>
          <w:b/>
        </w:rPr>
      </w:pPr>
      <w:r w:rsidRPr="00451AB2">
        <w:rPr>
          <w:b/>
        </w:rPr>
        <w:t>Question 5</w:t>
      </w:r>
    </w:p>
    <w:p w:rsidR="00682F3B" w:rsidRDefault="00422035">
      <w:r>
        <w:t>Under section 165A of the road traffic act, a constable may seize a motor vehicle/cycle if they reasonably believe that the vehicle has no insurance, test certificates or the person does not have a licence for that class of vehicle. It can also be seized if the perpetrator has already had an anti-social warning on it which contravenes with section 3 or 34 of the road traffic act 1988.</w:t>
      </w:r>
    </w:p>
    <w:p w:rsidR="00682F3B" w:rsidRDefault="00682F3B"/>
    <w:p w:rsidR="00682F3B" w:rsidRDefault="00682F3B" w:rsidP="00682F3B">
      <w:pPr>
        <w:rPr>
          <w:b/>
        </w:rPr>
      </w:pPr>
      <w:r w:rsidRPr="00451AB2">
        <w:rPr>
          <w:b/>
        </w:rPr>
        <w:t>Question 6</w:t>
      </w:r>
    </w:p>
    <w:p w:rsidR="00057E5E" w:rsidRDefault="00057E5E" w:rsidP="00682F3B">
      <w:r>
        <w:t>Under section 170 (1) of the road traffic act 1988, owing to the presence of a mechanically propelled vehicle on a road or other public an accident occurs whereby; personal injury occurs to a person, damages o</w:t>
      </w:r>
      <w:r w:rsidR="00A201FA">
        <w:t>ccurs to either a vehicle, animal</w:t>
      </w:r>
      <w:r>
        <w:t xml:space="preserve"> or </w:t>
      </w:r>
      <w:r w:rsidR="00A201FA">
        <w:t>property which is fixed to the land or growing on the land.</w:t>
      </w:r>
    </w:p>
    <w:p w:rsidR="00D37AC7" w:rsidRPr="00451AB2" w:rsidRDefault="00D37AC7" w:rsidP="00D37AC7">
      <w:r>
        <w:lastRenderedPageBreak/>
        <w:t xml:space="preserve">Under section 170 of the road traffic act subsection 2, </w:t>
      </w:r>
      <w:proofErr w:type="gramStart"/>
      <w:r>
        <w:t>A</w:t>
      </w:r>
      <w:proofErr w:type="gramEnd"/>
      <w:r>
        <w:t xml:space="preserve"> person must stop and remain at the scene for a reasonable amount of time to provide details to any person who they reasonably believe requires them. Under subsection 3, </w:t>
      </w:r>
      <w:proofErr w:type="gramStart"/>
      <w:r>
        <w:t>A</w:t>
      </w:r>
      <w:proofErr w:type="gramEnd"/>
      <w:r>
        <w:t xml:space="preserve"> person must give their details to any person who they reasonably believe requires them.</w:t>
      </w:r>
    </w:p>
    <w:p w:rsidR="00D37AC7" w:rsidRPr="00057E5E" w:rsidRDefault="00D37AC7" w:rsidP="00682F3B"/>
    <w:p w:rsidR="00682F3B" w:rsidRDefault="00682F3B"/>
    <w:p w:rsidR="00682F3B" w:rsidRPr="00451AB2" w:rsidRDefault="00682F3B">
      <w:r w:rsidRPr="00451AB2">
        <w:rPr>
          <w:b/>
        </w:rPr>
        <w:t>Question 7</w:t>
      </w:r>
      <w:r w:rsidR="00451AB2">
        <w:rPr>
          <w:b/>
        </w:rPr>
        <w:br/>
      </w:r>
      <w:r w:rsidR="00D37AC7">
        <w:t>A public place is defined to any place in which the public has access too. A mechanically propelled vehicle is defined as a vehicle which is run by steam or electric or petrol or diesel or oil or gas. A road is a highway or carriage.</w:t>
      </w:r>
    </w:p>
    <w:p w:rsidR="00682F3B" w:rsidRDefault="00682F3B"/>
    <w:p w:rsidR="00682F3B" w:rsidRPr="00451AB2" w:rsidRDefault="00682F3B" w:rsidP="00682F3B">
      <w:r w:rsidRPr="00451AB2">
        <w:rPr>
          <w:b/>
        </w:rPr>
        <w:t>Question 8</w:t>
      </w:r>
      <w:r w:rsidR="00451AB2">
        <w:rPr>
          <w:b/>
        </w:rPr>
        <w:br/>
      </w:r>
      <w:proofErr w:type="gramStart"/>
      <w:r w:rsidR="00D37AC7">
        <w:t>Under</w:t>
      </w:r>
      <w:proofErr w:type="gramEnd"/>
      <w:r w:rsidR="00D37AC7">
        <w:t xml:space="preserve"> section 170 of the road traffic act subsection 2, A person must stop and remain at the scene for a reasonable amount of time to provide details to any person who they reasonably believe requires them. Under subsection 3, a person must give their details to any person who they reasonably believe requires them. Under section 170(4) of the road traffic act 1988 a person who fails to comply with subsection’s 2 and 3 are guilty of this offence.</w:t>
      </w:r>
    </w:p>
    <w:p w:rsidR="00682F3B" w:rsidRDefault="00682F3B"/>
    <w:p w:rsidR="00682F3B" w:rsidRDefault="00682F3B" w:rsidP="00682F3B">
      <w:r w:rsidRPr="00451AB2">
        <w:rPr>
          <w:b/>
        </w:rPr>
        <w:t>Question 9</w:t>
      </w:r>
      <w:r w:rsidR="00451AB2">
        <w:rPr>
          <w:b/>
        </w:rPr>
        <w:br/>
      </w:r>
      <w:r w:rsidR="00D37AC7">
        <w:t>Under section 6E of the road traffic act 1988, a constable may enter the premises of a person and use reasonable force (if necessary) if that person has been involved in a RTC and has failed to stop, if the constable reasonably suspect that a person has been driving whilst unfit through drink and drugs as a result of a positive preliminary test or a person has failed to provide a preliminary test when asked and required to so by a police constable.</w:t>
      </w:r>
    </w:p>
    <w:p w:rsidR="00D37AC7" w:rsidRPr="00451AB2" w:rsidRDefault="00D37AC7" w:rsidP="00682F3B">
      <w:r>
        <w:t>A constable can also use section 17 of PACE, A constable can enter a premises if: a person is unlawfully at large, safe life limb or property, execute a warrant, arrest for indictable offence, specified offence (in this case) and to search for an escaped prisoner.</w:t>
      </w:r>
    </w:p>
    <w:p w:rsidR="00682F3B" w:rsidRDefault="00682F3B"/>
    <w:p w:rsidR="00682F3B" w:rsidRDefault="00682F3B"/>
    <w:p w:rsidR="00682F3B" w:rsidRDefault="00682F3B" w:rsidP="00682F3B">
      <w:r w:rsidRPr="00451AB2">
        <w:rPr>
          <w:b/>
        </w:rPr>
        <w:t>Question 10</w:t>
      </w:r>
      <w:r w:rsidR="00A201FA">
        <w:br/>
      </w:r>
      <w:proofErr w:type="gramStart"/>
      <w:r w:rsidR="00A201FA">
        <w:t>Under</w:t>
      </w:r>
      <w:proofErr w:type="gramEnd"/>
      <w:r w:rsidR="00A201FA">
        <w:t xml:space="preserve"> section 1 of the Road traffic act 1988, A person who causes the death of another person by driving a mechanically propelled vehicle dangerously on a road of other public place is guilty of this offence.</w:t>
      </w:r>
    </w:p>
    <w:p w:rsidR="00682F3B" w:rsidRDefault="00682F3B"/>
    <w:p w:rsidR="00682F3B" w:rsidRDefault="00682F3B">
      <w:r w:rsidRPr="00451AB2">
        <w:rPr>
          <w:b/>
        </w:rPr>
        <w:t>Question 11</w:t>
      </w:r>
      <w:r w:rsidR="00451AB2">
        <w:rPr>
          <w:b/>
        </w:rPr>
        <w:br/>
      </w:r>
      <w:proofErr w:type="gramStart"/>
      <w:r w:rsidR="00A201FA">
        <w:t>The</w:t>
      </w:r>
      <w:proofErr w:type="gramEnd"/>
      <w:r w:rsidR="00A201FA">
        <w:t xml:space="preserve"> prescribed limits of alcohol in a person’s breath is 35MG per 100mg, a person’s blood is 80mg and a person’s urine is 107mg. The prescribed limit of cannabis in a person blood or urine is 2mg and the prescribed limit of cocaine is 10mg. </w:t>
      </w:r>
      <w:r w:rsidR="00451AB2">
        <w:br/>
      </w:r>
    </w:p>
    <w:p w:rsidR="00682F3B" w:rsidRDefault="00682F3B" w:rsidP="00682F3B">
      <w:pPr>
        <w:rPr>
          <w:b/>
        </w:rPr>
      </w:pPr>
      <w:r w:rsidRPr="00451AB2">
        <w:rPr>
          <w:b/>
        </w:rPr>
        <w:t>Question 12</w:t>
      </w:r>
    </w:p>
    <w:p w:rsidR="00A201FA" w:rsidRPr="00A201FA" w:rsidRDefault="00A201FA" w:rsidP="00682F3B">
      <w:r>
        <w:lastRenderedPageBreak/>
        <w:t>There are four other types of people that could be present during a suspect’s interview. Firstly is a solicitor which purpose there is to provide legal advice and aid for the suspect. Secondly is an appropriate adult who are there to ensure the suspect understands what is going, that the police are treating them fairly and everything is explained to them, however they should not provide legal advice. Thirdly is an interpreter whose purpose in an interview is to translate for the suspect if they speak a different language to the officer. Finally the other person who can be present in an interview is an assisting interviewing officer whose purpose is to make notes and ask any questions they feel have been left out by the interviewer.</w:t>
      </w:r>
    </w:p>
    <w:p w:rsidR="00682F3B" w:rsidRDefault="00682F3B"/>
    <w:p w:rsidR="00A201FA" w:rsidRDefault="00682F3B" w:rsidP="00682F3B">
      <w:r w:rsidRPr="00451AB2">
        <w:rPr>
          <w:b/>
        </w:rPr>
        <w:t>Question 13</w:t>
      </w:r>
      <w:r w:rsidR="00451AB2">
        <w:rPr>
          <w:b/>
        </w:rPr>
        <w:br/>
      </w:r>
      <w:proofErr w:type="gramStart"/>
      <w:r w:rsidR="00A201FA">
        <w:t>In</w:t>
      </w:r>
      <w:proofErr w:type="gramEnd"/>
      <w:r w:rsidR="00A201FA">
        <w:t xml:space="preserve"> the police we use a national interviewing model which is referred to as PEACE which is an acronym. The first part of this model is the planning and preparation stage, this is the before of an interview when you are planning what questions you are going to be asking and gathering all the evidence in which is needed for the purpose of the interview. </w:t>
      </w:r>
    </w:p>
    <w:p w:rsidR="00682F3B" w:rsidRDefault="00A201FA" w:rsidP="00682F3B">
      <w:r>
        <w:t>The second part is engage and explain this consists of introducing yourself to the witness/suspect explaining the pace requirements and going through what the interview is going to consist of. We use the acronym GRRR at this stage which stands for Greeting the persons involved, explaining the reasons of why they are here, going through the route map of what the interview is going to entail and the routine procedure around it.</w:t>
      </w:r>
    </w:p>
    <w:p w:rsidR="00A201FA" w:rsidRDefault="00A201FA" w:rsidP="00682F3B">
      <w:r>
        <w:t>The third part is the account stage, we use many acronyms in this stage starting off with TED. Tell me what happened, explain the details and describe what you saw. So you give them a chance for them to tell you their account while you are taking notes using PLAT. Noting down people, locations, actions and times. Once they have completed the first account with a witness you will want to pick certain topics to find more information about using the cone theory which entails asking those open questions, probing questions and finally closed questions. The difference between a witness and suspect interview is that with suspects you have a police agenda and you can challenge them.</w:t>
      </w:r>
    </w:p>
    <w:p w:rsidR="00A201FA" w:rsidRDefault="00A201FA" w:rsidP="00682F3B">
      <w:r>
        <w:t>The fourth part of the interview is the closure stage this is where you close the interview down and offer any support that you think is necessary to that person.</w:t>
      </w:r>
    </w:p>
    <w:p w:rsidR="00A201FA" w:rsidRPr="00451AB2" w:rsidRDefault="00A201FA" w:rsidP="00682F3B">
      <w:r>
        <w:t>The final part of the interview is the evaluation stage this entails going through all the evidence you have received from the interview and checking if that information matches with other sources of evidence. Constantly reviewing what has gone on.</w:t>
      </w:r>
    </w:p>
    <w:p w:rsidR="00682F3B" w:rsidRDefault="00682F3B"/>
    <w:p w:rsidR="00682F3B" w:rsidRPr="00451AB2" w:rsidRDefault="00682F3B" w:rsidP="00682F3B">
      <w:r w:rsidRPr="00451AB2">
        <w:rPr>
          <w:b/>
        </w:rPr>
        <w:t>Question 14</w:t>
      </w:r>
      <w:r w:rsidR="00451AB2">
        <w:rPr>
          <w:b/>
        </w:rPr>
        <w:br/>
      </w:r>
      <w:r w:rsidR="00D37AC7">
        <w:t>Under section 76 of the serious crime act A person (A) is guilty of coercive control if they use behaviour which is either coercive or controlling towards another person (B</w:t>
      </w:r>
      <w:proofErr w:type="gramStart"/>
      <w:r w:rsidR="00D37AC7">
        <w:t>)and</w:t>
      </w:r>
      <w:proofErr w:type="gramEnd"/>
      <w:r w:rsidR="00D37AC7">
        <w:t xml:space="preserve"> they are personally connected to each other, person (B) realises the behaviour is controlling or coercive and Person A knows or ought to know what he is doing is wrong. </w:t>
      </w:r>
    </w:p>
    <w:p w:rsidR="00682F3B" w:rsidRPr="00451AB2" w:rsidRDefault="00451AB2" w:rsidP="00682F3B">
      <w:pPr>
        <w:rPr>
          <w:b/>
        </w:rPr>
      </w:pPr>
      <w:r>
        <w:br/>
      </w:r>
      <w:r w:rsidR="00682F3B" w:rsidRPr="00451AB2">
        <w:rPr>
          <w:b/>
        </w:rPr>
        <w:t>Question 15</w:t>
      </w:r>
    </w:p>
    <w:p w:rsidR="00682F3B" w:rsidRDefault="00D37AC7">
      <w:r>
        <w:t xml:space="preserve">The new offence of Coercive Control is </w:t>
      </w:r>
      <w:proofErr w:type="gramStart"/>
      <w:r>
        <w:t>so</w:t>
      </w:r>
      <w:proofErr w:type="gramEnd"/>
      <w:r>
        <w:t xml:space="preserve"> important as it spreads awareness of the offence and have made lots of people realise what they are going through. It also is a great way of collating together a number of different offences and making sure perpetrators are getting harsher sentences due to it. </w:t>
      </w:r>
      <w:r>
        <w:lastRenderedPageBreak/>
        <w:t>It also gives constables an easier job of figuring out what is going on in a situation like this and has highlighted how serious this offence is.</w:t>
      </w:r>
    </w:p>
    <w:p w:rsidR="00682F3B" w:rsidRDefault="00682F3B"/>
    <w:p w:rsidR="00682F3B" w:rsidRPr="00451AB2" w:rsidRDefault="00682F3B">
      <w:pPr>
        <w:rPr>
          <w:b/>
        </w:rPr>
      </w:pPr>
      <w:r w:rsidRPr="00451AB2">
        <w:rPr>
          <w:b/>
        </w:rPr>
        <w:t>Question 16</w:t>
      </w:r>
      <w:r w:rsidR="00451AB2">
        <w:rPr>
          <w:b/>
        </w:rPr>
        <w:br/>
      </w:r>
      <w:proofErr w:type="gramStart"/>
      <w:r w:rsidR="00D37AC7">
        <w:t>Under</w:t>
      </w:r>
      <w:proofErr w:type="gramEnd"/>
      <w:r w:rsidR="00D37AC7">
        <w:t xml:space="preserve"> section 46 of the children’s act 1989 a constable may remove a child from a premises and place it into a place of safety if they believe a child could suffer from significant harm due to their circumstances. Also under this section a constable can stop the removal of a child from hospital or school to ensure the child’s safety.</w:t>
      </w:r>
    </w:p>
    <w:p w:rsidR="00682F3B" w:rsidRDefault="00682F3B"/>
    <w:p w:rsidR="00682F3B" w:rsidRPr="00451AB2" w:rsidRDefault="00682F3B" w:rsidP="00682F3B">
      <w:pPr>
        <w:rPr>
          <w:b/>
        </w:rPr>
      </w:pPr>
      <w:r w:rsidRPr="00451AB2">
        <w:rPr>
          <w:b/>
        </w:rPr>
        <w:t>Question 17</w:t>
      </w:r>
      <w:r w:rsidR="00451AB2">
        <w:rPr>
          <w:b/>
        </w:rPr>
        <w:br/>
      </w:r>
      <w:r w:rsidR="00D37AC7">
        <w:t xml:space="preserve">under section 1 of the children and young person’s act 1933, </w:t>
      </w:r>
      <w:proofErr w:type="gramStart"/>
      <w:r w:rsidR="00D37AC7">
        <w:t>A</w:t>
      </w:r>
      <w:proofErr w:type="gramEnd"/>
      <w:r w:rsidR="00D37AC7">
        <w:t xml:space="preserve"> person is guilty of this offence if they are aged 16 or over and are responsible for a child under the age of 16 and willingly assaults, ill-treats, neglects, emotionally abuses, sexually assaults that child. </w:t>
      </w:r>
    </w:p>
    <w:p w:rsidR="00682F3B" w:rsidRDefault="00682F3B"/>
    <w:p w:rsidR="00682F3B" w:rsidRDefault="00682F3B" w:rsidP="00682F3B">
      <w:r w:rsidRPr="00451AB2">
        <w:rPr>
          <w:b/>
        </w:rPr>
        <w:t>Question 18</w:t>
      </w:r>
      <w:r w:rsidR="00451AB2">
        <w:rPr>
          <w:b/>
        </w:rPr>
        <w:br/>
      </w:r>
      <w:proofErr w:type="gramStart"/>
      <w:r w:rsidR="00D37AC7">
        <w:t>Under</w:t>
      </w:r>
      <w:proofErr w:type="gramEnd"/>
      <w:r w:rsidR="00D37AC7">
        <w:t xml:space="preserve"> section 1 of the domestic abuse act 2021 is domestic abuse. Behaviour of person (A) towards another person (B) is domestic abuse if; </w:t>
      </w:r>
      <w:proofErr w:type="gramStart"/>
      <w:r w:rsidR="00D37AC7">
        <w:t>A and</w:t>
      </w:r>
      <w:proofErr w:type="gramEnd"/>
      <w:r w:rsidR="00D37AC7">
        <w:t xml:space="preserve"> B are both aged 16 or over, they are personally connected to each other and the behaviour is abusive.</w:t>
      </w:r>
    </w:p>
    <w:p w:rsidR="00D37AC7" w:rsidRDefault="00D37AC7" w:rsidP="00682F3B">
      <w:r>
        <w:t>We use management model called DASH which consists of 29 questions, 18 of which are considered high risk questions. These questions include a victim’s current/previous situation, if they are pregnant or have other dependents and asking them if they have any history of domestic abuse. These questions then get risk assessed and put into three different categories: category 1 – standard risk which is serious harm is unlikely. Category 2 – medium risk where the perpetrator has the ability to commit serious harm but unlikely. Category 3 – high risk which are identifiable indicators of serious harm.</w:t>
      </w:r>
    </w:p>
    <w:p w:rsidR="00D37AC7" w:rsidRDefault="00D37AC7" w:rsidP="00682F3B"/>
    <w:p w:rsidR="00D37AC7" w:rsidRPr="00451AB2" w:rsidRDefault="00D37AC7" w:rsidP="00682F3B">
      <w:pPr>
        <w:rPr>
          <w:b/>
        </w:rPr>
      </w:pPr>
    </w:p>
    <w:p w:rsidR="00682F3B" w:rsidRDefault="00682F3B"/>
    <w:p w:rsidR="00682F3B" w:rsidRPr="00451AB2" w:rsidRDefault="00682F3B" w:rsidP="00682F3B">
      <w:pPr>
        <w:rPr>
          <w:b/>
        </w:rPr>
      </w:pPr>
      <w:r w:rsidRPr="00451AB2">
        <w:rPr>
          <w:b/>
        </w:rPr>
        <w:t>Question 19</w:t>
      </w:r>
      <w:r w:rsidR="00451AB2">
        <w:rPr>
          <w:b/>
        </w:rPr>
        <w:br/>
      </w:r>
      <w:r w:rsidR="00D37AC7">
        <w:t>A public protection notice is carried out in every dash incident. It is a checklist which involves questions identifying how at risk that person is of serious harm. The checklist is shared with support/partner agencies so they can identify these people and check how vulnerable they are and if they require any support or help. We again use the 29 dash questions in order to risk assess the victim.</w:t>
      </w:r>
    </w:p>
    <w:p w:rsidR="00682F3B" w:rsidRDefault="00682F3B"/>
    <w:p w:rsidR="00682F3B" w:rsidRPr="00451AB2" w:rsidRDefault="00682F3B">
      <w:pPr>
        <w:rPr>
          <w:b/>
        </w:rPr>
      </w:pPr>
      <w:r w:rsidRPr="00451AB2">
        <w:rPr>
          <w:b/>
        </w:rPr>
        <w:t>Question 20</w:t>
      </w:r>
      <w:r w:rsidR="00451AB2">
        <w:rPr>
          <w:b/>
        </w:rPr>
        <w:br/>
      </w:r>
      <w:r w:rsidR="00D37AC7">
        <w:t xml:space="preserve">A DVPN is a domestic violence protection notice which can be used if you reasonably believe that the victim is under serious harm if the perpetrator goes back to the property or contacts the victim. This notice is issued to a suspect and stops them from returning to a particular address for 48 hours or having contact with the victim for 48 hours. This can only be issued and approved by the rank superintendent or above. It is put in place to allow the victim to have some breathing space from the </w:t>
      </w:r>
      <w:r w:rsidR="00D37AC7">
        <w:lastRenderedPageBreak/>
        <w:t xml:space="preserve">perpetrator and allows time for the police and support agencies to contact the victim and help the situation. As I previously mentioned a DVPN only lasts 48 hours but </w:t>
      </w:r>
      <w:proofErr w:type="gramStart"/>
      <w:r w:rsidR="00D37AC7">
        <w:t>It</w:t>
      </w:r>
      <w:proofErr w:type="gramEnd"/>
      <w:r w:rsidR="00D37AC7">
        <w:t xml:space="preserve"> can be turned into a DVPO which is a domestic violence protection order. This DVPO is decided by the courts after presenting substantial evidence to them which we have collated over the 48 hours. A DVPN can last between 14-28 days.</w:t>
      </w:r>
    </w:p>
    <w:p w:rsidR="00682F3B" w:rsidRDefault="00682F3B"/>
    <w:p w:rsidR="00682F3B" w:rsidRDefault="00682F3B" w:rsidP="00682F3B">
      <w:r w:rsidRPr="00451AB2">
        <w:rPr>
          <w:b/>
        </w:rPr>
        <w:t>Question 21</w:t>
      </w:r>
      <w:r w:rsidR="00451AB2">
        <w:rPr>
          <w:b/>
        </w:rPr>
        <w:br/>
      </w:r>
      <w:r w:rsidR="00D37AC7">
        <w:t>Child exploitation is a form of child sexual abuse. It occurs where an individual or group takes advantage of the imbalance of power to coerce, deceive or manipulate a child or young person aged 18 or under into sexual activity in exchange for something the victim needs or wants or for financial advantage or increased status of the perpetrator/s.</w:t>
      </w:r>
    </w:p>
    <w:p w:rsidR="00D37AC7" w:rsidRPr="00451AB2" w:rsidRDefault="00D37AC7" w:rsidP="00682F3B">
      <w:pPr>
        <w:rPr>
          <w:b/>
        </w:rPr>
      </w:pPr>
      <w:r>
        <w:t>In these circumstances we can intervene an issue a person with a CAWN (child abduction warning notice). These are issued to a suspect who is believed to be in wrong doing of a child and committing offences against them. They are seen as an early intervention. There are two types of CAWN’s, under 16 – section 2 of the child abduction act 1984 or under 18 in local authority care – section 49 of the children’s act 1989.</w:t>
      </w:r>
    </w:p>
    <w:p w:rsidR="00682F3B" w:rsidRDefault="00682F3B"/>
    <w:p w:rsidR="00682F3B" w:rsidRDefault="00682F3B"/>
    <w:p w:rsidR="00D37AC7" w:rsidRPr="00451AB2" w:rsidRDefault="00682F3B" w:rsidP="00682F3B">
      <w:r w:rsidRPr="00451AB2">
        <w:rPr>
          <w:b/>
        </w:rPr>
        <w:t>Question 22</w:t>
      </w:r>
      <w:r w:rsidR="00451AB2">
        <w:rPr>
          <w:b/>
        </w:rPr>
        <w:br/>
      </w:r>
      <w:r w:rsidR="00D37AC7">
        <w:t>under section 1 of the sexual offences act 2003, a person (A) is guilty of rape if he intentionally penetrates the vagina, anus or mouth of another person (B) with his penis and B does not consent and A does not reasonably believe that B consents. Consent is under section 75 of the sexual offences act 2003 and is if a person is able to the make choice with freedom or capacity to give consent and make that choice.</w:t>
      </w:r>
    </w:p>
    <w:p w:rsidR="00682F3B" w:rsidRDefault="00682F3B"/>
    <w:p w:rsidR="00682F3B" w:rsidRPr="00451AB2" w:rsidRDefault="00682F3B" w:rsidP="00682F3B">
      <w:r w:rsidRPr="00451AB2">
        <w:rPr>
          <w:b/>
        </w:rPr>
        <w:t>Question 23</w:t>
      </w:r>
      <w:r w:rsidR="00451AB2">
        <w:rPr>
          <w:b/>
        </w:rPr>
        <w:br/>
      </w:r>
      <w:r w:rsidR="00D37AC7">
        <w:t>Under section 75 of the sexual offences act there are evidential presumptions that are put in place in order to determine whether consent was given or not. These are that the defendant did the sexual act and used or put person in fear of unlawful violence, unconsciousness or asleep, unlawful detention and supplied a substance to that person without the person knowing.</w:t>
      </w:r>
    </w:p>
    <w:p w:rsidR="00682F3B" w:rsidRDefault="00682F3B"/>
    <w:p w:rsidR="00682F3B" w:rsidRPr="00451AB2" w:rsidRDefault="00682F3B" w:rsidP="00682F3B">
      <w:r w:rsidRPr="00451AB2">
        <w:rPr>
          <w:b/>
        </w:rPr>
        <w:t>Question 24</w:t>
      </w:r>
      <w:r w:rsidR="00451AB2">
        <w:rPr>
          <w:b/>
        </w:rPr>
        <w:br/>
      </w:r>
      <w:r w:rsidR="00D37AC7">
        <w:t xml:space="preserve">Section 18 (1) pace gives us the power to search the premises of a person and a person that has been arrested at any place other than a police station and we reasonably believe that he his danger to himself or others, instrument that </w:t>
      </w:r>
      <w:r w:rsidR="00422035">
        <w:t>can be used to implement escape.</w:t>
      </w:r>
    </w:p>
    <w:p w:rsidR="00682F3B" w:rsidRDefault="00682F3B"/>
    <w:p w:rsidR="00682F3B" w:rsidRDefault="00682F3B" w:rsidP="00682F3B">
      <w:r w:rsidRPr="00451AB2">
        <w:rPr>
          <w:b/>
        </w:rPr>
        <w:t>Question 25</w:t>
      </w:r>
      <w:r w:rsidR="00451AB2">
        <w:rPr>
          <w:b/>
        </w:rPr>
        <w:br/>
      </w:r>
      <w:bookmarkStart w:id="0" w:name="_GoBack"/>
      <w:bookmarkEnd w:id="0"/>
    </w:p>
    <w:sectPr w:rsidR="00682F3B" w:rsidSect="0042203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035" w:rsidRDefault="00422035" w:rsidP="00422035">
      <w:pPr>
        <w:spacing w:after="0" w:line="240" w:lineRule="auto"/>
      </w:pPr>
      <w:r>
        <w:separator/>
      </w:r>
    </w:p>
  </w:endnote>
  <w:endnote w:type="continuationSeparator" w:id="0">
    <w:p w:rsidR="00422035" w:rsidRDefault="00422035" w:rsidP="00422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35" w:rsidRDefault="00422035" w:rsidP="00422035">
    <w:pPr>
      <w:pStyle w:val="Footer"/>
      <w:rPr>
        <w:color w:val="000000"/>
        <w:sz w:val="17"/>
      </w:rPr>
    </w:pPr>
    <w:bookmarkStart w:id="3" w:name="TITUS1FooterEvenPages"/>
    <w:r w:rsidRPr="00422035">
      <w:rPr>
        <w:color w:val="000000"/>
        <w:sz w:val="17"/>
      </w:rPr>
      <w:t> </w:t>
    </w:r>
  </w:p>
  <w:bookmarkEnd w:id="3"/>
  <w:p w:rsidR="00422035" w:rsidRDefault="004220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35" w:rsidRDefault="00422035" w:rsidP="00422035">
    <w:pPr>
      <w:pStyle w:val="Footer"/>
      <w:rPr>
        <w:color w:val="000000"/>
        <w:sz w:val="17"/>
      </w:rPr>
    </w:pPr>
    <w:bookmarkStart w:id="4" w:name="TITUS1FooterPrimary"/>
    <w:r w:rsidRPr="00422035">
      <w:rPr>
        <w:color w:val="000000"/>
        <w:sz w:val="17"/>
      </w:rPr>
      <w:t> </w:t>
    </w:r>
  </w:p>
  <w:bookmarkEnd w:id="4"/>
  <w:p w:rsidR="00422035" w:rsidRDefault="004220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35" w:rsidRDefault="00422035" w:rsidP="00422035">
    <w:pPr>
      <w:pStyle w:val="Footer"/>
      <w:rPr>
        <w:color w:val="000000"/>
        <w:sz w:val="17"/>
      </w:rPr>
    </w:pPr>
    <w:bookmarkStart w:id="6" w:name="TITUS1FooterFirstPage"/>
    <w:r w:rsidRPr="00422035">
      <w:rPr>
        <w:color w:val="000000"/>
        <w:sz w:val="17"/>
      </w:rPr>
      <w:t> </w:t>
    </w:r>
  </w:p>
  <w:bookmarkEnd w:id="6"/>
  <w:p w:rsidR="00422035" w:rsidRDefault="00422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035" w:rsidRDefault="00422035" w:rsidP="00422035">
      <w:pPr>
        <w:spacing w:after="0" w:line="240" w:lineRule="auto"/>
      </w:pPr>
      <w:r>
        <w:separator/>
      </w:r>
    </w:p>
  </w:footnote>
  <w:footnote w:type="continuationSeparator" w:id="0">
    <w:p w:rsidR="00422035" w:rsidRDefault="00422035" w:rsidP="00422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35" w:rsidRDefault="00422035" w:rsidP="00422035">
    <w:pPr>
      <w:pStyle w:val="Header"/>
      <w:rPr>
        <w:color w:val="000000"/>
        <w:sz w:val="17"/>
      </w:rPr>
    </w:pPr>
    <w:bookmarkStart w:id="1" w:name="TITUS1HeaderEvenPages"/>
    <w:r w:rsidRPr="00422035">
      <w:rPr>
        <w:color w:val="000000"/>
        <w:sz w:val="17"/>
      </w:rPr>
      <w:t> </w:t>
    </w:r>
  </w:p>
  <w:bookmarkEnd w:id="1"/>
  <w:p w:rsidR="00422035" w:rsidRDefault="004220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35" w:rsidRDefault="00422035" w:rsidP="00422035">
    <w:pPr>
      <w:pStyle w:val="Header"/>
      <w:rPr>
        <w:color w:val="000000"/>
        <w:sz w:val="17"/>
      </w:rPr>
    </w:pPr>
    <w:bookmarkStart w:id="2" w:name="TITUS1HeaderPrimary"/>
    <w:r w:rsidRPr="00422035">
      <w:rPr>
        <w:color w:val="000000"/>
        <w:sz w:val="17"/>
      </w:rPr>
      <w:t> </w:t>
    </w:r>
  </w:p>
  <w:bookmarkEnd w:id="2"/>
  <w:p w:rsidR="00422035" w:rsidRDefault="004220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35" w:rsidRDefault="00422035" w:rsidP="00422035">
    <w:pPr>
      <w:pStyle w:val="Header"/>
      <w:rPr>
        <w:color w:val="000000"/>
        <w:sz w:val="17"/>
      </w:rPr>
    </w:pPr>
    <w:bookmarkStart w:id="5" w:name="TITUS1HeaderFirstPage"/>
    <w:r w:rsidRPr="00422035">
      <w:rPr>
        <w:color w:val="000000"/>
        <w:sz w:val="17"/>
      </w:rPr>
      <w:t> </w:t>
    </w:r>
  </w:p>
  <w:bookmarkEnd w:id="5"/>
  <w:p w:rsidR="00422035" w:rsidRDefault="004220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7E5E"/>
    <w:rsid w:val="000C6EEB"/>
    <w:rsid w:val="00121DF7"/>
    <w:rsid w:val="00422035"/>
    <w:rsid w:val="00451AB2"/>
    <w:rsid w:val="00575AC9"/>
    <w:rsid w:val="00682F3B"/>
    <w:rsid w:val="007E4409"/>
    <w:rsid w:val="00877432"/>
    <w:rsid w:val="00A201FA"/>
    <w:rsid w:val="00D37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0C369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2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035"/>
  </w:style>
  <w:style w:type="paragraph" w:styleId="Footer">
    <w:name w:val="footer"/>
    <w:basedOn w:val="Normal"/>
    <w:link w:val="FooterChar"/>
    <w:uiPriority w:val="99"/>
    <w:unhideWhenUsed/>
    <w:rsid w:val="00422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1851</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Walker,Jordan swp6944</cp:lastModifiedBy>
  <cp:revision>2</cp:revision>
  <dcterms:created xsi:type="dcterms:W3CDTF">2021-08-23T14:02:00Z</dcterms:created>
  <dcterms:modified xsi:type="dcterms:W3CDTF">2021-08-23T14:02:00Z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