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63098F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46ED1">
        <w:rPr>
          <w:rFonts w:asciiTheme="minorBidi" w:hAnsiTheme="minorBidi"/>
          <w:sz w:val="28"/>
          <w:szCs w:val="28"/>
        </w:rPr>
        <w:t>Missara Altom</w:t>
      </w:r>
    </w:p>
    <w:p w14:paraId="485B6F49" w14:textId="6A3348EA"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F26FD">
        <w:rPr>
          <w:rFonts w:asciiTheme="minorBidi" w:hAnsiTheme="minorBidi"/>
          <w:sz w:val="28"/>
          <w:szCs w:val="28"/>
        </w:rPr>
        <w:t>2545475</w:t>
      </w:r>
    </w:p>
    <w:p w14:paraId="3C1E7A20" w14:textId="37F2BBE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F26FD">
        <w:rPr>
          <w:rFonts w:asciiTheme="minorBidi" w:hAnsiTheme="minorBidi"/>
          <w:sz w:val="28"/>
          <w:szCs w:val="28"/>
        </w:rPr>
        <w:t>LCHS4001</w:t>
      </w:r>
    </w:p>
    <w:p w14:paraId="4EEB2DA3" w14:textId="571F787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hyperlink r:id="rId9" w:history="1">
        <w:r w:rsidR="000F26FD">
          <w:rPr>
            <w:rStyle w:val="multiline"/>
            <w:rFonts w:cs="Segoe UI"/>
            <w:color w:val="28235D"/>
            <w:sz w:val="23"/>
            <w:szCs w:val="23"/>
          </w:rPr>
          <w:t>Academic and Employability Skills</w:t>
        </w:r>
      </w:hyperlink>
    </w:p>
    <w:p w14:paraId="112342CB" w14:textId="7FB94F6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F26FD">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91FBFD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1156C2">
        <w:rPr>
          <w:rFonts w:asciiTheme="minorBidi" w:hAnsiTheme="minorBidi"/>
          <w:sz w:val="28"/>
          <w:szCs w:val="28"/>
        </w:rPr>
        <w:t>19/08/2026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21763CBC" w:rsidR="00824CB1" w:rsidRDefault="00A56A7E" w:rsidP="0CF501EC">
          <w:pPr>
            <w:pStyle w:val="TOC2"/>
            <w:tabs>
              <w:tab w:val="right" w:leader="dot" w:pos="9015"/>
            </w:tabs>
            <w:rPr>
              <w:rStyle w:val="Hyperlink"/>
              <w:noProof/>
              <w:lang w:eastAsia="en-GB"/>
            </w:rPr>
          </w:pPr>
          <w:hyperlink w:anchor="_Toc1915621813">
            <w:r w:rsidR="0CF501EC" w:rsidRPr="0CF501EC">
              <w:rPr>
                <w:rStyle w:val="Hyperlink"/>
              </w:rPr>
              <w:t>2 [</w:t>
            </w:r>
            <w:r w:rsidR="00D52C08">
              <w:rPr>
                <w:rStyle w:val="Hyperlink"/>
              </w:rPr>
              <w:t>Adult nursing</w:t>
            </w:r>
            <w:r w:rsidR="0CF501EC" w:rsidRPr="0CF501EC">
              <w:rPr>
                <w:rStyle w:val="Hyperlink"/>
              </w:rPr>
              <w:t>] in the Health and Social Care Field</w:t>
            </w:r>
            <w:r w:rsidR="00824CB1">
              <w:tab/>
            </w:r>
            <w:r w:rsidR="00824CB1">
              <w:fldChar w:fldCharType="begin"/>
            </w:r>
            <w:r w:rsidR="00824CB1">
              <w:instrText>PAGEREF _Toc1915621813 \h</w:instrText>
            </w:r>
            <w:r w:rsidR="00824CB1">
              <w:fldChar w:fldCharType="separate"/>
            </w:r>
            <w:r w:rsidR="0CF501EC" w:rsidRPr="0CF501EC">
              <w:rPr>
                <w:rStyle w:val="Hyperlink"/>
              </w:rPr>
              <w:t>3</w:t>
            </w:r>
            <w:r w:rsidR="00824CB1">
              <w:fldChar w:fldCharType="end"/>
            </w:r>
          </w:hyperlink>
        </w:p>
        <w:p w14:paraId="405810A6" w14:textId="450455B5" w:rsidR="00824CB1" w:rsidRDefault="00A56A7E" w:rsidP="0CF501EC">
          <w:pPr>
            <w:pStyle w:val="TOC2"/>
            <w:tabs>
              <w:tab w:val="right" w:leader="dot" w:pos="9015"/>
            </w:tabs>
            <w:rPr>
              <w:rStyle w:val="Hyperlink"/>
              <w:noProof/>
              <w:lang w:eastAsia="en-GB"/>
            </w:rPr>
          </w:pPr>
          <w:hyperlink w:anchor="_Toc796087951">
            <w:r w:rsidR="0CF501EC" w:rsidRPr="0CF501EC">
              <w:rPr>
                <w:rStyle w:val="Hyperlink"/>
              </w:rPr>
              <w:t>2.1 Description of [</w:t>
            </w:r>
            <w:r w:rsidR="00D52C08">
              <w:rPr>
                <w:rStyle w:val="Hyperlink"/>
              </w:rPr>
              <w:t>Adult nursing</w:t>
            </w:r>
            <w:r w:rsidR="0CF501EC" w:rsidRPr="0CF501EC">
              <w:rPr>
                <w:rStyle w:val="Hyperlink"/>
              </w:rPr>
              <w:t>] in Health and Social Care</w:t>
            </w:r>
            <w:r w:rsidR="00824CB1">
              <w:tab/>
            </w:r>
            <w:r w:rsidR="00824CB1">
              <w:fldChar w:fldCharType="begin"/>
            </w:r>
            <w:r w:rsidR="00824CB1">
              <w:instrText>PAGEREF _Toc796087951 \h</w:instrText>
            </w:r>
            <w:r w:rsidR="00824CB1">
              <w:fldChar w:fldCharType="separate"/>
            </w:r>
            <w:r w:rsidR="0CF501EC" w:rsidRPr="0CF501EC">
              <w:rPr>
                <w:rStyle w:val="Hyperlink"/>
              </w:rPr>
              <w:t>3</w:t>
            </w:r>
            <w:r w:rsidR="00824CB1">
              <w:fldChar w:fldCharType="end"/>
            </w:r>
          </w:hyperlink>
        </w:p>
        <w:p w14:paraId="0D838B7F" w14:textId="02E7D7DF" w:rsidR="00824CB1" w:rsidRDefault="00A56A7E" w:rsidP="0CF501EC">
          <w:pPr>
            <w:pStyle w:val="TOC2"/>
            <w:tabs>
              <w:tab w:val="right" w:leader="dot" w:pos="9015"/>
            </w:tabs>
            <w:rPr>
              <w:rStyle w:val="Hyperlink"/>
              <w:noProof/>
              <w:lang w:eastAsia="en-GB"/>
            </w:rPr>
          </w:pPr>
          <w:hyperlink w:anchor="_Toc1426973069">
            <w:r w:rsidR="0CF501EC" w:rsidRPr="0CF501EC">
              <w:rPr>
                <w:rStyle w:val="Hyperlink"/>
              </w:rPr>
              <w:t>2.2 Explanation of Most Significant Skills Needed for [</w:t>
            </w:r>
            <w:r w:rsidR="00D52C08">
              <w:rPr>
                <w:rStyle w:val="Hyperlink"/>
              </w:rPr>
              <w:t>Adult nursing</w:t>
            </w:r>
            <w:r w:rsidR="0CF501EC" w:rsidRPr="0CF501EC">
              <w:rPr>
                <w:rStyle w:val="Hyperlink"/>
              </w:rPr>
              <w:t>] in Health and Social Care</w:t>
            </w:r>
            <w:r w:rsidR="00824CB1">
              <w:tab/>
            </w:r>
            <w:r w:rsidR="00824CB1">
              <w:fldChar w:fldCharType="begin"/>
            </w:r>
            <w:r w:rsidR="00824CB1">
              <w:instrText>PAGEREF _Toc1426973069 \h</w:instrText>
            </w:r>
            <w:r w:rsidR="00824CB1">
              <w:fldChar w:fldCharType="separate"/>
            </w:r>
            <w:r w:rsidR="0CF501EC" w:rsidRPr="0CF501EC">
              <w:rPr>
                <w:rStyle w:val="Hyperlink"/>
              </w:rPr>
              <w:t>3</w:t>
            </w:r>
            <w:r w:rsidR="00824CB1">
              <w:fldChar w:fldCharType="end"/>
            </w:r>
          </w:hyperlink>
        </w:p>
        <w:p w14:paraId="0A8B3CCA" w14:textId="425798CD" w:rsidR="00824CB1" w:rsidRDefault="00A56A7E" w:rsidP="0CF501EC">
          <w:pPr>
            <w:pStyle w:val="TOC2"/>
            <w:tabs>
              <w:tab w:val="right" w:leader="dot" w:pos="9015"/>
            </w:tabs>
            <w:rPr>
              <w:rStyle w:val="Hyperlink"/>
              <w:noProof/>
              <w:lang w:eastAsia="en-GB"/>
            </w:rPr>
          </w:pPr>
          <w:hyperlink w:anchor="_Toc992114325">
            <w:r w:rsidR="0CF501EC" w:rsidRPr="0CF501EC">
              <w:rPr>
                <w:rStyle w:val="Hyperlink"/>
              </w:rPr>
              <w:t>3 Strategies for Skill Improvement for [</w:t>
            </w:r>
            <w:r w:rsidR="00D52C08">
              <w:rPr>
                <w:rStyle w:val="Hyperlink"/>
              </w:rPr>
              <w:t>Adult nursing</w:t>
            </w:r>
            <w:r w:rsidR="0CF501EC" w:rsidRPr="0CF501EC">
              <w:rPr>
                <w:rStyle w:val="Hyperlink"/>
              </w:rPr>
              <w:t>]</w:t>
            </w:r>
            <w:r w:rsidR="00824CB1">
              <w:tab/>
            </w:r>
            <w:r w:rsidR="00824CB1">
              <w:fldChar w:fldCharType="begin"/>
            </w:r>
            <w:r w:rsidR="00824CB1">
              <w:instrText>PAGEREF _Toc992114325 \h</w:instrText>
            </w:r>
            <w:r w:rsidR="00824CB1">
              <w:fldChar w:fldCharType="separate"/>
            </w:r>
            <w:r w:rsidR="0CF501EC" w:rsidRPr="0CF501EC">
              <w:rPr>
                <w:rStyle w:val="Hyperlink"/>
              </w:rPr>
              <w:t>4</w:t>
            </w:r>
            <w:r w:rsidR="00824CB1">
              <w:fldChar w:fldCharType="end"/>
            </w:r>
          </w:hyperlink>
        </w:p>
        <w:p w14:paraId="1AA7C6F6" w14:textId="0D149B7E" w:rsidR="00824CB1" w:rsidRDefault="00A56A7E" w:rsidP="0CF501EC">
          <w:pPr>
            <w:pStyle w:val="TOC2"/>
            <w:tabs>
              <w:tab w:val="right" w:leader="dot" w:pos="9015"/>
            </w:tabs>
            <w:rPr>
              <w:rStyle w:val="Hyperlink"/>
              <w:noProof/>
              <w:lang w:eastAsia="en-GB"/>
            </w:rPr>
          </w:pPr>
          <w:hyperlink w:anchor="_Toc1405407187">
            <w:r w:rsidR="0CF501EC" w:rsidRPr="0CF501EC">
              <w:rPr>
                <w:rStyle w:val="Hyperlink"/>
              </w:rPr>
              <w:t>3.1 Three Strategies to Improve the Skills for [</w:t>
            </w:r>
            <w:r w:rsidR="00D52C08">
              <w:rPr>
                <w:rStyle w:val="Hyperlink"/>
              </w:rPr>
              <w:t>Adult nursing</w:t>
            </w:r>
            <w:r w:rsidR="0CF501EC" w:rsidRPr="0CF501EC">
              <w:rPr>
                <w:rStyle w:val="Hyperlink"/>
              </w:rPr>
              <w:t>]</w:t>
            </w:r>
            <w:r w:rsidR="00824CB1">
              <w:tab/>
            </w:r>
            <w:r w:rsidR="00824CB1">
              <w:fldChar w:fldCharType="begin"/>
            </w:r>
            <w:r w:rsidR="00824CB1">
              <w:instrText>PAGEREF _Toc1405407187 \h</w:instrText>
            </w:r>
            <w:r w:rsidR="00824CB1">
              <w:fldChar w:fldCharType="separate"/>
            </w:r>
            <w:r w:rsidR="0CF501EC" w:rsidRPr="0CF501EC">
              <w:rPr>
                <w:rStyle w:val="Hyperlink"/>
              </w:rPr>
              <w:t>4</w:t>
            </w:r>
            <w:r w:rsidR="00824CB1">
              <w:fldChar w:fldCharType="end"/>
            </w:r>
          </w:hyperlink>
        </w:p>
        <w:p w14:paraId="318879F9" w14:textId="5AC227C8" w:rsidR="00824CB1" w:rsidRDefault="00A56A7E" w:rsidP="0CF501EC">
          <w:pPr>
            <w:pStyle w:val="TOC2"/>
            <w:tabs>
              <w:tab w:val="right" w:leader="dot" w:pos="9015"/>
            </w:tabs>
            <w:rPr>
              <w:rStyle w:val="Hyperlink"/>
              <w:noProof/>
              <w:lang w:eastAsia="en-GB"/>
            </w:rPr>
          </w:pPr>
          <w:hyperlink w:anchor="_Toc1799977123">
            <w:r w:rsidR="0CF501EC" w:rsidRPr="0CF501EC">
              <w:rPr>
                <w:rStyle w:val="Hyperlink"/>
              </w:rPr>
              <w:t>4 Conclusion</w:t>
            </w:r>
            <w:r w:rsidR="00824CB1">
              <w:tab/>
            </w:r>
            <w:r w:rsidR="00824CB1">
              <w:fldChar w:fldCharType="begin"/>
            </w:r>
            <w:r w:rsidR="00824CB1">
              <w:instrText>PAGEREF _Toc1799977123 \h</w:instrText>
            </w:r>
            <w:r w:rsidR="00824CB1">
              <w:fldChar w:fldCharType="separate"/>
            </w:r>
            <w:r w:rsidR="0CF501EC" w:rsidRPr="0CF501EC">
              <w:rPr>
                <w:rStyle w:val="Hyperlink"/>
              </w:rPr>
              <w:t>4</w:t>
            </w:r>
            <w:r w:rsidR="00824CB1">
              <w:fldChar w:fldCharType="end"/>
            </w:r>
          </w:hyperlink>
        </w:p>
        <w:p w14:paraId="2F2A1EA8" w14:textId="217B6DF8" w:rsidR="0156E134" w:rsidRDefault="00A56A7E" w:rsidP="0156E134">
          <w:pPr>
            <w:pStyle w:val="TOC2"/>
            <w:tabs>
              <w:tab w:val="right" w:leader="dot" w:pos="9015"/>
            </w:tabs>
            <w:rPr>
              <w:rStyle w:val="Hyperlink"/>
            </w:rPr>
          </w:pPr>
          <w:hyperlink w:anchor="_Toc1911583216">
            <w:r w:rsidR="0CF501EC" w:rsidRPr="0CF501EC">
              <w:rPr>
                <w:rStyle w:val="Hyperlink"/>
              </w:rPr>
              <w:t>5 Reference List</w:t>
            </w:r>
            <w:r w:rsidR="0156E134">
              <w:tab/>
            </w:r>
            <w:r w:rsidR="0156E134">
              <w:fldChar w:fldCharType="begin"/>
            </w:r>
            <w:r w:rsidR="0156E134">
              <w:instrText>PAGEREF _Toc1911583216 \h</w:instrText>
            </w:r>
            <w:r w:rsidR="0156E134">
              <w:fldChar w:fldCharType="separate"/>
            </w:r>
            <w:r w:rsidR="0CF501EC"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CC61BC1" w14:textId="65C54B3B" w:rsidR="00F36ADC" w:rsidRDefault="00F36ADC" w:rsidP="0156E134">
      <w:pPr>
        <w:spacing w:after="0" w:line="240" w:lineRule="auto"/>
        <w:rPr>
          <w:sz w:val="21"/>
          <w:szCs w:val="21"/>
        </w:rPr>
      </w:pPr>
    </w:p>
    <w:p w14:paraId="5CE3F118" w14:textId="72C48BEC" w:rsidR="005720B8" w:rsidRPr="00242974" w:rsidRDefault="005720B8" w:rsidP="0156E134">
      <w:pPr>
        <w:spacing w:after="0" w:line="240" w:lineRule="auto"/>
        <w:rPr>
          <w:sz w:val="22"/>
        </w:rPr>
      </w:pPr>
      <w:r w:rsidRPr="005720B8">
        <w:rPr>
          <w:sz w:val="22"/>
        </w:rPr>
        <w:t>Adult nursing is a key area within health and social care that focuses on supporting adults with a wide range of physical health conditions, illnesses, and care needs. Adult nurses provide evidence-based, person-centred care by assessing patients, planning treatments, administering medication, and promoting recovery and wellbeing. The health and social care sector play an essential role in improving individuals’ quality of life through professional support and multidisciplinary teamwork. This report will explore the role and responsibilities of adult nurses, the importance of effective care delivery, and key challenges within the profession before discussing the impact of these factors on healthcare practice.</w:t>
      </w:r>
    </w:p>
    <w:p w14:paraId="64F36E68" w14:textId="2B7A4EEA" w:rsidR="3C659699" w:rsidRDefault="3C659699" w:rsidP="0CF501EC">
      <w:pPr>
        <w:pStyle w:val="Heading2"/>
        <w:rPr>
          <w:color w:val="4472C4" w:themeColor="accent1"/>
        </w:rPr>
      </w:pPr>
      <w:bookmarkStart w:id="1" w:name="_Toc1915621813"/>
      <w:r w:rsidRPr="0CF501EC">
        <w:rPr>
          <w:color w:val="4471C4"/>
        </w:rPr>
        <w:t xml:space="preserve">2 </w:t>
      </w:r>
      <w:r w:rsidR="00016E40">
        <w:rPr>
          <w:color w:val="4471C4"/>
        </w:rPr>
        <w:t xml:space="preserve">Adult nursing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280B2481"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016E40" w:rsidRPr="00016E40">
        <w:rPr>
          <w:color w:val="4471C4"/>
        </w:rPr>
        <w:t xml:space="preserve"> </w:t>
      </w:r>
      <w:r w:rsidR="00016E40">
        <w:rPr>
          <w:color w:val="4471C4"/>
        </w:rPr>
        <w:t>Adult nursing</w:t>
      </w:r>
      <w:r w:rsidR="13BD3D5D" w:rsidRPr="0CF501EC">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08779A79" w14:textId="233A6A0B" w:rsidR="00913070" w:rsidRPr="00913070" w:rsidRDefault="00913070" w:rsidP="00913070">
      <w:pPr>
        <w:spacing w:after="0" w:line="240" w:lineRule="auto"/>
        <w:jc w:val="both"/>
        <w:rPr>
          <w:sz w:val="22"/>
        </w:rPr>
      </w:pPr>
      <w:r w:rsidRPr="00913070">
        <w:rPr>
          <w:sz w:val="22"/>
        </w:rPr>
        <w:t xml:space="preserve"> Adult nurses play a </w:t>
      </w:r>
      <w:r w:rsidR="00D23D4E">
        <w:rPr>
          <w:sz w:val="22"/>
        </w:rPr>
        <w:t>core</w:t>
      </w:r>
      <w:r w:rsidRPr="00913070">
        <w:rPr>
          <w:sz w:val="22"/>
        </w:rPr>
        <w:t xml:space="preserve"> role within the health and social care sector by providing </w:t>
      </w:r>
      <w:r w:rsidR="008E2FAE">
        <w:rPr>
          <w:sz w:val="22"/>
        </w:rPr>
        <w:t xml:space="preserve">primary </w:t>
      </w:r>
      <w:r w:rsidRPr="00913070">
        <w:rPr>
          <w:sz w:val="22"/>
        </w:rPr>
        <w:t>care and support to adults experiencing illness, injury, or long-term health conditions.  Th</w:t>
      </w:r>
      <w:r>
        <w:rPr>
          <w:sz w:val="22"/>
        </w:rPr>
        <w:t>is</w:t>
      </w:r>
      <w:r w:rsidRPr="00913070">
        <w:rPr>
          <w:sz w:val="22"/>
        </w:rPr>
        <w:t xml:space="preserve"> role is important because they help improve patients’ health outcomes, </w:t>
      </w:r>
      <w:r w:rsidR="004036D0">
        <w:rPr>
          <w:sz w:val="22"/>
        </w:rPr>
        <w:t xml:space="preserve">enhance </w:t>
      </w:r>
      <w:r w:rsidRPr="00913070">
        <w:rPr>
          <w:sz w:val="22"/>
        </w:rPr>
        <w:t>independence, and ensure that care is delivered safely and according to individual needs.  According to the Nursing and Midwifery Council (NMC, 2023), nurses must provide effective, safe, and person-centred care while maintaining professional standards.  Therefore, adult nurses are essential in achieving high-quality healthcare delivery.</w:t>
      </w:r>
    </w:p>
    <w:p w14:paraId="6F6DDBBC" w14:textId="77777777" w:rsidR="00913070" w:rsidRPr="00913070" w:rsidRDefault="00913070" w:rsidP="00913070">
      <w:pPr>
        <w:spacing w:after="0" w:line="240" w:lineRule="auto"/>
        <w:jc w:val="both"/>
        <w:rPr>
          <w:sz w:val="22"/>
        </w:rPr>
      </w:pPr>
    </w:p>
    <w:p w14:paraId="6493BBF2" w14:textId="52B1645E" w:rsidR="00913070" w:rsidRPr="00913070" w:rsidRDefault="00913070" w:rsidP="00913070">
      <w:pPr>
        <w:spacing w:after="0" w:line="240" w:lineRule="auto"/>
        <w:jc w:val="both"/>
        <w:rPr>
          <w:sz w:val="22"/>
        </w:rPr>
      </w:pPr>
      <w:r w:rsidRPr="00913070">
        <w:rPr>
          <w:sz w:val="22"/>
        </w:rPr>
        <w:t xml:space="preserve">The main </w:t>
      </w:r>
      <w:r w:rsidR="00712298">
        <w:rPr>
          <w:sz w:val="22"/>
        </w:rPr>
        <w:t>obligations</w:t>
      </w:r>
      <w:r w:rsidRPr="00913070">
        <w:rPr>
          <w:sz w:val="22"/>
        </w:rPr>
        <w:t xml:space="preserve"> of an adult nurse involve assessing patients, developing care plans, administering medication, monitoring health conditions, and providing emotional support to patients and their families. These responsibilities require nurses to work collaboratively with other healthcare professionals to ensure coordinated and effective care. Adult nurses must also maintain accurate patient records and communicate important information to support continuity of care (NMC, 2023).  Consequently, adult nurses contribute significantly to patient safety and wellbeing.</w:t>
      </w:r>
    </w:p>
    <w:p w14:paraId="129E2E79" w14:textId="77777777" w:rsidR="00913070" w:rsidRPr="00913070" w:rsidRDefault="00913070" w:rsidP="00913070">
      <w:pPr>
        <w:spacing w:after="0" w:line="240" w:lineRule="auto"/>
        <w:jc w:val="both"/>
        <w:rPr>
          <w:sz w:val="22"/>
        </w:rPr>
      </w:pPr>
    </w:p>
    <w:p w14:paraId="1CB8B0F1" w14:textId="5F93EF7F" w:rsidR="0156E134" w:rsidRDefault="00913070" w:rsidP="00913070">
      <w:pPr>
        <w:spacing w:after="0" w:line="240" w:lineRule="auto"/>
        <w:jc w:val="both"/>
        <w:rPr>
          <w:sz w:val="22"/>
        </w:rPr>
      </w:pPr>
      <w:r w:rsidRPr="00913070">
        <w:rPr>
          <w:sz w:val="22"/>
        </w:rPr>
        <w:t xml:space="preserve"> To perform this role effectively, adult nurses require a range of professional skills, including communication, empathy, clinical judgement, teamwork, and problem-solving abilities.  These skills enable nurses to understand patients’ concerns, make informed decisions, and provide compassionate care.  Overall, a combination of knowledge, practical skills, and professional values allows adult nurses to meet the complex needs of patients within health and social care settings.</w:t>
      </w:r>
    </w:p>
    <w:p w14:paraId="4010C35E" w14:textId="61EB003E"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307FBE">
        <w:rPr>
          <w:color w:val="4471C4"/>
        </w:rPr>
        <w:t>Adult nursing</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19C1BA68" w14:textId="77777777" w:rsidR="00400B16" w:rsidRPr="00400B16" w:rsidRDefault="00400B16" w:rsidP="00400B1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bookmarkStart w:id="4" w:name="_Toc992114325"/>
      <w:r w:rsidRPr="00400B16">
        <w:rPr>
          <w:rFonts w:ascii="Times New Roman" w:eastAsia="Times New Roman" w:hAnsi="Times New Roman" w:cs="Times New Roman"/>
          <w:b/>
          <w:bCs/>
          <w:kern w:val="0"/>
          <w:sz w:val="24"/>
          <w:szCs w:val="24"/>
          <w:lang w:eastAsia="en-GB"/>
          <w14:ligatures w14:val="none"/>
        </w:rPr>
        <w:t>Compassion</w:t>
      </w:r>
      <w:r w:rsidRPr="00400B16">
        <w:rPr>
          <w:rFonts w:ascii="Times New Roman" w:eastAsia="Times New Roman" w:hAnsi="Times New Roman" w:cs="Times New Roman"/>
          <w:kern w:val="0"/>
          <w:sz w:val="24"/>
          <w:szCs w:val="24"/>
          <w:lang w:eastAsia="en-GB"/>
          <w14:ligatures w14:val="none"/>
        </w:rPr>
        <w:t xml:space="preserve"> is one of the most significant skills required in adult nursing because patients may experience pain, anxiety, fear and vulnerability. Compassion involves understanding a patient’s feelings and responding with kindness, dignity and respect. The NHS identifies compassion as a core value and emphasises responding to people’s pain, distress and anxiety with humanity and kindness (Department of Health and Social Care, 2023). In adult nursing, compassion can be demonstrated when supporting an older patient who is anxious before </w:t>
      </w:r>
      <w:r w:rsidRPr="00400B16">
        <w:rPr>
          <w:rFonts w:ascii="Times New Roman" w:eastAsia="Times New Roman" w:hAnsi="Times New Roman" w:cs="Times New Roman"/>
          <w:kern w:val="0"/>
          <w:sz w:val="24"/>
          <w:szCs w:val="24"/>
          <w:lang w:eastAsia="en-GB"/>
          <w14:ligatures w14:val="none"/>
        </w:rPr>
        <w:lastRenderedPageBreak/>
        <w:t>surgery. For example, a healthcare professional can listen carefully to the patient’s concerns, explain what will happen and provide reassurance rather than rushing the interaction. This can help the patient feel respected, valued and emotionally supported. Therefore, compassionate practice contributes to person-centred care and helps establish trust between the patient and healthcare professional.</w:t>
      </w:r>
    </w:p>
    <w:p w14:paraId="2EA2CD80" w14:textId="61C4FD13" w:rsidR="00400B16" w:rsidRDefault="00400B16" w:rsidP="00400B1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00B16">
        <w:rPr>
          <w:rFonts w:ascii="Times New Roman" w:eastAsia="Times New Roman" w:hAnsi="Times New Roman" w:cs="Times New Roman"/>
          <w:b/>
          <w:bCs/>
          <w:kern w:val="0"/>
          <w:sz w:val="24"/>
          <w:szCs w:val="24"/>
          <w:lang w:eastAsia="en-GB"/>
          <w14:ligatures w14:val="none"/>
        </w:rPr>
        <w:t>Caring</w:t>
      </w:r>
      <w:r w:rsidRPr="00400B16">
        <w:rPr>
          <w:rFonts w:ascii="Times New Roman" w:eastAsia="Times New Roman" w:hAnsi="Times New Roman" w:cs="Times New Roman"/>
          <w:kern w:val="0"/>
          <w:sz w:val="24"/>
          <w:szCs w:val="24"/>
          <w:lang w:eastAsia="en-GB"/>
          <w14:ligatures w14:val="none"/>
        </w:rPr>
        <w:t xml:space="preserve"> is another important skill because adult nursing involves meeting patients’ physical, emotional and social needs. Caring means being attentive to individual needs and providing support while maintaining dignity and independence. The NMC requires nurses to treat people with kindness, respect and compassion and to ensure that fundamental care is delivered effectively (NMC, 2018). For instance, when assisting a patient with washing, dressing or eating, a caring nurse should protect the patient’s privacy, encourage independence where possible and provide assistance according to their individual needs. The Care Quality Commission (CQC) also states that people receiving care have the right to person-centred care, dignity and respect (CQC, 2026). Therefore, caring behaviour helps ensure that patients receive holistic and person-centred support.</w:t>
      </w:r>
    </w:p>
    <w:p w14:paraId="5D2D9A2B" w14:textId="3674669C" w:rsidR="003326CB" w:rsidRPr="00400B16" w:rsidRDefault="003326CB" w:rsidP="00400B1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Style w:val="Strong"/>
        </w:rPr>
        <w:t>Reliability is an important skill in adult nursing because patients depend on healthcare professionals to provide consistent, accurate and timely care.</w:t>
      </w:r>
      <w:r>
        <w:t xml:space="preserve"> The World Health Organization (WHO, 2023) highlights that reliable healthcare requires processes and behaviours that reduce risks and prevent avoidable harm. For example, an adult nurse caring for a patient recovering from surgery should complete observations on time, accurately record the patient’s condition and report any deterioration promptly to the appropriate healthcare professional. This consistent approach helps ensure that changes in the patient’s health are identified early and that appropriate action can be taken. Therefore, reliability supports patient safety, continuity of care and the delivery of high-quality adult nursing practice.</w:t>
      </w:r>
    </w:p>
    <w:p w14:paraId="36B27820" w14:textId="77777777" w:rsidR="00400B16" w:rsidRPr="00400B16" w:rsidRDefault="00400B16" w:rsidP="00400B1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00B16">
        <w:rPr>
          <w:rFonts w:ascii="Times New Roman" w:eastAsia="Times New Roman" w:hAnsi="Times New Roman" w:cs="Times New Roman"/>
          <w:b/>
          <w:bCs/>
          <w:kern w:val="0"/>
          <w:sz w:val="24"/>
          <w:szCs w:val="24"/>
          <w:lang w:eastAsia="en-GB"/>
          <w14:ligatures w14:val="none"/>
        </w:rPr>
        <w:t>When these skills are absent</w:t>
      </w:r>
      <w:r w:rsidRPr="00400B16">
        <w:rPr>
          <w:rFonts w:ascii="Times New Roman" w:eastAsia="Times New Roman" w:hAnsi="Times New Roman" w:cs="Times New Roman"/>
          <w:kern w:val="0"/>
          <w:sz w:val="24"/>
          <w:szCs w:val="24"/>
          <w:lang w:eastAsia="en-GB"/>
          <w14:ligatures w14:val="none"/>
        </w:rPr>
        <w:t>, the quality and safety of adult nursing care can be seriously affected. A lack of compassion may cause patients to feel ignored or undervalued, while poor reliability can contribute to missed care, inaccurate information or delays in responding to changes in a patient’s condition. Similarly, a lack of caring may result in patients’ personal and emotional needs being overlooked. The CQC states that care must not place people at avoidable risk of harm and that staff must have appropriate competence, skills and experience to keep people safe (CQC, 2026). For example, if a nurse fails to communicate a patient’s deterioration because they are unreliable, necessary treatment could be delayed. Therefore, compassion, reliability and caring are essential skills for maintaining safe, respectful and person-centred adult nursing practice.</w:t>
      </w:r>
    </w:p>
    <w:p w14:paraId="2CAEA1EC" w14:textId="3E0664E8" w:rsidR="002370CE" w:rsidRPr="002976D4" w:rsidRDefault="00A05E8A" w:rsidP="00A05E8A">
      <w:pPr>
        <w:pStyle w:val="Heading2"/>
        <w:rPr>
          <w:color w:val="4472C4" w:themeColor="accent1"/>
        </w:rPr>
      </w:pPr>
      <w:r>
        <w:rPr>
          <w:rFonts w:eastAsiaTheme="minorEastAsia" w:cstheme="minorBidi"/>
          <w:color w:val="auto"/>
          <w:sz w:val="21"/>
          <w:szCs w:val="21"/>
        </w:rPr>
        <w:lastRenderedPageBreak/>
        <w:t xml:space="preserve">                                                                                                                                                           </w:t>
      </w:r>
      <w:r w:rsidR="1F09BC6E"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2A7E49">
        <w:rPr>
          <w:color w:val="4471C4"/>
        </w:rPr>
        <w:t>Adult nursing</w:t>
      </w:r>
    </w:p>
    <w:p w14:paraId="01C49510" w14:textId="52811BA9"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2A7E49">
        <w:rPr>
          <w:color w:val="4471C4"/>
        </w:rPr>
        <w:t>Adult nursing</w:t>
      </w:r>
    </w:p>
    <w:p w14:paraId="764FCE49" w14:textId="77777777" w:rsidR="00A05E8A" w:rsidRPr="002976D4" w:rsidRDefault="00A05E8A" w:rsidP="00A05E8A">
      <w:pPr>
        <w:pStyle w:val="Heading2"/>
        <w:rPr>
          <w:color w:val="4472C4" w:themeColor="accent1"/>
        </w:rPr>
      </w:pPr>
      <w:bookmarkStart w:id="6" w:name="_Toc1799977123"/>
    </w:p>
    <w:p w14:paraId="6C5C1EE5" w14:textId="3750A862" w:rsidR="00A05E8A" w:rsidRPr="00A05E8A" w:rsidRDefault="00A05E8A" w:rsidP="00A05E8A">
      <w:pPr>
        <w:pStyle w:val="Heading2"/>
        <w:rPr>
          <w:rFonts w:eastAsiaTheme="minorEastAsia" w:cstheme="minorBidi"/>
          <w:color w:val="auto"/>
          <w:sz w:val="21"/>
          <w:szCs w:val="21"/>
        </w:rPr>
      </w:pPr>
      <w:r w:rsidRPr="00A05E8A">
        <w:rPr>
          <w:rFonts w:eastAsiaTheme="minorEastAsia" w:cstheme="minorBidi"/>
          <w:color w:val="auto"/>
          <w:sz w:val="21"/>
          <w:szCs w:val="21"/>
        </w:rPr>
        <w:t xml:space="preserve"> Develop effective communication and active listening skills</w:t>
      </w:r>
      <w:r w:rsidR="005533E2">
        <w:rPr>
          <w:rFonts w:eastAsiaTheme="minorEastAsia" w:cstheme="minorBidi"/>
          <w:color w:val="auto"/>
          <w:sz w:val="21"/>
          <w:szCs w:val="21"/>
        </w:rPr>
        <w:t>:</w:t>
      </w:r>
    </w:p>
    <w:p w14:paraId="251A3213" w14:textId="77777777" w:rsidR="00A05E8A" w:rsidRPr="00A05E8A" w:rsidRDefault="00A05E8A" w:rsidP="00A05E8A">
      <w:pPr>
        <w:pStyle w:val="Heading2"/>
        <w:rPr>
          <w:rFonts w:eastAsiaTheme="minorEastAsia" w:cstheme="minorBidi"/>
          <w:color w:val="auto"/>
          <w:sz w:val="21"/>
          <w:szCs w:val="21"/>
        </w:rPr>
      </w:pPr>
      <w:r w:rsidRPr="00A05E8A">
        <w:rPr>
          <w:rFonts w:eastAsiaTheme="minorEastAsia" w:cstheme="minorBidi"/>
          <w:color w:val="auto"/>
          <w:sz w:val="21"/>
          <w:szCs w:val="21"/>
        </w:rPr>
        <w:t xml:space="preserve">One important strategy for improving compassion is to develop effective communication and active listening skills. Adult nurses should listen carefully to patients, recognise verbal and non-verbal communication, and respond sensitively to their concerns. This can help patients feel respected, understood and involved in decisions about their care. The Nursing and Midwifery Council (NMC, 2024) identifies effective communication as essential to providing safe and compassionate person-centred care. Therefore, practising active listening, using appropriate questioning and checking patients’ understanding can strengthen compassionate interactions. </w:t>
      </w:r>
    </w:p>
    <w:p w14:paraId="78FFD88B" w14:textId="77777777" w:rsidR="00A05E8A" w:rsidRPr="00A05E8A" w:rsidRDefault="00A05E8A" w:rsidP="00A05E8A">
      <w:pPr>
        <w:pStyle w:val="Heading2"/>
        <w:rPr>
          <w:rFonts w:eastAsiaTheme="minorEastAsia" w:cstheme="minorBidi"/>
          <w:color w:val="auto"/>
          <w:sz w:val="21"/>
          <w:szCs w:val="21"/>
        </w:rPr>
      </w:pPr>
    </w:p>
    <w:p w14:paraId="0A233DF1" w14:textId="4D044179" w:rsidR="00A05E8A" w:rsidRPr="00A05E8A" w:rsidRDefault="00A05E8A" w:rsidP="00A05E8A">
      <w:pPr>
        <w:pStyle w:val="Heading2"/>
        <w:rPr>
          <w:rFonts w:eastAsiaTheme="minorEastAsia" w:cstheme="minorBidi"/>
          <w:color w:val="auto"/>
          <w:sz w:val="21"/>
          <w:szCs w:val="21"/>
        </w:rPr>
      </w:pPr>
      <w:r w:rsidRPr="00A05E8A">
        <w:rPr>
          <w:rFonts w:eastAsiaTheme="minorEastAsia" w:cstheme="minorBidi"/>
          <w:color w:val="auto"/>
          <w:sz w:val="21"/>
          <w:szCs w:val="21"/>
        </w:rPr>
        <w:t>Use reflection and feedback to improve practice</w:t>
      </w:r>
      <w:r w:rsidR="005533E2">
        <w:rPr>
          <w:rFonts w:eastAsiaTheme="minorEastAsia" w:cstheme="minorBidi"/>
          <w:color w:val="auto"/>
          <w:sz w:val="21"/>
          <w:szCs w:val="21"/>
        </w:rPr>
        <w:t>:</w:t>
      </w:r>
    </w:p>
    <w:p w14:paraId="050BFA55" w14:textId="77777777" w:rsidR="00A05E8A" w:rsidRPr="00A05E8A" w:rsidRDefault="00A05E8A" w:rsidP="00A05E8A">
      <w:pPr>
        <w:pStyle w:val="Heading2"/>
        <w:rPr>
          <w:rFonts w:eastAsiaTheme="minorEastAsia" w:cstheme="minorBidi"/>
          <w:color w:val="auto"/>
          <w:sz w:val="21"/>
          <w:szCs w:val="21"/>
        </w:rPr>
      </w:pPr>
      <w:r w:rsidRPr="00A05E8A">
        <w:rPr>
          <w:rFonts w:eastAsiaTheme="minorEastAsia" w:cstheme="minorBidi"/>
          <w:color w:val="auto"/>
          <w:sz w:val="21"/>
          <w:szCs w:val="21"/>
        </w:rPr>
        <w:t>A second strategy is to use reflection and constructive feedback. Nurses and student nurses can reflect on their interactions with patients and consider what they did well and what could be improved. Feedback from patients, colleagues and practice supervisors can help identify areas for further development. The NMC (2024) expects nurses to engage in continuous self-reflection and use support and feedback to develop their professional knowledge and skills.  Regular reflection can therefore help nurses become more aware of patients’ individual needs and improve the compassionate approach they use in future interactions.</w:t>
      </w:r>
    </w:p>
    <w:p w14:paraId="378F2FB3" w14:textId="77777777" w:rsidR="00A05E8A" w:rsidRPr="00A05E8A" w:rsidRDefault="00A05E8A" w:rsidP="00A05E8A">
      <w:pPr>
        <w:pStyle w:val="Heading2"/>
        <w:rPr>
          <w:rFonts w:eastAsiaTheme="minorEastAsia" w:cstheme="minorBidi"/>
          <w:color w:val="auto"/>
          <w:sz w:val="21"/>
          <w:szCs w:val="21"/>
        </w:rPr>
      </w:pPr>
    </w:p>
    <w:p w14:paraId="0B25AEF0" w14:textId="0C8E5FF7" w:rsidR="00A05E8A" w:rsidRPr="00A05E8A" w:rsidRDefault="00A05E8A" w:rsidP="00A05E8A">
      <w:pPr>
        <w:pStyle w:val="Heading2"/>
        <w:rPr>
          <w:rFonts w:eastAsiaTheme="minorEastAsia" w:cstheme="minorBidi"/>
          <w:color w:val="auto"/>
          <w:sz w:val="21"/>
          <w:szCs w:val="21"/>
        </w:rPr>
      </w:pPr>
      <w:r w:rsidRPr="00A05E8A">
        <w:rPr>
          <w:rFonts w:eastAsiaTheme="minorEastAsia" w:cstheme="minorBidi"/>
          <w:color w:val="auto"/>
          <w:sz w:val="21"/>
          <w:szCs w:val="21"/>
        </w:rPr>
        <w:t xml:space="preserve"> Develop person-centred and empathetic care</w:t>
      </w:r>
      <w:r w:rsidR="005533E2">
        <w:rPr>
          <w:rFonts w:eastAsiaTheme="minorEastAsia" w:cstheme="minorBidi"/>
          <w:color w:val="auto"/>
          <w:sz w:val="21"/>
          <w:szCs w:val="21"/>
        </w:rPr>
        <w:t>:</w:t>
      </w:r>
    </w:p>
    <w:p w14:paraId="438301EF" w14:textId="77777777" w:rsidR="00B40F2B" w:rsidRDefault="00A05E8A" w:rsidP="00A05E8A">
      <w:pPr>
        <w:pStyle w:val="Heading2"/>
        <w:rPr>
          <w:rFonts w:eastAsiaTheme="minorEastAsia" w:cstheme="minorBidi"/>
          <w:color w:val="auto"/>
          <w:sz w:val="21"/>
          <w:szCs w:val="21"/>
        </w:rPr>
      </w:pPr>
      <w:r w:rsidRPr="00A05E8A">
        <w:rPr>
          <w:rFonts w:eastAsiaTheme="minorEastAsia" w:cstheme="minorBidi"/>
          <w:color w:val="auto"/>
          <w:sz w:val="21"/>
          <w:szCs w:val="21"/>
        </w:rPr>
        <w:t>A third strategy is to develop a stronger person-centred approach by considering each patient’s individual needs, preferences, values and experiences. Nurses should avoid treating patients only according to their medical condition and instead recognise them as individuals. The NMC (2024) states that nurses should provide person-centred and sensitive care while considering people’s values, beliefs, backgrounds, language requirements and preferences.  Developing empathy and understanding patients’ perspectives can help nurses provide care with greater dignity, respect and compassion.</w:t>
      </w:r>
      <w:r>
        <w:rPr>
          <w:rFonts w:eastAsiaTheme="minorEastAsia" w:cstheme="minorBidi"/>
          <w:color w:val="auto"/>
          <w:sz w:val="21"/>
          <w:szCs w:val="21"/>
        </w:rPr>
        <w:t xml:space="preserve"> </w:t>
      </w:r>
    </w:p>
    <w:p w14:paraId="1497148C" w14:textId="21B1E8CB" w:rsidR="00A946CB" w:rsidRDefault="00A05E8A" w:rsidP="00A05E8A">
      <w:pPr>
        <w:pStyle w:val="Heading2"/>
        <w:rPr>
          <w:color w:val="4471C4"/>
        </w:rPr>
      </w:pPr>
      <w:r>
        <w:rPr>
          <w:rFonts w:eastAsiaTheme="minorEastAsia" w:cstheme="minorBidi"/>
          <w:color w:val="auto"/>
          <w:sz w:val="21"/>
          <w:szCs w:val="21"/>
        </w:rPr>
        <w:t xml:space="preserve">                                                                                                                               </w:t>
      </w:r>
      <w:r w:rsidR="00B40F2B">
        <w:rPr>
          <w:rFonts w:eastAsiaTheme="minorEastAsia" w:cstheme="minorBidi"/>
          <w:color w:val="auto"/>
          <w:sz w:val="21"/>
          <w:szCs w:val="21"/>
        </w:rPr>
        <w:t xml:space="preserve">                           </w:t>
      </w:r>
      <w:r>
        <w:rPr>
          <w:rFonts w:eastAsiaTheme="minorEastAsia" w:cstheme="minorBidi"/>
          <w:color w:val="auto"/>
          <w:sz w:val="21"/>
          <w:szCs w:val="21"/>
        </w:rPr>
        <w:t xml:space="preserve"> </w:t>
      </w:r>
      <w:r w:rsidR="5617AA6E" w:rsidRPr="0CF501EC">
        <w:rPr>
          <w:color w:val="4471C4"/>
        </w:rPr>
        <w:t>4</w:t>
      </w:r>
      <w:r w:rsidR="00A946CB" w:rsidRPr="0CF501EC">
        <w:rPr>
          <w:color w:val="4471C4"/>
        </w:rPr>
        <w:t xml:space="preserve"> Conclusion</w:t>
      </w:r>
      <w:bookmarkEnd w:id="6"/>
    </w:p>
    <w:p w14:paraId="7CDE61C6" w14:textId="77777777" w:rsidR="00A05E8A" w:rsidRPr="00A05E8A" w:rsidRDefault="00A05E8A" w:rsidP="00A05E8A"/>
    <w:p w14:paraId="3F34EF19" w14:textId="118502A0" w:rsidR="00D676C3" w:rsidRPr="00D97E59" w:rsidRDefault="006C3CE7">
      <w:pPr>
        <w:rPr>
          <w:sz w:val="22"/>
        </w:rPr>
      </w:pPr>
      <w:r w:rsidRPr="00D97E59">
        <w:rPr>
          <w:sz w:val="22"/>
        </w:rPr>
        <w:t xml:space="preserve">In conclusion, adult nurses play an essential role in the health and social care sector by providing safe, effective and person-centred care to adults. The role requires important skills such as effective communication, teamwork, and clinical judgement to meet patients’ individual needs and maintain their safety. The presentation has also highlighted strategies that can help nurses develop these skills, including simulation and role-play, multidisciplinary learning, and reflective practice. Developing these skills can improve nurses’ confidence, decision-making and ability to work effectively with patients and other healthcare professionals. Overall, skilled adult nurses contribute significantly to improving patients’ health, wellbeing and quality of life. </w:t>
      </w:r>
      <w:r w:rsidR="00D676C3" w:rsidRPr="00D97E59">
        <w:rPr>
          <w:sz w:val="22"/>
        </w:rPr>
        <w:br w:type="page"/>
      </w:r>
    </w:p>
    <w:p w14:paraId="5155B0ED" w14:textId="77777777" w:rsidR="00D676C3" w:rsidRPr="00242974" w:rsidRDefault="00D676C3" w:rsidP="00D676C3">
      <w:pPr>
        <w:pStyle w:val="ListParagraph"/>
        <w:spacing w:after="0" w:line="240" w:lineRule="auto"/>
        <w:rPr>
          <w:sz w:val="21"/>
          <w:szCs w:val="21"/>
        </w:rPr>
      </w:pPr>
    </w:p>
    <w:p w14:paraId="6C4B494D" w14:textId="77F821D3" w:rsidR="00B57F6C" w:rsidRPr="00F07DC5" w:rsidRDefault="00226D31" w:rsidP="00B57F6C">
      <w:pPr>
        <w:pStyle w:val="Heading2"/>
        <w:rPr>
          <w:color w:val="595959" w:themeColor="text1" w:themeTint="A6"/>
        </w:rPr>
      </w:pPr>
      <w:bookmarkStart w:id="7" w:name="_Toc1911583216"/>
      <w:r w:rsidRPr="0CF501EC">
        <w:rPr>
          <w:color w:val="4471C4"/>
        </w:rPr>
        <w:t>5 Reference List</w:t>
      </w:r>
      <w:bookmarkEnd w:id="7"/>
    </w:p>
    <w:p w14:paraId="10B0B50D" w14:textId="27917FD0" w:rsidR="003871CA" w:rsidRDefault="00B57F6C" w:rsidP="0033278A">
      <w:pPr>
        <w:rPr>
          <w:color w:val="595959" w:themeColor="text1" w:themeTint="A6"/>
        </w:rPr>
      </w:pPr>
      <w:r w:rsidRPr="00B57F6C">
        <w:rPr>
          <w:color w:val="595959" w:themeColor="text1" w:themeTint="A6"/>
        </w:rPr>
        <w:t>Nursing and Midwifery Council (NMC) (2023) The Code: Professional standards of practice and behaviour for nurses, midwives and nursing associates. London: Nursing and Midwifery Council. Available at: NMC – The Code</w:t>
      </w:r>
      <w:r w:rsidRPr="00B57F6C">
        <w:rPr>
          <w:rFonts w:ascii="Tahoma" w:hAnsi="Tahoma" w:cs="Tahoma"/>
          <w:color w:val="595959" w:themeColor="text1" w:themeTint="A6"/>
        </w:rPr>
        <w:t>⁠</w:t>
      </w:r>
      <w:r w:rsidRPr="00B57F6C">
        <w:rPr>
          <w:color w:val="595959" w:themeColor="text1" w:themeTint="A6"/>
        </w:rPr>
        <w:t xml:space="preserve"> (Accessed: 15 August 2026).</w:t>
      </w:r>
    </w:p>
    <w:p w14:paraId="13E10929" w14:textId="22F945D7" w:rsidR="00B57F6C" w:rsidRDefault="00DE3DE6" w:rsidP="0033278A">
      <w:pPr>
        <w:rPr>
          <w:color w:val="595959" w:themeColor="text1" w:themeTint="A6"/>
        </w:rPr>
      </w:pPr>
      <w:r w:rsidRPr="00DE3DE6">
        <w:rPr>
          <w:color w:val="595959" w:themeColor="text1" w:themeTint="A6"/>
        </w:rPr>
        <w:t>Department of Health and Social Care (2023) The NHS Constitution for England. Available at: NHS Constitution for England (Accessed: 15 August 2026)</w:t>
      </w:r>
    </w:p>
    <w:p w14:paraId="4FF91CF3" w14:textId="1CC5E6C0" w:rsidR="00DE3DE6" w:rsidRDefault="00DE3DE6" w:rsidP="0033278A">
      <w:pPr>
        <w:rPr>
          <w:color w:val="595959" w:themeColor="text1" w:themeTint="A6"/>
        </w:rPr>
      </w:pPr>
      <w:r w:rsidRPr="00DE3DE6">
        <w:rPr>
          <w:color w:val="595959" w:themeColor="text1" w:themeTint="A6"/>
        </w:rPr>
        <w:t>Nursing and Midwifery Council (NMC) (2018) The Code: Professional standards of practice and behaviour for nurses, midwives and nursing associates. Available at: NMC Code (Accessed: 15 August 2026).</w:t>
      </w:r>
    </w:p>
    <w:p w14:paraId="6F321E87" w14:textId="44914550" w:rsidR="00DE3DE6" w:rsidRDefault="00DE3DE6" w:rsidP="0033278A">
      <w:pPr>
        <w:rPr>
          <w:color w:val="595959" w:themeColor="text1" w:themeTint="A6"/>
        </w:rPr>
      </w:pPr>
      <w:r w:rsidRPr="00DE3DE6">
        <w:rPr>
          <w:color w:val="595959" w:themeColor="text1" w:themeTint="A6"/>
        </w:rPr>
        <w:t>Care Quality Commission (CQC) (2026) The fundamental standards of care. Available at: CQC: The fundamental standards of care (Accessed: 15 August 2026).</w:t>
      </w:r>
    </w:p>
    <w:p w14:paraId="141CE2A9" w14:textId="581633BD" w:rsidR="003326CB" w:rsidRDefault="003326CB" w:rsidP="0033278A">
      <w:pPr>
        <w:rPr>
          <w:color w:val="595959" w:themeColor="text1" w:themeTint="A6"/>
        </w:rPr>
      </w:pPr>
      <w:r>
        <w:t xml:space="preserve">World Health Organization (2023) </w:t>
      </w:r>
      <w:r>
        <w:rPr>
          <w:rStyle w:val="Emphasis"/>
        </w:rPr>
        <w:t>Patient safety</w:t>
      </w:r>
      <w:r>
        <w:t xml:space="preserve">. Available at: </w:t>
      </w:r>
      <w:hyperlink r:id="rId10" w:history="1">
        <w:r>
          <w:rPr>
            <w:rStyle w:val="Hyperlink"/>
          </w:rPr>
          <w:t>WHO – Patient Safety</w:t>
        </w:r>
      </w:hyperlink>
      <w:r>
        <w:t xml:space="preserve"> (Accessed: 15 August 2026).</w:t>
      </w:r>
    </w:p>
    <w:p w14:paraId="15353FB3" w14:textId="2C4A7121" w:rsidR="00DE3DE6" w:rsidRPr="00F07DC5" w:rsidRDefault="00DE3DE6" w:rsidP="0033278A">
      <w:pPr>
        <w:rPr>
          <w:color w:val="595959" w:themeColor="text1" w:themeTint="A6"/>
        </w:rPr>
      </w:pPr>
      <w:r w:rsidRPr="00DE3DE6">
        <w:rPr>
          <w:color w:val="595959" w:themeColor="text1" w:themeTint="A6"/>
        </w:rPr>
        <w:t>Nursing and Midwifery Council (NMC) (2024) The Code: Professional standards of practice and behaviour for nurses, midwives and nursing associates. London: Nursing and Midwifery Council. Available at: NMC – The Code</w:t>
      </w:r>
      <w:r w:rsidRPr="00DE3DE6">
        <w:rPr>
          <w:rFonts w:ascii="Tahoma" w:hAnsi="Tahoma" w:cs="Tahoma"/>
          <w:color w:val="595959" w:themeColor="text1" w:themeTint="A6"/>
        </w:rPr>
        <w:t>⁠</w:t>
      </w:r>
      <w:r w:rsidRPr="00DE3DE6">
        <w:rPr>
          <w:color w:val="595959" w:themeColor="text1" w:themeTint="A6"/>
        </w:rPr>
        <w:t xml:space="preserve"> (Accessed: 15 August 2026).</w:t>
      </w:r>
    </w:p>
    <w:sectPr w:rsidR="00DE3DE6" w:rsidRPr="00F07DC5" w:rsidSect="00D676C3">
      <w:headerReference w:type="even" r:id="rId11"/>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6EC7A" w14:textId="77777777" w:rsidR="00A56A7E" w:rsidRDefault="00A56A7E" w:rsidP="003C7C97">
      <w:pPr>
        <w:spacing w:after="0" w:line="240" w:lineRule="auto"/>
      </w:pPr>
      <w:r>
        <w:separator/>
      </w:r>
    </w:p>
  </w:endnote>
  <w:endnote w:type="continuationSeparator" w:id="0">
    <w:p w14:paraId="73465F99" w14:textId="77777777" w:rsidR="00A56A7E" w:rsidRDefault="00A56A7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DEBC7" w14:textId="77777777" w:rsidR="00A56A7E" w:rsidRDefault="00A56A7E" w:rsidP="003C7C97">
      <w:pPr>
        <w:spacing w:after="0" w:line="240" w:lineRule="auto"/>
      </w:pPr>
      <w:r>
        <w:separator/>
      </w:r>
    </w:p>
  </w:footnote>
  <w:footnote w:type="continuationSeparator" w:id="0">
    <w:p w14:paraId="4748A060" w14:textId="77777777" w:rsidR="00A56A7E" w:rsidRDefault="00A56A7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A56A7E">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7AAA6D0E"/>
    <w:lvl w:ilvl="0" w:tplc="0E80B3B0">
      <w:start w:val="1"/>
      <w:numFmt w:val="bullet"/>
      <w:lvlText w:val=""/>
      <w:lvlJc w:val="left"/>
      <w:pPr>
        <w:ind w:left="720" w:hanging="360"/>
      </w:pPr>
      <w:rPr>
        <w:rFonts w:ascii="Symbol" w:hAnsi="Symbol" w:hint="default"/>
      </w:rPr>
    </w:lvl>
    <w:lvl w:ilvl="1" w:tplc="13C48D1E">
      <w:start w:val="1"/>
      <w:numFmt w:val="bullet"/>
      <w:lvlText w:val="o"/>
      <w:lvlJc w:val="left"/>
      <w:pPr>
        <w:ind w:left="1440" w:hanging="360"/>
      </w:pPr>
      <w:rPr>
        <w:rFonts w:ascii="Courier New" w:hAnsi="Courier New" w:hint="default"/>
      </w:rPr>
    </w:lvl>
    <w:lvl w:ilvl="2" w:tplc="63AACD22">
      <w:start w:val="1"/>
      <w:numFmt w:val="bullet"/>
      <w:lvlText w:val=""/>
      <w:lvlJc w:val="left"/>
      <w:pPr>
        <w:ind w:left="2160" w:hanging="360"/>
      </w:pPr>
      <w:rPr>
        <w:rFonts w:ascii="Wingdings" w:hAnsi="Wingdings" w:hint="default"/>
      </w:rPr>
    </w:lvl>
    <w:lvl w:ilvl="3" w:tplc="3D50A3EC">
      <w:start w:val="1"/>
      <w:numFmt w:val="bullet"/>
      <w:lvlText w:val=""/>
      <w:lvlJc w:val="left"/>
      <w:pPr>
        <w:ind w:left="2880" w:hanging="360"/>
      </w:pPr>
      <w:rPr>
        <w:rFonts w:ascii="Symbol" w:hAnsi="Symbol" w:hint="default"/>
      </w:rPr>
    </w:lvl>
    <w:lvl w:ilvl="4" w:tplc="34F4C456">
      <w:start w:val="1"/>
      <w:numFmt w:val="bullet"/>
      <w:lvlText w:val="o"/>
      <w:lvlJc w:val="left"/>
      <w:pPr>
        <w:ind w:left="3600" w:hanging="360"/>
      </w:pPr>
      <w:rPr>
        <w:rFonts w:ascii="Courier New" w:hAnsi="Courier New" w:hint="default"/>
      </w:rPr>
    </w:lvl>
    <w:lvl w:ilvl="5" w:tplc="B4581B66">
      <w:start w:val="1"/>
      <w:numFmt w:val="bullet"/>
      <w:lvlText w:val=""/>
      <w:lvlJc w:val="left"/>
      <w:pPr>
        <w:ind w:left="4320" w:hanging="360"/>
      </w:pPr>
      <w:rPr>
        <w:rFonts w:ascii="Wingdings" w:hAnsi="Wingdings" w:hint="default"/>
      </w:rPr>
    </w:lvl>
    <w:lvl w:ilvl="6" w:tplc="755CCCD4">
      <w:start w:val="1"/>
      <w:numFmt w:val="bullet"/>
      <w:lvlText w:val=""/>
      <w:lvlJc w:val="left"/>
      <w:pPr>
        <w:ind w:left="5040" w:hanging="360"/>
      </w:pPr>
      <w:rPr>
        <w:rFonts w:ascii="Symbol" w:hAnsi="Symbol" w:hint="default"/>
      </w:rPr>
    </w:lvl>
    <w:lvl w:ilvl="7" w:tplc="58762782">
      <w:start w:val="1"/>
      <w:numFmt w:val="bullet"/>
      <w:lvlText w:val="o"/>
      <w:lvlJc w:val="left"/>
      <w:pPr>
        <w:ind w:left="5760" w:hanging="360"/>
      </w:pPr>
      <w:rPr>
        <w:rFonts w:ascii="Courier New" w:hAnsi="Courier New" w:hint="default"/>
      </w:rPr>
    </w:lvl>
    <w:lvl w:ilvl="8" w:tplc="FFB4435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B70CD28"/>
    <w:lvl w:ilvl="0" w:tplc="331AFC82">
      <w:start w:val="1"/>
      <w:numFmt w:val="bullet"/>
      <w:lvlText w:val=""/>
      <w:lvlJc w:val="left"/>
      <w:pPr>
        <w:ind w:left="720" w:hanging="360"/>
      </w:pPr>
      <w:rPr>
        <w:rFonts w:ascii="Symbol" w:hAnsi="Symbol" w:hint="default"/>
      </w:rPr>
    </w:lvl>
    <w:lvl w:ilvl="1" w:tplc="983EFA54">
      <w:start w:val="1"/>
      <w:numFmt w:val="bullet"/>
      <w:lvlText w:val="o"/>
      <w:lvlJc w:val="left"/>
      <w:pPr>
        <w:ind w:left="1440" w:hanging="360"/>
      </w:pPr>
      <w:rPr>
        <w:rFonts w:ascii="Courier New" w:hAnsi="Courier New" w:hint="default"/>
      </w:rPr>
    </w:lvl>
    <w:lvl w:ilvl="2" w:tplc="365483E2">
      <w:start w:val="1"/>
      <w:numFmt w:val="bullet"/>
      <w:lvlText w:val=""/>
      <w:lvlJc w:val="left"/>
      <w:pPr>
        <w:ind w:left="2160" w:hanging="360"/>
      </w:pPr>
      <w:rPr>
        <w:rFonts w:ascii="Wingdings" w:hAnsi="Wingdings" w:hint="default"/>
      </w:rPr>
    </w:lvl>
    <w:lvl w:ilvl="3" w:tplc="10308220">
      <w:start w:val="1"/>
      <w:numFmt w:val="bullet"/>
      <w:lvlText w:val=""/>
      <w:lvlJc w:val="left"/>
      <w:pPr>
        <w:ind w:left="2880" w:hanging="360"/>
      </w:pPr>
      <w:rPr>
        <w:rFonts w:ascii="Symbol" w:hAnsi="Symbol" w:hint="default"/>
      </w:rPr>
    </w:lvl>
    <w:lvl w:ilvl="4" w:tplc="7C82233A">
      <w:start w:val="1"/>
      <w:numFmt w:val="bullet"/>
      <w:lvlText w:val="o"/>
      <w:lvlJc w:val="left"/>
      <w:pPr>
        <w:ind w:left="3600" w:hanging="360"/>
      </w:pPr>
      <w:rPr>
        <w:rFonts w:ascii="Courier New" w:hAnsi="Courier New" w:hint="default"/>
      </w:rPr>
    </w:lvl>
    <w:lvl w:ilvl="5" w:tplc="B0C4D4E6">
      <w:start w:val="1"/>
      <w:numFmt w:val="bullet"/>
      <w:lvlText w:val=""/>
      <w:lvlJc w:val="left"/>
      <w:pPr>
        <w:ind w:left="4320" w:hanging="360"/>
      </w:pPr>
      <w:rPr>
        <w:rFonts w:ascii="Wingdings" w:hAnsi="Wingdings" w:hint="default"/>
      </w:rPr>
    </w:lvl>
    <w:lvl w:ilvl="6" w:tplc="2AC04D14">
      <w:start w:val="1"/>
      <w:numFmt w:val="bullet"/>
      <w:lvlText w:val=""/>
      <w:lvlJc w:val="left"/>
      <w:pPr>
        <w:ind w:left="5040" w:hanging="360"/>
      </w:pPr>
      <w:rPr>
        <w:rFonts w:ascii="Symbol" w:hAnsi="Symbol" w:hint="default"/>
      </w:rPr>
    </w:lvl>
    <w:lvl w:ilvl="7" w:tplc="6570F586">
      <w:start w:val="1"/>
      <w:numFmt w:val="bullet"/>
      <w:lvlText w:val="o"/>
      <w:lvlJc w:val="left"/>
      <w:pPr>
        <w:ind w:left="5760" w:hanging="360"/>
      </w:pPr>
      <w:rPr>
        <w:rFonts w:ascii="Courier New" w:hAnsi="Courier New" w:hint="default"/>
      </w:rPr>
    </w:lvl>
    <w:lvl w:ilvl="8" w:tplc="C8AE302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F3A2AE8"/>
    <w:lvl w:ilvl="0" w:tplc="70D4F0F6">
      <w:start w:val="1"/>
      <w:numFmt w:val="bullet"/>
      <w:lvlText w:val=""/>
      <w:lvlJc w:val="left"/>
      <w:pPr>
        <w:ind w:left="720" w:hanging="360"/>
      </w:pPr>
      <w:rPr>
        <w:rFonts w:ascii="Symbol" w:hAnsi="Symbol" w:hint="default"/>
      </w:rPr>
    </w:lvl>
    <w:lvl w:ilvl="1" w:tplc="9E60757A">
      <w:start w:val="1"/>
      <w:numFmt w:val="bullet"/>
      <w:lvlText w:val="o"/>
      <w:lvlJc w:val="left"/>
      <w:pPr>
        <w:ind w:left="1440" w:hanging="360"/>
      </w:pPr>
      <w:rPr>
        <w:rFonts w:ascii="Courier New" w:hAnsi="Courier New" w:hint="default"/>
      </w:rPr>
    </w:lvl>
    <w:lvl w:ilvl="2" w:tplc="3A2E4B0C">
      <w:start w:val="1"/>
      <w:numFmt w:val="bullet"/>
      <w:lvlText w:val=""/>
      <w:lvlJc w:val="left"/>
      <w:pPr>
        <w:ind w:left="2160" w:hanging="360"/>
      </w:pPr>
      <w:rPr>
        <w:rFonts w:ascii="Wingdings" w:hAnsi="Wingdings" w:hint="default"/>
      </w:rPr>
    </w:lvl>
    <w:lvl w:ilvl="3" w:tplc="5C12ADCE">
      <w:start w:val="1"/>
      <w:numFmt w:val="bullet"/>
      <w:lvlText w:val=""/>
      <w:lvlJc w:val="left"/>
      <w:pPr>
        <w:ind w:left="2880" w:hanging="360"/>
      </w:pPr>
      <w:rPr>
        <w:rFonts w:ascii="Symbol" w:hAnsi="Symbol" w:hint="default"/>
      </w:rPr>
    </w:lvl>
    <w:lvl w:ilvl="4" w:tplc="4D36A1A0">
      <w:start w:val="1"/>
      <w:numFmt w:val="bullet"/>
      <w:lvlText w:val="o"/>
      <w:lvlJc w:val="left"/>
      <w:pPr>
        <w:ind w:left="3600" w:hanging="360"/>
      </w:pPr>
      <w:rPr>
        <w:rFonts w:ascii="Courier New" w:hAnsi="Courier New" w:hint="default"/>
      </w:rPr>
    </w:lvl>
    <w:lvl w:ilvl="5" w:tplc="07C091F8">
      <w:start w:val="1"/>
      <w:numFmt w:val="bullet"/>
      <w:lvlText w:val=""/>
      <w:lvlJc w:val="left"/>
      <w:pPr>
        <w:ind w:left="4320" w:hanging="360"/>
      </w:pPr>
      <w:rPr>
        <w:rFonts w:ascii="Wingdings" w:hAnsi="Wingdings" w:hint="default"/>
      </w:rPr>
    </w:lvl>
    <w:lvl w:ilvl="6" w:tplc="63E2370A">
      <w:start w:val="1"/>
      <w:numFmt w:val="bullet"/>
      <w:lvlText w:val=""/>
      <w:lvlJc w:val="left"/>
      <w:pPr>
        <w:ind w:left="5040" w:hanging="360"/>
      </w:pPr>
      <w:rPr>
        <w:rFonts w:ascii="Symbol" w:hAnsi="Symbol" w:hint="default"/>
      </w:rPr>
    </w:lvl>
    <w:lvl w:ilvl="7" w:tplc="DF58EFAA">
      <w:start w:val="1"/>
      <w:numFmt w:val="bullet"/>
      <w:lvlText w:val="o"/>
      <w:lvlJc w:val="left"/>
      <w:pPr>
        <w:ind w:left="5760" w:hanging="360"/>
      </w:pPr>
      <w:rPr>
        <w:rFonts w:ascii="Courier New" w:hAnsi="Courier New" w:hint="default"/>
      </w:rPr>
    </w:lvl>
    <w:lvl w:ilvl="8" w:tplc="0320549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C4767CB8"/>
    <w:lvl w:ilvl="0" w:tplc="3B5ED71C">
      <w:start w:val="1"/>
      <w:numFmt w:val="bullet"/>
      <w:lvlText w:val=""/>
      <w:lvlJc w:val="left"/>
      <w:pPr>
        <w:ind w:left="720" w:hanging="360"/>
      </w:pPr>
      <w:rPr>
        <w:rFonts w:ascii="Symbol" w:hAnsi="Symbol" w:hint="default"/>
      </w:rPr>
    </w:lvl>
    <w:lvl w:ilvl="1" w:tplc="FB22F1D6">
      <w:start w:val="1"/>
      <w:numFmt w:val="bullet"/>
      <w:lvlText w:val="o"/>
      <w:lvlJc w:val="left"/>
      <w:pPr>
        <w:ind w:left="1440" w:hanging="360"/>
      </w:pPr>
      <w:rPr>
        <w:rFonts w:ascii="Courier New" w:hAnsi="Courier New" w:hint="default"/>
      </w:rPr>
    </w:lvl>
    <w:lvl w:ilvl="2" w:tplc="669CFF6E">
      <w:start w:val="1"/>
      <w:numFmt w:val="bullet"/>
      <w:lvlText w:val=""/>
      <w:lvlJc w:val="left"/>
      <w:pPr>
        <w:ind w:left="2160" w:hanging="360"/>
      </w:pPr>
      <w:rPr>
        <w:rFonts w:ascii="Wingdings" w:hAnsi="Wingdings" w:hint="default"/>
      </w:rPr>
    </w:lvl>
    <w:lvl w:ilvl="3" w:tplc="C4884A84">
      <w:start w:val="1"/>
      <w:numFmt w:val="bullet"/>
      <w:lvlText w:val=""/>
      <w:lvlJc w:val="left"/>
      <w:pPr>
        <w:ind w:left="2880" w:hanging="360"/>
      </w:pPr>
      <w:rPr>
        <w:rFonts w:ascii="Symbol" w:hAnsi="Symbol" w:hint="default"/>
      </w:rPr>
    </w:lvl>
    <w:lvl w:ilvl="4" w:tplc="2392219E">
      <w:start w:val="1"/>
      <w:numFmt w:val="bullet"/>
      <w:lvlText w:val="o"/>
      <w:lvlJc w:val="left"/>
      <w:pPr>
        <w:ind w:left="3600" w:hanging="360"/>
      </w:pPr>
      <w:rPr>
        <w:rFonts w:ascii="Courier New" w:hAnsi="Courier New" w:hint="default"/>
      </w:rPr>
    </w:lvl>
    <w:lvl w:ilvl="5" w:tplc="1E8640B6">
      <w:start w:val="1"/>
      <w:numFmt w:val="bullet"/>
      <w:lvlText w:val=""/>
      <w:lvlJc w:val="left"/>
      <w:pPr>
        <w:ind w:left="4320" w:hanging="360"/>
      </w:pPr>
      <w:rPr>
        <w:rFonts w:ascii="Wingdings" w:hAnsi="Wingdings" w:hint="default"/>
      </w:rPr>
    </w:lvl>
    <w:lvl w:ilvl="6" w:tplc="DEF04874">
      <w:start w:val="1"/>
      <w:numFmt w:val="bullet"/>
      <w:lvlText w:val=""/>
      <w:lvlJc w:val="left"/>
      <w:pPr>
        <w:ind w:left="5040" w:hanging="360"/>
      </w:pPr>
      <w:rPr>
        <w:rFonts w:ascii="Symbol" w:hAnsi="Symbol" w:hint="default"/>
      </w:rPr>
    </w:lvl>
    <w:lvl w:ilvl="7" w:tplc="225C7886">
      <w:start w:val="1"/>
      <w:numFmt w:val="bullet"/>
      <w:lvlText w:val="o"/>
      <w:lvlJc w:val="left"/>
      <w:pPr>
        <w:ind w:left="5760" w:hanging="360"/>
      </w:pPr>
      <w:rPr>
        <w:rFonts w:ascii="Courier New" w:hAnsi="Courier New" w:hint="default"/>
      </w:rPr>
    </w:lvl>
    <w:lvl w:ilvl="8" w:tplc="4D7011CE">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383CE3BA"/>
    <w:lvl w:ilvl="0" w:tplc="FBAED662">
      <w:start w:val="1"/>
      <w:numFmt w:val="bullet"/>
      <w:lvlText w:val=""/>
      <w:lvlJc w:val="left"/>
      <w:pPr>
        <w:ind w:left="720" w:hanging="360"/>
      </w:pPr>
      <w:rPr>
        <w:rFonts w:ascii="Symbol" w:hAnsi="Symbol" w:hint="default"/>
      </w:rPr>
    </w:lvl>
    <w:lvl w:ilvl="1" w:tplc="00169B0C">
      <w:start w:val="1"/>
      <w:numFmt w:val="bullet"/>
      <w:lvlText w:val="o"/>
      <w:lvlJc w:val="left"/>
      <w:pPr>
        <w:ind w:left="1440" w:hanging="360"/>
      </w:pPr>
      <w:rPr>
        <w:rFonts w:ascii="Courier New" w:hAnsi="Courier New" w:hint="default"/>
      </w:rPr>
    </w:lvl>
    <w:lvl w:ilvl="2" w:tplc="AA3A0BE6">
      <w:start w:val="1"/>
      <w:numFmt w:val="bullet"/>
      <w:lvlText w:val=""/>
      <w:lvlJc w:val="left"/>
      <w:pPr>
        <w:ind w:left="2160" w:hanging="360"/>
      </w:pPr>
      <w:rPr>
        <w:rFonts w:ascii="Wingdings" w:hAnsi="Wingdings" w:hint="default"/>
      </w:rPr>
    </w:lvl>
    <w:lvl w:ilvl="3" w:tplc="EAE61424">
      <w:start w:val="1"/>
      <w:numFmt w:val="bullet"/>
      <w:lvlText w:val=""/>
      <w:lvlJc w:val="left"/>
      <w:pPr>
        <w:ind w:left="2880" w:hanging="360"/>
      </w:pPr>
      <w:rPr>
        <w:rFonts w:ascii="Symbol" w:hAnsi="Symbol" w:hint="default"/>
      </w:rPr>
    </w:lvl>
    <w:lvl w:ilvl="4" w:tplc="03727930">
      <w:start w:val="1"/>
      <w:numFmt w:val="bullet"/>
      <w:lvlText w:val="o"/>
      <w:lvlJc w:val="left"/>
      <w:pPr>
        <w:ind w:left="3600" w:hanging="360"/>
      </w:pPr>
      <w:rPr>
        <w:rFonts w:ascii="Courier New" w:hAnsi="Courier New" w:hint="default"/>
      </w:rPr>
    </w:lvl>
    <w:lvl w:ilvl="5" w:tplc="98928C6E">
      <w:start w:val="1"/>
      <w:numFmt w:val="bullet"/>
      <w:lvlText w:val=""/>
      <w:lvlJc w:val="left"/>
      <w:pPr>
        <w:ind w:left="4320" w:hanging="360"/>
      </w:pPr>
      <w:rPr>
        <w:rFonts w:ascii="Wingdings" w:hAnsi="Wingdings" w:hint="default"/>
      </w:rPr>
    </w:lvl>
    <w:lvl w:ilvl="6" w:tplc="EFF084D6">
      <w:start w:val="1"/>
      <w:numFmt w:val="bullet"/>
      <w:lvlText w:val=""/>
      <w:lvlJc w:val="left"/>
      <w:pPr>
        <w:ind w:left="5040" w:hanging="360"/>
      </w:pPr>
      <w:rPr>
        <w:rFonts w:ascii="Symbol" w:hAnsi="Symbol" w:hint="default"/>
      </w:rPr>
    </w:lvl>
    <w:lvl w:ilvl="7" w:tplc="745E9EAA">
      <w:start w:val="1"/>
      <w:numFmt w:val="bullet"/>
      <w:lvlText w:val="o"/>
      <w:lvlJc w:val="left"/>
      <w:pPr>
        <w:ind w:left="5760" w:hanging="360"/>
      </w:pPr>
      <w:rPr>
        <w:rFonts w:ascii="Courier New" w:hAnsi="Courier New" w:hint="default"/>
      </w:rPr>
    </w:lvl>
    <w:lvl w:ilvl="8" w:tplc="62023A7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A087DA8"/>
    <w:lvl w:ilvl="0" w:tplc="07B88EFE">
      <w:start w:val="1"/>
      <w:numFmt w:val="bullet"/>
      <w:lvlText w:val=""/>
      <w:lvlJc w:val="left"/>
      <w:pPr>
        <w:ind w:left="720" w:hanging="360"/>
      </w:pPr>
      <w:rPr>
        <w:rFonts w:ascii="Symbol" w:hAnsi="Symbol" w:hint="default"/>
      </w:rPr>
    </w:lvl>
    <w:lvl w:ilvl="1" w:tplc="45567B34">
      <w:start w:val="1"/>
      <w:numFmt w:val="bullet"/>
      <w:lvlText w:val="o"/>
      <w:lvlJc w:val="left"/>
      <w:pPr>
        <w:ind w:left="1440" w:hanging="360"/>
      </w:pPr>
      <w:rPr>
        <w:rFonts w:ascii="Courier New" w:hAnsi="Courier New" w:hint="default"/>
      </w:rPr>
    </w:lvl>
    <w:lvl w:ilvl="2" w:tplc="004CB6D8">
      <w:start w:val="1"/>
      <w:numFmt w:val="bullet"/>
      <w:lvlText w:val=""/>
      <w:lvlJc w:val="left"/>
      <w:pPr>
        <w:ind w:left="2160" w:hanging="360"/>
      </w:pPr>
      <w:rPr>
        <w:rFonts w:ascii="Wingdings" w:hAnsi="Wingdings" w:hint="default"/>
      </w:rPr>
    </w:lvl>
    <w:lvl w:ilvl="3" w:tplc="0EC045D6">
      <w:start w:val="1"/>
      <w:numFmt w:val="bullet"/>
      <w:lvlText w:val=""/>
      <w:lvlJc w:val="left"/>
      <w:pPr>
        <w:ind w:left="2880" w:hanging="360"/>
      </w:pPr>
      <w:rPr>
        <w:rFonts w:ascii="Symbol" w:hAnsi="Symbol" w:hint="default"/>
      </w:rPr>
    </w:lvl>
    <w:lvl w:ilvl="4" w:tplc="A41677B4">
      <w:start w:val="1"/>
      <w:numFmt w:val="bullet"/>
      <w:lvlText w:val="o"/>
      <w:lvlJc w:val="left"/>
      <w:pPr>
        <w:ind w:left="3600" w:hanging="360"/>
      </w:pPr>
      <w:rPr>
        <w:rFonts w:ascii="Courier New" w:hAnsi="Courier New" w:hint="default"/>
      </w:rPr>
    </w:lvl>
    <w:lvl w:ilvl="5" w:tplc="98FEC010">
      <w:start w:val="1"/>
      <w:numFmt w:val="bullet"/>
      <w:lvlText w:val=""/>
      <w:lvlJc w:val="left"/>
      <w:pPr>
        <w:ind w:left="4320" w:hanging="360"/>
      </w:pPr>
      <w:rPr>
        <w:rFonts w:ascii="Wingdings" w:hAnsi="Wingdings" w:hint="default"/>
      </w:rPr>
    </w:lvl>
    <w:lvl w:ilvl="6" w:tplc="A978FC4E">
      <w:start w:val="1"/>
      <w:numFmt w:val="bullet"/>
      <w:lvlText w:val=""/>
      <w:lvlJc w:val="left"/>
      <w:pPr>
        <w:ind w:left="5040" w:hanging="360"/>
      </w:pPr>
      <w:rPr>
        <w:rFonts w:ascii="Symbol" w:hAnsi="Symbol" w:hint="default"/>
      </w:rPr>
    </w:lvl>
    <w:lvl w:ilvl="7" w:tplc="C8786084">
      <w:start w:val="1"/>
      <w:numFmt w:val="bullet"/>
      <w:lvlText w:val="o"/>
      <w:lvlJc w:val="left"/>
      <w:pPr>
        <w:ind w:left="5760" w:hanging="360"/>
      </w:pPr>
      <w:rPr>
        <w:rFonts w:ascii="Courier New" w:hAnsi="Courier New" w:hint="default"/>
      </w:rPr>
    </w:lvl>
    <w:lvl w:ilvl="8" w:tplc="FE42CA7E">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6"/>
  </w:num>
  <w:num w:numId="11">
    <w:abstractNumId w:val="21"/>
  </w:num>
  <w:num w:numId="12">
    <w:abstractNumId w:val="22"/>
  </w:num>
  <w:num w:numId="13">
    <w:abstractNumId w:val="27"/>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29"/>
  </w:num>
  <w:num w:numId="24">
    <w:abstractNumId w:val="24"/>
  </w:num>
  <w:num w:numId="25">
    <w:abstractNumId w:val="9"/>
  </w:num>
  <w:num w:numId="26">
    <w:abstractNumId w:val="19"/>
  </w:num>
  <w:num w:numId="27">
    <w:abstractNumId w:val="31"/>
  </w:num>
  <w:num w:numId="28">
    <w:abstractNumId w:val="0"/>
  </w:num>
  <w:num w:numId="29">
    <w:abstractNumId w:val="25"/>
  </w:num>
  <w:num w:numId="30">
    <w:abstractNumId w:val="28"/>
  </w:num>
  <w:num w:numId="31">
    <w:abstractNumId w:val="30"/>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E40"/>
    <w:rsid w:val="0001715D"/>
    <w:rsid w:val="00022C42"/>
    <w:rsid w:val="00027B15"/>
    <w:rsid w:val="00030A05"/>
    <w:rsid w:val="00070818"/>
    <w:rsid w:val="0008238F"/>
    <w:rsid w:val="00082EC6"/>
    <w:rsid w:val="00085388"/>
    <w:rsid w:val="000872B8"/>
    <w:rsid w:val="000D41DC"/>
    <w:rsid w:val="000F26FD"/>
    <w:rsid w:val="00114DA6"/>
    <w:rsid w:val="001156C2"/>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6058B"/>
    <w:rsid w:val="002976D4"/>
    <w:rsid w:val="002A5577"/>
    <w:rsid w:val="002A7E49"/>
    <w:rsid w:val="002B4AA4"/>
    <w:rsid w:val="002E7008"/>
    <w:rsid w:val="002E71BA"/>
    <w:rsid w:val="002F5066"/>
    <w:rsid w:val="003003FD"/>
    <w:rsid w:val="00307FBE"/>
    <w:rsid w:val="00310245"/>
    <w:rsid w:val="00316C95"/>
    <w:rsid w:val="003326CB"/>
    <w:rsid w:val="0033278A"/>
    <w:rsid w:val="003458DB"/>
    <w:rsid w:val="003523D3"/>
    <w:rsid w:val="00364C35"/>
    <w:rsid w:val="003727EE"/>
    <w:rsid w:val="003871CA"/>
    <w:rsid w:val="00396F60"/>
    <w:rsid w:val="003A51D6"/>
    <w:rsid w:val="003B125E"/>
    <w:rsid w:val="003B2A5E"/>
    <w:rsid w:val="003C7C97"/>
    <w:rsid w:val="00400B16"/>
    <w:rsid w:val="004036D0"/>
    <w:rsid w:val="00406B8D"/>
    <w:rsid w:val="00410068"/>
    <w:rsid w:val="0041618E"/>
    <w:rsid w:val="0042295C"/>
    <w:rsid w:val="00426EEC"/>
    <w:rsid w:val="004466C3"/>
    <w:rsid w:val="004552CE"/>
    <w:rsid w:val="00481FF7"/>
    <w:rsid w:val="00500295"/>
    <w:rsid w:val="00501AAF"/>
    <w:rsid w:val="00527AFA"/>
    <w:rsid w:val="005419DA"/>
    <w:rsid w:val="00550973"/>
    <w:rsid w:val="005533E2"/>
    <w:rsid w:val="0056521B"/>
    <w:rsid w:val="005678AC"/>
    <w:rsid w:val="005679BD"/>
    <w:rsid w:val="005709B1"/>
    <w:rsid w:val="005720B8"/>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563F0"/>
    <w:rsid w:val="00661758"/>
    <w:rsid w:val="0067612C"/>
    <w:rsid w:val="00676FEB"/>
    <w:rsid w:val="006912C4"/>
    <w:rsid w:val="006A5CFC"/>
    <w:rsid w:val="006C3CE7"/>
    <w:rsid w:val="006C5138"/>
    <w:rsid w:val="006C689B"/>
    <w:rsid w:val="006E005C"/>
    <w:rsid w:val="006E6EE5"/>
    <w:rsid w:val="006F0029"/>
    <w:rsid w:val="00712298"/>
    <w:rsid w:val="007138EF"/>
    <w:rsid w:val="007632A9"/>
    <w:rsid w:val="00774092"/>
    <w:rsid w:val="00782830"/>
    <w:rsid w:val="00783921"/>
    <w:rsid w:val="0078664A"/>
    <w:rsid w:val="007B0F6D"/>
    <w:rsid w:val="007C62C3"/>
    <w:rsid w:val="007D25AA"/>
    <w:rsid w:val="007F0873"/>
    <w:rsid w:val="00805726"/>
    <w:rsid w:val="00815117"/>
    <w:rsid w:val="00824CB1"/>
    <w:rsid w:val="008520F8"/>
    <w:rsid w:val="0085543A"/>
    <w:rsid w:val="00855F34"/>
    <w:rsid w:val="008826B6"/>
    <w:rsid w:val="008B0B22"/>
    <w:rsid w:val="008C58B0"/>
    <w:rsid w:val="008C591B"/>
    <w:rsid w:val="008C6182"/>
    <w:rsid w:val="008E2FAE"/>
    <w:rsid w:val="0090779E"/>
    <w:rsid w:val="00913070"/>
    <w:rsid w:val="00926458"/>
    <w:rsid w:val="00933720"/>
    <w:rsid w:val="009C7E52"/>
    <w:rsid w:val="009E4934"/>
    <w:rsid w:val="009F40A7"/>
    <w:rsid w:val="009F5CE6"/>
    <w:rsid w:val="00A035CD"/>
    <w:rsid w:val="00A05E8A"/>
    <w:rsid w:val="00A25E05"/>
    <w:rsid w:val="00A50E80"/>
    <w:rsid w:val="00A513B0"/>
    <w:rsid w:val="00A56A7E"/>
    <w:rsid w:val="00A63F7F"/>
    <w:rsid w:val="00A667CE"/>
    <w:rsid w:val="00A75042"/>
    <w:rsid w:val="00A774BC"/>
    <w:rsid w:val="00A82678"/>
    <w:rsid w:val="00A946CB"/>
    <w:rsid w:val="00AA77C8"/>
    <w:rsid w:val="00AC7BE2"/>
    <w:rsid w:val="00AE35BF"/>
    <w:rsid w:val="00B07EAD"/>
    <w:rsid w:val="00B1067E"/>
    <w:rsid w:val="00B40F2B"/>
    <w:rsid w:val="00B57F6C"/>
    <w:rsid w:val="00B81790"/>
    <w:rsid w:val="00B81BBC"/>
    <w:rsid w:val="00BD03D5"/>
    <w:rsid w:val="00C3215E"/>
    <w:rsid w:val="00C45272"/>
    <w:rsid w:val="00C47770"/>
    <w:rsid w:val="00C75856"/>
    <w:rsid w:val="00C85A7C"/>
    <w:rsid w:val="00C95214"/>
    <w:rsid w:val="00C96586"/>
    <w:rsid w:val="00CC3F59"/>
    <w:rsid w:val="00CD4774"/>
    <w:rsid w:val="00CE1732"/>
    <w:rsid w:val="00D10AAF"/>
    <w:rsid w:val="00D23D4E"/>
    <w:rsid w:val="00D27540"/>
    <w:rsid w:val="00D4006B"/>
    <w:rsid w:val="00D40D7A"/>
    <w:rsid w:val="00D46ED1"/>
    <w:rsid w:val="00D52C08"/>
    <w:rsid w:val="00D64A0D"/>
    <w:rsid w:val="00D676C3"/>
    <w:rsid w:val="00D750B4"/>
    <w:rsid w:val="00D81C18"/>
    <w:rsid w:val="00D8461A"/>
    <w:rsid w:val="00D95CAF"/>
    <w:rsid w:val="00D97E59"/>
    <w:rsid w:val="00DB60B6"/>
    <w:rsid w:val="00DC1CC6"/>
    <w:rsid w:val="00DD5135"/>
    <w:rsid w:val="00DE3DE6"/>
    <w:rsid w:val="00E067A8"/>
    <w:rsid w:val="00E13924"/>
    <w:rsid w:val="00E15FD5"/>
    <w:rsid w:val="00E1725A"/>
    <w:rsid w:val="00E33758"/>
    <w:rsid w:val="00E53E5E"/>
    <w:rsid w:val="00E64325"/>
    <w:rsid w:val="00E673C5"/>
    <w:rsid w:val="00E67967"/>
    <w:rsid w:val="00E77C6E"/>
    <w:rsid w:val="00E82723"/>
    <w:rsid w:val="00E97ABE"/>
    <w:rsid w:val="00EA29A5"/>
    <w:rsid w:val="00EC107C"/>
    <w:rsid w:val="00EC7EBE"/>
    <w:rsid w:val="00EC7FD2"/>
    <w:rsid w:val="00ED5964"/>
    <w:rsid w:val="00F07DC5"/>
    <w:rsid w:val="00F1720B"/>
    <w:rsid w:val="00F36ADC"/>
    <w:rsid w:val="00F605C6"/>
    <w:rsid w:val="00F6785B"/>
    <w:rsid w:val="00F9012D"/>
    <w:rsid w:val="00F915D6"/>
    <w:rsid w:val="00FF121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multiline">
    <w:name w:val="multiline"/>
    <w:basedOn w:val="DefaultParagraphFont"/>
    <w:rsid w:val="000F26FD"/>
  </w:style>
  <w:style w:type="paragraph" w:customStyle="1" w:styleId="isselectedend">
    <w:name w:val="isselectedend"/>
    <w:basedOn w:val="Normal"/>
    <w:rsid w:val="00400B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96615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who.int/news-room/fact-sheets/detail/patient-safety?utm_source=chatgpt.com" TargetMode="External"/><Relationship Id="rId4" Type="http://schemas.openxmlformats.org/officeDocument/2006/relationships/settings" Target="settings.xml"/><Relationship Id="rId9" Type="http://schemas.openxmlformats.org/officeDocument/2006/relationships/hyperlink" Target="https://moodle.uwtsd.ac.uk/course/view.php?id=1075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6764</TotalTime>
  <Pages>6</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Missara Altom Hamed</cp:lastModifiedBy>
  <cp:revision>36</cp:revision>
  <dcterms:created xsi:type="dcterms:W3CDTF">2026-08-07T21:49:00Z</dcterms:created>
  <dcterms:modified xsi:type="dcterms:W3CDTF">2026-08-19T19:09:00Z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