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B9D177" w14:textId="7D94DAB7" w:rsidR="001D324F" w:rsidRPr="0001473E" w:rsidRDefault="007C1E4D" w:rsidP="0001473E">
      <w:pPr>
        <w:spacing w:line="360" w:lineRule="auto"/>
        <w:rPr>
          <w:rFonts w:ascii="Times New Roman" w:hAnsi="Times New Roman" w:cs="Times New Roman"/>
          <w:b/>
          <w:sz w:val="24"/>
          <w:szCs w:val="24"/>
          <w:u w:val="single"/>
          <w:lang w:bidi="he-IL"/>
        </w:rPr>
      </w:pPr>
      <w:r w:rsidRPr="0001473E">
        <w:rPr>
          <w:rFonts w:ascii="Times New Roman" w:hAnsi="Times New Roman" w:cs="Times New Roman"/>
          <w:b/>
          <w:sz w:val="24"/>
          <w:szCs w:val="24"/>
          <w:u w:val="single"/>
          <w:lang w:bidi="he-IL"/>
        </w:rPr>
        <w:t>Eliade, M. </w:t>
      </w:r>
      <w:r w:rsidRPr="0001473E">
        <w:rPr>
          <w:rFonts w:ascii="Times New Roman" w:hAnsi="Times New Roman" w:cs="Times New Roman"/>
          <w:b/>
          <w:i/>
          <w:iCs/>
          <w:sz w:val="24"/>
          <w:szCs w:val="24"/>
          <w:u w:val="single"/>
          <w:lang w:bidi="he-IL"/>
        </w:rPr>
        <w:t>The Sacred and the Profane. The Nature of Religio</w:t>
      </w:r>
      <w:bookmarkStart w:id="0" w:name="_GoBack"/>
      <w:bookmarkEnd w:id="0"/>
      <w:r w:rsidRPr="0001473E">
        <w:rPr>
          <w:rFonts w:ascii="Times New Roman" w:hAnsi="Times New Roman" w:cs="Times New Roman"/>
          <w:b/>
          <w:i/>
          <w:iCs/>
          <w:sz w:val="24"/>
          <w:szCs w:val="24"/>
          <w:u w:val="single"/>
          <w:lang w:bidi="he-IL"/>
        </w:rPr>
        <w:t>n.</w:t>
      </w:r>
      <w:r w:rsidRPr="0001473E">
        <w:rPr>
          <w:rFonts w:ascii="Times New Roman" w:hAnsi="Times New Roman" w:cs="Times New Roman"/>
          <w:b/>
          <w:sz w:val="24"/>
          <w:szCs w:val="24"/>
          <w:u w:val="single"/>
          <w:lang w:bidi="he-IL"/>
        </w:rPr>
        <w:t xml:space="preserve"> New York: 1961</w:t>
      </w:r>
    </w:p>
    <w:p w14:paraId="5C4982B3" w14:textId="0CB22C72" w:rsidR="00FE4BCD" w:rsidRPr="0001473E" w:rsidRDefault="00FE4BCD" w:rsidP="0001473E">
      <w:p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 xml:space="preserve">It is perhaps daunting at first to look at religion in any category due to </w:t>
      </w:r>
      <w:r w:rsidR="00004E5D" w:rsidRPr="0001473E">
        <w:rPr>
          <w:rFonts w:ascii="Times New Roman" w:hAnsi="Times New Roman" w:cs="Times New Roman"/>
          <w:sz w:val="24"/>
          <w:szCs w:val="24"/>
        </w:rPr>
        <w:t xml:space="preserve">the </w:t>
      </w:r>
      <w:r w:rsidRPr="0001473E">
        <w:rPr>
          <w:rFonts w:ascii="Times New Roman" w:hAnsi="Times New Roman" w:cs="Times New Roman"/>
          <w:sz w:val="24"/>
          <w:szCs w:val="24"/>
        </w:rPr>
        <w:t xml:space="preserve">wide </w:t>
      </w:r>
      <w:r w:rsidR="00004E5D" w:rsidRPr="0001473E">
        <w:rPr>
          <w:rFonts w:ascii="Times New Roman" w:hAnsi="Times New Roman" w:cs="Times New Roman"/>
          <w:sz w:val="24"/>
          <w:szCs w:val="24"/>
        </w:rPr>
        <w:t>range</w:t>
      </w:r>
      <w:r w:rsidRPr="0001473E">
        <w:rPr>
          <w:rFonts w:ascii="Times New Roman" w:hAnsi="Times New Roman" w:cs="Times New Roman"/>
          <w:sz w:val="24"/>
          <w:szCs w:val="24"/>
        </w:rPr>
        <w:t xml:space="preserve"> of information and possibilities.  </w:t>
      </w:r>
      <w:r w:rsidR="00004E5D" w:rsidRPr="0001473E">
        <w:rPr>
          <w:rFonts w:ascii="Times New Roman" w:hAnsi="Times New Roman" w:cs="Times New Roman"/>
          <w:sz w:val="24"/>
          <w:szCs w:val="24"/>
        </w:rPr>
        <w:t xml:space="preserve">However, in this book </w:t>
      </w:r>
      <w:proofErr w:type="spellStart"/>
      <w:r w:rsidRPr="0001473E">
        <w:rPr>
          <w:rFonts w:ascii="Times New Roman" w:hAnsi="Times New Roman" w:cs="Times New Roman"/>
          <w:sz w:val="24"/>
          <w:szCs w:val="24"/>
        </w:rPr>
        <w:t>Micrea</w:t>
      </w:r>
      <w:proofErr w:type="spellEnd"/>
      <w:r w:rsidRPr="0001473E">
        <w:rPr>
          <w:rFonts w:ascii="Times New Roman" w:hAnsi="Times New Roman" w:cs="Times New Roman"/>
          <w:sz w:val="24"/>
          <w:szCs w:val="24"/>
        </w:rPr>
        <w:t xml:space="preserve"> Eliade attempts to demonstrate why a religious experience is completely different than that of a natural experience</w:t>
      </w:r>
      <w:r w:rsidR="008448D3" w:rsidRPr="0001473E">
        <w:rPr>
          <w:rFonts w:ascii="Times New Roman" w:hAnsi="Times New Roman" w:cs="Times New Roman"/>
          <w:sz w:val="24"/>
          <w:szCs w:val="24"/>
        </w:rPr>
        <w:t>,</w:t>
      </w:r>
      <w:r w:rsidRPr="0001473E">
        <w:rPr>
          <w:rFonts w:ascii="Times New Roman" w:hAnsi="Times New Roman" w:cs="Times New Roman"/>
          <w:sz w:val="24"/>
          <w:szCs w:val="24"/>
        </w:rPr>
        <w:t xml:space="preserve"> </w:t>
      </w:r>
      <w:r w:rsidR="008448D3" w:rsidRPr="0001473E">
        <w:rPr>
          <w:rFonts w:ascii="Times New Roman" w:hAnsi="Times New Roman" w:cs="Times New Roman"/>
          <w:sz w:val="24"/>
          <w:szCs w:val="24"/>
        </w:rPr>
        <w:t>t</w:t>
      </w:r>
      <w:r w:rsidRPr="0001473E">
        <w:rPr>
          <w:rFonts w:ascii="Times New Roman" w:hAnsi="Times New Roman" w:cs="Times New Roman"/>
          <w:sz w:val="24"/>
          <w:szCs w:val="24"/>
        </w:rPr>
        <w:t xml:space="preserve">hat something that is sacred is not the same as the </w:t>
      </w:r>
      <w:r w:rsidR="00510A9B" w:rsidRPr="0001473E">
        <w:rPr>
          <w:rFonts w:ascii="Times New Roman" w:hAnsi="Times New Roman" w:cs="Times New Roman"/>
          <w:sz w:val="24"/>
          <w:szCs w:val="24"/>
        </w:rPr>
        <w:t>nonreligious</w:t>
      </w:r>
      <w:r w:rsidRPr="0001473E">
        <w:rPr>
          <w:rFonts w:ascii="Times New Roman" w:hAnsi="Times New Roman" w:cs="Times New Roman"/>
          <w:sz w:val="24"/>
          <w:szCs w:val="24"/>
        </w:rPr>
        <w:t xml:space="preserve"> and that whilst people may not believe</w:t>
      </w:r>
      <w:r w:rsidR="008448D3" w:rsidRPr="0001473E">
        <w:rPr>
          <w:rFonts w:ascii="Times New Roman" w:hAnsi="Times New Roman" w:cs="Times New Roman"/>
          <w:sz w:val="24"/>
          <w:szCs w:val="24"/>
        </w:rPr>
        <w:t>,</w:t>
      </w:r>
      <w:r w:rsidRPr="0001473E">
        <w:rPr>
          <w:rFonts w:ascii="Times New Roman" w:hAnsi="Times New Roman" w:cs="Times New Roman"/>
          <w:sz w:val="24"/>
          <w:szCs w:val="24"/>
        </w:rPr>
        <w:t xml:space="preserve"> they still find themselves unconsciously connecting themselves to a memory of something sacred.</w:t>
      </w:r>
    </w:p>
    <w:p w14:paraId="7580C910" w14:textId="103A1D05" w:rsidR="00FA161F" w:rsidRPr="0001473E" w:rsidRDefault="00FE4BCD" w:rsidP="0001473E">
      <w:p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 xml:space="preserve">Mircea Eliade was a historian of </w:t>
      </w:r>
      <w:r w:rsidR="00004E5D" w:rsidRPr="0001473E">
        <w:rPr>
          <w:rFonts w:ascii="Times New Roman" w:hAnsi="Times New Roman" w:cs="Times New Roman"/>
          <w:sz w:val="24"/>
          <w:szCs w:val="24"/>
        </w:rPr>
        <w:t>R</w:t>
      </w:r>
      <w:r w:rsidRPr="0001473E">
        <w:rPr>
          <w:rFonts w:ascii="Times New Roman" w:hAnsi="Times New Roman" w:cs="Times New Roman"/>
          <w:sz w:val="24"/>
          <w:szCs w:val="24"/>
        </w:rPr>
        <w:t xml:space="preserve">oman religion, philosopher, professor and a fiction writer. </w:t>
      </w:r>
      <w:r w:rsidR="00306500" w:rsidRPr="0001473E">
        <w:rPr>
          <w:rFonts w:ascii="Times New Roman" w:hAnsi="Times New Roman" w:cs="Times New Roman"/>
          <w:sz w:val="24"/>
          <w:szCs w:val="24"/>
        </w:rPr>
        <w:t xml:space="preserve">He is considered a leading interpreter of religious experience to this day. His book </w:t>
      </w:r>
      <w:r w:rsidR="00306500" w:rsidRPr="0001473E">
        <w:rPr>
          <w:rFonts w:ascii="Times New Roman" w:hAnsi="Times New Roman" w:cs="Times New Roman"/>
          <w:i/>
          <w:sz w:val="24"/>
          <w:szCs w:val="24"/>
        </w:rPr>
        <w:t xml:space="preserve">The Sacred and the Profane. The Nature of Religion </w:t>
      </w:r>
      <w:r w:rsidR="00306500" w:rsidRPr="0001473E">
        <w:rPr>
          <w:rFonts w:ascii="Times New Roman" w:hAnsi="Times New Roman" w:cs="Times New Roman"/>
          <w:sz w:val="24"/>
          <w:szCs w:val="24"/>
        </w:rPr>
        <w:t>was written in 1961 and has continued to be used by various scholars to argue points of interest in their works</w:t>
      </w:r>
      <w:r w:rsidR="00A42B66" w:rsidRPr="0001473E">
        <w:rPr>
          <w:rFonts w:ascii="Times New Roman" w:hAnsi="Times New Roman" w:cs="Times New Roman"/>
          <w:sz w:val="24"/>
          <w:szCs w:val="24"/>
        </w:rPr>
        <w:t xml:space="preserve"> such as David Carrasco (</w:t>
      </w:r>
      <w:r w:rsidR="00D703A4" w:rsidRPr="0001473E">
        <w:rPr>
          <w:rFonts w:ascii="Times New Roman" w:hAnsi="Times New Roman" w:cs="Times New Roman"/>
          <w:sz w:val="24"/>
          <w:szCs w:val="24"/>
        </w:rPr>
        <w:t xml:space="preserve">Carrasco, D., 1992. </w:t>
      </w:r>
      <w:r w:rsidR="00A42B66" w:rsidRPr="0001473E">
        <w:rPr>
          <w:rFonts w:ascii="Times New Roman" w:hAnsi="Times New Roman" w:cs="Times New Roman"/>
          <w:sz w:val="24"/>
          <w:szCs w:val="24"/>
        </w:rPr>
        <w:t>90), Geraci (2014) and Arthur Asa Berger (</w:t>
      </w:r>
      <w:r w:rsidR="00D703A4" w:rsidRPr="0001473E">
        <w:rPr>
          <w:rFonts w:ascii="Times New Roman" w:hAnsi="Times New Roman" w:cs="Times New Roman"/>
          <w:sz w:val="24"/>
          <w:szCs w:val="24"/>
        </w:rPr>
        <w:t>Berger, A.A., 2016</w:t>
      </w:r>
      <w:r w:rsidR="00A42B66" w:rsidRPr="0001473E">
        <w:rPr>
          <w:rFonts w:ascii="Times New Roman" w:hAnsi="Times New Roman" w:cs="Times New Roman"/>
          <w:sz w:val="24"/>
          <w:szCs w:val="24"/>
        </w:rPr>
        <w:t>)</w:t>
      </w:r>
      <w:r w:rsidR="00306500" w:rsidRPr="0001473E">
        <w:rPr>
          <w:rFonts w:ascii="Times New Roman" w:hAnsi="Times New Roman" w:cs="Times New Roman"/>
          <w:sz w:val="24"/>
          <w:szCs w:val="24"/>
        </w:rPr>
        <w:t xml:space="preserve">. However, it does not change the fact that his work is </w:t>
      </w:r>
      <w:r w:rsidR="00004E5D" w:rsidRPr="0001473E">
        <w:rPr>
          <w:rFonts w:ascii="Times New Roman" w:hAnsi="Times New Roman" w:cs="Times New Roman"/>
          <w:sz w:val="24"/>
          <w:szCs w:val="24"/>
        </w:rPr>
        <w:t xml:space="preserve">several decades </w:t>
      </w:r>
      <w:r w:rsidR="00306500" w:rsidRPr="0001473E">
        <w:rPr>
          <w:rFonts w:ascii="Times New Roman" w:hAnsi="Times New Roman" w:cs="Times New Roman"/>
          <w:sz w:val="24"/>
          <w:szCs w:val="24"/>
        </w:rPr>
        <w:t>old</w:t>
      </w:r>
      <w:r w:rsidR="00004E5D" w:rsidRPr="0001473E">
        <w:rPr>
          <w:rFonts w:ascii="Times New Roman" w:hAnsi="Times New Roman" w:cs="Times New Roman"/>
          <w:sz w:val="24"/>
          <w:szCs w:val="24"/>
        </w:rPr>
        <w:t>,</w:t>
      </w:r>
      <w:r w:rsidR="00306500" w:rsidRPr="0001473E">
        <w:rPr>
          <w:rFonts w:ascii="Times New Roman" w:hAnsi="Times New Roman" w:cs="Times New Roman"/>
          <w:sz w:val="24"/>
          <w:szCs w:val="24"/>
        </w:rPr>
        <w:t xml:space="preserve"> and new scholarship must be </w:t>
      </w:r>
      <w:r w:rsidR="006D366A" w:rsidRPr="0001473E">
        <w:rPr>
          <w:rFonts w:ascii="Times New Roman" w:hAnsi="Times New Roman" w:cs="Times New Roman"/>
          <w:sz w:val="24"/>
          <w:szCs w:val="24"/>
        </w:rPr>
        <w:t>considered</w:t>
      </w:r>
      <w:r w:rsidR="00510A9B" w:rsidRPr="0001473E">
        <w:rPr>
          <w:rFonts w:ascii="Times New Roman" w:hAnsi="Times New Roman" w:cs="Times New Roman"/>
          <w:sz w:val="24"/>
          <w:szCs w:val="24"/>
        </w:rPr>
        <w:t xml:space="preserve"> in order to decide</w:t>
      </w:r>
      <w:r w:rsidR="00306500" w:rsidRPr="0001473E">
        <w:rPr>
          <w:rFonts w:ascii="Times New Roman" w:hAnsi="Times New Roman" w:cs="Times New Roman"/>
          <w:sz w:val="24"/>
          <w:szCs w:val="24"/>
        </w:rPr>
        <w:t xml:space="preserve"> </w:t>
      </w:r>
      <w:r w:rsidR="006D366A" w:rsidRPr="0001473E">
        <w:rPr>
          <w:rFonts w:ascii="Times New Roman" w:hAnsi="Times New Roman" w:cs="Times New Roman"/>
          <w:sz w:val="24"/>
          <w:szCs w:val="24"/>
        </w:rPr>
        <w:t>whether</w:t>
      </w:r>
      <w:r w:rsidR="00306500" w:rsidRPr="0001473E">
        <w:rPr>
          <w:rFonts w:ascii="Times New Roman" w:hAnsi="Times New Roman" w:cs="Times New Roman"/>
          <w:sz w:val="24"/>
          <w:szCs w:val="24"/>
        </w:rPr>
        <w:t xml:space="preserve"> Eliade </w:t>
      </w:r>
      <w:r w:rsidR="00510A9B" w:rsidRPr="0001473E">
        <w:rPr>
          <w:rFonts w:ascii="Times New Roman" w:hAnsi="Times New Roman" w:cs="Times New Roman"/>
          <w:sz w:val="24"/>
          <w:szCs w:val="24"/>
        </w:rPr>
        <w:t xml:space="preserve">is still making </w:t>
      </w:r>
      <w:r w:rsidR="00306500" w:rsidRPr="0001473E">
        <w:rPr>
          <w:rFonts w:ascii="Times New Roman" w:hAnsi="Times New Roman" w:cs="Times New Roman"/>
          <w:sz w:val="24"/>
          <w:szCs w:val="24"/>
        </w:rPr>
        <w:t xml:space="preserve">a considerable contribution to the subject. </w:t>
      </w:r>
      <w:r w:rsidR="00510A9B" w:rsidRPr="0001473E">
        <w:rPr>
          <w:rFonts w:ascii="Times New Roman" w:hAnsi="Times New Roman" w:cs="Times New Roman"/>
          <w:sz w:val="24"/>
          <w:szCs w:val="24"/>
        </w:rPr>
        <w:t xml:space="preserve"> The boot itself covers a numerous </w:t>
      </w:r>
      <w:proofErr w:type="gramStart"/>
      <w:r w:rsidR="00510A9B" w:rsidRPr="0001473E">
        <w:rPr>
          <w:rFonts w:ascii="Times New Roman" w:hAnsi="Times New Roman" w:cs="Times New Roman"/>
          <w:sz w:val="24"/>
          <w:szCs w:val="24"/>
        </w:rPr>
        <w:t>amount</w:t>
      </w:r>
      <w:proofErr w:type="gramEnd"/>
      <w:r w:rsidR="00510A9B" w:rsidRPr="0001473E">
        <w:rPr>
          <w:rFonts w:ascii="Times New Roman" w:hAnsi="Times New Roman" w:cs="Times New Roman"/>
          <w:sz w:val="24"/>
          <w:szCs w:val="24"/>
        </w:rPr>
        <w:t xml:space="preserve"> of topics including: </w:t>
      </w:r>
    </w:p>
    <w:p w14:paraId="403DD7EE" w14:textId="4E977FBF" w:rsidR="00510A9B" w:rsidRPr="0001473E" w:rsidRDefault="00510A9B" w:rsidP="0001473E">
      <w:pPr>
        <w:pStyle w:val="ListParagraph"/>
        <w:numPr>
          <w:ilvl w:val="0"/>
          <w:numId w:val="1"/>
        </w:num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Sacred Space and Making the world Sacred</w:t>
      </w:r>
    </w:p>
    <w:p w14:paraId="250C908A" w14:textId="08FD4E43" w:rsidR="00510A9B" w:rsidRPr="0001473E" w:rsidRDefault="00510A9B" w:rsidP="0001473E">
      <w:pPr>
        <w:pStyle w:val="ListParagraph"/>
        <w:numPr>
          <w:ilvl w:val="0"/>
          <w:numId w:val="1"/>
        </w:num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Sacred Time and Myths</w:t>
      </w:r>
    </w:p>
    <w:p w14:paraId="78B0184F" w14:textId="34BEE1A8" w:rsidR="00510A9B" w:rsidRPr="0001473E" w:rsidRDefault="00510A9B" w:rsidP="0001473E">
      <w:pPr>
        <w:pStyle w:val="ListParagraph"/>
        <w:numPr>
          <w:ilvl w:val="0"/>
          <w:numId w:val="1"/>
        </w:num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The sacredness of Nature and Cosmic Religion</w:t>
      </w:r>
    </w:p>
    <w:p w14:paraId="7E2A8E53" w14:textId="7A1629B5" w:rsidR="00510A9B" w:rsidRPr="0001473E" w:rsidRDefault="00510A9B" w:rsidP="0001473E">
      <w:pPr>
        <w:pStyle w:val="ListParagraph"/>
        <w:numPr>
          <w:ilvl w:val="0"/>
          <w:numId w:val="1"/>
        </w:num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Human existence and Sanctified Life (Eliade 1961 5)</w:t>
      </w:r>
    </w:p>
    <w:p w14:paraId="7D0F873B" w14:textId="6501A3B4" w:rsidR="00510A9B" w:rsidRPr="0001473E" w:rsidRDefault="00510A9B" w:rsidP="0001473E">
      <w:p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Each topic holding an importance to his overall argument that as stated previously is to demonstrate why the religious experience is different to that of a natural experience and whether religious or not a person can still connect a memory to that of something sacred.</w:t>
      </w:r>
    </w:p>
    <w:p w14:paraId="659F6F57" w14:textId="7E20F8DA" w:rsidR="004E5715" w:rsidRPr="0001473E" w:rsidRDefault="00BD065D" w:rsidP="0001473E">
      <w:p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 xml:space="preserve">The central theory that Eliade argues for </w:t>
      </w:r>
      <w:r w:rsidR="004E5715" w:rsidRPr="0001473E">
        <w:rPr>
          <w:rFonts w:ascii="Times New Roman" w:hAnsi="Times New Roman" w:cs="Times New Roman"/>
          <w:sz w:val="24"/>
          <w:szCs w:val="24"/>
        </w:rPr>
        <w:t>i</w:t>
      </w:r>
      <w:r w:rsidRPr="0001473E">
        <w:rPr>
          <w:rFonts w:ascii="Times New Roman" w:hAnsi="Times New Roman" w:cs="Times New Roman"/>
          <w:sz w:val="24"/>
          <w:szCs w:val="24"/>
        </w:rPr>
        <w:t xml:space="preserve">s that manifestations of the sacred, or as he calls them </w:t>
      </w:r>
      <w:proofErr w:type="spellStart"/>
      <w:r w:rsidRPr="0001473E">
        <w:rPr>
          <w:rFonts w:ascii="Times New Roman" w:hAnsi="Times New Roman" w:cs="Times New Roman"/>
          <w:sz w:val="24"/>
          <w:szCs w:val="24"/>
        </w:rPr>
        <w:t>hierophanies</w:t>
      </w:r>
      <w:proofErr w:type="spellEnd"/>
      <w:r w:rsidRPr="0001473E">
        <w:rPr>
          <w:rFonts w:ascii="Times New Roman" w:hAnsi="Times New Roman" w:cs="Times New Roman"/>
          <w:sz w:val="24"/>
          <w:szCs w:val="24"/>
        </w:rPr>
        <w:t>, form the basis of religion, dividing the human experience of reality into two main areas</w:t>
      </w:r>
      <w:r w:rsidR="004E5715" w:rsidRPr="0001473E">
        <w:rPr>
          <w:rFonts w:ascii="Times New Roman" w:hAnsi="Times New Roman" w:cs="Times New Roman"/>
          <w:sz w:val="24"/>
          <w:szCs w:val="24"/>
        </w:rPr>
        <w:t>:</w:t>
      </w:r>
      <w:r w:rsidRPr="0001473E">
        <w:rPr>
          <w:rFonts w:ascii="Times New Roman" w:hAnsi="Times New Roman" w:cs="Times New Roman"/>
          <w:sz w:val="24"/>
          <w:szCs w:val="24"/>
        </w:rPr>
        <w:t xml:space="preserve"> the profane and the sacred (Eliade 19</w:t>
      </w:r>
      <w:r w:rsidR="006439A8" w:rsidRPr="0001473E">
        <w:rPr>
          <w:rFonts w:ascii="Times New Roman" w:hAnsi="Times New Roman" w:cs="Times New Roman"/>
          <w:sz w:val="24"/>
          <w:szCs w:val="24"/>
        </w:rPr>
        <w:t>61; 13)</w:t>
      </w:r>
      <w:r w:rsidR="00343163" w:rsidRPr="0001473E">
        <w:rPr>
          <w:rFonts w:ascii="Times New Roman" w:hAnsi="Times New Roman" w:cs="Times New Roman"/>
          <w:sz w:val="24"/>
          <w:szCs w:val="24"/>
        </w:rPr>
        <w:t xml:space="preserve">. </w:t>
      </w:r>
      <w:r w:rsidR="00510A9B" w:rsidRPr="0001473E">
        <w:rPr>
          <w:rFonts w:ascii="Times New Roman" w:hAnsi="Times New Roman" w:cs="Times New Roman"/>
          <w:sz w:val="24"/>
          <w:szCs w:val="24"/>
        </w:rPr>
        <w:t>He believes that the sacred is a solid fixed point which all else is oriented it is ordered and distinctive whereas profane space is the opposite and is unliveable</w:t>
      </w:r>
      <w:r w:rsidR="00D703A4" w:rsidRPr="0001473E">
        <w:rPr>
          <w:rFonts w:ascii="Times New Roman" w:hAnsi="Times New Roman" w:cs="Times New Roman"/>
          <w:sz w:val="24"/>
          <w:szCs w:val="24"/>
        </w:rPr>
        <w:t>: “</w:t>
      </w:r>
      <w:r w:rsidR="00343163" w:rsidRPr="0001473E">
        <w:rPr>
          <w:rFonts w:ascii="Times New Roman" w:hAnsi="Times New Roman" w:cs="Times New Roman"/>
          <w:sz w:val="24"/>
          <w:szCs w:val="24"/>
        </w:rPr>
        <w:t xml:space="preserve">Nothing can begin, nothing can be done, without a previous orientation – and any orientation implies a fixed </w:t>
      </w:r>
      <w:r w:rsidR="00D703A4" w:rsidRPr="0001473E">
        <w:rPr>
          <w:rFonts w:ascii="Times New Roman" w:hAnsi="Times New Roman" w:cs="Times New Roman"/>
          <w:sz w:val="24"/>
          <w:szCs w:val="24"/>
        </w:rPr>
        <w:t>point” (</w:t>
      </w:r>
      <w:r w:rsidR="00510A9B" w:rsidRPr="0001473E">
        <w:rPr>
          <w:rFonts w:ascii="Times New Roman" w:hAnsi="Times New Roman" w:cs="Times New Roman"/>
          <w:sz w:val="24"/>
          <w:szCs w:val="24"/>
        </w:rPr>
        <w:t xml:space="preserve">Eliade 1961; 22).   </w:t>
      </w:r>
      <w:r w:rsidR="007F15EE" w:rsidRPr="0001473E">
        <w:rPr>
          <w:rFonts w:ascii="Times New Roman" w:hAnsi="Times New Roman" w:cs="Times New Roman"/>
          <w:sz w:val="24"/>
          <w:szCs w:val="24"/>
        </w:rPr>
        <w:t xml:space="preserve">David Carrasco agrees with this statement </w:t>
      </w:r>
      <w:r w:rsidR="006D366A" w:rsidRPr="0001473E">
        <w:rPr>
          <w:rFonts w:ascii="Times New Roman" w:hAnsi="Times New Roman" w:cs="Times New Roman"/>
          <w:sz w:val="24"/>
          <w:szCs w:val="24"/>
        </w:rPr>
        <w:t xml:space="preserve">and believes Eliade to be </w:t>
      </w:r>
      <w:r w:rsidR="00510A9B" w:rsidRPr="0001473E">
        <w:rPr>
          <w:rFonts w:ascii="Times New Roman" w:hAnsi="Times New Roman" w:cs="Times New Roman"/>
          <w:sz w:val="24"/>
          <w:szCs w:val="24"/>
        </w:rPr>
        <w:t xml:space="preserve">a leading authority </w:t>
      </w:r>
      <w:r w:rsidR="006D366A" w:rsidRPr="0001473E">
        <w:rPr>
          <w:rFonts w:ascii="Times New Roman" w:hAnsi="Times New Roman" w:cs="Times New Roman"/>
          <w:sz w:val="24"/>
          <w:szCs w:val="24"/>
        </w:rPr>
        <w:t>especially in his number of essays and books (</w:t>
      </w:r>
      <w:r w:rsidR="00D703A4" w:rsidRPr="0001473E">
        <w:rPr>
          <w:rFonts w:ascii="Times New Roman" w:hAnsi="Times New Roman" w:cs="Times New Roman"/>
          <w:sz w:val="24"/>
          <w:szCs w:val="24"/>
        </w:rPr>
        <w:t xml:space="preserve">Carrasco, D., 1992. </w:t>
      </w:r>
      <w:r w:rsidR="006D366A" w:rsidRPr="0001473E">
        <w:rPr>
          <w:rFonts w:ascii="Times New Roman" w:hAnsi="Times New Roman" w:cs="Times New Roman"/>
          <w:sz w:val="24"/>
          <w:szCs w:val="24"/>
        </w:rPr>
        <w:t>90). Arthur Asa Berger also</w:t>
      </w:r>
      <w:r w:rsidR="00510A9B" w:rsidRPr="0001473E">
        <w:rPr>
          <w:rFonts w:ascii="Times New Roman" w:hAnsi="Times New Roman" w:cs="Times New Roman"/>
          <w:sz w:val="24"/>
          <w:szCs w:val="24"/>
        </w:rPr>
        <w:t xml:space="preserve"> appears to have</w:t>
      </w:r>
      <w:r w:rsidR="006D366A" w:rsidRPr="0001473E">
        <w:rPr>
          <w:rFonts w:ascii="Times New Roman" w:hAnsi="Times New Roman" w:cs="Times New Roman"/>
          <w:sz w:val="24"/>
          <w:szCs w:val="24"/>
        </w:rPr>
        <w:t xml:space="preserve"> similar thoughts </w:t>
      </w:r>
      <w:r w:rsidR="00510A9B" w:rsidRPr="0001473E">
        <w:rPr>
          <w:rFonts w:ascii="Times New Roman" w:hAnsi="Times New Roman" w:cs="Times New Roman"/>
          <w:sz w:val="24"/>
          <w:szCs w:val="24"/>
        </w:rPr>
        <w:t>to Eliade on the</w:t>
      </w:r>
      <w:r w:rsidR="006D366A" w:rsidRPr="0001473E">
        <w:rPr>
          <w:rFonts w:ascii="Times New Roman" w:hAnsi="Times New Roman" w:cs="Times New Roman"/>
          <w:sz w:val="24"/>
          <w:szCs w:val="24"/>
        </w:rPr>
        <w:t xml:space="preserve"> matter stating that ‘Sacred spaces provide religious man and woman with a fixed point that guides his or her orientation to the world – just the opposite of the view </w:t>
      </w:r>
      <w:r w:rsidR="006D366A" w:rsidRPr="0001473E">
        <w:rPr>
          <w:rFonts w:ascii="Times New Roman" w:hAnsi="Times New Roman" w:cs="Times New Roman"/>
          <w:sz w:val="24"/>
          <w:szCs w:val="24"/>
        </w:rPr>
        <w:lastRenderedPageBreak/>
        <w:t xml:space="preserve">of profane man and woman that all space is the same.’ () in </w:t>
      </w:r>
      <w:r w:rsidR="00510A9B" w:rsidRPr="0001473E">
        <w:rPr>
          <w:rFonts w:ascii="Times New Roman" w:hAnsi="Times New Roman" w:cs="Times New Roman"/>
          <w:sz w:val="24"/>
          <w:szCs w:val="24"/>
        </w:rPr>
        <w:t>fact,</w:t>
      </w:r>
      <w:r w:rsidR="006D366A" w:rsidRPr="0001473E">
        <w:rPr>
          <w:rFonts w:ascii="Times New Roman" w:hAnsi="Times New Roman" w:cs="Times New Roman"/>
          <w:sz w:val="24"/>
          <w:szCs w:val="24"/>
        </w:rPr>
        <w:t xml:space="preserve"> he uses Eliade to back his own opinion and facts, using quotes from Eliade’s book to explain his own opinion with a more renowned scholar.  </w:t>
      </w:r>
      <w:r w:rsidR="00510A9B" w:rsidRPr="0001473E">
        <w:rPr>
          <w:rFonts w:ascii="Times New Roman" w:hAnsi="Times New Roman" w:cs="Times New Roman"/>
          <w:sz w:val="24"/>
          <w:szCs w:val="24"/>
        </w:rPr>
        <w:t>Although I struggle to understand some of the things, he is trying to say in most of his book unable at present to wrap my brain around his work, this quote does make a lot of sense to me.  Something does not come from nothing, be it an idea or a previous statement or anything along such lines. A sacred place does not come from nothing it must come from a fixed point explaining mans fixation at having his “abode” at the ‘</w:t>
      </w:r>
      <w:proofErr w:type="spellStart"/>
      <w:r w:rsidR="00510A9B" w:rsidRPr="0001473E">
        <w:rPr>
          <w:rFonts w:ascii="Times New Roman" w:hAnsi="Times New Roman" w:cs="Times New Roman"/>
          <w:sz w:val="24"/>
          <w:szCs w:val="24"/>
        </w:rPr>
        <w:t>center</w:t>
      </w:r>
      <w:proofErr w:type="spellEnd"/>
      <w:r w:rsidR="00510A9B" w:rsidRPr="0001473E">
        <w:rPr>
          <w:rFonts w:ascii="Times New Roman" w:hAnsi="Times New Roman" w:cs="Times New Roman"/>
          <w:sz w:val="24"/>
          <w:szCs w:val="24"/>
        </w:rPr>
        <w:t xml:space="preserve"> of the word’ (Geraci, 2014).</w:t>
      </w:r>
    </w:p>
    <w:p w14:paraId="2DF9833D" w14:textId="15722A86" w:rsidR="00793CFF" w:rsidRPr="0001473E" w:rsidRDefault="006D366A" w:rsidP="0001473E">
      <w:p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 xml:space="preserve">Despite being well known </w:t>
      </w:r>
      <w:r w:rsidR="00510A9B" w:rsidRPr="0001473E">
        <w:rPr>
          <w:rFonts w:ascii="Times New Roman" w:hAnsi="Times New Roman" w:cs="Times New Roman"/>
          <w:sz w:val="24"/>
          <w:szCs w:val="24"/>
        </w:rPr>
        <w:t>and appreciated by a diverse group of scholars</w:t>
      </w:r>
      <w:r w:rsidR="004E5715" w:rsidRPr="0001473E">
        <w:rPr>
          <w:rFonts w:ascii="Times New Roman" w:hAnsi="Times New Roman" w:cs="Times New Roman"/>
          <w:sz w:val="24"/>
          <w:szCs w:val="24"/>
        </w:rPr>
        <w:t xml:space="preserve">, </w:t>
      </w:r>
      <w:r w:rsidRPr="0001473E">
        <w:rPr>
          <w:rFonts w:ascii="Times New Roman" w:hAnsi="Times New Roman" w:cs="Times New Roman"/>
          <w:sz w:val="24"/>
          <w:szCs w:val="24"/>
        </w:rPr>
        <w:t xml:space="preserve">it does </w:t>
      </w:r>
      <w:r w:rsidR="004E5715" w:rsidRPr="0001473E">
        <w:rPr>
          <w:rFonts w:ascii="Times New Roman" w:hAnsi="Times New Roman" w:cs="Times New Roman"/>
          <w:sz w:val="24"/>
          <w:szCs w:val="24"/>
        </w:rPr>
        <w:t xml:space="preserve">not </w:t>
      </w:r>
      <w:r w:rsidRPr="0001473E">
        <w:rPr>
          <w:rFonts w:ascii="Times New Roman" w:hAnsi="Times New Roman" w:cs="Times New Roman"/>
          <w:sz w:val="24"/>
          <w:szCs w:val="24"/>
        </w:rPr>
        <w:t xml:space="preserve">stop other scholars from criticizing </w:t>
      </w:r>
      <w:r w:rsidR="004E5715" w:rsidRPr="0001473E">
        <w:rPr>
          <w:rFonts w:ascii="Times New Roman" w:hAnsi="Times New Roman" w:cs="Times New Roman"/>
          <w:sz w:val="24"/>
          <w:szCs w:val="24"/>
        </w:rPr>
        <w:t xml:space="preserve">Eliade’s </w:t>
      </w:r>
      <w:r w:rsidRPr="0001473E">
        <w:rPr>
          <w:rFonts w:ascii="Times New Roman" w:hAnsi="Times New Roman" w:cs="Times New Roman"/>
          <w:sz w:val="24"/>
          <w:szCs w:val="24"/>
        </w:rPr>
        <w:t xml:space="preserve">work. Robert M. Geraci states that Eliade </w:t>
      </w:r>
      <w:r w:rsidR="00510A9B" w:rsidRPr="0001473E">
        <w:rPr>
          <w:rFonts w:ascii="Times New Roman" w:hAnsi="Times New Roman" w:cs="Times New Roman"/>
          <w:sz w:val="24"/>
          <w:szCs w:val="24"/>
        </w:rPr>
        <w:t>tends to</w:t>
      </w:r>
      <w:r w:rsidRPr="0001473E">
        <w:rPr>
          <w:rFonts w:ascii="Times New Roman" w:hAnsi="Times New Roman" w:cs="Times New Roman"/>
          <w:sz w:val="24"/>
          <w:szCs w:val="24"/>
        </w:rPr>
        <w:t xml:space="preserve"> ‘make abstract commensurate likelihood of minimizing human actors and the decisions they make’ which </w:t>
      </w:r>
      <w:r w:rsidR="004E5715" w:rsidRPr="0001473E">
        <w:rPr>
          <w:rFonts w:ascii="Times New Roman" w:hAnsi="Times New Roman" w:cs="Times New Roman"/>
          <w:sz w:val="24"/>
          <w:szCs w:val="24"/>
        </w:rPr>
        <w:t>al</w:t>
      </w:r>
      <w:r w:rsidRPr="0001473E">
        <w:rPr>
          <w:rFonts w:ascii="Times New Roman" w:hAnsi="Times New Roman" w:cs="Times New Roman"/>
          <w:sz w:val="24"/>
          <w:szCs w:val="24"/>
        </w:rPr>
        <w:t>though is intriguing</w:t>
      </w:r>
      <w:r w:rsidR="004E5715" w:rsidRPr="0001473E">
        <w:rPr>
          <w:rFonts w:ascii="Times New Roman" w:hAnsi="Times New Roman" w:cs="Times New Roman"/>
          <w:sz w:val="24"/>
          <w:szCs w:val="24"/>
        </w:rPr>
        <w:t>,</w:t>
      </w:r>
      <w:r w:rsidRPr="0001473E">
        <w:rPr>
          <w:rFonts w:ascii="Times New Roman" w:hAnsi="Times New Roman" w:cs="Times New Roman"/>
          <w:sz w:val="24"/>
          <w:szCs w:val="24"/>
        </w:rPr>
        <w:t xml:space="preserve"> does not </w:t>
      </w:r>
      <w:r w:rsidR="004E5715" w:rsidRPr="0001473E">
        <w:rPr>
          <w:rFonts w:ascii="Times New Roman" w:hAnsi="Times New Roman" w:cs="Times New Roman"/>
          <w:sz w:val="24"/>
          <w:szCs w:val="24"/>
        </w:rPr>
        <w:t>however suggest</w:t>
      </w:r>
      <w:r w:rsidRPr="0001473E">
        <w:rPr>
          <w:rFonts w:ascii="Times New Roman" w:hAnsi="Times New Roman" w:cs="Times New Roman"/>
          <w:sz w:val="24"/>
          <w:szCs w:val="24"/>
        </w:rPr>
        <w:t xml:space="preserve"> that his book should be counted as a poor piece of literature</w:t>
      </w:r>
      <w:r w:rsidR="004E5715" w:rsidRPr="0001473E">
        <w:rPr>
          <w:rFonts w:ascii="Times New Roman" w:hAnsi="Times New Roman" w:cs="Times New Roman"/>
          <w:sz w:val="24"/>
          <w:szCs w:val="24"/>
        </w:rPr>
        <w:t>;</w:t>
      </w:r>
      <w:r w:rsidRPr="0001473E">
        <w:rPr>
          <w:rFonts w:ascii="Times New Roman" w:hAnsi="Times New Roman" w:cs="Times New Roman"/>
          <w:sz w:val="24"/>
          <w:szCs w:val="24"/>
        </w:rPr>
        <w:t xml:space="preserve"> perhaps quite the opposite. </w:t>
      </w:r>
      <w:r w:rsidR="00510A9B" w:rsidRPr="0001473E">
        <w:rPr>
          <w:rFonts w:ascii="Times New Roman" w:hAnsi="Times New Roman" w:cs="Times New Roman"/>
          <w:sz w:val="24"/>
          <w:szCs w:val="24"/>
        </w:rPr>
        <w:t xml:space="preserve">However, there are still sceptics to </w:t>
      </w:r>
      <w:proofErr w:type="spellStart"/>
      <w:r w:rsidR="00510A9B" w:rsidRPr="0001473E">
        <w:rPr>
          <w:rFonts w:ascii="Times New Roman" w:hAnsi="Times New Roman" w:cs="Times New Roman"/>
          <w:sz w:val="24"/>
          <w:szCs w:val="24"/>
        </w:rPr>
        <w:t>Eliades</w:t>
      </w:r>
      <w:proofErr w:type="spellEnd"/>
      <w:r w:rsidR="00510A9B" w:rsidRPr="0001473E">
        <w:rPr>
          <w:rFonts w:ascii="Times New Roman" w:hAnsi="Times New Roman" w:cs="Times New Roman"/>
          <w:sz w:val="24"/>
          <w:szCs w:val="24"/>
        </w:rPr>
        <w:t xml:space="preserve"> views one being that religion is only an escape for those weak minded who don’t want to face the ideas of life being meaninglessness (Dawsey,2009, 178). That those that are religious create the sacred a ‘world of dream and imagination’ (Eliade 1961; 94).  </w:t>
      </w:r>
      <w:r w:rsidR="00A42B66" w:rsidRPr="0001473E">
        <w:rPr>
          <w:rFonts w:ascii="Times New Roman" w:hAnsi="Times New Roman" w:cs="Times New Roman"/>
          <w:sz w:val="24"/>
          <w:szCs w:val="24"/>
        </w:rPr>
        <w:t xml:space="preserve">It isn’t surprising that there would be sceptics to his view he makes it appear that </w:t>
      </w:r>
      <w:r w:rsidR="00793CFF" w:rsidRPr="0001473E">
        <w:rPr>
          <w:rFonts w:ascii="Times New Roman" w:hAnsi="Times New Roman" w:cs="Times New Roman"/>
          <w:sz w:val="24"/>
          <w:szCs w:val="24"/>
        </w:rPr>
        <w:t>believing in something is just the obvious thing to do</w:t>
      </w:r>
      <w:r w:rsidR="00A42B66" w:rsidRPr="0001473E">
        <w:rPr>
          <w:rFonts w:ascii="Times New Roman" w:hAnsi="Times New Roman" w:cs="Times New Roman"/>
          <w:sz w:val="24"/>
          <w:szCs w:val="24"/>
        </w:rPr>
        <w:t xml:space="preserve">, that there is no choice in the ideology of belief as without thinking about it we believe in something, or at least something sacred. Is therefore our freedom of mind not apparent even within the own constraints of our mind? In a glorious way this is perhaps why even now his book is worth a read and consideration as it still poses questions to </w:t>
      </w:r>
      <w:proofErr w:type="gramStart"/>
      <w:r w:rsidR="00A42B66" w:rsidRPr="0001473E">
        <w:rPr>
          <w:rFonts w:ascii="Times New Roman" w:hAnsi="Times New Roman" w:cs="Times New Roman"/>
          <w:sz w:val="24"/>
          <w:szCs w:val="24"/>
        </w:rPr>
        <w:t>ourselves</w:t>
      </w:r>
      <w:proofErr w:type="gramEnd"/>
      <w:r w:rsidR="00A42B66" w:rsidRPr="0001473E">
        <w:rPr>
          <w:rFonts w:ascii="Times New Roman" w:hAnsi="Times New Roman" w:cs="Times New Roman"/>
          <w:sz w:val="24"/>
          <w:szCs w:val="24"/>
        </w:rPr>
        <w:t xml:space="preserve"> even if scholars have started to advance in this particular field of study.  </w:t>
      </w:r>
    </w:p>
    <w:p w14:paraId="14B58E35" w14:textId="3DBFA1D7" w:rsidR="00510A9B" w:rsidRPr="0001473E" w:rsidRDefault="00A5276C" w:rsidP="0001473E">
      <w:pPr>
        <w:spacing w:line="360" w:lineRule="auto"/>
        <w:jc w:val="both"/>
        <w:rPr>
          <w:rFonts w:ascii="Times New Roman" w:hAnsi="Times New Roman" w:cs="Times New Roman"/>
          <w:sz w:val="24"/>
          <w:szCs w:val="24"/>
        </w:rPr>
      </w:pPr>
      <w:r w:rsidRPr="0001473E">
        <w:rPr>
          <w:rFonts w:ascii="Times New Roman" w:hAnsi="Times New Roman" w:cs="Times New Roman"/>
          <w:sz w:val="24"/>
          <w:szCs w:val="24"/>
        </w:rPr>
        <w:t>By the end of the text Eliade concludes nicely focusing on what he intended to do which was prove that whether religious or not you still have a memory of something sacred that you refer to. He states, ‘The unconsciousness offers him solutions for the difficulties in his own life, and in this way plays the role of religion, for, before making an existence a creator of values, religion ensures its integrity’</w:t>
      </w:r>
      <w:r w:rsidR="00D703A4" w:rsidRPr="0001473E">
        <w:rPr>
          <w:rFonts w:ascii="Times New Roman" w:hAnsi="Times New Roman" w:cs="Times New Roman"/>
          <w:sz w:val="24"/>
          <w:szCs w:val="24"/>
        </w:rPr>
        <w:t xml:space="preserve"> (Eliade, M., 1959 212-13). </w:t>
      </w:r>
      <w:r w:rsidRPr="0001473E">
        <w:rPr>
          <w:rFonts w:ascii="Times New Roman" w:hAnsi="Times New Roman" w:cs="Times New Roman"/>
          <w:sz w:val="24"/>
          <w:szCs w:val="24"/>
        </w:rPr>
        <w:t xml:space="preserve">It is strange how correct Eliade is in his work even without a more insightful knowledge of the theme his book discusses his conclusions are clear for the reader and make sense. For even those who are unreligious may sometimes at the back of the brain pray in some form to something for something whether it be a love on or themselves as well as believe in something beyond their realm of understanding. Eliade does cover this in his book and tries to make sense of it.  </w:t>
      </w:r>
    </w:p>
    <w:p w14:paraId="0065A4C8" w14:textId="32634A37" w:rsidR="000975ED" w:rsidRPr="0001473E" w:rsidRDefault="000975ED"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lastRenderedPageBreak/>
        <w:t>Though it is a text that was wr</w:t>
      </w:r>
      <w:r w:rsidR="004E5715" w:rsidRPr="0001473E">
        <w:rPr>
          <w:rFonts w:ascii="Times New Roman" w:hAnsi="Times New Roman" w:cs="Times New Roman"/>
          <w:sz w:val="24"/>
          <w:szCs w:val="24"/>
        </w:rPr>
        <w:t>itten</w:t>
      </w:r>
      <w:r w:rsidRPr="0001473E">
        <w:rPr>
          <w:rFonts w:ascii="Times New Roman" w:hAnsi="Times New Roman" w:cs="Times New Roman"/>
          <w:sz w:val="24"/>
          <w:szCs w:val="24"/>
        </w:rPr>
        <w:t xml:space="preserve"> in 1961</w:t>
      </w:r>
      <w:r w:rsidR="004E5715" w:rsidRPr="0001473E">
        <w:rPr>
          <w:rFonts w:ascii="Times New Roman" w:hAnsi="Times New Roman" w:cs="Times New Roman"/>
          <w:sz w:val="24"/>
          <w:szCs w:val="24"/>
        </w:rPr>
        <w:t>,</w:t>
      </w:r>
      <w:r w:rsidRPr="0001473E">
        <w:rPr>
          <w:rFonts w:ascii="Times New Roman" w:hAnsi="Times New Roman" w:cs="Times New Roman"/>
          <w:sz w:val="24"/>
          <w:szCs w:val="24"/>
        </w:rPr>
        <w:t xml:space="preserve"> Mircea Eliade’s </w:t>
      </w:r>
      <w:r w:rsidR="004E5715" w:rsidRPr="0001473E">
        <w:rPr>
          <w:rFonts w:ascii="Times New Roman" w:hAnsi="Times New Roman" w:cs="Times New Roman"/>
          <w:sz w:val="24"/>
          <w:szCs w:val="24"/>
        </w:rPr>
        <w:t>work on</w:t>
      </w:r>
      <w:r w:rsidRPr="0001473E">
        <w:rPr>
          <w:rFonts w:ascii="Times New Roman" w:hAnsi="Times New Roman" w:cs="Times New Roman"/>
          <w:sz w:val="24"/>
          <w:szCs w:val="24"/>
        </w:rPr>
        <w:t xml:space="preserve"> </w:t>
      </w:r>
      <w:r w:rsidRPr="0001473E">
        <w:rPr>
          <w:rFonts w:ascii="Times New Roman" w:hAnsi="Times New Roman" w:cs="Times New Roman"/>
          <w:i/>
          <w:sz w:val="24"/>
          <w:szCs w:val="24"/>
        </w:rPr>
        <w:t xml:space="preserve">The Sacred and the Profane. The Nature of Religion </w:t>
      </w:r>
      <w:r w:rsidRPr="0001473E">
        <w:rPr>
          <w:rFonts w:ascii="Times New Roman" w:hAnsi="Times New Roman" w:cs="Times New Roman"/>
          <w:sz w:val="24"/>
          <w:szCs w:val="24"/>
        </w:rPr>
        <w:t xml:space="preserve">is still very much relevant and </w:t>
      </w:r>
      <w:r w:rsidR="004E5715" w:rsidRPr="0001473E">
        <w:rPr>
          <w:rFonts w:ascii="Times New Roman" w:hAnsi="Times New Roman" w:cs="Times New Roman"/>
          <w:sz w:val="24"/>
          <w:szCs w:val="24"/>
        </w:rPr>
        <w:t>al</w:t>
      </w:r>
      <w:r w:rsidRPr="0001473E">
        <w:rPr>
          <w:rFonts w:ascii="Times New Roman" w:hAnsi="Times New Roman" w:cs="Times New Roman"/>
          <w:sz w:val="24"/>
          <w:szCs w:val="24"/>
        </w:rPr>
        <w:t>though some of the points can be argued</w:t>
      </w:r>
      <w:r w:rsidR="004E5715" w:rsidRPr="0001473E">
        <w:rPr>
          <w:rFonts w:ascii="Times New Roman" w:hAnsi="Times New Roman" w:cs="Times New Roman"/>
          <w:sz w:val="24"/>
          <w:szCs w:val="24"/>
        </w:rPr>
        <w:t xml:space="preserve"> against,</w:t>
      </w:r>
      <w:r w:rsidRPr="0001473E">
        <w:rPr>
          <w:rFonts w:ascii="Times New Roman" w:hAnsi="Times New Roman" w:cs="Times New Roman"/>
          <w:sz w:val="24"/>
          <w:szCs w:val="24"/>
        </w:rPr>
        <w:t xml:space="preserve"> many scholars are still agreeing with his statements to this day. The text itself</w:t>
      </w:r>
      <w:r w:rsidR="004E5715" w:rsidRPr="0001473E">
        <w:rPr>
          <w:rFonts w:ascii="Times New Roman" w:hAnsi="Times New Roman" w:cs="Times New Roman"/>
          <w:sz w:val="24"/>
          <w:szCs w:val="24"/>
        </w:rPr>
        <w:t>,</w:t>
      </w:r>
      <w:r w:rsidRPr="0001473E">
        <w:rPr>
          <w:rFonts w:ascii="Times New Roman" w:hAnsi="Times New Roman" w:cs="Times New Roman"/>
          <w:sz w:val="24"/>
          <w:szCs w:val="24"/>
        </w:rPr>
        <w:t xml:space="preserve"> though </w:t>
      </w:r>
      <w:r w:rsidR="00A5276C" w:rsidRPr="0001473E">
        <w:rPr>
          <w:rFonts w:ascii="Times New Roman" w:hAnsi="Times New Roman" w:cs="Times New Roman"/>
          <w:sz w:val="24"/>
          <w:szCs w:val="24"/>
        </w:rPr>
        <w:t>difficult</w:t>
      </w:r>
      <w:r w:rsidR="00510A9B" w:rsidRPr="0001473E">
        <w:rPr>
          <w:rFonts w:ascii="Times New Roman" w:hAnsi="Times New Roman" w:cs="Times New Roman"/>
          <w:sz w:val="24"/>
          <w:szCs w:val="24"/>
        </w:rPr>
        <w:t xml:space="preserve"> </w:t>
      </w:r>
      <w:r w:rsidRPr="0001473E">
        <w:rPr>
          <w:rFonts w:ascii="Times New Roman" w:hAnsi="Times New Roman" w:cs="Times New Roman"/>
          <w:sz w:val="24"/>
          <w:szCs w:val="24"/>
        </w:rPr>
        <w:t>for those who have not broached the subject before</w:t>
      </w:r>
      <w:r w:rsidR="004E5715" w:rsidRPr="0001473E">
        <w:rPr>
          <w:rFonts w:ascii="Times New Roman" w:hAnsi="Times New Roman" w:cs="Times New Roman"/>
          <w:sz w:val="24"/>
          <w:szCs w:val="24"/>
        </w:rPr>
        <w:t>,</w:t>
      </w:r>
      <w:r w:rsidRPr="0001473E">
        <w:rPr>
          <w:rFonts w:ascii="Times New Roman" w:hAnsi="Times New Roman" w:cs="Times New Roman"/>
          <w:sz w:val="24"/>
          <w:szCs w:val="24"/>
        </w:rPr>
        <w:t xml:space="preserve"> has interesting viewpoints</w:t>
      </w:r>
      <w:r w:rsidR="004E5715" w:rsidRPr="0001473E">
        <w:rPr>
          <w:rFonts w:ascii="Times New Roman" w:hAnsi="Times New Roman" w:cs="Times New Roman"/>
          <w:sz w:val="24"/>
          <w:szCs w:val="24"/>
        </w:rPr>
        <w:t xml:space="preserve"> </w:t>
      </w:r>
      <w:r w:rsidRPr="0001473E">
        <w:rPr>
          <w:rFonts w:ascii="Times New Roman" w:hAnsi="Times New Roman" w:cs="Times New Roman"/>
          <w:sz w:val="24"/>
          <w:szCs w:val="24"/>
        </w:rPr>
        <w:t xml:space="preserve">to consider and </w:t>
      </w:r>
      <w:proofErr w:type="gramStart"/>
      <w:r w:rsidRPr="0001473E">
        <w:rPr>
          <w:rFonts w:ascii="Times New Roman" w:hAnsi="Times New Roman" w:cs="Times New Roman"/>
          <w:sz w:val="24"/>
          <w:szCs w:val="24"/>
        </w:rPr>
        <w:t>take into account</w:t>
      </w:r>
      <w:proofErr w:type="gramEnd"/>
      <w:r w:rsidRPr="0001473E">
        <w:rPr>
          <w:rFonts w:ascii="Times New Roman" w:hAnsi="Times New Roman" w:cs="Times New Roman"/>
          <w:sz w:val="24"/>
          <w:szCs w:val="24"/>
        </w:rPr>
        <w:t xml:space="preserve"> when studying such areas. </w:t>
      </w:r>
      <w:r w:rsidR="00A5276C" w:rsidRPr="0001473E">
        <w:rPr>
          <w:rFonts w:ascii="Times New Roman" w:hAnsi="Times New Roman" w:cs="Times New Roman"/>
          <w:sz w:val="24"/>
          <w:szCs w:val="24"/>
        </w:rPr>
        <w:t xml:space="preserve"> It will be interesting to re-read his book when I have broadened my knowledge even further and can understand more of what he is trying to say. It is a book that could be considered difficult to get through for those that have no knowledge of the area in question a more concise book or article may be best to read first before tackling his. </w:t>
      </w:r>
      <w:proofErr w:type="gramStart"/>
      <w:r w:rsidR="00D703A4" w:rsidRPr="0001473E">
        <w:rPr>
          <w:rFonts w:ascii="Times New Roman" w:hAnsi="Times New Roman" w:cs="Times New Roman"/>
          <w:sz w:val="24"/>
          <w:szCs w:val="24"/>
        </w:rPr>
        <w:t>In regard to</w:t>
      </w:r>
      <w:proofErr w:type="gramEnd"/>
      <w:r w:rsidR="00A5276C" w:rsidRPr="0001473E">
        <w:rPr>
          <w:rFonts w:ascii="Times New Roman" w:hAnsi="Times New Roman" w:cs="Times New Roman"/>
          <w:sz w:val="24"/>
          <w:szCs w:val="24"/>
        </w:rPr>
        <w:t xml:space="preserve"> where it still should be considered to be placed in its </w:t>
      </w:r>
      <w:r w:rsidR="00D703A4" w:rsidRPr="0001473E">
        <w:rPr>
          <w:rFonts w:ascii="Times New Roman" w:hAnsi="Times New Roman" w:cs="Times New Roman"/>
          <w:sz w:val="24"/>
          <w:szCs w:val="24"/>
        </w:rPr>
        <w:t>field,</w:t>
      </w:r>
      <w:r w:rsidR="00A5276C" w:rsidRPr="0001473E">
        <w:rPr>
          <w:rFonts w:ascii="Times New Roman" w:hAnsi="Times New Roman" w:cs="Times New Roman"/>
          <w:sz w:val="24"/>
          <w:szCs w:val="24"/>
        </w:rPr>
        <w:t xml:space="preserve"> I would not say it needs to be shelved just yet as despite its age the book still holds relevant points that modern scholars are still referring back to and using to this day. </w:t>
      </w:r>
    </w:p>
    <w:p w14:paraId="3818BCC8" w14:textId="280F0732" w:rsidR="00D703A4" w:rsidRPr="0001473E" w:rsidRDefault="00D703A4" w:rsidP="0001473E">
      <w:pPr>
        <w:spacing w:line="360" w:lineRule="auto"/>
        <w:rPr>
          <w:rFonts w:ascii="Times New Roman" w:hAnsi="Times New Roman" w:cs="Times New Roman"/>
          <w:sz w:val="24"/>
          <w:szCs w:val="24"/>
        </w:rPr>
      </w:pPr>
    </w:p>
    <w:p w14:paraId="6393C807" w14:textId="376D9D98" w:rsidR="00D703A4" w:rsidRPr="0001473E" w:rsidRDefault="00D703A4" w:rsidP="0001473E">
      <w:pPr>
        <w:spacing w:line="360" w:lineRule="auto"/>
        <w:rPr>
          <w:rFonts w:ascii="Times New Roman" w:hAnsi="Times New Roman" w:cs="Times New Roman"/>
          <w:sz w:val="24"/>
          <w:szCs w:val="24"/>
        </w:rPr>
      </w:pPr>
    </w:p>
    <w:p w14:paraId="03439D06" w14:textId="53EBA99F" w:rsidR="00D703A4" w:rsidRPr="0001473E" w:rsidRDefault="00D703A4" w:rsidP="0001473E">
      <w:pPr>
        <w:spacing w:line="360" w:lineRule="auto"/>
        <w:rPr>
          <w:rFonts w:ascii="Times New Roman" w:hAnsi="Times New Roman" w:cs="Times New Roman"/>
          <w:sz w:val="24"/>
          <w:szCs w:val="24"/>
        </w:rPr>
      </w:pPr>
    </w:p>
    <w:p w14:paraId="12D72CAE" w14:textId="63D9D99D" w:rsidR="00D703A4" w:rsidRPr="0001473E" w:rsidRDefault="00D703A4" w:rsidP="0001473E">
      <w:pPr>
        <w:spacing w:line="360" w:lineRule="auto"/>
        <w:rPr>
          <w:rFonts w:ascii="Times New Roman" w:hAnsi="Times New Roman" w:cs="Times New Roman"/>
          <w:sz w:val="24"/>
          <w:szCs w:val="24"/>
        </w:rPr>
      </w:pPr>
    </w:p>
    <w:p w14:paraId="377E4409" w14:textId="0204EB9C" w:rsidR="00D703A4" w:rsidRPr="0001473E" w:rsidRDefault="00D703A4" w:rsidP="0001473E">
      <w:pPr>
        <w:spacing w:line="360" w:lineRule="auto"/>
        <w:rPr>
          <w:rFonts w:ascii="Times New Roman" w:hAnsi="Times New Roman" w:cs="Times New Roman"/>
          <w:sz w:val="24"/>
          <w:szCs w:val="24"/>
        </w:rPr>
      </w:pPr>
    </w:p>
    <w:p w14:paraId="11CF6716" w14:textId="5CB27F4D" w:rsidR="00D703A4" w:rsidRPr="0001473E" w:rsidRDefault="00D703A4" w:rsidP="0001473E">
      <w:pPr>
        <w:spacing w:line="360" w:lineRule="auto"/>
        <w:rPr>
          <w:rFonts w:ascii="Times New Roman" w:hAnsi="Times New Roman" w:cs="Times New Roman"/>
          <w:sz w:val="24"/>
          <w:szCs w:val="24"/>
        </w:rPr>
      </w:pPr>
    </w:p>
    <w:p w14:paraId="46CA8251" w14:textId="61F632FE" w:rsidR="00D703A4" w:rsidRPr="0001473E" w:rsidRDefault="00D703A4" w:rsidP="0001473E">
      <w:pPr>
        <w:spacing w:line="360" w:lineRule="auto"/>
        <w:rPr>
          <w:rFonts w:ascii="Times New Roman" w:hAnsi="Times New Roman" w:cs="Times New Roman"/>
          <w:sz w:val="24"/>
          <w:szCs w:val="24"/>
        </w:rPr>
      </w:pPr>
    </w:p>
    <w:p w14:paraId="3D0F24BF" w14:textId="09019180" w:rsidR="00D703A4" w:rsidRPr="0001473E" w:rsidRDefault="00D703A4" w:rsidP="0001473E">
      <w:pPr>
        <w:spacing w:line="360" w:lineRule="auto"/>
        <w:rPr>
          <w:rFonts w:ascii="Times New Roman" w:hAnsi="Times New Roman" w:cs="Times New Roman"/>
          <w:sz w:val="24"/>
          <w:szCs w:val="24"/>
        </w:rPr>
      </w:pPr>
    </w:p>
    <w:p w14:paraId="1C379460" w14:textId="1B43D52F" w:rsidR="00D703A4" w:rsidRPr="0001473E" w:rsidRDefault="00D703A4" w:rsidP="0001473E">
      <w:pPr>
        <w:spacing w:line="360" w:lineRule="auto"/>
        <w:rPr>
          <w:rFonts w:ascii="Times New Roman" w:hAnsi="Times New Roman" w:cs="Times New Roman"/>
          <w:sz w:val="24"/>
          <w:szCs w:val="24"/>
        </w:rPr>
      </w:pPr>
    </w:p>
    <w:p w14:paraId="1456294B" w14:textId="487AE515" w:rsidR="00D703A4" w:rsidRPr="0001473E" w:rsidRDefault="00D703A4" w:rsidP="0001473E">
      <w:pPr>
        <w:spacing w:line="360" w:lineRule="auto"/>
        <w:rPr>
          <w:rFonts w:ascii="Times New Roman" w:hAnsi="Times New Roman" w:cs="Times New Roman"/>
          <w:sz w:val="24"/>
          <w:szCs w:val="24"/>
        </w:rPr>
      </w:pPr>
    </w:p>
    <w:p w14:paraId="2DB3315E" w14:textId="4E79BBB7" w:rsidR="00D703A4" w:rsidRPr="0001473E" w:rsidRDefault="00D703A4" w:rsidP="0001473E">
      <w:pPr>
        <w:spacing w:line="360" w:lineRule="auto"/>
        <w:rPr>
          <w:rFonts w:ascii="Times New Roman" w:hAnsi="Times New Roman" w:cs="Times New Roman"/>
          <w:sz w:val="24"/>
          <w:szCs w:val="24"/>
        </w:rPr>
      </w:pPr>
    </w:p>
    <w:p w14:paraId="2F2329C8" w14:textId="7306B060" w:rsidR="00D703A4" w:rsidRPr="0001473E" w:rsidRDefault="00D703A4" w:rsidP="0001473E">
      <w:pPr>
        <w:spacing w:line="360" w:lineRule="auto"/>
        <w:rPr>
          <w:rFonts w:ascii="Times New Roman" w:hAnsi="Times New Roman" w:cs="Times New Roman"/>
          <w:sz w:val="24"/>
          <w:szCs w:val="24"/>
        </w:rPr>
      </w:pPr>
    </w:p>
    <w:p w14:paraId="62A94118" w14:textId="1233170E" w:rsidR="00D703A4" w:rsidRPr="0001473E" w:rsidRDefault="00D703A4" w:rsidP="0001473E">
      <w:pPr>
        <w:spacing w:line="360" w:lineRule="auto"/>
        <w:rPr>
          <w:rFonts w:ascii="Times New Roman" w:hAnsi="Times New Roman" w:cs="Times New Roman"/>
          <w:sz w:val="24"/>
          <w:szCs w:val="24"/>
        </w:rPr>
      </w:pPr>
    </w:p>
    <w:sdt>
      <w:sdtPr>
        <w:rPr>
          <w:rFonts w:ascii="Times New Roman" w:hAnsi="Times New Roman" w:cs="Times New Roman"/>
          <w:sz w:val="24"/>
          <w:szCs w:val="24"/>
        </w:rPr>
        <w:id w:val="-1178960814"/>
        <w:docPartObj>
          <w:docPartGallery w:val="Bibliographies"/>
          <w:docPartUnique/>
        </w:docPartObj>
      </w:sdtPr>
      <w:sdtEndPr>
        <w:rPr>
          <w:rFonts w:eastAsiaTheme="minorHAnsi"/>
          <w:color w:val="auto"/>
          <w:lang w:val="en-GB"/>
        </w:rPr>
      </w:sdtEndPr>
      <w:sdtContent>
        <w:p w14:paraId="2E7E8A98" w14:textId="17795758" w:rsidR="00D703A4" w:rsidRPr="0001473E" w:rsidRDefault="00D703A4" w:rsidP="0001473E">
          <w:pPr>
            <w:pStyle w:val="Heading1"/>
            <w:spacing w:line="360" w:lineRule="auto"/>
            <w:rPr>
              <w:rFonts w:ascii="Times New Roman" w:hAnsi="Times New Roman" w:cs="Times New Roman"/>
              <w:sz w:val="24"/>
              <w:szCs w:val="24"/>
            </w:rPr>
          </w:pPr>
          <w:r w:rsidRPr="0001473E">
            <w:rPr>
              <w:rFonts w:ascii="Times New Roman" w:hAnsi="Times New Roman" w:cs="Times New Roman"/>
              <w:sz w:val="24"/>
              <w:szCs w:val="24"/>
            </w:rPr>
            <w:t>Bibliography</w:t>
          </w:r>
        </w:p>
      </w:sdtContent>
    </w:sdt>
    <w:p w14:paraId="2518862A" w14:textId="77777777"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t xml:space="preserve">Berger, A.A., 2016. Theorizing tourism: </w:t>
      </w:r>
      <w:proofErr w:type="spellStart"/>
      <w:r w:rsidRPr="0001473E">
        <w:rPr>
          <w:rFonts w:ascii="Times New Roman" w:hAnsi="Times New Roman" w:cs="Times New Roman"/>
          <w:sz w:val="24"/>
          <w:szCs w:val="24"/>
        </w:rPr>
        <w:t>Analyzing</w:t>
      </w:r>
      <w:proofErr w:type="spellEnd"/>
      <w:r w:rsidRPr="0001473E">
        <w:rPr>
          <w:rFonts w:ascii="Times New Roman" w:hAnsi="Times New Roman" w:cs="Times New Roman"/>
          <w:sz w:val="24"/>
          <w:szCs w:val="24"/>
        </w:rPr>
        <w:t xml:space="preserve"> iconic destinations. Routledge.</w:t>
      </w:r>
    </w:p>
    <w:p w14:paraId="38DFBFC4" w14:textId="77777777"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t>Carrasco, D., 1992. Quetzalcoatl and the irony of empire: myths and prophecies in the Aztec tradition. University of Chicago Press.</w:t>
      </w:r>
    </w:p>
    <w:p w14:paraId="7ACC991E" w14:textId="77777777"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lastRenderedPageBreak/>
        <w:t>Eliade, M., 1959. The sacred and the profane: The nature of religion (Vol. 144). Houghton Mifflin Harcourt.</w:t>
      </w:r>
    </w:p>
    <w:p w14:paraId="161B08B7" w14:textId="3B8260F3"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t>Geraci, R.M., 2014. Virtually sacred: Myth and meaning in World of Warcraft and Second Life. OUP Us. Chapter 20</w:t>
      </w:r>
    </w:p>
    <w:p w14:paraId="262A0EDA" w14:textId="77777777"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t>Twiss, S.B., 1992. Experience of the Sacred: Readings in the Phenomenology of Religion. UPNE.</w:t>
      </w:r>
    </w:p>
    <w:p w14:paraId="368887C7" w14:textId="77777777"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t>Wharton, A.J., 2015. Architectural agents: the delusional, abusive, addictive lives of buildings. U of Minnesota Press.</w:t>
      </w:r>
    </w:p>
    <w:p w14:paraId="660095AB" w14:textId="2ECDBB2E" w:rsidR="00D703A4" w:rsidRPr="0001473E" w:rsidRDefault="00D703A4" w:rsidP="0001473E">
      <w:pPr>
        <w:spacing w:line="360" w:lineRule="auto"/>
        <w:rPr>
          <w:rFonts w:ascii="Times New Roman" w:hAnsi="Times New Roman" w:cs="Times New Roman"/>
          <w:sz w:val="24"/>
          <w:szCs w:val="24"/>
        </w:rPr>
      </w:pPr>
      <w:r w:rsidRPr="0001473E">
        <w:rPr>
          <w:rFonts w:ascii="Times New Roman" w:hAnsi="Times New Roman" w:cs="Times New Roman"/>
          <w:sz w:val="24"/>
          <w:szCs w:val="24"/>
        </w:rPr>
        <w:t>Don Johnson. Reflections on Mircea Eliade’s The Sacred and the Profane Accessed: 29 January   Available at: http://donjohnsonministries.org/reflections-on-mircea-eliades-the-sacred-and-the-profane/</w:t>
      </w:r>
    </w:p>
    <w:sectPr w:rsidR="00D703A4" w:rsidRPr="0001473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3F851" w14:textId="77777777" w:rsidR="001629B2" w:rsidRDefault="001629B2" w:rsidP="007C1E4D">
      <w:pPr>
        <w:spacing w:after="0" w:line="240" w:lineRule="auto"/>
      </w:pPr>
      <w:r>
        <w:separator/>
      </w:r>
    </w:p>
  </w:endnote>
  <w:endnote w:type="continuationSeparator" w:id="0">
    <w:p w14:paraId="3EE9C796" w14:textId="77777777" w:rsidR="001629B2" w:rsidRDefault="001629B2" w:rsidP="007C1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30CA37" w14:textId="77777777" w:rsidR="001629B2" w:rsidRDefault="001629B2" w:rsidP="007C1E4D">
      <w:pPr>
        <w:spacing w:after="0" w:line="240" w:lineRule="auto"/>
      </w:pPr>
      <w:r>
        <w:separator/>
      </w:r>
    </w:p>
  </w:footnote>
  <w:footnote w:type="continuationSeparator" w:id="0">
    <w:p w14:paraId="4573E1AD" w14:textId="77777777" w:rsidR="001629B2" w:rsidRDefault="001629B2" w:rsidP="007C1E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CF48F" w14:textId="61F35669" w:rsidR="007C1E4D" w:rsidRDefault="007C1E4D">
    <w:pPr>
      <w:pStyle w:val="Header"/>
    </w:pPr>
    <w:r w:rsidRPr="007C1E4D">
      <w:t>Cosmology, Society and Religion</w:t>
    </w:r>
  </w:p>
  <w:p w14:paraId="0672F9F0" w14:textId="6DDA120C" w:rsidR="0001473E" w:rsidRDefault="00D703A4">
    <w:pPr>
      <w:pStyle w:val="Header"/>
    </w:pPr>
    <w:r>
      <w:t>Word count: 1132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1D5CFF"/>
    <w:multiLevelType w:val="hybridMultilevel"/>
    <w:tmpl w:val="E24E85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E4D"/>
    <w:rsid w:val="00004E5D"/>
    <w:rsid w:val="0001365B"/>
    <w:rsid w:val="0001473E"/>
    <w:rsid w:val="000975ED"/>
    <w:rsid w:val="001629B2"/>
    <w:rsid w:val="001D324F"/>
    <w:rsid w:val="00306500"/>
    <w:rsid w:val="003367C0"/>
    <w:rsid w:val="00343163"/>
    <w:rsid w:val="004A3A47"/>
    <w:rsid w:val="004E124D"/>
    <w:rsid w:val="004E5715"/>
    <w:rsid w:val="00510A9B"/>
    <w:rsid w:val="005D0D82"/>
    <w:rsid w:val="006439A8"/>
    <w:rsid w:val="006D366A"/>
    <w:rsid w:val="007411DA"/>
    <w:rsid w:val="00793CFF"/>
    <w:rsid w:val="007A53C4"/>
    <w:rsid w:val="007C1E4D"/>
    <w:rsid w:val="007F15EE"/>
    <w:rsid w:val="008448D3"/>
    <w:rsid w:val="008917AB"/>
    <w:rsid w:val="00A42B66"/>
    <w:rsid w:val="00A5276C"/>
    <w:rsid w:val="00BA0441"/>
    <w:rsid w:val="00BD065D"/>
    <w:rsid w:val="00C1662B"/>
    <w:rsid w:val="00C90F64"/>
    <w:rsid w:val="00D16303"/>
    <w:rsid w:val="00D703A4"/>
    <w:rsid w:val="00FA161F"/>
    <w:rsid w:val="00FE4B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C6F61"/>
  <w15:chartTrackingRefBased/>
  <w15:docId w15:val="{8485FF0C-C687-4C94-8792-08AEC423A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3A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E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1E4D"/>
  </w:style>
  <w:style w:type="paragraph" w:styleId="Footer">
    <w:name w:val="footer"/>
    <w:basedOn w:val="Normal"/>
    <w:link w:val="FooterChar"/>
    <w:uiPriority w:val="99"/>
    <w:unhideWhenUsed/>
    <w:rsid w:val="007C1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1E4D"/>
  </w:style>
  <w:style w:type="paragraph" w:styleId="BalloonText">
    <w:name w:val="Balloon Text"/>
    <w:basedOn w:val="Normal"/>
    <w:link w:val="BalloonTextChar"/>
    <w:uiPriority w:val="99"/>
    <w:semiHidden/>
    <w:unhideWhenUsed/>
    <w:rsid w:val="00004E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4E5D"/>
    <w:rPr>
      <w:rFonts w:ascii="Segoe UI" w:hAnsi="Segoe UI" w:cs="Segoe UI"/>
      <w:sz w:val="18"/>
      <w:szCs w:val="18"/>
    </w:rPr>
  </w:style>
  <w:style w:type="character" w:styleId="CommentReference">
    <w:name w:val="annotation reference"/>
    <w:basedOn w:val="DefaultParagraphFont"/>
    <w:uiPriority w:val="99"/>
    <w:semiHidden/>
    <w:unhideWhenUsed/>
    <w:rsid w:val="00004E5D"/>
    <w:rPr>
      <w:sz w:val="16"/>
      <w:szCs w:val="16"/>
    </w:rPr>
  </w:style>
  <w:style w:type="paragraph" w:styleId="CommentText">
    <w:name w:val="annotation text"/>
    <w:basedOn w:val="Normal"/>
    <w:link w:val="CommentTextChar"/>
    <w:uiPriority w:val="99"/>
    <w:semiHidden/>
    <w:unhideWhenUsed/>
    <w:rsid w:val="00004E5D"/>
    <w:pPr>
      <w:spacing w:line="240" w:lineRule="auto"/>
    </w:pPr>
    <w:rPr>
      <w:sz w:val="20"/>
      <w:szCs w:val="20"/>
    </w:rPr>
  </w:style>
  <w:style w:type="character" w:customStyle="1" w:styleId="CommentTextChar">
    <w:name w:val="Comment Text Char"/>
    <w:basedOn w:val="DefaultParagraphFont"/>
    <w:link w:val="CommentText"/>
    <w:uiPriority w:val="99"/>
    <w:semiHidden/>
    <w:rsid w:val="00004E5D"/>
    <w:rPr>
      <w:sz w:val="20"/>
      <w:szCs w:val="20"/>
    </w:rPr>
  </w:style>
  <w:style w:type="paragraph" w:styleId="CommentSubject">
    <w:name w:val="annotation subject"/>
    <w:basedOn w:val="CommentText"/>
    <w:next w:val="CommentText"/>
    <w:link w:val="CommentSubjectChar"/>
    <w:uiPriority w:val="99"/>
    <w:semiHidden/>
    <w:unhideWhenUsed/>
    <w:rsid w:val="00004E5D"/>
    <w:rPr>
      <w:b/>
      <w:bCs/>
    </w:rPr>
  </w:style>
  <w:style w:type="character" w:customStyle="1" w:styleId="CommentSubjectChar">
    <w:name w:val="Comment Subject Char"/>
    <w:basedOn w:val="CommentTextChar"/>
    <w:link w:val="CommentSubject"/>
    <w:uiPriority w:val="99"/>
    <w:semiHidden/>
    <w:rsid w:val="00004E5D"/>
    <w:rPr>
      <w:b/>
      <w:bCs/>
      <w:sz w:val="20"/>
      <w:szCs w:val="20"/>
    </w:rPr>
  </w:style>
  <w:style w:type="paragraph" w:styleId="ListParagraph">
    <w:name w:val="List Paragraph"/>
    <w:basedOn w:val="Normal"/>
    <w:uiPriority w:val="34"/>
    <w:qFormat/>
    <w:rsid w:val="00510A9B"/>
    <w:pPr>
      <w:ind w:left="720"/>
      <w:contextualSpacing/>
    </w:pPr>
  </w:style>
  <w:style w:type="character" w:customStyle="1" w:styleId="Heading1Char">
    <w:name w:val="Heading 1 Char"/>
    <w:basedOn w:val="DefaultParagraphFont"/>
    <w:link w:val="Heading1"/>
    <w:uiPriority w:val="9"/>
    <w:rsid w:val="00D703A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9ED63-F354-40FF-A6F9-D5139757F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1110</Words>
  <Characters>6331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Radcliffe Deanna</dc:creator>
  <cp:keywords/>
  <dc:description/>
  <cp:lastModifiedBy>Radcliffe Deanna</cp:lastModifiedBy>
  <cp:revision>4</cp:revision>
  <dcterms:created xsi:type="dcterms:W3CDTF">2019-02-01T22:01:00Z</dcterms:created>
  <dcterms:modified xsi:type="dcterms:W3CDTF">2019-02-01T23:21:00Z</dcterms:modified>
</cp:coreProperties>
</file>